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4"/>
          <w:szCs w:val="24"/>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|X| QUARTERLY REPORT PURSUANT TO SECTION 13 OR 15(d) OF THE SECURITIES EXCHANGE ACT OF 1934</w:t>
      </w:r>
    </w:p>
    <w:p>
      <w:pPr>
        <w:spacing w:after="0" w:line="16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For the quarterly period ended June 30, 2001</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right="4119" w:firstLine="8"/>
        <w:spacing w:after="0" w:line="255" w:lineRule="auto"/>
        <w:tabs>
          <w:tab w:leader="none" w:pos="17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338"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Commission File Number 0-23486</w:t>
      </w:r>
    </w:p>
    <w:p>
      <w:pPr>
        <w:spacing w:after="0" w:line="338"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831" w:gutter="0" w:footer="0" w:header="0"/>
        </w:sectPr>
      </w:pPr>
    </w:p>
    <w:p>
      <w:pPr>
        <w:spacing w:after="0" w:line="33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62-1096725</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3" w:lineRule="exact"/>
        <w:rPr>
          <w:sz w:val="24"/>
          <w:szCs w:val="24"/>
          <w:color w:val="auto"/>
        </w:rPr>
      </w:pPr>
    </w:p>
    <w:p>
      <w:pPr>
        <w:sectPr>
          <w:pgSz w:w="11900" w:h="16838" w:orient="portrait"/>
          <w:cols w:equalWidth="0" w:num="2">
            <w:col w:w="3680" w:space="720"/>
            <w:col w:w="5839"/>
          </w:cols>
          <w:pgMar w:left="220" w:top="230" w:right="1440" w:bottom="831"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2000 Waters Edge Drive</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Building c, Suite 12</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Johnson City, Tennessee 37604</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3"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(423) 743-9151</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w:t>
      </w:r>
    </w:p>
    <w:p>
      <w:pPr>
        <w:sectPr>
          <w:pgSz w:w="11900" w:h="16838" w:orient="portrait"/>
          <w:cols w:equalWidth="0" w:num="1">
            <w:col w:w="10239"/>
          </w:cols>
          <w:pgMar w:left="220" w:top="230" w:right="1440" w:bottom="831" w:gutter="0" w:footer="0" w:header="0"/>
          <w:type w:val="continuous"/>
        </w:sectPr>
      </w:pPr>
    </w:p>
    <w:p>
      <w:pPr>
        <w:spacing w:after="0" w:line="1" w:lineRule="exact"/>
        <w:rPr>
          <w:sz w:val="24"/>
          <w:szCs w:val="24"/>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registrant was required to file such reports), and (2) has been subject to such filing requirements for the past 90 days. Yes X No</w:t>
      </w:r>
    </w:p>
    <w:p>
      <w:pPr>
        <w:sectPr>
          <w:pgSz w:w="11900" w:h="16838" w:orient="portrait"/>
          <w:cols w:equalWidth="0" w:num="1">
            <w:col w:w="10239"/>
          </w:cols>
          <w:pgMar w:left="220" w:top="230" w:right="1440" w:bottom="831" w:gutter="0" w:footer="0" w:header="0"/>
          <w:type w:val="continuous"/>
        </w:sectPr>
      </w:pPr>
    </w:p>
    <w:p>
      <w:pPr>
        <w:spacing w:after="0" w:line="160" w:lineRule="exact"/>
        <w:rPr>
          <w:sz w:val="24"/>
          <w:szCs w:val="24"/>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As of August 14, 2001 there were 15,267,875 shares of the registrant's common stock, par value $0.01 per share, outstanding.</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4"/>
                <w:szCs w:val="14"/>
                <w:color w:val="auto"/>
                <w:w w:val="98"/>
              </w:rPr>
              <w:t>Page No.</w:t>
            </w:r>
          </w:p>
        </w:tc>
      </w:tr>
      <w:tr>
        <w:trPr>
          <w:trHeight w:val="166"/>
        </w:trPr>
        <w:tc>
          <w:tcPr>
            <w:tcW w:w="8140" w:type="dxa"/>
            <w:vAlign w:val="bottom"/>
            <w:gridSpan w:val="2"/>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1340" w:type="dxa"/>
            <w:vAlign w:val="bottom"/>
          </w:tcPr>
          <w:p>
            <w:pPr>
              <w:spacing w:after="0"/>
              <w:rPr>
                <w:sz w:val="14"/>
                <w:szCs w:val="14"/>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Financial Statements:</w:t>
            </w:r>
          </w:p>
        </w:tc>
        <w:tc>
          <w:tcPr>
            <w:tcW w:w="1340" w:type="dxa"/>
            <w:vAlign w:val="bottom"/>
          </w:tcPr>
          <w:p>
            <w:pPr>
              <w:spacing w:after="0"/>
              <w:rPr>
                <w:sz w:val="24"/>
                <w:szCs w:val="24"/>
                <w:color w:val="auto"/>
              </w:rPr>
            </w:pPr>
          </w:p>
        </w:tc>
      </w:tr>
      <w:tr>
        <w:trPr>
          <w:trHeight w:val="331"/>
        </w:trPr>
        <w:tc>
          <w:tcPr>
            <w:tcW w:w="134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Consolidated Statements of Income and Comprehensive Income for the</w:t>
            </w:r>
          </w:p>
        </w:tc>
        <w:tc>
          <w:tcPr>
            <w:tcW w:w="134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6800" w:type="dxa"/>
            <w:vAlign w:val="bottom"/>
          </w:tcPr>
          <w:p>
            <w:pPr>
              <w:ind w:left="740"/>
              <w:spacing w:after="0"/>
              <w:rPr>
                <w:sz w:val="20"/>
                <w:szCs w:val="20"/>
                <w:color w:val="auto"/>
              </w:rPr>
            </w:pPr>
            <w:r>
              <w:rPr>
                <w:rFonts w:ascii="Courier New" w:cs="Courier New" w:eastAsia="Courier New" w:hAnsi="Courier New"/>
                <w:sz w:val="14"/>
                <w:szCs w:val="14"/>
                <w:color w:val="auto"/>
              </w:rPr>
              <w:t>three and six months ended June 30, 2001 and 2000</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rPr>
              <w:t>2</w:t>
            </w:r>
          </w:p>
        </w:tc>
      </w:tr>
      <w:tr>
        <w:trPr>
          <w:trHeight w:val="331"/>
        </w:trPr>
        <w:tc>
          <w:tcPr>
            <w:tcW w:w="134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Consolidated Balance Sheets at June 30, 2001 and December 31, 2000</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rPr>
              <w:t>3</w:t>
            </w:r>
          </w:p>
        </w:tc>
      </w:tr>
      <w:tr>
        <w:trPr>
          <w:trHeight w:val="331"/>
        </w:trPr>
        <w:tc>
          <w:tcPr>
            <w:tcW w:w="134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Consolidated Statements of Changes in Stockholders' Equity</w:t>
            </w:r>
          </w:p>
        </w:tc>
        <w:tc>
          <w:tcPr>
            <w:tcW w:w="134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6800" w:type="dxa"/>
            <w:vAlign w:val="bottom"/>
          </w:tcPr>
          <w:p>
            <w:pPr>
              <w:ind w:left="740"/>
              <w:spacing w:after="0"/>
              <w:rPr>
                <w:sz w:val="20"/>
                <w:szCs w:val="20"/>
                <w:color w:val="auto"/>
              </w:rPr>
            </w:pPr>
            <w:r>
              <w:rPr>
                <w:rFonts w:ascii="Courier New" w:cs="Courier New" w:eastAsia="Courier New" w:hAnsi="Courier New"/>
                <w:sz w:val="14"/>
                <w:szCs w:val="14"/>
                <w:color w:val="auto"/>
              </w:rPr>
              <w:t>for the six months ended June 30, 2001 and 2000</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rPr>
              <w:t>4</w:t>
            </w:r>
          </w:p>
        </w:tc>
      </w:tr>
      <w:tr>
        <w:trPr>
          <w:trHeight w:val="331"/>
        </w:trPr>
        <w:tc>
          <w:tcPr>
            <w:tcW w:w="134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Consolidated Statements of Cash Flows for the six months</w:t>
            </w:r>
          </w:p>
        </w:tc>
        <w:tc>
          <w:tcPr>
            <w:tcW w:w="134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6800" w:type="dxa"/>
            <w:vAlign w:val="bottom"/>
          </w:tcPr>
          <w:p>
            <w:pPr>
              <w:ind w:left="740"/>
              <w:spacing w:after="0"/>
              <w:rPr>
                <w:sz w:val="20"/>
                <w:szCs w:val="20"/>
                <w:color w:val="auto"/>
              </w:rPr>
            </w:pPr>
            <w:r>
              <w:rPr>
                <w:rFonts w:ascii="Courier New" w:cs="Courier New" w:eastAsia="Courier New" w:hAnsi="Courier New"/>
                <w:sz w:val="14"/>
                <w:szCs w:val="14"/>
                <w:color w:val="auto"/>
              </w:rPr>
              <w:t>ended June 30, 2001 and 2000</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rPr>
              <w:t>5</w:t>
            </w:r>
          </w:p>
        </w:tc>
      </w:tr>
      <w:tr>
        <w:trPr>
          <w:trHeight w:val="331"/>
        </w:trPr>
        <w:tc>
          <w:tcPr>
            <w:tcW w:w="134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rPr>
              <w:t>6</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134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6800" w:type="dxa"/>
            <w:vAlign w:val="bottom"/>
          </w:tcPr>
          <w:p>
            <w:pPr>
              <w:ind w:left="740"/>
              <w:spacing w:after="0"/>
              <w:rPr>
                <w:sz w:val="20"/>
                <w:szCs w:val="20"/>
                <w:color w:val="auto"/>
              </w:rPr>
            </w:pPr>
            <w:r>
              <w:rPr>
                <w:rFonts w:ascii="Courier New" w:cs="Courier New" w:eastAsia="Courier New" w:hAnsi="Courier New"/>
                <w:sz w:val="14"/>
                <w:szCs w:val="14"/>
                <w:color w:val="auto"/>
              </w:rPr>
              <w:t>Condition and Results of Operations</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w w:val="83"/>
              </w:rPr>
              <w:t>10</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w w:val="83"/>
              </w:rPr>
              <w:t>15</w:t>
            </w:r>
          </w:p>
        </w:tc>
      </w:tr>
      <w:tr>
        <w:trPr>
          <w:trHeight w:val="331"/>
        </w:trPr>
        <w:tc>
          <w:tcPr>
            <w:tcW w:w="8140" w:type="dxa"/>
            <w:vAlign w:val="bottom"/>
            <w:gridSpan w:val="2"/>
          </w:tcPr>
          <w:p>
            <w:pPr>
              <w:spacing w:after="0"/>
              <w:rPr>
                <w:sz w:val="20"/>
                <w:szCs w:val="20"/>
                <w:color w:val="auto"/>
              </w:rPr>
            </w:pPr>
            <w:r>
              <w:rPr>
                <w:rFonts w:ascii="Courier New" w:cs="Courier New" w:eastAsia="Courier New" w:hAnsi="Courier New"/>
                <w:sz w:val="14"/>
                <w:szCs w:val="14"/>
                <w:color w:val="auto"/>
              </w:rPr>
              <w:t>Part II. Other Information</w:t>
            </w:r>
          </w:p>
        </w:tc>
        <w:tc>
          <w:tcPr>
            <w:tcW w:w="1340" w:type="dxa"/>
            <w:vAlign w:val="bottom"/>
          </w:tcPr>
          <w:p>
            <w:pPr>
              <w:spacing w:after="0"/>
              <w:rPr>
                <w:sz w:val="24"/>
                <w:szCs w:val="2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w w:val="83"/>
              </w:rPr>
              <w:t>17</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Exhibits and Reports on Form 8-K</w:t>
            </w: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w w:val="83"/>
              </w:rPr>
              <w:t>17</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800" w:type="dxa"/>
            <w:vAlign w:val="bottom"/>
          </w:tcPr>
          <w:p>
            <w:pPr>
              <w:spacing w:after="0"/>
              <w:rPr>
                <w:sz w:val="24"/>
                <w:szCs w:val="24"/>
                <w:color w:val="auto"/>
              </w:rPr>
            </w:pPr>
          </w:p>
        </w:tc>
        <w:tc>
          <w:tcPr>
            <w:tcW w:w="1340" w:type="dxa"/>
            <w:vAlign w:val="bottom"/>
          </w:tcPr>
          <w:p>
            <w:pPr>
              <w:ind w:left="1180"/>
              <w:spacing w:after="0"/>
              <w:rPr>
                <w:sz w:val="20"/>
                <w:szCs w:val="20"/>
                <w:color w:val="auto"/>
              </w:rPr>
            </w:pPr>
            <w:r>
              <w:rPr>
                <w:rFonts w:ascii="Courier New" w:cs="Courier New" w:eastAsia="Courier New" w:hAnsi="Courier New"/>
                <w:sz w:val="14"/>
                <w:szCs w:val="14"/>
                <w:color w:val="auto"/>
                <w:w w:val="83"/>
              </w:rPr>
              <w:t>18</w:t>
            </w:r>
          </w:p>
        </w:tc>
      </w:tr>
    </w:tbl>
    <w:p>
      <w:pPr>
        <w:sectPr>
          <w:pgSz w:w="11900" w:h="16838" w:orient="portrait"/>
          <w:cols w:equalWidth="0" w:num="1">
            <w:col w:w="10239"/>
          </w:cols>
          <w:pgMar w:left="220" w:top="230" w:right="1440" w:bottom="831" w:gutter="0" w:footer="0" w:header="0"/>
          <w:type w:val="continuous"/>
        </w:sectPr>
      </w:pPr>
    </w:p>
    <w:bookmarkStart w:id="1" w:name="page2"/>
    <w:bookmarkEnd w:id="1"/>
    <w:p>
      <w:pPr>
        <w:jc w:val="center"/>
        <w:ind w:right="6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Consolidated Statements of Income and Comprehensive Income</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Three Months Ended</w:t>
            </w:r>
          </w:p>
        </w:tc>
        <w:tc>
          <w:tcPr>
            <w:tcW w:w="940" w:type="dxa"/>
            <w:vAlign w:val="bottom"/>
          </w:tcPr>
          <w:p>
            <w:pPr>
              <w:spacing w:after="0"/>
              <w:rPr>
                <w:sz w:val="14"/>
                <w:szCs w:val="14"/>
                <w:color w:val="auto"/>
              </w:rPr>
            </w:pP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Six Months Ended</w:t>
            </w:r>
          </w:p>
        </w:tc>
        <w:tc>
          <w:tcPr>
            <w:tcW w:w="60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2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June 30,</w:t>
            </w:r>
          </w:p>
        </w:tc>
        <w:tc>
          <w:tcPr>
            <w:tcW w:w="94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June 30,</w:t>
            </w:r>
          </w:p>
        </w:tc>
        <w:tc>
          <w:tcPr>
            <w:tcW w:w="60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Thousands of  Dollars, Except Per Share Data</w:t>
            </w:r>
          </w:p>
        </w:tc>
        <w:tc>
          <w:tcPr>
            <w:tcW w:w="276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21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$47,350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$25,643</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$97,577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$53,645</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35,320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17,965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73,504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38,311</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12,030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7,678</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15,334</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2,463</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4,781</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1,726</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6,696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3,568</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4,758</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3,545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9,477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7,026</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1,112</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Equity in earnings (loss) of unconsolidated</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affiliates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gain on involuntary conversion</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(2,542)</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6,509</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3,277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10,227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6,467</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2,437</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2,115</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2,242</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5,052</w:t>
            </w:r>
          </w:p>
        </w:tc>
        <w:tc>
          <w:tcPr>
            <w:tcW w:w="13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in accounting principle</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principle, net of income tax benefit of $112</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and related minority interest impact of $84</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$2,242</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$4,954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$3,711</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$2,215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$3,930</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in accounting principle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$ 0.23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$ 0.15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$ 0.28</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principle</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$ 0.23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$ 0.15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$ 0.28</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15,253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15,244</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15,251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15,244</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in accounting principle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$ 0.23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$ 0.15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$ 0.28</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principle</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$ 0.23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$ 0.15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$ 0.28</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15,532</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15,436</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15,437</w:t>
            </w:r>
          </w:p>
        </w:tc>
      </w:tr>
      <w:tr>
        <w:trPr>
          <w:trHeight w:val="166"/>
        </w:trPr>
        <w:tc>
          <w:tcPr>
            <w:tcW w:w="454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540"/>
          </w:cols>
          <w:pgMar w:left="220" w:top="782" w:right="139" w:bottom="1440" w:gutter="0" w:footer="0" w:header="0"/>
        </w:sectPr>
      </w:pPr>
    </w:p>
    <w:bookmarkStart w:id="2" w:name="page3"/>
    <w:bookmarkEnd w:id="2"/>
    <w:p>
      <w:pPr>
        <w:jc w:val="center"/>
        <w:ind w:right="-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57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Consolidated Balance Sheets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497"/>
        </w:trPr>
        <w:tc>
          <w:tcPr>
            <w:tcW w:w="3200" w:type="dxa"/>
            <w:vAlign w:val="bottom"/>
          </w:tcPr>
          <w:p>
            <w:pPr>
              <w:spacing w:after="0"/>
              <w:rPr>
                <w:sz w:val="24"/>
                <w:szCs w:val="24"/>
                <w:color w:val="auto"/>
              </w:rPr>
            </w:pPr>
          </w:p>
        </w:tc>
        <w:tc>
          <w:tcPr>
            <w:tcW w:w="5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June 30,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200" w:type="dxa"/>
            <w:vAlign w:val="bottom"/>
          </w:tcPr>
          <w:p>
            <w:pPr>
              <w:spacing w:after="0"/>
              <w:rPr>
                <w:sz w:val="14"/>
                <w:szCs w:val="14"/>
                <w:color w:val="auto"/>
              </w:rPr>
            </w:pPr>
          </w:p>
        </w:tc>
        <w:tc>
          <w:tcPr>
            <w:tcW w:w="5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Thousands of  Dollars</w:t>
            </w:r>
          </w:p>
        </w:tc>
        <w:tc>
          <w:tcPr>
            <w:tcW w:w="5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(Unaudited)</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$ 6,629</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$ 8,273</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34,334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29,549</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23,523</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23,742</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3,475</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1,512</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Net current deferred tax asset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962</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68,065</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64,038</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87,057</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91,693</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41,315</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27,865</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5,127</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4,212</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$201,564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$187,808</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$ 17,337</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16,790</w:t>
            </w:r>
          </w:p>
        </w:tc>
        <w:tc>
          <w:tcPr>
            <w:tcW w:w="1820" w:type="dxa"/>
            <w:vAlign w:val="bottom"/>
          </w:tcPr>
          <w:p>
            <w:pPr>
              <w:spacing w:after="0"/>
              <w:rPr>
                <w:sz w:val="14"/>
                <w:szCs w:val="1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Accrued salaries and wages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5,504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6,929</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3,057</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Payable to affiliates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2,739</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1,762</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Short-term notes</w:t>
            </w:r>
          </w:p>
        </w:tc>
        <w:tc>
          <w:tcPr>
            <w:tcW w:w="33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Short-term portion of long-term debt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5,250</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10,694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6,490</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44,034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35,859</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28,095</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30,257</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4,388</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5,353</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59,592</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50,515</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775</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578</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136,884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122,562</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Total stockholders' equity</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64,680</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65,246</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$201,564</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$187,808</w:t>
            </w:r>
          </w:p>
        </w:tc>
      </w:tr>
      <w:tr>
        <w:trPr>
          <w:trHeight w:val="166"/>
        </w:trPr>
        <w:tc>
          <w:tcPr>
            <w:tcW w:w="5660" w:type="dxa"/>
            <w:vAlign w:val="bottom"/>
          </w:tcPr>
          <w:p>
            <w:pPr>
              <w:spacing w:after="0"/>
              <w:rPr>
                <w:sz w:val="14"/>
                <w:szCs w:val="14"/>
                <w:color w:val="auto"/>
              </w:rPr>
            </w:pPr>
          </w:p>
        </w:tc>
        <w:tc>
          <w:tcPr>
            <w:tcW w:w="3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948" w:right="139" w:bottom="1440" w:gutter="0" w:footer="0" w:header="0"/>
        </w:sectPr>
      </w:pPr>
    </w:p>
    <w:bookmarkStart w:id="3" w:name="page4"/>
    <w:bookmarkEnd w:id="3"/>
    <w:p>
      <w:pPr>
        <w:jc w:val="center"/>
        <w:ind w:right="-19"/>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(Unaudited)</w:t>
      </w:r>
    </w:p>
    <w:p>
      <w:pPr>
        <w:sectPr>
          <w:pgSz w:w="11900" w:h="16838" w:orient="portrait"/>
          <w:cols w:equalWidth="0" w:num="1">
            <w:col w:w="11540"/>
          </w:cols>
          <w:pgMar w:left="220" w:top="782" w:right="1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 of Dollars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spacing w:after="0"/>
        <w:tabs>
          <w:tab w:leader="none" w:pos="1340" w:val="left"/>
          <w:tab w:leader="none" w:pos="2720" w:val="left"/>
          <w:tab w:leader="none" w:pos="4360" w:val="left"/>
          <w:tab w:leader="none" w:pos="57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Par</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Accumulated other</w:t>
      </w:r>
    </w:p>
    <w:p>
      <w:pPr>
        <w:spacing w:after="0" w:line="7" w:lineRule="exact"/>
        <w:rPr>
          <w:sz w:val="20"/>
          <w:szCs w:val="20"/>
          <w:color w:val="auto"/>
        </w:rPr>
      </w:pPr>
    </w:p>
    <w:p>
      <w:pPr>
        <w:spacing w:after="0"/>
        <w:tabs>
          <w:tab w:leader="none" w:pos="1340" w:val="left"/>
          <w:tab w:leader="none" w:pos="2560" w:val="left"/>
          <w:tab w:leader="none" w:pos="4360" w:val="left"/>
          <w:tab w:leader="none" w:pos="5740" w:val="left"/>
          <w:tab w:leader="none" w:pos="7460" w:val="left"/>
        </w:tabs>
        <w:rPr>
          <w:sz w:val="20"/>
          <w:szCs w:val="20"/>
          <w:color w:val="auto"/>
        </w:rPr>
      </w:pPr>
      <w:r>
        <w:rPr>
          <w:rFonts w:ascii="Courier New" w:cs="Courier New" w:eastAsia="Courier New" w:hAnsi="Courier New"/>
          <w:sz w:val="14"/>
          <w:szCs w:val="14"/>
          <w:color w:val="auto"/>
        </w:rPr>
        <w:t>of shares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paid in 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comprehensive loss</w:t>
        <w:tab/>
        <w:t>Total</w:t>
      </w:r>
    </w:p>
    <w:p>
      <w:pPr>
        <w:spacing w:after="0" w:line="7" w:lineRule="exact"/>
        <w:rPr>
          <w:sz w:val="20"/>
          <w:szCs w:val="20"/>
          <w:color w:val="auto"/>
        </w:rPr>
      </w:pPr>
    </w:p>
    <w:p>
      <w:pPr>
        <w:sectPr>
          <w:pgSz w:w="11900" w:h="16838" w:orient="portrait"/>
          <w:cols w:equalWidth="0" w:num="2">
            <w:col w:w="2140" w:space="720"/>
            <w:col w:w="8680"/>
          </w:cols>
          <w:pgMar w:left="220" w:top="782"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January 1, 2000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15,244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$30,398</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$31,255</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(1,678)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$60,128</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(2,439)</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(2,439)</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loss</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r>
      <w:tr>
        <w:trPr>
          <w:trHeight w:val="166"/>
        </w:trPr>
        <w:tc>
          <w:tcPr>
            <w:tcW w:w="26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June 30, 2000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15,244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$30,398</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$33,168</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(2,100)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$61,619</w:t>
            </w:r>
          </w:p>
        </w:tc>
      </w:tr>
      <w:tr>
        <w:trPr>
          <w:trHeight w:val="166"/>
        </w:trPr>
        <w:tc>
          <w:tcPr>
            <w:tcW w:w="26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January 1, 2001</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15,247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$30,414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$36,364</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(1,685)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$65,246</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4,954</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4,954</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(2,440)</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Stock options exercised</w:t>
            </w:r>
          </w:p>
        </w:tc>
        <w:tc>
          <w:tcPr>
            <w:tcW w:w="1420" w:type="dxa"/>
            <w:vAlign w:val="bottom"/>
          </w:tcPr>
          <w:p>
            <w:pPr>
              <w:ind w:left="940"/>
              <w:spacing w:after="0"/>
              <w:rPr>
                <w:sz w:val="20"/>
                <w:szCs w:val="20"/>
                <w:color w:val="auto"/>
              </w:rPr>
            </w:pPr>
            <w:r>
              <w:rPr>
                <w:rFonts w:ascii="Courier New" w:cs="Courier New" w:eastAsia="Courier New" w:hAnsi="Courier New"/>
                <w:sz w:val="14"/>
                <w:szCs w:val="14"/>
                <w:color w:val="auto"/>
              </w:rPr>
              <w:t>18</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920"/>
              <w:spacing w:after="0"/>
              <w:rPr>
                <w:sz w:val="20"/>
                <w:szCs w:val="20"/>
                <w:color w:val="auto"/>
              </w:rPr>
            </w:pPr>
            <w:r>
              <w:rPr>
                <w:rFonts w:ascii="Courier New" w:cs="Courier New" w:eastAsia="Courier New" w:hAnsi="Courier New"/>
                <w:sz w:val="14"/>
                <w:szCs w:val="14"/>
                <w:color w:val="auto"/>
              </w:rPr>
              <w:t>101</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(3,181)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(3,181)</w:t>
            </w:r>
          </w:p>
        </w:tc>
      </w:tr>
      <w:tr>
        <w:trPr>
          <w:trHeight w:val="166"/>
        </w:trPr>
        <w:tc>
          <w:tcPr>
            <w:tcW w:w="26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June 30, 2001</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15,265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$30,515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$38,878</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(4,866)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$64,680</w:t>
            </w:r>
          </w:p>
        </w:tc>
      </w:tr>
      <w:tr>
        <w:trPr>
          <w:trHeight w:val="166"/>
        </w:trPr>
        <w:tc>
          <w:tcPr>
            <w:tcW w:w="26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782" w:right="139" w:bottom="1440" w:gutter="0" w:footer="0" w:header="0"/>
          <w:type w:val="continuous"/>
        </w:sectPr>
      </w:pPr>
    </w:p>
    <w:bookmarkStart w:id="4" w:name="page5"/>
    <w:bookmarkEnd w:id="4"/>
    <w:p>
      <w:pPr>
        <w:jc w:val="center"/>
        <w:ind w:right="-1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jc w:val="center"/>
        <w:ind w:left="8360"/>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left="8360"/>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Thousands of  Dollars</w:t>
            </w:r>
          </w:p>
        </w:tc>
        <w:tc>
          <w:tcPr>
            <w:tcW w:w="4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$4,352</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3,568</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Equity earnings of unconsolidated affiliate</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 on receivable from unconsolidated affiliate</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(5,150)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(2,497)</w:t>
            </w: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w:t>
            </w: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(1,962)</w:t>
            </w: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w:t>
            </w: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3,609</w:t>
            </w:r>
          </w:p>
        </w:tc>
      </w:tr>
      <w:tr>
        <w:trPr>
          <w:trHeight w:val="166"/>
        </w:trPr>
        <w:tc>
          <w:tcPr>
            <w:tcW w:w="690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453</w:t>
            </w:r>
          </w:p>
        </w:tc>
      </w:tr>
      <w:tr>
        <w:trPr>
          <w:trHeight w:val="166"/>
        </w:trPr>
        <w:tc>
          <w:tcPr>
            <w:tcW w:w="6900" w:type="dxa"/>
            <w:vAlign w:val="bottom"/>
          </w:tcPr>
          <w:p>
            <w:pPr>
              <w:spacing w:after="0"/>
              <w:rPr>
                <w:sz w:val="14"/>
                <w:szCs w:val="14"/>
                <w:color w:val="auto"/>
              </w:rPr>
            </w:pP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13,410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8,878</w:t>
            </w:r>
          </w:p>
        </w:tc>
      </w:tr>
      <w:tr>
        <w:trPr>
          <w:trHeight w:val="166"/>
        </w:trPr>
        <w:tc>
          <w:tcPr>
            <w:tcW w:w="6900" w:type="dxa"/>
            <w:vAlign w:val="bottom"/>
          </w:tcPr>
          <w:p>
            <w:pPr>
              <w:spacing w:after="0"/>
              <w:rPr>
                <w:sz w:val="14"/>
                <w:szCs w:val="14"/>
                <w:color w:val="auto"/>
              </w:rPr>
            </w:pP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Delta Rubber Company, net of cash acquired</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(23,674)</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plant, property, and equipment</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(3,663)</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Long-term note receivable</w:t>
            </w:r>
          </w:p>
        </w:tc>
        <w:tc>
          <w:tcPr>
            <w:tcW w:w="2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(3,120)</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Investment in unconsolidated earnings</w:t>
            </w:r>
          </w:p>
        </w:tc>
        <w:tc>
          <w:tcPr>
            <w:tcW w:w="2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90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6900" w:type="dxa"/>
            <w:vAlign w:val="bottom"/>
          </w:tcPr>
          <w:p>
            <w:pPr>
              <w:ind w:left="780"/>
              <w:spacing w:after="0"/>
              <w:rPr>
                <w:sz w:val="20"/>
                <w:szCs w:val="20"/>
                <w:color w:val="auto"/>
              </w:rPr>
            </w:pPr>
            <w:r>
              <w:rPr>
                <w:rFonts w:ascii="Courier New" w:cs="Courier New" w:eastAsia="Courier New" w:hAnsi="Courier New"/>
                <w:sz w:val="14"/>
                <w:szCs w:val="14"/>
                <w:color w:val="auto"/>
              </w:rPr>
              <w:t>Net cash used by investing activities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(26,613)</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(6,883)</w:t>
            </w:r>
          </w:p>
        </w:tc>
      </w:tr>
      <w:tr>
        <w:trPr>
          <w:trHeight w:val="166"/>
        </w:trPr>
        <w:tc>
          <w:tcPr>
            <w:tcW w:w="690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Net proceeds under revolving credit facility</w:t>
            </w:r>
          </w:p>
        </w:tc>
        <w:tc>
          <w:tcPr>
            <w:tcW w:w="2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1,889</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Proceeds from long-term debt</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21,066</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Repayment of long-term debt</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(4,456)</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Repayment of short-term debt</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Proceeds from issuance of stock</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Dividends paid</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(2,439)</w:t>
            </w:r>
          </w:p>
        </w:tc>
      </w:tr>
      <w:tr>
        <w:trPr>
          <w:trHeight w:val="166"/>
        </w:trPr>
        <w:tc>
          <w:tcPr>
            <w:tcW w:w="6900" w:type="dxa"/>
            <w:vAlign w:val="bottom"/>
          </w:tcPr>
          <w:p>
            <w:pPr>
              <w:spacing w:after="0"/>
              <w:rPr>
                <w:sz w:val="14"/>
                <w:szCs w:val="14"/>
                <w:color w:val="auto"/>
              </w:rPr>
            </w:pP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12,271</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6900" w:type="dxa"/>
            <w:vAlign w:val="bottom"/>
          </w:tcPr>
          <w:p>
            <w:pPr>
              <w:spacing w:after="0"/>
              <w:rPr>
                <w:sz w:val="14"/>
                <w:szCs w:val="14"/>
                <w:color w:val="auto"/>
              </w:rPr>
            </w:pP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Effect of exchange rate changes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(422)</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Net Change in Cash and Cash Equivalents</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8,273</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1,409</w:t>
            </w:r>
          </w:p>
        </w:tc>
      </w:tr>
      <w:tr>
        <w:trPr>
          <w:trHeight w:val="166"/>
        </w:trPr>
        <w:tc>
          <w:tcPr>
            <w:tcW w:w="6900" w:type="dxa"/>
            <w:vAlign w:val="bottom"/>
          </w:tcPr>
          <w:p>
            <w:pPr>
              <w:spacing w:after="0"/>
              <w:rPr>
                <w:sz w:val="14"/>
                <w:szCs w:val="14"/>
                <w:color w:val="auto"/>
              </w:rPr>
            </w:pP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$ 6,629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$2,432</w:t>
            </w:r>
          </w:p>
        </w:tc>
      </w:tr>
      <w:tr>
        <w:trPr>
          <w:trHeight w:val="166"/>
        </w:trPr>
        <w:tc>
          <w:tcPr>
            <w:tcW w:w="6900" w:type="dxa"/>
            <w:vAlign w:val="bottom"/>
          </w:tcPr>
          <w:p>
            <w:pPr>
              <w:spacing w:after="0"/>
              <w:rPr>
                <w:sz w:val="14"/>
                <w:szCs w:val="14"/>
                <w:color w:val="auto"/>
              </w:rPr>
            </w:pP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540"/>
          </w:cols>
          <w:pgMar w:left="220" w:top="948" w:right="139" w:bottom="1440" w:gutter="0" w:footer="0" w:header="0"/>
        </w:sectPr>
      </w:pPr>
    </w:p>
    <w:bookmarkStart w:id="5" w:name="page6"/>
    <w:bookmarkEnd w:id="5"/>
    <w:p>
      <w:pPr>
        <w:jc w:val="center"/>
        <w:ind w:right="3339"/>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Consoldiated Financial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tab/>
        <w:t>Interim Financial Statements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NN, Inc. (the Company) have not been audited by independent accountants, except for the balance sheet at December 31, 2000. In the opinion of the Company's management, the financial statements reflect all adjustments necessary to present fairly the results of operations for the three and six month periods ended June 30, 2001 and 2000, the Company's financial position at June 30, 2001 and December 31, 2000, and the cash flows for the six month periods ended June 30, 2001 and 2000. These adjustments are of a normal recurring nature and are, in the opinion of management, necessary for fair presentation of the financial position and operating results for the interim periods.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results for the first and second quarters of 2001 are not necessarily indicative of future results.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2.</w:t>
        <w:tab/>
        <w:t>Derivate 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cumulative effect of a change in accounting principles for the adoption of SFAS No. 133 effective January 1, 2001 resulted in a transition adjustment net loss of $98,000 which is net of an income tax benefit of $112,000 and the related minority interest impact of $84,000.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June 30, 2001, the fair value of the swap is a loss of approximately</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$273,000 which is recorded in other noncurrent liabilities. The change in fair value during the six-month period ended June 30, 2001 was a gain of approximately $69,000 which has been included as a component of other income.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spacing w:after="0"/>
        <w:tabs>
          <w:tab w:leader="none" w:pos="760" w:val="left"/>
        </w:tabs>
        <w:rPr>
          <w:sz w:val="20"/>
          <w:szCs w:val="20"/>
          <w:color w:val="auto"/>
        </w:rPr>
      </w:pPr>
      <w:r>
        <w:rPr>
          <w:rFonts w:ascii="Courier New" w:cs="Courier New" w:eastAsia="Courier New" w:hAnsi="Courier New"/>
          <w:sz w:val="14"/>
          <w:szCs w:val="14"/>
          <w:color w:val="auto"/>
        </w:rPr>
        <w:t>Note 3.</w:t>
        <w:tab/>
        <w:t>Inventories</w:t>
      </w:r>
    </w:p>
    <w:p>
      <w:pPr>
        <w:spacing w:after="0" w:line="173" w:lineRule="exact"/>
        <w:rPr>
          <w:sz w:val="20"/>
          <w:szCs w:val="20"/>
          <w:color w:val="auto"/>
        </w:rPr>
      </w:pPr>
    </w:p>
    <w:p>
      <w:pPr>
        <w:ind w:right="5500"/>
        <w:spacing w:after="0" w:line="255" w:lineRule="auto"/>
        <w:rPr>
          <w:sz w:val="20"/>
          <w:szCs w:val="20"/>
          <w:color w:val="auto"/>
        </w:rPr>
      </w:pPr>
      <w:r>
        <w:rPr>
          <w:rFonts w:ascii="Courier New" w:cs="Courier New" w:eastAsia="Courier New" w:hAnsi="Courier New"/>
          <w:sz w:val="14"/>
          <w:szCs w:val="14"/>
          <w:color w:val="auto"/>
        </w:rPr>
        <w:t>Inventories are stated at the lower of cost or market, with cost being determined by the first-in, first-out method.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comprised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June 30,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0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2001</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(Unaudited)</w:t>
            </w: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08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$ 5,422</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$ 4,431</w:t>
            </w: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6,174</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5,265</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12,032</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14,106</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Less inventory reserve</w:t>
            </w: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08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$ 23,523</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$ 23,742</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08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828"/>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Note 4.  Net Income Per Share</w:t>
            </w:r>
          </w:p>
        </w:tc>
        <w:tc>
          <w:tcPr>
            <w:tcW w:w="4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1"/>
        </w:trPr>
        <w:tc>
          <w:tcPr>
            <w:tcW w:w="2600" w:type="dxa"/>
            <w:vAlign w:val="bottom"/>
          </w:tcPr>
          <w:p>
            <w:pPr>
              <w:spacing w:after="0"/>
              <w:rPr>
                <w:sz w:val="24"/>
                <w:szCs w:val="24"/>
                <w:color w:val="auto"/>
              </w:rPr>
            </w:pPr>
          </w:p>
        </w:tc>
        <w:tc>
          <w:tcPr>
            <w:tcW w:w="4080" w:type="dxa"/>
            <w:vAlign w:val="bottom"/>
          </w:tcPr>
          <w:p>
            <w:pPr>
              <w:ind w:left="2500"/>
              <w:spacing w:after="0"/>
              <w:rPr>
                <w:sz w:val="20"/>
                <w:szCs w:val="20"/>
                <w:color w:val="auto"/>
              </w:rPr>
            </w:pPr>
            <w:r>
              <w:rPr>
                <w:rFonts w:ascii="Courier New" w:cs="Courier New" w:eastAsia="Courier New" w:hAnsi="Courier New"/>
                <w:sz w:val="14"/>
                <w:szCs w:val="14"/>
                <w:color w:val="auto"/>
              </w:rPr>
              <w:t>Three Months Ended</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2600" w:type="dxa"/>
            <w:vAlign w:val="bottom"/>
          </w:tcPr>
          <w:p>
            <w:pPr>
              <w:spacing w:after="0"/>
              <w:rPr>
                <w:sz w:val="14"/>
                <w:szCs w:val="14"/>
                <w:color w:val="auto"/>
              </w:rPr>
            </w:pPr>
          </w:p>
        </w:tc>
        <w:tc>
          <w:tcPr>
            <w:tcW w:w="4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June 30,</w:t>
            </w: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2600" w:type="dxa"/>
            <w:vAlign w:val="bottom"/>
          </w:tcPr>
          <w:p>
            <w:pPr>
              <w:spacing w:after="0"/>
              <w:rPr>
                <w:sz w:val="14"/>
                <w:szCs w:val="14"/>
                <w:color w:val="auto"/>
              </w:rPr>
            </w:pPr>
          </w:p>
        </w:tc>
        <w:tc>
          <w:tcPr>
            <w:tcW w:w="40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2001</w:t>
            </w:r>
          </w:p>
        </w:tc>
        <w:tc>
          <w:tcPr>
            <w:tcW w:w="16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Thousands of  Dollars, Except</w:t>
            </w:r>
          </w:p>
        </w:tc>
        <w:tc>
          <w:tcPr>
            <w:tcW w:w="408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Share and Per Share Data</w:t>
            </w: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$ 3,506</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$ 2,242</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$ 4,954</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$ 4,352</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Adjustments to net income</w:t>
            </w:r>
          </w:p>
        </w:tc>
        <w:tc>
          <w:tcPr>
            <w:tcW w:w="20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$ 3,506</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$ 2,242</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$ 4,954</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$ 4,352</w:t>
            </w:r>
          </w:p>
        </w:tc>
      </w:tr>
      <w:tr>
        <w:trPr>
          <w:trHeight w:val="166"/>
        </w:trPr>
        <w:tc>
          <w:tcPr>
            <w:tcW w:w="41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180" w:type="dxa"/>
            <w:vAlign w:val="bottom"/>
          </w:tcPr>
          <w:p>
            <w:pPr>
              <w:spacing w:after="0"/>
              <w:rPr>
                <w:sz w:val="20"/>
                <w:szCs w:val="20"/>
                <w:color w:val="auto"/>
              </w:rPr>
            </w:pPr>
            <w:r>
              <w:rPr>
                <w:rFonts w:ascii="Courier New" w:cs="Courier New" w:eastAsia="Courier New" w:hAnsi="Courier New"/>
                <w:sz w:val="14"/>
                <w:szCs w:val="14"/>
                <w:color w:val="auto"/>
              </w:rPr>
              <w:t>Weighted average basic shares</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15,253,276</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15,244,308</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15,250,547</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15,244,308</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Effect of dilutive stock options</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279,147</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191,204</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271,420</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192,509</w:t>
            </w:r>
          </w:p>
        </w:tc>
      </w:tr>
      <w:tr>
        <w:trPr>
          <w:trHeight w:val="166"/>
        </w:trPr>
        <w:tc>
          <w:tcPr>
            <w:tcW w:w="41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Weighted average dilutive shares outstanding</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15,532,423</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15,435,512</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15,521,967</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15,436,817</w:t>
            </w:r>
          </w:p>
        </w:tc>
      </w:tr>
      <w:tr>
        <w:trPr>
          <w:trHeight w:val="166"/>
        </w:trPr>
        <w:tc>
          <w:tcPr>
            <w:tcW w:w="41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Basic net income per share</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$ 0.23</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$ 0.15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41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Diluted net income per share</w:t>
            </w:r>
          </w:p>
        </w:tc>
        <w:tc>
          <w:tcPr>
            <w:tcW w:w="2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$ 0.23</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$ 0.15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4180" w:type="dxa"/>
            <w:vAlign w:val="bottom"/>
          </w:tcPr>
          <w:p>
            <w:pPr>
              <w:spacing w:after="0"/>
              <w:rPr>
                <w:sz w:val="14"/>
                <w:szCs w:val="14"/>
                <w:color w:val="auto"/>
              </w:rPr>
            </w:pP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Excluded from the shares outstanding for each of the second quarters ended June 30, 2001 and 2000 were 10,750 antidilutive options which had exercise prices ranging from $9.75 to $11.50. Excluded from the shares outstanding for each of the six months ended June 30, 2001 and 2000 were 10,750 antidilutive options which had exercise prices ranging from $9.75 to $11.50.</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5.</w:t>
        <w:tab/>
        <w:t>Segment Information</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During 2001, the Company's reportable segments are based on differences in product lines and geographic locations and are divided between balls and rollers, European operations ("Euroball") and plastics. The ball and roller segment comprises three manufacturing facilities in the eastern United States. The Euroball segment acquired in July 2000, comprises manufacturing facilities located in Kilkenny, Ireland, Eltmann, Germany and Pinerolo, Italy. All of the facilities in the ball and roller and Euroball segments are engaged in the production of precision balls and rollers used primarily in the bearing industry. The plastics segment is comprised of the Industrial Molding Corporation ("IMC") business, located in Lubbuck, Texas, which was acquired in July 1999 and the Delta Rubber Company ("Delta") business, located in Danielson, Connecticut, which was acquired in February 2001. IMC is engaged in the production of plastic injection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616" w:right="139" w:bottom="1440" w:gutter="0" w:footer="0" w:header="0"/>
        </w:sectPr>
      </w:pPr>
    </w:p>
    <w:bookmarkStart w:id="7" w:name="page8"/>
    <w:bookmarkEnd w:id="7"/>
    <w:p>
      <w:pPr>
        <w:ind w:right="4820"/>
        <w:spacing w:after="0" w:line="252" w:lineRule="auto"/>
        <w:rPr>
          <w:sz w:val="20"/>
          <w:szCs w:val="20"/>
          <w:color w:val="auto"/>
        </w:rPr>
      </w:pPr>
      <w:r>
        <w:rPr>
          <w:rFonts w:ascii="Courier New" w:cs="Courier New" w:eastAsia="Courier New" w:hAnsi="Courier New"/>
          <w:sz w:val="14"/>
          <w:szCs w:val="14"/>
          <w:color w:val="auto"/>
        </w:rPr>
        <w:t>molded products for the bearing, automotive, instrumentation, fiber optic and consumer hardware markets. Delta is engaged in the production of engineered bearing seals and other precision-molded rubber products to original equipment manufacturers.</w:t>
      </w:r>
    </w:p>
    <w:p>
      <w:pPr>
        <w:spacing w:after="0" w:line="162"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in the December 31, 2000 Form 10-K.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the three month or six month periods ended June 30, 2001 and 2000.</w:t>
      </w:r>
    </w:p>
    <w:p>
      <w:pPr>
        <w:spacing w:after="0" w:line="200" w:lineRule="exact"/>
        <w:rPr>
          <w:sz w:val="20"/>
          <w:szCs w:val="20"/>
          <w:color w:val="auto"/>
        </w:rPr>
      </w:pPr>
    </w:p>
    <w:p>
      <w:pPr>
        <w:spacing w:after="0" w:line="295"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Three Months Ended June 30,</w:t>
      </w:r>
    </w:p>
    <w:p>
      <w:pPr>
        <w:spacing w:after="0" w:line="7" w:lineRule="exact"/>
        <w:rPr>
          <w:sz w:val="20"/>
          <w:szCs w:val="20"/>
          <w:color w:val="auto"/>
        </w:rPr>
      </w:pPr>
    </w:p>
    <w:p>
      <w:pPr>
        <w:ind w:left="5180"/>
        <w:spacing w:after="0"/>
        <w:tabs>
          <w:tab w:leader="none" w:pos="938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tabs>
          <w:tab w:leader="none" w:pos="3260" w:val="left"/>
          <w:tab w:leader="none" w:pos="4900" w:val="left"/>
          <w:tab w:leader="none" w:pos="6360" w:val="left"/>
          <w:tab w:leader="none" w:pos="7560" w:val="left"/>
          <w:tab w:leader="none" w:pos="9200" w:val="left"/>
          <w:tab w:leader="none" w:pos="1058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Ball &amp; Roller</w:t>
      </w:r>
      <w:r>
        <w:rPr>
          <w:sz w:val="20"/>
          <w:szCs w:val="20"/>
          <w:color w:val="auto"/>
        </w:rPr>
        <w:tab/>
      </w:r>
      <w:r>
        <w:rPr>
          <w:rFonts w:ascii="Courier New" w:cs="Courier New" w:eastAsia="Courier New" w:hAnsi="Courier New"/>
          <w:sz w:val="14"/>
          <w:szCs w:val="14"/>
          <w:color w:val="auto"/>
        </w:rPr>
        <w:t>Euroball</w:t>
      </w:r>
      <w:r>
        <w:rPr>
          <w:sz w:val="20"/>
          <w:szCs w:val="20"/>
          <w:color w:val="auto"/>
        </w:rPr>
        <w:tab/>
      </w:r>
      <w:r>
        <w:rPr>
          <w:rFonts w:ascii="Courier New" w:cs="Courier New" w:eastAsia="Courier New" w:hAnsi="Courier New"/>
          <w:sz w:val="14"/>
          <w:szCs w:val="14"/>
          <w:color w:val="auto"/>
        </w:rPr>
        <w:t>Plastics</w:t>
      </w:r>
      <w:r>
        <w:rPr>
          <w:sz w:val="20"/>
          <w:szCs w:val="20"/>
          <w:color w:val="auto"/>
        </w:rPr>
        <w:tab/>
      </w:r>
      <w:r>
        <w:rPr>
          <w:rFonts w:ascii="Courier New" w:cs="Courier New" w:eastAsia="Courier New" w:hAnsi="Courier New"/>
          <w:sz w:val="14"/>
          <w:szCs w:val="14"/>
          <w:color w:val="auto"/>
        </w:rPr>
        <w:t>Ball &amp; Roller</w:t>
      </w:r>
      <w:r>
        <w:rPr>
          <w:sz w:val="20"/>
          <w:szCs w:val="20"/>
          <w:color w:val="auto"/>
        </w:rPr>
        <w:tab/>
      </w:r>
      <w:r>
        <w:rPr>
          <w:rFonts w:ascii="Courier New" w:cs="Courier New" w:eastAsia="Courier New" w:hAnsi="Courier New"/>
          <w:sz w:val="14"/>
          <w:szCs w:val="14"/>
          <w:color w:val="auto"/>
        </w:rPr>
        <w:t>Euroball</w:t>
      </w:r>
      <w:r>
        <w:rPr>
          <w:sz w:val="20"/>
          <w:szCs w:val="20"/>
          <w:color w:val="auto"/>
        </w:rPr>
        <w:tab/>
      </w:r>
      <w:r>
        <w:rPr>
          <w:rFonts w:ascii="Courier New" w:cs="Courier New" w:eastAsia="Courier New" w:hAnsi="Courier New"/>
          <w:sz w:val="14"/>
          <w:szCs w:val="14"/>
          <w:color w:val="auto"/>
        </w:rPr>
        <w:t>Plastics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3"/>
          </w:tcPr>
          <w:p>
            <w:pPr>
              <w:spacing w:after="0"/>
              <w:rPr>
                <w:sz w:val="20"/>
                <w:szCs w:val="20"/>
                <w:color w:val="auto"/>
              </w:rPr>
            </w:pPr>
            <w:r>
              <w:rPr>
                <w:rFonts w:ascii="Courier New" w:cs="Courier New" w:eastAsia="Courier New" w:hAnsi="Courier New"/>
                <w:sz w:val="14"/>
                <w:szCs w:val="14"/>
                <w:color w:val="auto"/>
              </w:rPr>
              <w:t>Revenues from external customers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$ 14,214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$ 22,520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$ 10,616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$ 18,296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$ 7,347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pretax</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profit (loss)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4,390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3,142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202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58,959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84,719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57,886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66,866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Six Months Ended June 30,</w:t>
      </w:r>
    </w:p>
    <w:p>
      <w:pPr>
        <w:spacing w:after="0" w:line="7" w:lineRule="exact"/>
        <w:rPr>
          <w:sz w:val="20"/>
          <w:szCs w:val="20"/>
          <w:color w:val="auto"/>
        </w:rPr>
      </w:pPr>
    </w:p>
    <w:p>
      <w:pPr>
        <w:ind w:left="5180"/>
        <w:spacing w:after="0"/>
        <w:tabs>
          <w:tab w:leader="none" w:pos="938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tabs>
          <w:tab w:leader="none" w:pos="3260" w:val="left"/>
          <w:tab w:leader="none" w:pos="4900" w:val="left"/>
          <w:tab w:leader="none" w:pos="6360" w:val="left"/>
          <w:tab w:leader="none" w:pos="7560" w:val="left"/>
          <w:tab w:leader="none" w:pos="9200" w:val="left"/>
          <w:tab w:leader="none" w:pos="10580" w:val="left"/>
        </w:tabs>
        <w:rPr>
          <w:sz w:val="20"/>
          <w:szCs w:val="20"/>
          <w:color w:val="auto"/>
        </w:rPr>
      </w:pPr>
      <w:r>
        <w:rPr>
          <w:rFonts w:ascii="Courier New" w:cs="Courier New" w:eastAsia="Courier New" w:hAnsi="Courier New"/>
          <w:sz w:val="14"/>
          <w:szCs w:val="14"/>
          <w:color w:val="auto"/>
        </w:rPr>
        <w:t>Thousands of Dollars</w:t>
      </w:r>
      <w:r>
        <w:rPr>
          <w:sz w:val="20"/>
          <w:szCs w:val="20"/>
          <w:color w:val="auto"/>
        </w:rPr>
        <w:tab/>
      </w:r>
      <w:r>
        <w:rPr>
          <w:rFonts w:ascii="Courier New" w:cs="Courier New" w:eastAsia="Courier New" w:hAnsi="Courier New"/>
          <w:sz w:val="14"/>
          <w:szCs w:val="14"/>
          <w:color w:val="auto"/>
        </w:rPr>
        <w:t>Ball &amp; Roller</w:t>
      </w:r>
      <w:r>
        <w:rPr>
          <w:sz w:val="20"/>
          <w:szCs w:val="20"/>
          <w:color w:val="auto"/>
        </w:rPr>
        <w:tab/>
      </w:r>
      <w:r>
        <w:rPr>
          <w:rFonts w:ascii="Courier New" w:cs="Courier New" w:eastAsia="Courier New" w:hAnsi="Courier New"/>
          <w:sz w:val="14"/>
          <w:szCs w:val="14"/>
          <w:color w:val="auto"/>
        </w:rPr>
        <w:t>Euroball</w:t>
      </w:r>
      <w:r>
        <w:rPr>
          <w:sz w:val="20"/>
          <w:szCs w:val="20"/>
          <w:color w:val="auto"/>
        </w:rPr>
        <w:tab/>
      </w:r>
      <w:r>
        <w:rPr>
          <w:rFonts w:ascii="Courier New" w:cs="Courier New" w:eastAsia="Courier New" w:hAnsi="Courier New"/>
          <w:sz w:val="14"/>
          <w:szCs w:val="14"/>
          <w:color w:val="auto"/>
        </w:rPr>
        <w:t>Plastics</w:t>
      </w:r>
      <w:r>
        <w:rPr>
          <w:sz w:val="20"/>
          <w:szCs w:val="20"/>
          <w:color w:val="auto"/>
        </w:rPr>
        <w:tab/>
      </w:r>
      <w:r>
        <w:rPr>
          <w:rFonts w:ascii="Courier New" w:cs="Courier New" w:eastAsia="Courier New" w:hAnsi="Courier New"/>
          <w:sz w:val="14"/>
          <w:szCs w:val="14"/>
          <w:color w:val="auto"/>
        </w:rPr>
        <w:t>Ball &amp; Roller</w:t>
      </w:r>
      <w:r>
        <w:rPr>
          <w:sz w:val="20"/>
          <w:szCs w:val="20"/>
          <w:color w:val="auto"/>
        </w:rPr>
        <w:tab/>
      </w:r>
      <w:r>
        <w:rPr>
          <w:rFonts w:ascii="Courier New" w:cs="Courier New" w:eastAsia="Courier New" w:hAnsi="Courier New"/>
          <w:sz w:val="14"/>
          <w:szCs w:val="14"/>
          <w:color w:val="auto"/>
        </w:rPr>
        <w:t>Euroball</w:t>
      </w:r>
      <w:r>
        <w:rPr>
          <w:sz w:val="20"/>
          <w:szCs w:val="20"/>
          <w:color w:val="auto"/>
        </w:rPr>
        <w:tab/>
      </w:r>
      <w:r>
        <w:rPr>
          <w:rFonts w:ascii="Courier New" w:cs="Courier New" w:eastAsia="Courier New" w:hAnsi="Courier New"/>
          <w:sz w:val="14"/>
          <w:szCs w:val="14"/>
          <w:color w:val="auto"/>
        </w:rPr>
        <w:t>Plastics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3"/>
          </w:tcPr>
          <w:p>
            <w:pPr>
              <w:spacing w:after="0"/>
              <w:rPr>
                <w:sz w:val="20"/>
                <w:szCs w:val="20"/>
                <w:color w:val="auto"/>
              </w:rPr>
            </w:pPr>
            <w:r>
              <w:rPr>
                <w:rFonts w:ascii="Courier New" w:cs="Courier New" w:eastAsia="Courier New" w:hAnsi="Courier New"/>
                <w:sz w:val="14"/>
                <w:szCs w:val="14"/>
                <w:color w:val="auto"/>
              </w:rPr>
              <w:t>Revenues from external customers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$ 30,013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47,857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$ 19,707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$ 37,421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$ 16,224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pretax</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profit (loss)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5,936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4,968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5,957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202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58,959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84,719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57,886</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66,866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30,944</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6.</w:t>
        <w:tab/>
        <w:t>Acquisitions and Joint Ventures</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On February 16, 2001, the Company completed the acquisition of all of the outstanding stock of The Delta Rubber Company, a Connecticut corporation ("Delta") for $22.5 million in cash, of which $500,000 is to be held in escrow for one year from the date of closing. Delta provides high quality engineered bearing seals and other precision-molded rubber products to original equipment manufacturers. The Company plans to continue the operation of the Delta business, which operates a manufacturing facility in Danielson, Connecticut. AmSouth Bank provided financing for the transaction.</w:t>
      </w:r>
    </w:p>
    <w:p>
      <w:pPr>
        <w:spacing w:after="0" w:line="164"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On March 16, 2000, the Company entered into a 50/50 joint venture with General Bearing Corporation called NN General LLC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330"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On July 31, 2000, the Company formed a majority owned stand-alone company in Europe, NN Euroball ApS ("Euroball"), for the manufacture and sale of chrome steel balls used for ball bearings and other products. The Company owns 54% of Euroball. AB SKF ("SKF")and FAG Kugelfisher Georg Shafer AG ("FAG") each own</w:t>
      </w:r>
    </w:p>
    <w:p>
      <w:pPr>
        <w:spacing w:after="0" w:line="2"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23%.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ability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540"/>
          </w:cols>
          <w:pgMar w:left="220" w:top="616" w:right="139" w:bottom="1440" w:gutter="0" w:footer="0" w:header="0"/>
        </w:sectPr>
      </w:pPr>
    </w:p>
    <w:bookmarkStart w:id="8" w:name="page9"/>
    <w:bookmarkEnd w:id="8"/>
    <w:p>
      <w:pPr>
        <w:ind w:right="3419"/>
        <w:spacing w:after="0" w:line="252" w:lineRule="auto"/>
        <w:rPr>
          <w:sz w:val="20"/>
          <w:szCs w:val="20"/>
          <w:color w:val="auto"/>
        </w:rPr>
      </w:pPr>
      <w:r>
        <w:rPr>
          <w:rFonts w:ascii="Courier New" w:cs="Courier New" w:eastAsia="Courier New" w:hAnsi="Courier New"/>
          <w:sz w:val="14"/>
          <w:szCs w:val="14"/>
          <w:color w:val="auto"/>
        </w:rPr>
        <w:t>exercise control over its operations and has accounted for the acquisitions of the Pinerolo, Italy and Eltmann, Germany ball factories using the purchase method of accounting. Goodwill arising from this acquisition is being amortized on a straight-line basis over 20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August 31, 2000 the Company acquired a 51% ownership interest in NN Mexico,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("NN Mexico"), a Delaware limited liability company. NN Mexico holds as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 investment a 100% ownership interest in NN Arte, a manufacturer of plastic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located in Guadalajara, Mexico. To acquire its 51% ownership of 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Mexico, the Company made an initial contribution of $879,000,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 of $671,000, and is obligated to provide additional funding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 payable upon certain performance conditions at NN Arte. The Company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consolidate NN Mexico due to its ability to exercise control over 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Arte's operations and has accounted for this acquisition using the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 of accounting</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7.</w:t>
        <w:tab/>
        <w:t>Fire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12, 2000, the Company experienced a fire at its Erwin, Tennessee facility. The fire was contained to approximately 30% of the production area and did not result in serious injury to any employee. Effected production was shifted to the Company's other facilities as possible as well as the use of other suppliers to protect product supply to customers. Insurance coverage for the loss provides for the reimbursement of replacement value of property and equipment damaged in the fire. A net gain of $2.5 million was recorded during the quarter ended June 30, 2001. The gain is due to insurance proceeds received from the insurance company related to the excess of insurance proceeds over the net book value of assets destroyed in the March 12, 2000 fire at the Erwin, Tennessee facility.</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8.</w:t>
        <w:tab/>
        <w:t>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availiablity extended in March of 2001. Amounts outstanding under the revolving facility and the term loan facility bear interest at a floating rate equal to LIBOR plus an applicable margin between 0.75% to 2.00% based upon calculated financial ratios. The loan agreement contains customary financial and non-financial covenants.</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9.</w:t>
        <w:tab/>
        <w:t>New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July 2001, the FASB issued Statement of Financial Accounting Standards No. 141, "Business Combinations"(Statement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intangible assets acquired in a purchase method business combination must meet to be recognized and reported apart from goodwill. Statement No. 142 will require that goodwill and intangible assets with indefinite useful lives no longer be amortized, but instead tested for impairment. The effective date of Statement No. 142 is January 1, 2002. As of the date of adoption, the Company expects to have unamortized goodwill of approximately $38.0 million, which will be subject to the provisions of Statement No. 142. Amortization expense related to goodwill was $0.9 million and $0.8 million for the year ended December 31, 2000 and the six months ending June 30, 2001, respectively. The Company is currently evaluating the impact of adoption of Statement No. 142.</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Three Months Ended June 30, 2001 Compared to the Three Months Ended June 30, 2000</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Net sales increased by approximately $21.7 million, or 84.7%, from $25.6 million for the second quarter of 2000 to $47.4 million for the second quarter of 2001. The formation of Euroball in July of 2000 contributed $20.0 million of the increase, excluding the second quarter sales of the Ireland facility, which was consolidated into the results of the Company prior to the formation of Euroball. The Company's acquistion of Delta on February 16, 2001 contributed an additional $4.5 million to the increase. Offsetting these increases were decreased sales of $1.5 million and $1.3 million for the Company's domestic ball and roller and plastics divisions, respectively. These decreases were due mainly to decreased demand for the Company's products in the U. S related to the soft domestic economy.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Profit. Gross profit increased approximately $4.3 million or 56.7%, from $7.7 million for the second quarter of 2000 to $12.0 million for the second quarter of 2001. Excluding the Ireland facility's gross profit for the second quarter of 2001, Euroball contributed $4.8 million to the increase. The acquisiton of Delta accounted for $1.2 million of the increase. Offsetting these increases were decreased gross profits of $1.7 million at the domestic ball and roller and plastics divisions, primarily due to decreased revenues. As a percentage of net sales, gross profit decreased from 29.9% in the second quarter of 2000 to 25.4% for the same period in 2001. This decrease in gross profit as a percentage of net sales was due primarily to decreased levels of revenue volumes at the domestic divisions and the resulting deleverage of margins as compared to the same period in the prior year.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expenses increased by approximately $1.4 million or 57.8% from $2.5 million in the second quarter of 2000 to $3.9 million in the second quarter of 2001. The formation of Euroball contributed $1.6 million of the increase. The acqusition of Delta contributed $0.3 million of the increase. Primarily offsetting these increases were decreases of $0.6 million for the plastic divisions due primarily to planned administrative reductions. As a percentage of net sales, selling, general and administrative expenses decreased from 9.6% for the second quarter of 2000 to 8.2% for the same period in 2001.</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Depreciation and Amortization. Depreciation expense increased by approximately $1.7 million from $1.7 million for the second quarter of 2000 to $3.4 million for the same period in 2001. Excluding the Ireland facility's depreciation for the second quarter of 2001, Euroball contributed $1.3 million to the increase. The acquisition of Delta accounted for $0.4 million of the increase. As a percentage of net sales, depreciation expense increased from 6.7% in the second quarter of 2000 to 7.2% in the second quarter of 2001.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Expense. Interest expense, net increased by approximately $0.8 million from $0.3 million in the second quarter of 2000 to $1.1 million during the same period in 2001. Interest expense incurred by Euroball to finance the joint venture transaction accounted for $0.3 million of the increase. The remainder of the increase was due to amounts outstanding under the Company's line of credit in the second quarter of 2001. In February 2001, the Company borrowed $22.5 million under the line of credit for the purchase of Delta. As a percentage of net sales, interest expense, net increased from 1.0% in the second quarter of 2000 to 2.2% for the same period in 2001.</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Equity in Earnings (Loss) of Unconsolidated Affiliates. Equity in earnings (loss) of unconsolidated affiliates changed from $53,000 in the second quarter of 2000 to a loss of $23,000 during the same period of 2001. The decrease is due to the Company's share of earnings from the NN General joint venture with</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right="3339"/>
        <w:spacing w:after="0" w:line="252" w:lineRule="auto"/>
        <w:rPr>
          <w:sz w:val="20"/>
          <w:szCs w:val="20"/>
          <w:color w:val="auto"/>
        </w:rPr>
      </w:pPr>
      <w:r>
        <w:rPr>
          <w:rFonts w:ascii="Courier New" w:cs="Courier New" w:eastAsia="Courier New" w:hAnsi="Courier New"/>
          <w:sz w:val="14"/>
          <w:szCs w:val="14"/>
          <w:color w:val="auto"/>
        </w:rPr>
        <w:t>General Bearing Corporation. Earnings from this venture were offset by losses incurred from the start-up of NN Asia, a joint venture formed to market products produced by NN General.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Gain on Involuntary Conversion. The Company recognized a net gain on involuntary conversion of $2.5 million in the second quarter of 2001. The gain is due to insurance proceeds received from the insurance company related to the excess of insurance proceeds over the net book value of assets destroyed in the March 12, 2000 fire at the Erwin, Tennessee facility.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Minority Interest of Consolidated Subsidiary. Minority interest of consolidated subsidiary increased $0.6 million from $0 for the second quarter of 2000 to $0.6 million for the second quarter of 2001. This increase is due to Company's Euroball and Arte joint ventures which began operations in the third quarter and fourth quarter of 2000, respectively. The Company is required to consolidate these joint ventures due to its majority voting ownership. The Company owns 54% of the shares of Euroball and 51% of the shares of Arte. Minority interest of consolidated subsidiary represents the combined interest of the minority partners of Euroball at 46% and Arte at 49%, respectively.</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Income. Net income increased by $1.3 million or 56.4%, from $2.2 million for the second quarter of 2000 to $3.5 million for the same period in 2001. As a percentage of net sales, net income decreased from 8.7% in the second quarter of 2000 to 7.4% for the second quarter of 2001.</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 June 30, 2001 Compared to the Six Months Ended June 30, 2000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Net sales increased by approximately $44.0 million, or 81.9%, from $53.6 million for the first six months of 2000 to $97.6 million for the same period in 2001 The formation of Euroball in July of 2000 contributed $42.9 million of the increase, excluding the first six months sales of the Ireland facility, which was consolidated into the results of the Company prior to the formation of Euroball. The Company's acquisition of Delta on February 16, 2001 contributed an additional $6.7 million of the increase. Offsetting these increases were decreased sales of $2.4 million and $3.2 million from the Company's ball and roller division and IMC, respectively. These decreases were due mainly to domestic economic conditions and resulting reduced demand for the Company's products for the first half of 2001.</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Profit. Gross profit increased by approximately $8.8 million, or 57.0%, from $15.3 million for the first six months of 2000 to $24.1 million for the same period in 2001. The formation of Euroball in July 2000, excluding the Ireland facility, contributed $10.5 million of the increase. The Delta acquisition in February of 2001contributed an additional $1.8 million of the increase. Offsetting these increases were decreased gross profits of $1.8 million and $1.7 million at the domestic ball and roller division and IMC respectively. As a percentage of net sales, gross profit decreased from 28.6% in the first six months of 2000 to 24.7% in the same period of 2001.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expenses increased by approximately $3.1 million, or 65.2%, from $4.8 million in the first six months of 2000 to $7.9 million in the same period in 2001. The formation of Euroball in July 2000, excluding the Ireland facility, contributed $3.1 million of the increase. The Company's acqusition of Delta in February 2001 contributed $0.5 million of the increase. Offsetting this increase were decreases related to planned administrative reductions at the Company's plastic division of $0.8 million. As a percentage of net sales, selling, general and administrative expenses decreased from 8.9% in the first six months of 2000 to 8.1% for the same period in 2001.</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Depreciation and Amortization. Depreciation expense increased by approximately $3.1 million from $3.6 million for the first six months of 2000 to $6.7 million for the same period in 2001. The formation of Euroball in July 2000, excluding the Ireland facility, contributed $2.3 million. The Company's acquisition of Delta in February 2001 contributed $0.5 million of the increase. The remainder of the increase was due to purchases of capital equipment at the Company's domestic ball and roller and IMC facilities. As a</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ind w:right="3419"/>
        <w:spacing w:after="0" w:line="255" w:lineRule="auto"/>
        <w:rPr>
          <w:sz w:val="20"/>
          <w:szCs w:val="20"/>
          <w:color w:val="auto"/>
        </w:rPr>
      </w:pPr>
      <w:r>
        <w:rPr>
          <w:rFonts w:ascii="Courier New" w:cs="Courier New" w:eastAsia="Courier New" w:hAnsi="Courier New"/>
          <w:sz w:val="14"/>
          <w:szCs w:val="14"/>
          <w:color w:val="auto"/>
        </w:rPr>
        <w:t>percentage of net sales, depreciation expense increased from 6.7% for the first six months of 2000 to 6.9% for the same period in 2001.</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Expense. Interest expense, net increased by approximately $1.7 million from $0.6 in the first six months of 2000 to $2.3 million during the same period in 2001. Interest expense incurred by Euroball to finance the joint venture transaction accounted for $0.9 million of the increase. The remainder of the increase was due to amounts outstanding under the Company's line of credit in the first half of 2001. In February 2001, the Companys borrowed $22.5 million under the line of credit for the purchase of the Delta Rubber Company. As a percentage of net sales, interest expense, net increased from 1.0% in the first half of 2000 to 2.3% for the same period in 2001.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Equity in Earnings of Unconsolidated Affiliates. Equity in earnings of unconsolidated affiliates changed from $0 in the first half of 2000 to a gain of $26,000 during the same period of 2001. The increase is due to the Company's share of earnings from the NN General joint venture with General Bearing Corporation. Earnings from this venture were offset by losses incurred from the start-up of NN Asia, a joint venture formed to market products produced by NN General.</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Gain on Involuntary Conversion. The Company recognized a net gain on involuntary conversion of $2.5 million in the first half of 2001. The gain is due to insurance proceeds received from the insurance company related to the excess of insurance proceeds over the net book value of assets destroyed in the March 12, 2000 fire at the Erwin, Tennessee facility.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Minority Interest of Consolidated Subsidiary. Minority interest of consolidated subsidiary increased $1.1 million from $0 for the first half of 2000 to $1.1 million for the first half of 2001. This increase is due to Company's Euroball and Arte joint ventures which began operations in the third and fourth quarters in 2000, respectively. The Company is required to consolidate these joint ventures due to its ability to exercise control over the operations. The Company owns 54% of the shares of Euroball and 51% of the shares of Arte. Minority interest of consolidated subsidiary represents the combined interest of the minority partners of Euroball at 46% and Arte at 49% respectively.</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Net Income. Net income increased by approximately $0.6 million, or 13.8%, from $4.4 million for the first six months of 2000 to $5.0 million for the same period for 2001. As a percentage of net sales, net income decreased from 8.1% for the first six months of 2000 to 5.1% for the same period for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July 20, 2001, the Company entered into a syndicated loan agreement with AmSouth Bank ("AmSouth") as the administrative agent for the lenders, for a senior revolving credit facility of up to $25 million, expiring on July 25, 2003 and a senior term loan for $35 million expiring on July 1, 2006. These facilities are unsecured except for certain inter-company loans. This credit facility replaces the $25 million revolving credit facility that was temporarily extended and restated in February of 2001 to $50 million and the additional $2 million of availablity extended in March of 2001. Amounts outstanding under the revolving facility and the term loan facility bear interest at a floating rate equal to LIBOR plus an applicable margin between 0.75% to 2.00% based upon calculated finacial ratios. The loan agreement contains customary financial and non-financial covenants.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July 2000, NN Euroball ApS, and its subsidiaries entered into a loan agreement with HypoVereinsbank Luxembourg S.A. as agent for Bayerische Hypo-und Vereinsbank AG of Munich, Germany for a senior secured revolving credit facility of Euro 5 million, expiring on July 15, 2006 and a senior secured term loan of Euro 36 million, expiring on July 15, 2006. On July 31, 2000, upon the consummation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plus an applicable margin of between 1.125% to 2.25% based upon calculated financial ratios. Additionally, the Company has an interest rate swap that fixes the interest rate for 12.5 million Euros outstanding under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ind w:right="3599"/>
        <w:spacing w:after="0" w:line="252" w:lineRule="auto"/>
        <w:rPr>
          <w:sz w:val="20"/>
          <w:szCs w:val="20"/>
          <w:color w:val="auto"/>
        </w:rPr>
      </w:pPr>
      <w:r>
        <w:rPr>
          <w:rFonts w:ascii="Courier New" w:cs="Courier New" w:eastAsia="Courier New" w:hAnsi="Courier New"/>
          <w:sz w:val="14"/>
          <w:szCs w:val="14"/>
          <w:color w:val="auto"/>
        </w:rPr>
        <w:t>facilities. The interest rate swap agreement expires in July 2006. The loan agreement contains various restrictive financial and non financial covenants. The Company, as of June 30, 2001, was in compliance with all such covenants.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plastics division which provides several lines of seasonal hardware.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$24.0 million at June 30, 2001 as compared to $28.2 million at December 31, 2000. The decrease is primarily attributable to the Company's refinancing activity as discussed above in this section. The ratio of current assets to current liabilities decreased from 1.79:1 at December 31, 2000 to</w:t>
      </w:r>
    </w:p>
    <w:p>
      <w:pPr>
        <w:spacing w:after="0" w:line="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1.55:1 at June 30, 2001. Cash flow from operations increased from $8.9 million during the first six months of 2000 to $13.4 million during the same period in 2001. The increase is primarily attributable to the Company's acquisition and joint venture activity.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2001, the Company plans to spend approximately $5.3 million on capital expenditures of which approximately $2.9 million has been spent through June 30, 2001.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Euro</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Seasonality and Fluctuation in Quarterly Results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 and Changes in Prices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Cautionary Statements for Purposes of the "Safe Harbor" Provisions of the Private Securities Litigation Reform Act of 1995</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4"/>
          </w:tcPr>
          <w:p>
            <w:pPr>
              <w:spacing w:after="0"/>
              <w:rPr>
                <w:sz w:val="20"/>
                <w:szCs w:val="20"/>
                <w:color w:val="auto"/>
              </w:rPr>
            </w:pPr>
            <w:r>
              <w:rPr>
                <w:rFonts w:ascii="Courier New" w:cs="Courier New" w:eastAsia="Courier New" w:hAnsi="Courier New"/>
                <w:sz w:val="14"/>
                <w:szCs w:val="14"/>
                <w:color w:val="auto"/>
              </w:rPr>
              <w:t>The following paragraphs discuss the risk factors the Company</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regards as the</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most significant,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although</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the Company wishes to caution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that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other factors that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are currently not</w:t>
            </w:r>
          </w:p>
        </w:tc>
        <w:tc>
          <w:tcPr>
            <w:tcW w:w="3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considered as significant or that currently</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cannot be foreseen</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may in the future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prove to</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be important in affecting the</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Company's financial</w:t>
            </w:r>
          </w:p>
        </w:tc>
      </w:tr>
      <w:tr>
        <w:trPr>
          <w:trHeight w:val="166"/>
        </w:trPr>
        <w:tc>
          <w:tcPr>
            <w:tcW w:w="5300" w:type="dxa"/>
            <w:vAlign w:val="bottom"/>
            <w:gridSpan w:val="4"/>
          </w:tcPr>
          <w:p>
            <w:pPr>
              <w:spacing w:after="0"/>
              <w:rPr>
                <w:sz w:val="20"/>
                <w:szCs w:val="20"/>
                <w:color w:val="auto"/>
              </w:rPr>
            </w:pPr>
            <w:r>
              <w:rPr>
                <w:rFonts w:ascii="Courier New" w:cs="Courier New" w:eastAsia="Courier New" w:hAnsi="Courier New"/>
                <w:sz w:val="14"/>
                <w:szCs w:val="14"/>
                <w:color w:val="auto"/>
              </w:rPr>
              <w:t>position and results of operations. The Company undertakes no</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obligation to</w:t>
            </w: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update or revise any forward-looking statements, whether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as a</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result of new</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information, future events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or otherwise.</w:t>
            </w: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Industry Risks. Both the precision ball and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Competition. The precision ball and roller market and the precision plastics market are highly competitive, and many of the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4" w:name="page15"/>
    <w:bookmarkEnd w:id="14"/>
    <w:p>
      <w:pPr>
        <w:ind w:right="3339" w:firstLine="431"/>
        <w:spacing w:after="0" w:line="251" w:lineRule="auto"/>
        <w:rPr>
          <w:sz w:val="20"/>
          <w:szCs w:val="20"/>
          <w:color w:val="auto"/>
        </w:rPr>
      </w:pPr>
      <w:r>
        <w:rPr>
          <w:rFonts w:ascii="Courier New" w:cs="Courier New" w:eastAsia="Courier New" w:hAnsi="Courier New"/>
          <w:sz w:val="14"/>
          <w:szCs w:val="14"/>
          <w:color w:val="auto"/>
        </w:rPr>
        <w:t>Rapid Growth. The Company has significantly expanded its ball and roller production facilities and capacity over the last several years. During 1997, the Company purchased an additional manufacturing plant in Kilkenny, Ireland. The Company continued this expansion in 2000 through its 54% ownership of the NN Euroball joint venture with SKF and FAG. In addition, the Company invested in Jiangsu General Ball &amp; Roller Company, a Chinese joint venture specializing in various types of ball production.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Risks Associated with International Trade. Because the Company (a) 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w:t>
      </w:r>
    </w:p>
    <w:p>
      <w:pPr>
        <w:spacing w:after="0" w:line="2" w:lineRule="exact"/>
        <w:rPr>
          <w:sz w:val="20"/>
          <w:szCs w:val="20"/>
          <w:color w:val="auto"/>
        </w:rPr>
      </w:pPr>
    </w:p>
    <w:p>
      <w:pPr>
        <w:ind w:right="3339" w:firstLine="8"/>
        <w:spacing w:after="0" w:line="251" w:lineRule="auto"/>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Dependence on Major Customers. During 2000, the Company's ten largest customers accounted for approximately 69% of its net sales. Sales to various US and foreign divisions of SKF, which is one of the largest bearing manufacturers in the world, accounted for approximately 32% of net sales in 2000, and sales to FAG accounted for approximately 17% of net sales. None of the Company's other customers accounted for more than 5% of its net sales in 2000. The loss of all or a substantial portion of sales to these customers would have a material adverse effect on the Company's business.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Acquisitions. The Company's growth strategy includes growth through acquisitions. In 1999, the Company acquired the IMC businesses as part of that strategy. In 2000, the Company formed the NN Euroball joint venture with SKF and FAG and began operating two new ball manufacturing facilities. In February of 2001, the Company continued to implement this strategy through the acquisition of Delta.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Quantitative and Qualitative Disclosures About Market Risk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2" w:right="1440" w:bottom="1440" w:gutter="0" w:footer="0" w:header="0"/>
        </w:sectPr>
      </w:pPr>
    </w:p>
    <w:bookmarkStart w:id="15" w:name="page16"/>
    <w:bookmarkEnd w:id="15"/>
    <w:p>
      <w:pPr>
        <w:ind w:right="3339"/>
        <w:spacing w:after="0" w:line="250" w:lineRule="auto"/>
        <w:rPr>
          <w:sz w:val="20"/>
          <w:szCs w:val="20"/>
          <w:color w:val="auto"/>
        </w:rPr>
      </w:pPr>
      <w:r>
        <w:rPr>
          <w:rFonts w:ascii="Courier New" w:cs="Courier New" w:eastAsia="Courier New" w:hAnsi="Courier New"/>
          <w:sz w:val="14"/>
          <w:szCs w:val="14"/>
          <w:color w:val="auto"/>
        </w:rPr>
        <w:t>The Company is exposed to changes in interest rates primarily as a result of its borrowing activities, which include a $25.0 million floating rate revolving credit facility which is used to maintain liquidity and fund its business operations as well as a $35.0 million floating rate term loan. Additionally, Euroball has a 5.0 million Euro floating rate revolving credit facility and a</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36.0 million Euro floating rate secured term loan. Additionally, the Company has an interest rate swap that fixes the interest rate for 12.5 million Euros outstanding under the facilities. The interest rate swap expires in July 2006. At June 30, 2001, the Company had $45.8 million outstanding under the domestic revolving credit facility and term loan and Euroball had $19.1 million outstanding under the Euroball revolving credit facility and term loan. A one-percent increase in the interest rate charged on the Company's outstanding borrowings under the revolving credit facility and term loans would result in interest expense increasing by approximately $524,000. The nature and amount of the Company's borrowings may vary as a result of future business requirements, market conditions and other factors.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The Company did not hold a position in any foreign currency instruments as of June 30, 2001.</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p>
      <w:pPr>
        <w:ind w:left="2340"/>
        <w:spacing w:after="0"/>
        <w:rPr>
          <w:sz w:val="20"/>
          <w:szCs w:val="20"/>
          <w:color w:val="auto"/>
        </w:rPr>
      </w:pPr>
      <w:r>
        <w:rPr>
          <w:rFonts w:ascii="Courier New" w:cs="Courier New" w:eastAsia="Courier New" w:hAnsi="Courier New"/>
          <w:sz w:val="14"/>
          <w:szCs w:val="14"/>
          <w:color w:val="auto"/>
        </w:rPr>
        <w:t>PART II. OTHER INFORMATION</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Annual Meeting of Stockholders was held on May 17, 2001. As of March 17, 2001, the record date for the meeting, there were 15,246,909 shares of common stock outstanding and entitled to vote at the meeting. There were present at said meeting, in person or by proxy, stockholders holding 14,447,781 shares of common stock, constituting approximately 95% of the shares of common stock outstanding and entitled to vote, which constituted a quorum.</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first matter voted upon at the meeting was the election of Michael D. Huff and Michael E. Werner as Class I Directors to serve for three-year terms. The results of the voting in connection with such elections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FOR</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WITHHELD</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Michael</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D. Huff</w:t>
            </w:r>
          </w:p>
        </w:tc>
        <w:tc>
          <w:tcPr>
            <w:tcW w:w="25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13,747,666</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700,115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Michael</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 Werner</w:t>
            </w:r>
          </w:p>
        </w:tc>
        <w:tc>
          <w:tcPr>
            <w:tcW w:w="25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13,747,204</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700,577</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Accordingly, all nominees were elected to serve until the 2004 Annual Meeting of Stockholders and until their successors are duly elected and qualified. In addition to the foregoing directors, G. Ronald Morris, Steven T. Warshaw and James L. Earsley are serving terms to expire at the 2002 Annual Meeting of Stockholders, and Richard D. Ennen and Roderick R. Baty are serving terms which are to expire at the 2003 Annual Meeting of Stockholders. Mr. Ennen, the Company's founder, continues in his position as Chairman of the Company's Board of Directors.</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second matter voted upon at the 2001 Annual Meeting of Stockholders was the approval of an amendment to the Company's Stock Incentive Plan to change the name of the number of shares from 1,625,000 to 2,450,000. The vote was 9,197,320 For and 2,830,908 Against, and there were 5,605 Abstentions.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Third matter voted upon at the 2001 Annual Meeting of Stockholders was the ratification of KPMG LLP as independent public accountants to audit the Company's accounts for the fiscal year ending December 31, 2001. The vote was 14,438,365 For and 3,811 Against, and there were 5,605 Abstentions.</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NN, Inc.</w:t>
      </w:r>
    </w:p>
    <w:p>
      <w:pPr>
        <w:spacing w:after="0" w:line="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947"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14, 2000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President and Chief Executive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2">
            <w:col w:w="3160" w:space="720"/>
            <w:col w:w="6359"/>
          </w:cols>
          <w:pgMar w:left="220" w:top="94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14, 2000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David Dyckman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(Principal</w:t>
        <w:tab/>
        <w:t>Financial Officer)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2">
            <w:col w:w="3160" w:space="720"/>
            <w:col w:w="6359"/>
          </w:cols>
          <w:pgMar w:left="220" w:top="94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14, 2000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William C. Kelly, Jr.,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Treasurer, Secretary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Accounting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Accounting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2">
            <w:col w:w="3160" w:space="720"/>
            <w:col w:w="6359"/>
          </w:cols>
          <w:pgMar w:left="220" w:top="947" w:right="1440"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sectPr>
      <w:pgSz w:w="11900" w:h="16838" w:orient="portrait"/>
      <w:cols w:equalWidth="0" w:num="1">
        <w:col w:w="10239"/>
      </w:cols>
      <w:pgMar w:left="220" w:top="9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2019-12-12T11:34:42Z</dcterms:created>
  <dcterms:modified xsi:type="dcterms:W3CDTF">2019-12-12T11:34:42Z</dcterms:modified>
</cp:coreProperties>
</file>