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STATHAM JAMI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51"/>
        <w:spacing w:after="0" w:line="320" w:lineRule="auto"/>
        <w:rPr>
          <w:sz w:val="20"/>
          <w:szCs w:val="20"/>
          <w:color w:val="auto"/>
        </w:rPr>
      </w:pPr>
      <w:r>
        <w:rPr>
          <w:rFonts w:ascii="Times New Roman" w:cs="Times New Roman" w:eastAsia="Times New Roman" w:hAnsi="Times New Roman"/>
          <w:sz w:val="17"/>
          <w:szCs w:val="17"/>
          <w:color w:val="0000FF"/>
        </w:rPr>
        <w:t>6210 ARDREY KELL ROAD SUITE 120</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03/18/2026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SVP, General Counsel</w:t>
      </w:r>
    </w:p>
    <w:p>
      <w:pPr>
        <w:spacing w:after="0" w:line="460" w:lineRule="exact"/>
        <w:rPr>
          <w:sz w:val="24"/>
          <w:szCs w:val="24"/>
          <w:color w:val="auto"/>
        </w:rPr>
      </w:pPr>
    </w:p>
    <w:p>
      <w:pPr>
        <w:sectPr>
          <w:pgSz w:w="11900" w:h="16838" w:orient="portrait"/>
          <w:cols w:equalWidth="0" w:num="3">
            <w:col w:w="3191" w:space="720"/>
            <w:col w:w="3104"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760" w:type="dxa"/>
            <w:vAlign w:val="bottom"/>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CHARLOTTE  NC</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28277</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80,623</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133,876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4,395</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129,481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which vests in three equal annual installments beginning on March 18, 2027.</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withholding tax obligations upon the vesting of restricted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Jami Statham</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03/20/2026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9800"/>
        <w:spacing w:after="0"/>
        <w:rPr>
          <w:sz w:val="20"/>
          <w:szCs w:val="20"/>
          <w:color w:val="auto"/>
        </w:rPr>
      </w:pPr>
      <w:r>
        <w:rPr>
          <w:rFonts w:ascii="Times New Roman" w:cs="Times New Roman" w:eastAsia="Times New Roman" w:hAnsi="Times New Roman"/>
          <w:sz w:val="21"/>
          <w:szCs w:val="21"/>
          <w:b w:val="1"/>
          <w:bCs w:val="1"/>
          <w:color w:val="auto"/>
        </w:rPr>
        <w:t>EXHIBIT 24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42" w:lineRule="exact"/>
        <w:rPr>
          <w:sz w:val="20"/>
          <w:szCs w:val="20"/>
          <w:color w:val="auto"/>
        </w:rPr>
      </w:pPr>
    </w:p>
    <w:p>
      <w:pPr>
        <w:ind w:firstLine="814"/>
        <w:spacing w:after="0" w:line="274"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D. Gail Nixon, Christopher Bohnert and Stacy Naessens, signing individually, the undersigned's true and lawful attorneys-in-fact and agents to:</w:t>
      </w:r>
    </w:p>
    <w:p>
      <w:pPr>
        <w:spacing w:after="0" w:line="200" w:lineRule="exact"/>
        <w:rPr>
          <w:sz w:val="20"/>
          <w:szCs w:val="20"/>
          <w:color w:val="auto"/>
        </w:rPr>
      </w:pPr>
    </w:p>
    <w:p>
      <w:pPr>
        <w:spacing w:after="0" w:line="208" w:lineRule="exact"/>
        <w:rPr>
          <w:sz w:val="20"/>
          <w:szCs w:val="20"/>
          <w:color w:val="auto"/>
        </w:rPr>
      </w:pPr>
    </w:p>
    <w:p>
      <w:pPr>
        <w:jc w:val="both"/>
        <w:ind w:left="640" w:hanging="314"/>
        <w:spacing w:after="0" w:line="247" w:lineRule="auto"/>
        <w:tabs>
          <w:tab w:leader="none" w:pos="613"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in the undersigned's name and on the undersigned's behalf, and submit to the U.S. Securities and Exchange Commission (the "SEC") Forms 3, 4 and 5 (including any amendments thereto) in accordance with Section 16(a) of the Securities Exchange Act of 1934, as amended (the “Exchange Act”), and the rules thereunder in the undersigned’s capacity as an officer, director or beneficial owner of more than 10% of a registered class of securities of the Company;</w:t>
      </w:r>
    </w:p>
    <w:p>
      <w:pPr>
        <w:spacing w:after="0" w:line="200" w:lineRule="exact"/>
        <w:rPr>
          <w:rFonts w:ascii="Times New Roman" w:cs="Times New Roman" w:eastAsia="Times New Roman" w:hAnsi="Times New Roman"/>
          <w:sz w:val="21"/>
          <w:szCs w:val="21"/>
          <w:color w:val="auto"/>
        </w:rPr>
      </w:pPr>
    </w:p>
    <w:p>
      <w:pPr>
        <w:spacing w:after="0" w:line="236" w:lineRule="exact"/>
        <w:rPr>
          <w:rFonts w:ascii="Times New Roman" w:cs="Times New Roman" w:eastAsia="Times New Roman" w:hAnsi="Times New Roman"/>
          <w:sz w:val="21"/>
          <w:szCs w:val="21"/>
          <w:color w:val="auto"/>
        </w:rPr>
      </w:pPr>
    </w:p>
    <w:p>
      <w:pPr>
        <w:jc w:val="both"/>
        <w:ind w:left="640" w:right="20" w:hanging="314"/>
        <w:spacing w:after="0" w:line="256" w:lineRule="auto"/>
        <w:tabs>
          <w:tab w:leader="none" w:pos="613"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that may be necessary or desirable to complete and execute such Forms 3, 4 or 5 (including amendments thereto) and timely file such forms with the SEC and any stock exchange or similar authority; and</w:t>
      </w:r>
    </w:p>
    <w:p>
      <w:pPr>
        <w:spacing w:after="0" w:line="200" w:lineRule="exact"/>
        <w:rPr>
          <w:rFonts w:ascii="Times New Roman" w:cs="Times New Roman" w:eastAsia="Times New Roman" w:hAnsi="Times New Roman"/>
          <w:sz w:val="21"/>
          <w:szCs w:val="21"/>
          <w:color w:val="auto"/>
        </w:rPr>
      </w:pPr>
    </w:p>
    <w:p>
      <w:pPr>
        <w:spacing w:after="0" w:line="226" w:lineRule="exact"/>
        <w:rPr>
          <w:rFonts w:ascii="Times New Roman" w:cs="Times New Roman" w:eastAsia="Times New Roman" w:hAnsi="Times New Roman"/>
          <w:sz w:val="21"/>
          <w:szCs w:val="21"/>
          <w:color w:val="auto"/>
        </w:rPr>
      </w:pPr>
    </w:p>
    <w:p>
      <w:pPr>
        <w:jc w:val="both"/>
        <w:ind w:left="640" w:right="20" w:hanging="314"/>
        <w:spacing w:after="0" w:line="247" w:lineRule="auto"/>
        <w:tabs>
          <w:tab w:leader="none" w:pos="613"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00" w:lineRule="exact"/>
        <w:rPr>
          <w:sz w:val="20"/>
          <w:szCs w:val="20"/>
          <w:color w:val="auto"/>
        </w:rPr>
      </w:pPr>
    </w:p>
    <w:p>
      <w:pPr>
        <w:spacing w:after="0" w:line="245" w:lineRule="exact"/>
        <w:rPr>
          <w:sz w:val="20"/>
          <w:szCs w:val="20"/>
          <w:color w:val="auto"/>
        </w:rPr>
      </w:pPr>
    </w:p>
    <w:p>
      <w:pPr>
        <w:jc w:val="both"/>
        <w:ind w:firstLine="814"/>
        <w:spacing w:after="0" w:line="243"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47" w:lineRule="exact"/>
        <w:rPr>
          <w:sz w:val="20"/>
          <w:szCs w:val="20"/>
          <w:color w:val="auto"/>
        </w:rPr>
      </w:pPr>
    </w:p>
    <w:p>
      <w:pPr>
        <w:jc w:val="both"/>
        <w:ind w:right="20" w:firstLine="814"/>
        <w:spacing w:after="0" w:line="250"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w:t>
      </w:r>
    </w:p>
    <w:p>
      <w:pPr>
        <w:spacing w:after="0" w:line="200" w:lineRule="exact"/>
        <w:rPr>
          <w:sz w:val="20"/>
          <w:szCs w:val="20"/>
          <w:color w:val="auto"/>
        </w:rPr>
      </w:pP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the date written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below.</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Date: 2/19/2026 | 1:44 PM EST</w:t>
            </w:r>
          </w:p>
        </w:tc>
        <w:tc>
          <w:tcPr>
            <w:tcW w:w="1280" w:type="dxa"/>
            <w:vAlign w:val="bottom"/>
          </w:tcPr>
          <w:p>
            <w:pPr>
              <w:spacing w:after="0"/>
              <w:rPr>
                <w:sz w:val="20"/>
                <w:szCs w:val="20"/>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 Jami Statham</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28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80" w:type="dxa"/>
            <w:vAlign w:val="bottom"/>
            <w:vMerge w:val="continue"/>
          </w:tcPr>
          <w:p>
            <w:pPr>
              <w:spacing w:after="0"/>
              <w:rPr>
                <w:sz w:val="23"/>
                <w:szCs w:val="23"/>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Name: Jami Statham</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80"/>
      </w:cols>
      <w:pgMar w:left="460" w:top="10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40"/>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7832"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2026-03-20T15:38:45Z</dcterms:created>
  <dcterms:modified xsi:type="dcterms:W3CDTF">2026-03-20T15:38:45Z</dcterms:modified>
</cp:coreProperties>
</file>