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460375</wp:posOffset>
            </wp:positionV>
            <wp:extent cx="706374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63740" cy="8255"/>
                    </a:xfrm>
                    <a:prstGeom prst="rect">
                      <a:avLst/>
                    </a:prstGeom>
                    <a:noFill/>
                  </pic:spPr>
                </pic:pic>
              </a:graphicData>
            </a:graphic>
          </wp:anchor>
        </w:drawing>
        <w:drawing>
          <wp:anchor simplePos="0" relativeHeight="251657728" behindDoc="1" locked="0" layoutInCell="0" allowOverlap="1">
            <wp:simplePos x="0" y="0"/>
            <wp:positionH relativeFrom="column">
              <wp:posOffset>39370</wp:posOffset>
            </wp:positionH>
            <wp:positionV relativeFrom="paragraph">
              <wp:posOffset>486410</wp:posOffset>
            </wp:positionV>
            <wp:extent cx="706374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6374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jc w:val="center"/>
        <w:ind w:right="-99"/>
        <w:spacing w:after="0"/>
        <w:rPr>
          <w:sz w:val="20"/>
          <w:szCs w:val="20"/>
          <w:color w:val="auto"/>
        </w:rPr>
      </w:pPr>
      <w:r>
        <w:rPr>
          <w:rFonts w:ascii="Arial" w:cs="Arial" w:eastAsia="Arial" w:hAnsi="Arial"/>
          <w:sz w:val="29"/>
          <w:szCs w:val="29"/>
          <w:b w:val="1"/>
          <w:bCs w:val="1"/>
          <w:color w:val="auto"/>
        </w:rPr>
        <w:t>UNITED STATES</w:t>
      </w:r>
    </w:p>
    <w:p>
      <w:pPr>
        <w:spacing w:after="0" w:line="112" w:lineRule="exact"/>
        <w:rPr>
          <w:sz w:val="24"/>
          <w:szCs w:val="24"/>
          <w:color w:val="auto"/>
        </w:rPr>
      </w:pPr>
    </w:p>
    <w:p>
      <w:pPr>
        <w:jc w:val="center"/>
        <w:ind w:right="-99"/>
        <w:spacing w:after="0"/>
        <w:rPr>
          <w:sz w:val="20"/>
          <w:szCs w:val="20"/>
          <w:color w:val="auto"/>
        </w:rPr>
      </w:pPr>
      <w:r>
        <w:rPr>
          <w:rFonts w:ascii="Arial" w:cs="Arial" w:eastAsia="Arial" w:hAnsi="Arial"/>
          <w:sz w:val="29"/>
          <w:szCs w:val="29"/>
          <w:b w:val="1"/>
          <w:bCs w:val="1"/>
          <w:color w:val="auto"/>
        </w:rPr>
        <w:t>SECURITIES AND EXCHANGE COMMISSION</w:t>
      </w:r>
    </w:p>
    <w:p>
      <w:pPr>
        <w:spacing w:after="0" w:line="121" w:lineRule="exact"/>
        <w:rPr>
          <w:sz w:val="24"/>
          <w:szCs w:val="24"/>
          <w:color w:val="auto"/>
        </w:rPr>
      </w:pPr>
    </w:p>
    <w:p>
      <w:pPr>
        <w:jc w:val="center"/>
        <w:ind w:right="-99"/>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2276475</wp:posOffset>
            </wp:positionH>
            <wp:positionV relativeFrom="paragraph">
              <wp:posOffset>125730</wp:posOffset>
            </wp:positionV>
            <wp:extent cx="259715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75" w:lineRule="exact"/>
        <w:rPr>
          <w:sz w:val="24"/>
          <w:szCs w:val="24"/>
          <w:color w:val="auto"/>
        </w:rPr>
      </w:pPr>
    </w:p>
    <w:p>
      <w:pPr>
        <w:jc w:val="center"/>
        <w:ind w:right="-99"/>
        <w:spacing w:after="0"/>
        <w:rPr>
          <w:sz w:val="20"/>
          <w:szCs w:val="20"/>
          <w:color w:val="auto"/>
        </w:rPr>
      </w:pPr>
      <w:r>
        <w:rPr>
          <w:rFonts w:ascii="Arial" w:cs="Arial" w:eastAsia="Arial" w:hAnsi="Arial"/>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2276475</wp:posOffset>
            </wp:positionH>
            <wp:positionV relativeFrom="paragraph">
              <wp:posOffset>134620</wp:posOffset>
            </wp:positionV>
            <wp:extent cx="259715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54" w:lineRule="exact"/>
        <w:rPr>
          <w:sz w:val="24"/>
          <w:szCs w:val="24"/>
          <w:color w:val="auto"/>
        </w:rPr>
      </w:pPr>
    </w:p>
    <w:p>
      <w:pPr>
        <w:ind w:left="360" w:hanging="334"/>
        <w:spacing w:after="0"/>
        <w:tabs>
          <w:tab w:leader="none" w:pos="360" w:val="left"/>
        </w:tabs>
        <w:numPr>
          <w:ilvl w:val="0"/>
          <w:numId w:val="1"/>
        </w:numPr>
        <w:rPr>
          <w:rFonts w:ascii="MS PGothic" w:cs="MS PGothic" w:eastAsia="MS PGothic" w:hAnsi="MS PGothic"/>
          <w:sz w:val="22"/>
          <w:szCs w:val="22"/>
          <w:color w:val="auto"/>
        </w:rPr>
      </w:pPr>
      <w:r>
        <w:rPr>
          <w:rFonts w:ascii="Arial" w:cs="Arial" w:eastAsia="Arial" w:hAnsi="Arial"/>
          <w:sz w:val="16"/>
          <w:szCs w:val="16"/>
          <w:b w:val="1"/>
          <w:bCs w:val="1"/>
          <w:color w:val="auto"/>
        </w:rPr>
        <w:t>QUARTERLY REPORT PURSUANT TO SECTION 13 OR 15(d) OF THE SECURITIES EXCHANGE ACT OF 1934</w:t>
      </w:r>
    </w:p>
    <w:p>
      <w:pPr>
        <w:spacing w:after="0" w:line="200" w:lineRule="exact"/>
        <w:rPr>
          <w:sz w:val="24"/>
          <w:szCs w:val="24"/>
          <w:color w:val="auto"/>
        </w:rPr>
      </w:pPr>
    </w:p>
    <w:p>
      <w:pPr>
        <w:spacing w:after="0" w:line="200" w:lineRule="exact"/>
        <w:rPr>
          <w:sz w:val="24"/>
          <w:szCs w:val="24"/>
          <w:color w:val="auto"/>
        </w:rPr>
      </w:pPr>
    </w:p>
    <w:p>
      <w:pPr>
        <w:spacing w:after="0" w:line="375" w:lineRule="exact"/>
        <w:rPr>
          <w:sz w:val="24"/>
          <w:szCs w:val="24"/>
          <w:color w:val="auto"/>
        </w:rPr>
      </w:pPr>
    </w:p>
    <w:p>
      <w:pPr>
        <w:ind w:left="360" w:hanging="334"/>
        <w:spacing w:after="0"/>
        <w:tabs>
          <w:tab w:leader="none" w:pos="360" w:val="left"/>
        </w:tabs>
        <w:numPr>
          <w:ilvl w:val="0"/>
          <w:numId w:val="2"/>
        </w:numPr>
        <w:rPr>
          <w:rFonts w:ascii="MS PGothic" w:cs="MS PGothic" w:eastAsia="MS PGothic" w:hAnsi="MS PGothic"/>
          <w:sz w:val="16"/>
          <w:szCs w:val="16"/>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127" w:lineRule="exact"/>
        <w:rPr>
          <w:sz w:val="24"/>
          <w:szCs w:val="24"/>
          <w:color w:val="auto"/>
        </w:rPr>
      </w:pPr>
    </w:p>
    <w:p>
      <w:pPr>
        <w:ind w:left="3640"/>
        <w:spacing w:after="0"/>
        <w:tabs>
          <w:tab w:leader="none" w:pos="660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3665855</wp:posOffset>
            </wp:positionH>
            <wp:positionV relativeFrom="paragraph">
              <wp:posOffset>-4445</wp:posOffset>
            </wp:positionV>
            <wp:extent cx="116586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165860" cy="8890"/>
                    </a:xfrm>
                    <a:prstGeom prst="rect">
                      <a:avLst/>
                    </a:prstGeom>
                    <a:noFill/>
                  </pic:spPr>
                </pic:pic>
              </a:graphicData>
            </a:graphic>
          </wp:anchor>
        </w:drawing>
      </w:r>
    </w:p>
    <w:p>
      <w:pPr>
        <w:spacing w:after="0" w:line="93" w:lineRule="exact"/>
        <w:rPr>
          <w:sz w:val="24"/>
          <w:szCs w:val="24"/>
          <w:color w:val="auto"/>
        </w:rPr>
      </w:pPr>
    </w:p>
    <w:p>
      <w:pPr>
        <w:jc w:val="center"/>
        <w:ind w:right="-99"/>
        <w:spacing w:after="0"/>
        <w:rPr>
          <w:sz w:val="20"/>
          <w:szCs w:val="20"/>
          <w:color w:val="auto"/>
        </w:rPr>
      </w:pPr>
      <w:r>
        <w:rPr>
          <w:rFonts w:ascii="Arial" w:cs="Arial" w:eastAsia="Arial" w:hAnsi="Arial"/>
          <w:sz w:val="16"/>
          <w:szCs w:val="16"/>
          <w:b w:val="1"/>
          <w:bCs w:val="1"/>
          <w:color w:val="auto"/>
        </w:rPr>
        <w:t>Commission File Number 000-23486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2276475</wp:posOffset>
            </wp:positionH>
            <wp:positionV relativeFrom="paragraph">
              <wp:posOffset>63500</wp:posOffset>
            </wp:positionV>
            <wp:extent cx="25971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597150" cy="8890"/>
                    </a:xfrm>
                    <a:prstGeom prst="rect">
                      <a:avLst/>
                    </a:prstGeom>
                    <a:noFill/>
                  </pic:spPr>
                </pic:pic>
              </a:graphicData>
            </a:graphic>
          </wp:anchor>
        </w:drawing>
        <w:drawing>
          <wp:anchor simplePos="0" relativeHeight="251657728" behindDoc="1" locked="0" layoutInCell="0" allowOverlap="1">
            <wp:simplePos x="0" y="0"/>
            <wp:positionH relativeFrom="column">
              <wp:posOffset>3390900</wp:posOffset>
            </wp:positionH>
            <wp:positionV relativeFrom="paragraph">
              <wp:posOffset>140335</wp:posOffset>
            </wp:positionV>
            <wp:extent cx="394335" cy="3943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94335" cy="39433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3" w:lineRule="exact"/>
        <w:rPr>
          <w:sz w:val="24"/>
          <w:szCs w:val="24"/>
          <w:color w:val="auto"/>
        </w:rPr>
      </w:pPr>
    </w:p>
    <w:tbl>
      <w:tblPr>
        <w:tblLayout w:type="fixed"/>
        <w:tblInd w:w="660" w:type="dxa"/>
        <w:tblCellMar>
          <w:top w:w="0" w:type="dxa"/>
          <w:left w:w="0" w:type="dxa"/>
          <w:bottom w:w="0" w:type="dxa"/>
          <w:right w:w="0" w:type="dxa"/>
        </w:tblCellMar>
      </w:tblPr>
      <w:tr>
        <w:trPr>
          <w:trHeight w:val="392"/>
        </w:trPr>
        <w:tc>
          <w:tcPr>
            <w:tcW w:w="2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960" w:type="dxa"/>
            <w:vAlign w:val="bottom"/>
          </w:tcPr>
          <w:p>
            <w:pPr>
              <w:jc w:val="center"/>
              <w:ind w:right="73"/>
              <w:spacing w:after="0"/>
              <w:rPr>
                <w:sz w:val="20"/>
                <w:szCs w:val="20"/>
                <w:color w:val="auto"/>
              </w:rPr>
            </w:pPr>
            <w:r>
              <w:rPr>
                <w:rFonts w:ascii="Arial" w:cs="Arial" w:eastAsia="Arial" w:hAnsi="Arial"/>
                <w:sz w:val="32"/>
                <w:szCs w:val="32"/>
                <w:b w:val="1"/>
                <w:bCs w:val="1"/>
                <w:color w:val="auto"/>
                <w:w w:val="97"/>
              </w:rPr>
              <w:t>NN, Inc.</w:t>
            </w:r>
          </w:p>
        </w:tc>
        <w:tc>
          <w:tcPr>
            <w:tcW w:w="2920" w:type="dxa"/>
            <w:vAlign w:val="bottom"/>
          </w:tcPr>
          <w:p>
            <w:pPr>
              <w:spacing w:after="0"/>
              <w:rPr>
                <w:sz w:val="24"/>
                <w:szCs w:val="24"/>
                <w:color w:val="auto"/>
              </w:rPr>
            </w:pPr>
          </w:p>
        </w:tc>
      </w:tr>
      <w:tr>
        <w:trPr>
          <w:trHeight w:val="210"/>
        </w:trPr>
        <w:tc>
          <w:tcPr>
            <w:tcW w:w="2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960" w:type="dxa"/>
            <w:vAlign w:val="bottom"/>
          </w:tcPr>
          <w:p>
            <w:pPr>
              <w:jc w:val="center"/>
              <w:ind w:right="53"/>
              <w:spacing w:after="0"/>
              <w:rPr>
                <w:sz w:val="20"/>
                <w:szCs w:val="20"/>
                <w:color w:val="auto"/>
              </w:rPr>
            </w:pPr>
            <w:r>
              <w:rPr>
                <w:rFonts w:ascii="Arial" w:cs="Arial" w:eastAsia="Arial" w:hAnsi="Arial"/>
                <w:sz w:val="16"/>
                <w:szCs w:val="16"/>
                <w:b w:val="1"/>
                <w:bCs w:val="1"/>
                <w:color w:val="auto"/>
                <w:w w:val="90"/>
              </w:rPr>
              <w:t>(Exact name of registrant as specified in its charter)</w:t>
            </w:r>
          </w:p>
        </w:tc>
        <w:tc>
          <w:tcPr>
            <w:tcW w:w="2920" w:type="dxa"/>
            <w:vAlign w:val="bottom"/>
          </w:tcPr>
          <w:p>
            <w:pPr>
              <w:spacing w:after="0"/>
              <w:rPr>
                <w:sz w:val="18"/>
                <w:szCs w:val="18"/>
                <w:color w:val="auto"/>
              </w:rPr>
            </w:pPr>
          </w:p>
        </w:tc>
      </w:tr>
      <w:tr>
        <w:trPr>
          <w:trHeight w:val="74"/>
        </w:trPr>
        <w:tc>
          <w:tcPr>
            <w:tcW w:w="2920" w:type="dxa"/>
            <w:vAlign w:val="bottom"/>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3960" w:type="dxa"/>
            <w:vAlign w:val="bottom"/>
            <w:tcBorders>
              <w:bottom w:val="single" w:sz="8" w:color="auto"/>
            </w:tcBorders>
          </w:tcPr>
          <w:p>
            <w:pPr>
              <w:spacing w:after="0"/>
              <w:rPr>
                <w:sz w:val="6"/>
                <w:szCs w:val="6"/>
                <w:color w:val="auto"/>
              </w:rPr>
            </w:pPr>
          </w:p>
        </w:tc>
        <w:tc>
          <w:tcPr>
            <w:tcW w:w="2920" w:type="dxa"/>
            <w:vAlign w:val="bottom"/>
          </w:tcPr>
          <w:p>
            <w:pPr>
              <w:spacing w:after="0"/>
              <w:rPr>
                <w:sz w:val="6"/>
                <w:szCs w:val="6"/>
                <w:color w:val="auto"/>
              </w:rPr>
            </w:pPr>
          </w:p>
        </w:tc>
      </w:tr>
      <w:tr>
        <w:trPr>
          <w:trHeight w:val="311"/>
        </w:trPr>
        <w:tc>
          <w:tcPr>
            <w:tcW w:w="3060" w:type="dxa"/>
            <w:vAlign w:val="bottom"/>
            <w:gridSpan w:val="2"/>
          </w:tcPr>
          <w:p>
            <w:pPr>
              <w:jc w:val="center"/>
              <w:ind w:left="1043"/>
              <w:spacing w:after="0"/>
              <w:rPr>
                <w:sz w:val="20"/>
                <w:szCs w:val="20"/>
                <w:color w:val="auto"/>
              </w:rPr>
            </w:pPr>
            <w:r>
              <w:rPr>
                <w:rFonts w:ascii="Arial" w:cs="Arial" w:eastAsia="Arial" w:hAnsi="Arial"/>
                <w:sz w:val="16"/>
                <w:szCs w:val="16"/>
                <w:b w:val="1"/>
                <w:bCs w:val="1"/>
                <w:color w:val="auto"/>
                <w:w w:val="93"/>
              </w:rPr>
              <w:t>Delaware</w:t>
            </w:r>
          </w:p>
        </w:tc>
        <w:tc>
          <w:tcPr>
            <w:tcW w:w="3960" w:type="dxa"/>
            <w:vAlign w:val="bottom"/>
          </w:tcPr>
          <w:p>
            <w:pPr>
              <w:spacing w:after="0"/>
              <w:rPr>
                <w:sz w:val="24"/>
                <w:szCs w:val="24"/>
                <w:color w:val="auto"/>
              </w:rPr>
            </w:pPr>
          </w:p>
        </w:tc>
        <w:tc>
          <w:tcPr>
            <w:tcW w:w="2920" w:type="dxa"/>
            <w:vAlign w:val="bottom"/>
          </w:tcPr>
          <w:p>
            <w:pPr>
              <w:jc w:val="center"/>
              <w:ind w:right="1243"/>
              <w:spacing w:after="0"/>
              <w:rPr>
                <w:sz w:val="20"/>
                <w:szCs w:val="20"/>
                <w:color w:val="auto"/>
              </w:rPr>
            </w:pPr>
            <w:r>
              <w:rPr>
                <w:rFonts w:ascii="Arial" w:cs="Arial" w:eastAsia="Arial" w:hAnsi="Arial"/>
                <w:sz w:val="16"/>
                <w:szCs w:val="16"/>
                <w:b w:val="1"/>
                <w:bCs w:val="1"/>
                <w:color w:val="auto"/>
                <w:w w:val="93"/>
              </w:rPr>
              <w:t>62-1096725</w:t>
            </w:r>
          </w:p>
        </w:tc>
      </w:tr>
      <w:tr>
        <w:trPr>
          <w:trHeight w:val="172"/>
        </w:trPr>
        <w:tc>
          <w:tcPr>
            <w:tcW w:w="3060" w:type="dxa"/>
            <w:vAlign w:val="bottom"/>
            <w:gridSpan w:val="2"/>
          </w:tcPr>
          <w:p>
            <w:pPr>
              <w:jc w:val="center"/>
              <w:ind w:left="1043"/>
              <w:spacing w:after="0" w:line="171" w:lineRule="exact"/>
              <w:rPr>
                <w:sz w:val="20"/>
                <w:szCs w:val="20"/>
                <w:color w:val="auto"/>
              </w:rPr>
            </w:pPr>
            <w:r>
              <w:rPr>
                <w:rFonts w:ascii="Arial" w:cs="Arial" w:eastAsia="Arial" w:hAnsi="Arial"/>
                <w:sz w:val="16"/>
                <w:szCs w:val="16"/>
                <w:i w:val="1"/>
                <w:iCs w:val="1"/>
                <w:color w:val="auto"/>
                <w:w w:val="94"/>
              </w:rPr>
              <w:t>(State or other jurisdiction of</w:t>
            </w:r>
          </w:p>
        </w:tc>
        <w:tc>
          <w:tcPr>
            <w:tcW w:w="3960" w:type="dxa"/>
            <w:vAlign w:val="bottom"/>
          </w:tcPr>
          <w:p>
            <w:pPr>
              <w:spacing w:after="0"/>
              <w:rPr>
                <w:sz w:val="14"/>
                <w:szCs w:val="14"/>
                <w:color w:val="auto"/>
              </w:rPr>
            </w:pPr>
          </w:p>
        </w:tc>
        <w:tc>
          <w:tcPr>
            <w:tcW w:w="2920" w:type="dxa"/>
            <w:vAlign w:val="bottom"/>
          </w:tcPr>
          <w:p>
            <w:pPr>
              <w:jc w:val="center"/>
              <w:ind w:right="1243"/>
              <w:spacing w:after="0" w:line="171" w:lineRule="exact"/>
              <w:rPr>
                <w:sz w:val="20"/>
                <w:szCs w:val="20"/>
                <w:color w:val="auto"/>
              </w:rPr>
            </w:pPr>
            <w:r>
              <w:rPr>
                <w:rFonts w:ascii="Arial" w:cs="Arial" w:eastAsia="Arial" w:hAnsi="Arial"/>
                <w:sz w:val="16"/>
                <w:szCs w:val="16"/>
                <w:i w:val="1"/>
                <w:iCs w:val="1"/>
                <w:color w:val="auto"/>
                <w:w w:val="91"/>
              </w:rPr>
              <w:t>(I.R.S. Employer</w:t>
            </w:r>
          </w:p>
        </w:tc>
      </w:tr>
      <w:tr>
        <w:trPr>
          <w:trHeight w:val="206"/>
        </w:trPr>
        <w:tc>
          <w:tcPr>
            <w:tcW w:w="7020" w:type="dxa"/>
            <w:vAlign w:val="bottom"/>
            <w:gridSpan w:val="3"/>
          </w:tcPr>
          <w:p>
            <w:pPr>
              <w:jc w:val="center"/>
              <w:ind w:right="2733"/>
              <w:spacing w:after="0"/>
              <w:rPr>
                <w:sz w:val="20"/>
                <w:szCs w:val="20"/>
                <w:color w:val="auto"/>
              </w:rPr>
            </w:pPr>
            <w:r>
              <w:rPr>
                <w:rFonts w:ascii="Arial" w:cs="Arial" w:eastAsia="Arial" w:hAnsi="Arial"/>
                <w:sz w:val="16"/>
                <w:szCs w:val="16"/>
                <w:i w:val="1"/>
                <w:iCs w:val="1"/>
                <w:color w:val="auto"/>
                <w:w w:val="96"/>
              </w:rPr>
              <w:t>incorporation or organization)</w:t>
            </w:r>
          </w:p>
        </w:tc>
        <w:tc>
          <w:tcPr>
            <w:tcW w:w="2920" w:type="dxa"/>
            <w:vAlign w:val="bottom"/>
          </w:tcPr>
          <w:p>
            <w:pPr>
              <w:jc w:val="center"/>
              <w:ind w:right="1243"/>
              <w:spacing w:after="0"/>
              <w:rPr>
                <w:sz w:val="20"/>
                <w:szCs w:val="20"/>
                <w:color w:val="auto"/>
              </w:rPr>
            </w:pPr>
            <w:r>
              <w:rPr>
                <w:rFonts w:ascii="Arial" w:cs="Arial" w:eastAsia="Arial" w:hAnsi="Arial"/>
                <w:sz w:val="16"/>
                <w:szCs w:val="16"/>
                <w:i w:val="1"/>
                <w:iCs w:val="1"/>
                <w:color w:val="auto"/>
                <w:w w:val="94"/>
              </w:rPr>
              <w:t>Identification Number)</w:t>
            </w:r>
          </w:p>
        </w:tc>
      </w:tr>
      <w:tr>
        <w:trPr>
          <w:trHeight w:val="330"/>
        </w:trPr>
        <w:tc>
          <w:tcPr>
            <w:tcW w:w="2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960" w:type="dxa"/>
            <w:vAlign w:val="bottom"/>
          </w:tcPr>
          <w:p>
            <w:pPr>
              <w:jc w:val="center"/>
              <w:ind w:right="53"/>
              <w:spacing w:after="0"/>
              <w:rPr>
                <w:sz w:val="20"/>
                <w:szCs w:val="20"/>
                <w:color w:val="auto"/>
              </w:rPr>
            </w:pPr>
            <w:r>
              <w:rPr>
                <w:rFonts w:ascii="Arial" w:cs="Arial" w:eastAsia="Arial" w:hAnsi="Arial"/>
                <w:sz w:val="18"/>
                <w:szCs w:val="18"/>
                <w:b w:val="1"/>
                <w:bCs w:val="1"/>
                <w:color w:val="auto"/>
                <w:w w:val="92"/>
              </w:rPr>
              <w:t>6210 Ardrey Kell Road, Suite 600</w:t>
            </w:r>
          </w:p>
        </w:tc>
        <w:tc>
          <w:tcPr>
            <w:tcW w:w="2920" w:type="dxa"/>
            <w:vAlign w:val="bottom"/>
          </w:tcPr>
          <w:p>
            <w:pPr>
              <w:spacing w:after="0"/>
              <w:rPr>
                <w:sz w:val="24"/>
                <w:szCs w:val="24"/>
                <w:color w:val="auto"/>
              </w:rPr>
            </w:pPr>
          </w:p>
        </w:tc>
      </w:tr>
      <w:tr>
        <w:trPr>
          <w:trHeight w:val="304"/>
        </w:trPr>
        <w:tc>
          <w:tcPr>
            <w:tcW w:w="2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960" w:type="dxa"/>
            <w:vAlign w:val="bottom"/>
          </w:tcPr>
          <w:p>
            <w:pPr>
              <w:jc w:val="center"/>
              <w:ind w:right="53"/>
              <w:spacing w:after="0"/>
              <w:rPr>
                <w:sz w:val="20"/>
                <w:szCs w:val="20"/>
                <w:color w:val="auto"/>
              </w:rPr>
            </w:pPr>
            <w:r>
              <w:rPr>
                <w:rFonts w:ascii="Arial" w:cs="Arial" w:eastAsia="Arial" w:hAnsi="Arial"/>
                <w:sz w:val="16"/>
                <w:szCs w:val="16"/>
                <w:b w:val="1"/>
                <w:bCs w:val="1"/>
                <w:color w:val="auto"/>
                <w:w w:val="94"/>
              </w:rPr>
              <w:t>Charlotte, North Carolina 28277</w:t>
            </w:r>
          </w:p>
        </w:tc>
        <w:tc>
          <w:tcPr>
            <w:tcW w:w="2920" w:type="dxa"/>
            <w:vAlign w:val="bottom"/>
          </w:tcPr>
          <w:p>
            <w:pPr>
              <w:spacing w:after="0"/>
              <w:rPr>
                <w:sz w:val="24"/>
                <w:szCs w:val="24"/>
                <w:color w:val="auto"/>
              </w:rPr>
            </w:pPr>
          </w:p>
        </w:tc>
      </w:tr>
      <w:tr>
        <w:trPr>
          <w:trHeight w:val="297"/>
        </w:trPr>
        <w:tc>
          <w:tcPr>
            <w:tcW w:w="2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960" w:type="dxa"/>
            <w:vAlign w:val="bottom"/>
          </w:tcPr>
          <w:p>
            <w:pPr>
              <w:jc w:val="center"/>
              <w:ind w:right="73"/>
              <w:spacing w:after="0"/>
              <w:rPr>
                <w:sz w:val="20"/>
                <w:szCs w:val="20"/>
                <w:color w:val="auto"/>
              </w:rPr>
            </w:pPr>
            <w:r>
              <w:rPr>
                <w:rFonts w:ascii="Arial" w:cs="Arial" w:eastAsia="Arial" w:hAnsi="Arial"/>
                <w:sz w:val="16"/>
                <w:szCs w:val="16"/>
                <w:i w:val="1"/>
                <w:iCs w:val="1"/>
                <w:color w:val="auto"/>
                <w:w w:val="92"/>
              </w:rPr>
              <w:t>(Address of principal executive offices, including zip code)</w:t>
            </w:r>
          </w:p>
        </w:tc>
        <w:tc>
          <w:tcPr>
            <w:tcW w:w="2920" w:type="dxa"/>
            <w:vAlign w:val="bottom"/>
          </w:tcPr>
          <w:p>
            <w:pPr>
              <w:spacing w:after="0"/>
              <w:rPr>
                <w:sz w:val="24"/>
                <w:szCs w:val="24"/>
                <w:color w:val="auto"/>
              </w:rPr>
            </w:pPr>
          </w:p>
        </w:tc>
      </w:tr>
      <w:tr>
        <w:trPr>
          <w:trHeight w:val="243"/>
        </w:trPr>
        <w:tc>
          <w:tcPr>
            <w:tcW w:w="29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960" w:type="dxa"/>
            <w:vAlign w:val="bottom"/>
          </w:tcPr>
          <w:p>
            <w:pPr>
              <w:jc w:val="center"/>
              <w:ind w:right="53"/>
              <w:spacing w:after="0"/>
              <w:rPr>
                <w:sz w:val="20"/>
                <w:szCs w:val="20"/>
                <w:color w:val="auto"/>
              </w:rPr>
            </w:pPr>
            <w:r>
              <w:rPr>
                <w:rFonts w:ascii="Arial" w:cs="Arial" w:eastAsia="Arial" w:hAnsi="Arial"/>
                <w:sz w:val="16"/>
                <w:szCs w:val="16"/>
                <w:b w:val="1"/>
                <w:bCs w:val="1"/>
                <w:color w:val="auto"/>
                <w:w w:val="93"/>
              </w:rPr>
              <w:t>(980) 264-4300</w:t>
            </w:r>
          </w:p>
        </w:tc>
        <w:tc>
          <w:tcPr>
            <w:tcW w:w="2920" w:type="dxa"/>
            <w:vAlign w:val="bottom"/>
          </w:tcPr>
          <w:p>
            <w:pPr>
              <w:spacing w:after="0"/>
              <w:rPr>
                <w:sz w:val="21"/>
                <w:szCs w:val="21"/>
                <w:color w:val="auto"/>
              </w:rPr>
            </w:pPr>
          </w:p>
        </w:tc>
      </w:tr>
      <w:tr>
        <w:trPr>
          <w:trHeight w:val="297"/>
        </w:trPr>
        <w:tc>
          <w:tcPr>
            <w:tcW w:w="2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960" w:type="dxa"/>
            <w:vAlign w:val="bottom"/>
          </w:tcPr>
          <w:p>
            <w:pPr>
              <w:jc w:val="center"/>
              <w:ind w:right="113"/>
              <w:spacing w:after="0"/>
              <w:rPr>
                <w:sz w:val="20"/>
                <w:szCs w:val="20"/>
                <w:color w:val="auto"/>
              </w:rPr>
            </w:pPr>
            <w:r>
              <w:rPr>
                <w:rFonts w:ascii="Arial" w:cs="Arial" w:eastAsia="Arial" w:hAnsi="Arial"/>
                <w:sz w:val="16"/>
                <w:szCs w:val="16"/>
                <w:i w:val="1"/>
                <w:iCs w:val="1"/>
                <w:color w:val="auto"/>
                <w:w w:val="91"/>
              </w:rPr>
              <w:t>(Registrant’s telephone number, including area code)</w:t>
            </w:r>
          </w:p>
        </w:tc>
        <w:tc>
          <w:tcPr>
            <w:tcW w:w="2920" w:type="dxa"/>
            <w:vAlign w:val="bottom"/>
          </w:tcPr>
          <w:p>
            <w:pPr>
              <w:spacing w:after="0"/>
              <w:rPr>
                <w:sz w:val="24"/>
                <w:szCs w:val="24"/>
                <w:color w:val="auto"/>
              </w:rPr>
            </w:pPr>
          </w:p>
        </w:tc>
      </w:tr>
      <w:tr>
        <w:trPr>
          <w:trHeight w:val="250"/>
        </w:trPr>
        <w:tc>
          <w:tcPr>
            <w:tcW w:w="29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960" w:type="dxa"/>
            <w:vAlign w:val="bottom"/>
          </w:tcPr>
          <w:p>
            <w:pPr>
              <w:jc w:val="center"/>
              <w:ind w:right="73"/>
              <w:spacing w:after="0"/>
              <w:rPr>
                <w:sz w:val="20"/>
                <w:szCs w:val="20"/>
                <w:color w:val="auto"/>
              </w:rPr>
            </w:pPr>
            <w:r>
              <w:rPr>
                <w:rFonts w:ascii="Arial" w:cs="Arial" w:eastAsia="Arial" w:hAnsi="Arial"/>
                <w:sz w:val="14"/>
                <w:szCs w:val="14"/>
                <w:b w:val="1"/>
                <w:bCs w:val="1"/>
                <w:color w:val="auto"/>
                <w:w w:val="91"/>
              </w:rPr>
              <w:t>Securities registered pursuant to Section 12(b) of the Act:</w:t>
            </w:r>
          </w:p>
        </w:tc>
        <w:tc>
          <w:tcPr>
            <w:tcW w:w="2920" w:type="dxa"/>
            <w:vAlign w:val="bottom"/>
          </w:tcPr>
          <w:p>
            <w:pPr>
              <w:spacing w:after="0"/>
              <w:rPr>
                <w:sz w:val="21"/>
                <w:szCs w:val="21"/>
                <w:color w:val="auto"/>
              </w:rPr>
            </w:pPr>
          </w:p>
        </w:tc>
      </w:tr>
      <w:tr>
        <w:trPr>
          <w:trHeight w:val="189"/>
        </w:trPr>
        <w:tc>
          <w:tcPr>
            <w:tcW w:w="3060" w:type="dxa"/>
            <w:vAlign w:val="bottom"/>
            <w:gridSpan w:val="2"/>
          </w:tcPr>
          <w:p>
            <w:pPr>
              <w:jc w:val="center"/>
              <w:ind w:right="500"/>
              <w:spacing w:after="0"/>
              <w:rPr>
                <w:sz w:val="20"/>
                <w:szCs w:val="20"/>
                <w:color w:val="auto"/>
              </w:rPr>
            </w:pPr>
            <w:r>
              <w:rPr>
                <w:rFonts w:ascii="Arial" w:cs="Arial" w:eastAsia="Arial" w:hAnsi="Arial"/>
                <w:sz w:val="14"/>
                <w:szCs w:val="14"/>
                <w:i w:val="1"/>
                <w:iCs w:val="1"/>
                <w:color w:val="auto"/>
                <w:w w:val="92"/>
              </w:rPr>
              <w:t>Title of each class</w:t>
            </w:r>
          </w:p>
        </w:tc>
        <w:tc>
          <w:tcPr>
            <w:tcW w:w="3960" w:type="dxa"/>
            <w:vAlign w:val="bottom"/>
          </w:tcPr>
          <w:p>
            <w:pPr>
              <w:jc w:val="center"/>
              <w:ind w:right="13"/>
              <w:spacing w:after="0"/>
              <w:rPr>
                <w:sz w:val="20"/>
                <w:szCs w:val="20"/>
                <w:color w:val="auto"/>
              </w:rPr>
            </w:pPr>
            <w:r>
              <w:rPr>
                <w:rFonts w:ascii="Arial" w:cs="Arial" w:eastAsia="Arial" w:hAnsi="Arial"/>
                <w:sz w:val="14"/>
                <w:szCs w:val="14"/>
                <w:i w:val="1"/>
                <w:iCs w:val="1"/>
                <w:color w:val="auto"/>
                <w:w w:val="94"/>
              </w:rPr>
              <w:t>Trading symbol</w:t>
            </w:r>
          </w:p>
        </w:tc>
        <w:tc>
          <w:tcPr>
            <w:tcW w:w="2920" w:type="dxa"/>
            <w:vAlign w:val="bottom"/>
          </w:tcPr>
          <w:p>
            <w:pPr>
              <w:jc w:val="center"/>
              <w:ind w:left="303"/>
              <w:spacing w:after="0"/>
              <w:rPr>
                <w:sz w:val="20"/>
                <w:szCs w:val="20"/>
                <w:color w:val="auto"/>
              </w:rPr>
            </w:pPr>
            <w:r>
              <w:rPr>
                <w:rFonts w:ascii="Arial" w:cs="Arial" w:eastAsia="Arial" w:hAnsi="Arial"/>
                <w:sz w:val="14"/>
                <w:szCs w:val="14"/>
                <w:i w:val="1"/>
                <w:iCs w:val="1"/>
                <w:color w:val="auto"/>
                <w:w w:val="91"/>
              </w:rPr>
              <w:t>Name of each exchange on which registered</w:t>
            </w:r>
          </w:p>
        </w:tc>
      </w:tr>
      <w:tr>
        <w:trPr>
          <w:trHeight w:val="189"/>
        </w:trPr>
        <w:tc>
          <w:tcPr>
            <w:tcW w:w="306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2"/>
              </w:rPr>
              <w:t>Common Stock, par value $0.01 per share</w:t>
            </w:r>
          </w:p>
        </w:tc>
        <w:tc>
          <w:tcPr>
            <w:tcW w:w="3960" w:type="dxa"/>
            <w:vAlign w:val="bottom"/>
          </w:tcPr>
          <w:p>
            <w:pPr>
              <w:jc w:val="center"/>
              <w:ind w:right="13"/>
              <w:spacing w:after="0"/>
              <w:rPr>
                <w:sz w:val="20"/>
                <w:szCs w:val="20"/>
                <w:color w:val="auto"/>
              </w:rPr>
            </w:pPr>
            <w:r>
              <w:rPr>
                <w:rFonts w:ascii="Arial" w:cs="Arial" w:eastAsia="Arial" w:hAnsi="Arial"/>
                <w:sz w:val="14"/>
                <w:szCs w:val="14"/>
                <w:b w:val="1"/>
                <w:bCs w:val="1"/>
                <w:color w:val="auto"/>
              </w:rPr>
              <w:t>NNBR</w:t>
            </w:r>
          </w:p>
        </w:tc>
        <w:tc>
          <w:tcPr>
            <w:tcW w:w="2920" w:type="dxa"/>
            <w:vAlign w:val="bottom"/>
          </w:tcPr>
          <w:p>
            <w:pPr>
              <w:jc w:val="center"/>
              <w:ind w:left="303"/>
              <w:spacing w:after="0"/>
              <w:rPr>
                <w:sz w:val="20"/>
                <w:szCs w:val="20"/>
                <w:color w:val="auto"/>
              </w:rPr>
            </w:pPr>
            <w:r>
              <w:rPr>
                <w:rFonts w:ascii="Arial" w:cs="Arial" w:eastAsia="Arial" w:hAnsi="Arial"/>
                <w:sz w:val="14"/>
                <w:szCs w:val="14"/>
                <w:b w:val="1"/>
                <w:bCs w:val="1"/>
                <w:color w:val="auto"/>
                <w:w w:val="96"/>
              </w:rPr>
              <w:t>The Nasdaq Stock Market LLC</w:t>
            </w:r>
          </w:p>
        </w:tc>
      </w:tr>
    </w:tbl>
    <w:p>
      <w:pPr>
        <w:spacing w:after="0" w:line="101" w:lineRule="exact"/>
        <w:rPr>
          <w:sz w:val="24"/>
          <w:szCs w:val="24"/>
          <w:color w:val="auto"/>
        </w:rPr>
      </w:pPr>
    </w:p>
    <w:p>
      <w:pPr>
        <w:ind w:right="120"/>
        <w:spacing w:after="0" w:line="187"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9" w:lineRule="exact"/>
        <w:rPr>
          <w:sz w:val="24"/>
          <w:szCs w:val="24"/>
          <w:color w:val="auto"/>
        </w:rPr>
      </w:pPr>
    </w:p>
    <w:p>
      <w:pPr>
        <w:spacing w:after="0"/>
        <w:rPr>
          <w:sz w:val="20"/>
          <w:szCs w:val="20"/>
          <w:color w:val="auto"/>
        </w:rPr>
      </w:pPr>
      <w:r>
        <w:rPr>
          <w:rFonts w:ascii="Arial" w:cs="Arial" w:eastAsia="Arial" w:hAnsi="Arial"/>
          <w:sz w:val="13"/>
          <w:szCs w:val="13"/>
          <w:color w:val="auto"/>
        </w:rPr>
        <w:t>Indicate by check mark whether the registrant has submitted electronically every Interactive Data File required to be submitted pursuant to Rule 405 of Regulation S-T (§232.405 of this chapter)</w:t>
      </w:r>
    </w:p>
    <w:p>
      <w:pPr>
        <w:spacing w:after="0" w:line="33" w:lineRule="exact"/>
        <w:rPr>
          <w:sz w:val="24"/>
          <w:szCs w:val="24"/>
          <w:color w:val="auto"/>
        </w:rPr>
      </w:pPr>
    </w:p>
    <w:tbl>
      <w:tblPr>
        <w:tblLayout w:type="fixed"/>
        <w:tblInd w:w="0" w:type="dxa"/>
        <w:tblCellMar>
          <w:top w:w="0" w:type="dxa"/>
          <w:left w:w="0" w:type="dxa"/>
          <w:bottom w:w="0" w:type="dxa"/>
          <w:right w:w="0" w:type="dxa"/>
        </w:tblCellMar>
      </w:tblPr>
      <w:tr>
        <w:trPr>
          <w:trHeight w:val="209"/>
        </w:trPr>
        <w:tc>
          <w:tcPr>
            <w:tcW w:w="7060" w:type="dxa"/>
            <w:vAlign w:val="bottom"/>
            <w:gridSpan w:val="2"/>
          </w:tcPr>
          <w:p>
            <w:pPr>
              <w:spacing w:after="0" w:line="161" w:lineRule="exact"/>
              <w:rPr>
                <w:sz w:val="20"/>
                <w:szCs w:val="20"/>
                <w:color w:val="auto"/>
              </w:rPr>
            </w:pPr>
            <w:r>
              <w:rPr>
                <w:rFonts w:ascii="Arial" w:cs="Arial" w:eastAsia="Arial" w:hAnsi="Arial"/>
                <w:sz w:val="14"/>
                <w:szCs w:val="14"/>
                <w:color w:val="auto"/>
                <w:w w:val="95"/>
              </w:rPr>
              <w:t xml:space="preserve">during the preceding 12 months (or for such shorter period that the registrant was required to submit such files).  Yes </w:t>
            </w:r>
            <w:r>
              <w:rPr>
                <w:rFonts w:ascii="MS PGothic" w:cs="MS PGothic" w:eastAsia="MS PGothic" w:hAnsi="MS PGothic"/>
                <w:sz w:val="14"/>
                <w:szCs w:val="14"/>
                <w:color w:val="auto"/>
                <w:w w:val="95"/>
              </w:rPr>
              <w:t>☒</w:t>
            </w:r>
          </w:p>
        </w:tc>
        <w:tc>
          <w:tcPr>
            <w:tcW w:w="3700" w:type="dxa"/>
            <w:vAlign w:val="bottom"/>
          </w:tcPr>
          <w:p>
            <w:pPr>
              <w:ind w:left="80"/>
              <w:spacing w:after="0" w:line="161" w:lineRule="exact"/>
              <w:rPr>
                <w:sz w:val="20"/>
                <w:szCs w:val="20"/>
                <w:color w:val="auto"/>
              </w:rPr>
            </w:pP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tc>
        <w:tc>
          <w:tcPr>
            <w:tcW w:w="280" w:type="dxa"/>
            <w:vAlign w:val="bottom"/>
          </w:tcPr>
          <w:p>
            <w:pPr>
              <w:spacing w:after="0"/>
              <w:rPr>
                <w:sz w:val="18"/>
                <w:szCs w:val="18"/>
                <w:color w:val="auto"/>
              </w:rPr>
            </w:pPr>
          </w:p>
        </w:tc>
      </w:tr>
      <w:tr>
        <w:trPr>
          <w:trHeight w:val="162"/>
        </w:trPr>
        <w:tc>
          <w:tcPr>
            <w:tcW w:w="10760" w:type="dxa"/>
            <w:vAlign w:val="bottom"/>
            <w:gridSpan w:val="3"/>
          </w:tcPr>
          <w:p>
            <w:pPr>
              <w:spacing w:after="0"/>
              <w:rPr>
                <w:sz w:val="20"/>
                <w:szCs w:val="20"/>
                <w:color w:val="auto"/>
              </w:rPr>
            </w:pPr>
            <w:r>
              <w:rPr>
                <w:rFonts w:ascii="Arial" w:cs="Arial" w:eastAsia="Arial" w:hAnsi="Arial"/>
                <w:sz w:val="14"/>
                <w:szCs w:val="14"/>
                <w:color w:val="auto"/>
                <w:w w:val="93"/>
              </w:rPr>
              <w:t>Indicate by check mark whether the registrant is a large accelerated filer, an accelerated filer, a non-accelerated filer, a smaller reporting company, or an emerging growth company. See</w:t>
            </w:r>
          </w:p>
        </w:tc>
        <w:tc>
          <w:tcPr>
            <w:tcW w:w="280" w:type="dxa"/>
            <w:vAlign w:val="bottom"/>
          </w:tcPr>
          <w:p>
            <w:pPr>
              <w:spacing w:after="0"/>
              <w:rPr>
                <w:sz w:val="14"/>
                <w:szCs w:val="14"/>
                <w:color w:val="auto"/>
              </w:rPr>
            </w:pPr>
          </w:p>
        </w:tc>
      </w:tr>
      <w:tr>
        <w:trPr>
          <w:trHeight w:val="175"/>
        </w:trPr>
        <w:tc>
          <w:tcPr>
            <w:tcW w:w="10760" w:type="dxa"/>
            <w:vAlign w:val="bottom"/>
            <w:gridSpan w:val="3"/>
          </w:tcPr>
          <w:p>
            <w:pPr>
              <w:spacing w:after="0"/>
              <w:rPr>
                <w:sz w:val="20"/>
                <w:szCs w:val="20"/>
                <w:color w:val="auto"/>
              </w:rPr>
            </w:pPr>
            <w:r>
              <w:rPr>
                <w:rFonts w:ascii="Arial" w:cs="Arial" w:eastAsia="Arial" w:hAnsi="Arial"/>
                <w:sz w:val="14"/>
                <w:szCs w:val="14"/>
                <w:color w:val="auto"/>
              </w:rPr>
              <w:t>definitions of “large accelerated filer,” “accelerated filer,” “smaller reporting company,” and “emerging growth company” in Rule 12b-2 of the Exchange Act.</w:t>
            </w:r>
          </w:p>
        </w:tc>
        <w:tc>
          <w:tcPr>
            <w:tcW w:w="280" w:type="dxa"/>
            <w:vAlign w:val="bottom"/>
          </w:tcPr>
          <w:p>
            <w:pPr>
              <w:spacing w:after="0"/>
              <w:rPr>
                <w:sz w:val="15"/>
                <w:szCs w:val="15"/>
                <w:color w:val="auto"/>
              </w:rPr>
            </w:pPr>
          </w:p>
        </w:tc>
      </w:tr>
      <w:tr>
        <w:trPr>
          <w:trHeight w:val="189"/>
        </w:trPr>
        <w:tc>
          <w:tcPr>
            <w:tcW w:w="1960" w:type="dxa"/>
            <w:vAlign w:val="bottom"/>
          </w:tcPr>
          <w:p>
            <w:pPr>
              <w:ind w:left="20"/>
              <w:spacing w:after="0"/>
              <w:rPr>
                <w:sz w:val="20"/>
                <w:szCs w:val="20"/>
                <w:color w:val="auto"/>
              </w:rPr>
            </w:pPr>
            <w:r>
              <w:rPr>
                <w:rFonts w:ascii="Arial" w:cs="Arial" w:eastAsia="Arial" w:hAnsi="Arial"/>
                <w:sz w:val="14"/>
                <w:szCs w:val="14"/>
                <w:color w:val="auto"/>
              </w:rPr>
              <w:t>Large accelerated filer</w:t>
            </w:r>
          </w:p>
        </w:tc>
        <w:tc>
          <w:tcPr>
            <w:tcW w:w="5100" w:type="dxa"/>
            <w:vAlign w:val="bottom"/>
          </w:tcPr>
          <w:p>
            <w:pPr>
              <w:ind w:left="640"/>
              <w:spacing w:after="0" w:line="141" w:lineRule="exact"/>
              <w:rPr>
                <w:sz w:val="20"/>
                <w:szCs w:val="20"/>
                <w:color w:val="auto"/>
              </w:rPr>
            </w:pPr>
            <w:r>
              <w:rPr>
                <w:rFonts w:ascii="MS PGothic" w:cs="MS PGothic" w:eastAsia="MS PGothic" w:hAnsi="MS PGothic"/>
                <w:sz w:val="14"/>
                <w:szCs w:val="14"/>
                <w:color w:val="auto"/>
              </w:rPr>
              <w:t>☐</w:t>
            </w:r>
          </w:p>
        </w:tc>
        <w:tc>
          <w:tcPr>
            <w:tcW w:w="3700" w:type="dxa"/>
            <w:vAlign w:val="bottom"/>
          </w:tcPr>
          <w:p>
            <w:pPr>
              <w:ind w:left="1180"/>
              <w:spacing w:after="0"/>
              <w:rPr>
                <w:sz w:val="20"/>
                <w:szCs w:val="20"/>
                <w:color w:val="auto"/>
              </w:rPr>
            </w:pPr>
            <w:r>
              <w:rPr>
                <w:rFonts w:ascii="Arial" w:cs="Arial" w:eastAsia="Arial" w:hAnsi="Arial"/>
                <w:sz w:val="14"/>
                <w:szCs w:val="14"/>
                <w:color w:val="auto"/>
              </w:rPr>
              <w:t>Accelerated filer</w:t>
            </w:r>
          </w:p>
        </w:tc>
        <w:tc>
          <w:tcPr>
            <w:tcW w:w="280" w:type="dxa"/>
            <w:vAlign w:val="bottom"/>
          </w:tcPr>
          <w:p>
            <w:pPr>
              <w:ind w:left="16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189"/>
        </w:trPr>
        <w:tc>
          <w:tcPr>
            <w:tcW w:w="1960" w:type="dxa"/>
            <w:vAlign w:val="bottom"/>
          </w:tcPr>
          <w:p>
            <w:pPr>
              <w:ind w:left="20"/>
              <w:spacing w:after="0"/>
              <w:rPr>
                <w:sz w:val="20"/>
                <w:szCs w:val="20"/>
                <w:color w:val="auto"/>
              </w:rPr>
            </w:pPr>
            <w:r>
              <w:rPr>
                <w:rFonts w:ascii="Arial" w:cs="Arial" w:eastAsia="Arial" w:hAnsi="Arial"/>
                <w:sz w:val="14"/>
                <w:szCs w:val="14"/>
                <w:color w:val="auto"/>
              </w:rPr>
              <w:t>Non-accelerated filer</w:t>
            </w:r>
          </w:p>
        </w:tc>
        <w:tc>
          <w:tcPr>
            <w:tcW w:w="5100" w:type="dxa"/>
            <w:vAlign w:val="bottom"/>
          </w:tcPr>
          <w:p>
            <w:pPr>
              <w:ind w:left="640"/>
              <w:spacing w:after="0" w:line="141" w:lineRule="exact"/>
              <w:rPr>
                <w:sz w:val="20"/>
                <w:szCs w:val="20"/>
                <w:color w:val="auto"/>
              </w:rPr>
            </w:pPr>
            <w:r>
              <w:rPr>
                <w:rFonts w:ascii="MS PGothic" w:cs="MS PGothic" w:eastAsia="MS PGothic" w:hAnsi="MS PGothic"/>
                <w:sz w:val="14"/>
                <w:szCs w:val="14"/>
                <w:color w:val="auto"/>
              </w:rPr>
              <w:t>☐</w:t>
            </w:r>
          </w:p>
        </w:tc>
        <w:tc>
          <w:tcPr>
            <w:tcW w:w="3700" w:type="dxa"/>
            <w:vAlign w:val="bottom"/>
          </w:tcPr>
          <w:p>
            <w:pPr>
              <w:ind w:left="1180"/>
              <w:spacing w:after="0"/>
              <w:rPr>
                <w:sz w:val="20"/>
                <w:szCs w:val="20"/>
                <w:color w:val="auto"/>
              </w:rPr>
            </w:pPr>
            <w:r>
              <w:rPr>
                <w:rFonts w:ascii="Arial" w:cs="Arial" w:eastAsia="Arial" w:hAnsi="Arial"/>
                <w:sz w:val="14"/>
                <w:szCs w:val="14"/>
                <w:color w:val="auto"/>
              </w:rPr>
              <w:t>Smaller reporting company</w:t>
            </w:r>
          </w:p>
        </w:tc>
        <w:tc>
          <w:tcPr>
            <w:tcW w:w="280" w:type="dxa"/>
            <w:vAlign w:val="bottom"/>
          </w:tcPr>
          <w:p>
            <w:pPr>
              <w:ind w:left="16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26"/>
        </w:trPr>
        <w:tc>
          <w:tcPr>
            <w:tcW w:w="1960" w:type="dxa"/>
            <w:vAlign w:val="bottom"/>
          </w:tcPr>
          <w:p>
            <w:pPr>
              <w:spacing w:after="0"/>
              <w:rPr>
                <w:sz w:val="19"/>
                <w:szCs w:val="19"/>
                <w:color w:val="auto"/>
              </w:rPr>
            </w:pPr>
          </w:p>
        </w:tc>
        <w:tc>
          <w:tcPr>
            <w:tcW w:w="5100" w:type="dxa"/>
            <w:vAlign w:val="bottom"/>
          </w:tcPr>
          <w:p>
            <w:pPr>
              <w:spacing w:after="0"/>
              <w:rPr>
                <w:sz w:val="19"/>
                <w:szCs w:val="19"/>
                <w:color w:val="auto"/>
              </w:rPr>
            </w:pPr>
          </w:p>
        </w:tc>
        <w:tc>
          <w:tcPr>
            <w:tcW w:w="3700" w:type="dxa"/>
            <w:vAlign w:val="bottom"/>
          </w:tcPr>
          <w:p>
            <w:pPr>
              <w:ind w:left="1180"/>
              <w:spacing w:after="0"/>
              <w:rPr>
                <w:sz w:val="20"/>
                <w:szCs w:val="20"/>
                <w:color w:val="auto"/>
              </w:rPr>
            </w:pPr>
            <w:r>
              <w:rPr>
                <w:rFonts w:ascii="Arial" w:cs="Arial" w:eastAsia="Arial" w:hAnsi="Arial"/>
                <w:sz w:val="14"/>
                <w:szCs w:val="14"/>
                <w:color w:val="auto"/>
              </w:rPr>
              <w:t>Emerging growth company</w:t>
            </w:r>
          </w:p>
        </w:tc>
        <w:tc>
          <w:tcPr>
            <w:tcW w:w="280" w:type="dxa"/>
            <w:vAlign w:val="bottom"/>
          </w:tcPr>
          <w:p>
            <w:pPr>
              <w:ind w:left="16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72" w:lineRule="exact"/>
        <w:rPr>
          <w:sz w:val="24"/>
          <w:szCs w:val="24"/>
          <w:color w:val="auto"/>
        </w:rPr>
      </w:pPr>
    </w:p>
    <w:p>
      <w:pPr>
        <w:ind w:right="460"/>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5" w:lineRule="exact"/>
        <w:rPr>
          <w:sz w:val="24"/>
          <w:szCs w:val="24"/>
          <w:color w:val="auto"/>
        </w:rPr>
      </w:pPr>
    </w:p>
    <w:p>
      <w:pPr>
        <w:ind w:right="3520"/>
        <w:spacing w:after="0" w:line="213" w:lineRule="exact"/>
        <w:rPr>
          <w:sz w:val="20"/>
          <w:szCs w:val="20"/>
          <w:color w:val="auto"/>
        </w:rPr>
      </w:pPr>
      <w:r>
        <w:rPr>
          <w:rFonts w:ascii="Arial" w:cs="Arial" w:eastAsia="Arial" w:hAnsi="Arial"/>
          <w:sz w:val="13"/>
          <w:szCs w:val="13"/>
          <w:color w:val="auto"/>
        </w:rPr>
        <w:t xml:space="preserve">Indicate by check mark whether the registrant is a shell company (as defined in Rule 12b-2 of the Exchange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r>
        <w:rPr>
          <w:rFonts w:ascii="Arial" w:cs="Arial" w:eastAsia="Arial" w:hAnsi="Arial"/>
          <w:sz w:val="13"/>
          <w:szCs w:val="13"/>
          <w:color w:val="auto"/>
        </w:rPr>
        <w:t xml:space="preserve"> As of May 3, 2021, there were 43,064,365 shares of the registrant’s common stock, par value $0.01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723900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39370</wp:posOffset>
            </wp:positionH>
            <wp:positionV relativeFrom="paragraph">
              <wp:posOffset>93980</wp:posOffset>
            </wp:positionV>
            <wp:extent cx="706374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63740" cy="8890"/>
                    </a:xfrm>
                    <a:prstGeom prst="rect">
                      <a:avLst/>
                    </a:prstGeom>
                    <a:noFill/>
                  </pic:spPr>
                </pic:pic>
              </a:graphicData>
            </a:graphic>
          </wp:anchor>
        </w:drawing>
        <w:drawing>
          <wp:anchor simplePos="0" relativeHeight="251657728" behindDoc="1" locked="0" layoutInCell="0" allowOverlap="1">
            <wp:simplePos x="0" y="0"/>
            <wp:positionH relativeFrom="column">
              <wp:posOffset>39370</wp:posOffset>
            </wp:positionH>
            <wp:positionV relativeFrom="paragraph">
              <wp:posOffset>119380</wp:posOffset>
            </wp:positionV>
            <wp:extent cx="706374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063740" cy="8890"/>
                    </a:xfrm>
                    <a:prstGeom prst="rect">
                      <a:avLst/>
                    </a:prstGeom>
                    <a:noFill/>
                  </pic:spPr>
                </pic:pic>
              </a:graphicData>
            </a:graphic>
          </wp:anchor>
        </w:drawing>
      </w:r>
    </w:p>
    <w:p>
      <w:pPr>
        <w:sectPr>
          <w:pgSz w:w="11900" w:h="16838" w:orient="portrait"/>
          <w:cols w:equalWidth="0" w:num="1">
            <w:col w:w="11140"/>
          </w:cols>
          <w:pgMar w:left="320" w:top="233" w:right="4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580" w:type="dxa"/>
            <w:vAlign w:val="bottom"/>
            <w:gridSpan w:val="4"/>
          </w:tcPr>
          <w:p>
            <w:pPr>
              <w:spacing w:after="0"/>
              <w:rPr>
                <w:rFonts w:ascii="Arial" w:cs="Arial" w:eastAsia="Arial" w:hAnsi="Arial"/>
                <w:sz w:val="18"/>
                <w:szCs w:val="18"/>
                <w:color w:val="0000FF"/>
              </w:rPr>
            </w:pPr>
            <w:hyperlink w:anchor="page1">
              <w:r>
                <w:rPr>
                  <w:rFonts w:ascii="Arial" w:cs="Arial" w:eastAsia="Arial" w:hAnsi="Arial"/>
                  <w:sz w:val="18"/>
                  <w:szCs w:val="18"/>
                  <w:color w:val="0000FF"/>
                </w:rPr>
                <w:t>Table of Contents</w:t>
              </w:r>
            </w:hyperlink>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772"/>
        </w:trPr>
        <w:tc>
          <w:tcPr>
            <w:tcW w:w="20" w:type="dxa"/>
            <w:vAlign w:val="bottom"/>
            <w:tcBorders>
              <w:top w:val="single" w:sz="8" w:color="0000FF"/>
            </w:tcBorders>
          </w:tcPr>
          <w:p>
            <w:pPr>
              <w:spacing w:after="0"/>
              <w:rPr>
                <w:sz w:val="24"/>
                <w:szCs w:val="24"/>
                <w:color w:val="auto"/>
              </w:rPr>
            </w:pPr>
          </w:p>
        </w:tc>
        <w:tc>
          <w:tcPr>
            <w:tcW w:w="110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780" w:type="dxa"/>
            <w:vAlign w:val="bottom"/>
            <w:gridSpan w:val="8"/>
          </w:tcPr>
          <w:p>
            <w:pPr>
              <w:jc w:val="center"/>
              <w:ind w:right="2340"/>
              <w:spacing w:after="0"/>
              <w:rPr>
                <w:sz w:val="20"/>
                <w:szCs w:val="20"/>
                <w:color w:val="auto"/>
              </w:rPr>
            </w:pPr>
            <w:r>
              <w:rPr>
                <w:rFonts w:ascii="Arial" w:cs="Arial" w:eastAsia="Arial" w:hAnsi="Arial"/>
                <w:sz w:val="18"/>
                <w:szCs w:val="18"/>
                <w:b w:val="1"/>
                <w:bCs w:val="1"/>
                <w:color w:val="auto"/>
                <w:w w:val="95"/>
              </w:rPr>
              <w:t>NN, Inc.</w:t>
            </w: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4"/>
        </w:trPr>
        <w:tc>
          <w:tcPr>
            <w:tcW w:w="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780" w:type="dxa"/>
            <w:vAlign w:val="bottom"/>
            <w:gridSpan w:val="8"/>
          </w:tcPr>
          <w:p>
            <w:pPr>
              <w:jc w:val="center"/>
              <w:ind w:right="2320"/>
              <w:spacing w:after="0"/>
              <w:rPr>
                <w:sz w:val="20"/>
                <w:szCs w:val="20"/>
                <w:color w:val="auto"/>
              </w:rPr>
            </w:pPr>
            <w:r>
              <w:rPr>
                <w:rFonts w:ascii="Arial" w:cs="Arial" w:eastAsia="Arial" w:hAnsi="Arial"/>
                <w:sz w:val="18"/>
                <w:szCs w:val="18"/>
                <w:b w:val="1"/>
                <w:bCs w:val="1"/>
                <w:color w:val="auto"/>
              </w:rPr>
              <w:t>INDEX</w:t>
            </w: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715"/>
        </w:trPr>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520" w:type="dxa"/>
            <w:vAlign w:val="bottom"/>
            <w:gridSpan w:val="2"/>
          </w:tcPr>
          <w:p>
            <w:pPr>
              <w:jc w:val="right"/>
              <w:ind w:right="316"/>
              <w:spacing w:after="0"/>
              <w:rPr>
                <w:sz w:val="20"/>
                <w:szCs w:val="20"/>
                <w:color w:val="auto"/>
              </w:rPr>
            </w:pPr>
            <w:r>
              <w:rPr>
                <w:rFonts w:ascii="Arial" w:cs="Arial" w:eastAsia="Arial" w:hAnsi="Arial"/>
                <w:sz w:val="18"/>
                <w:szCs w:val="18"/>
                <w:b w:val="1"/>
                <w:bCs w:val="1"/>
                <w:color w:val="auto"/>
              </w:rPr>
              <w:t>Page</w:t>
            </w:r>
          </w:p>
        </w:tc>
      </w:tr>
      <w:tr>
        <w:trPr>
          <w:trHeight w:val="190"/>
        </w:trPr>
        <w:tc>
          <w:tcPr>
            <w:tcW w:w="20" w:type="dxa"/>
            <w:vAlign w:val="bottom"/>
          </w:tcPr>
          <w:p>
            <w:pPr>
              <w:spacing w:after="0"/>
              <w:rPr>
                <w:sz w:val="16"/>
                <w:szCs w:val="16"/>
                <w:color w:val="auto"/>
              </w:rPr>
            </w:pPr>
          </w:p>
        </w:tc>
        <w:tc>
          <w:tcPr>
            <w:tcW w:w="2880" w:type="dxa"/>
            <w:vAlign w:val="bottom"/>
            <w:tcBorders>
              <w:bottom w:val="single" w:sz="8" w:color="0000FF"/>
            </w:tcBorders>
            <w:gridSpan w:val="8"/>
          </w:tcPr>
          <w:p>
            <w:pPr>
              <w:spacing w:after="0" w:line="190" w:lineRule="exact"/>
              <w:rPr>
                <w:rFonts w:ascii="Arial" w:cs="Arial" w:eastAsia="Arial" w:hAnsi="Arial"/>
                <w:sz w:val="18"/>
                <w:szCs w:val="18"/>
                <w:color w:val="0000FF"/>
                <w:w w:val="96"/>
              </w:rPr>
            </w:pPr>
            <w:hyperlink w:anchor="page2">
              <w:r>
                <w:rPr>
                  <w:rFonts w:ascii="Arial" w:cs="Arial" w:eastAsia="Arial" w:hAnsi="Arial"/>
                  <w:sz w:val="18"/>
                  <w:szCs w:val="18"/>
                  <w:color w:val="0000FF"/>
                  <w:w w:val="96"/>
                </w:rPr>
                <w:t>PART I. FINANCIAL INFORMATION</w:t>
              </w:r>
            </w:hyperlink>
          </w:p>
        </w:tc>
        <w:tc>
          <w:tcPr>
            <w:tcW w:w="6780" w:type="dxa"/>
            <w:vAlign w:val="bottom"/>
            <w:gridSpan w:val="11"/>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Borders>
              <w:bottom w:val="single" w:sz="8" w:color="0000FF"/>
            </w:tcBorders>
          </w:tcPr>
          <w:p>
            <w:pPr>
              <w:jc w:val="right"/>
              <w:spacing w:after="0" w:line="190" w:lineRule="exact"/>
              <w:rPr>
                <w:rFonts w:ascii="Arial" w:cs="Arial" w:eastAsia="Arial" w:hAnsi="Arial"/>
                <w:sz w:val="18"/>
                <w:szCs w:val="18"/>
                <w:color w:val="0000FF"/>
                <w:w w:val="79"/>
              </w:rPr>
            </w:pPr>
            <w:hyperlink w:anchor="page2">
              <w:r>
                <w:rPr>
                  <w:rFonts w:ascii="Arial" w:cs="Arial" w:eastAsia="Arial" w:hAnsi="Arial"/>
                  <w:sz w:val="18"/>
                  <w:szCs w:val="18"/>
                  <w:color w:val="0000FF"/>
                  <w:w w:val="79"/>
                </w:rPr>
                <w:t>3</w:t>
              </w:r>
            </w:hyperlink>
          </w:p>
        </w:tc>
      </w:tr>
      <w:tr>
        <w:trPr>
          <w:trHeight w:val="263"/>
        </w:trPr>
        <w:tc>
          <w:tcPr>
            <w:tcW w:w="20" w:type="dxa"/>
            <w:vAlign w:val="bottom"/>
          </w:tcPr>
          <w:p>
            <w:pPr>
              <w:spacing w:after="0"/>
              <w:rPr>
                <w:sz w:val="22"/>
                <w:szCs w:val="22"/>
                <w:color w:val="auto"/>
              </w:rPr>
            </w:pPr>
          </w:p>
        </w:tc>
        <w:tc>
          <w:tcPr>
            <w:tcW w:w="1560" w:type="dxa"/>
            <w:vAlign w:val="bottom"/>
            <w:gridSpan w:val="3"/>
          </w:tcPr>
          <w:p>
            <w:pPr>
              <w:ind w:left="440"/>
              <w:spacing w:after="0"/>
              <w:rPr>
                <w:sz w:val="20"/>
                <w:szCs w:val="20"/>
                <w:color w:val="auto"/>
              </w:rPr>
            </w:pPr>
            <w:r>
              <w:rPr>
                <w:rFonts w:ascii="Arial" w:cs="Arial" w:eastAsia="Arial" w:hAnsi="Arial"/>
                <w:sz w:val="18"/>
                <w:szCs w:val="18"/>
                <w:color w:val="auto"/>
              </w:rPr>
              <w:t>Item 1.</w:t>
            </w:r>
          </w:p>
        </w:tc>
        <w:tc>
          <w:tcPr>
            <w:tcW w:w="8100" w:type="dxa"/>
            <w:vAlign w:val="bottom"/>
            <w:gridSpan w:val="16"/>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Financial Statements</w:t>
              </w:r>
            </w:hyperlink>
          </w:p>
        </w:tc>
        <w:tc>
          <w:tcPr>
            <w:tcW w:w="1520" w:type="dxa"/>
            <w:vAlign w:val="bottom"/>
            <w:gridSpan w:val="2"/>
          </w:tcPr>
          <w:p>
            <w:pPr>
              <w:jc w:val="right"/>
              <w:spacing w:after="0"/>
              <w:rPr>
                <w:rFonts w:ascii="Arial" w:cs="Arial" w:eastAsia="Arial" w:hAnsi="Arial"/>
                <w:sz w:val="18"/>
                <w:szCs w:val="18"/>
                <w:color w:val="0000FF"/>
              </w:rPr>
            </w:pPr>
            <w:hyperlink w:anchor="page3">
              <w:r>
                <w:rPr>
                  <w:rFonts w:ascii="Arial" w:cs="Arial" w:eastAsia="Arial" w:hAnsi="Arial"/>
                  <w:sz w:val="18"/>
                  <w:szCs w:val="18"/>
                  <w:color w:val="0000FF"/>
                </w:rPr>
                <w:t>3</w:t>
              </w:r>
            </w:hyperlink>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900" w:type="dxa"/>
            <w:vAlign w:val="bottom"/>
            <w:gridSpan w:val="15"/>
          </w:tcPr>
          <w:p>
            <w:pPr>
              <w:spacing w:after="0"/>
              <w:rPr>
                <w:rFonts w:ascii="Arial" w:cs="Arial" w:eastAsia="Arial" w:hAnsi="Arial"/>
                <w:sz w:val="18"/>
                <w:szCs w:val="18"/>
                <w:color w:val="0000FF"/>
                <w:w w:val="99"/>
              </w:rPr>
            </w:pPr>
            <w:hyperlink w:anchor="page3">
              <w:r>
                <w:rPr>
                  <w:rFonts w:ascii="Arial" w:cs="Arial" w:eastAsia="Arial" w:hAnsi="Arial"/>
                  <w:sz w:val="18"/>
                  <w:szCs w:val="18"/>
                  <w:color w:val="0000FF"/>
                  <w:w w:val="99"/>
                </w:rPr>
                <w:t>Condensed Consolidated Statements of Operations and Comprehensive Income (Loss) (Unaudited)</w:t>
              </w:r>
            </w:hyperlink>
          </w:p>
        </w:tc>
        <w:tc>
          <w:tcPr>
            <w:tcW w:w="1520" w:type="dxa"/>
            <w:vAlign w:val="bottom"/>
            <w:gridSpan w:val="2"/>
          </w:tcPr>
          <w:p>
            <w:pPr>
              <w:jc w:val="right"/>
              <w:spacing w:after="0"/>
              <w:rPr>
                <w:rFonts w:ascii="Arial" w:cs="Arial" w:eastAsia="Arial" w:hAnsi="Arial"/>
                <w:sz w:val="18"/>
                <w:szCs w:val="18"/>
                <w:color w:val="0000FF"/>
              </w:rPr>
            </w:pPr>
            <w:hyperlink w:anchor="page3">
              <w:r>
                <w:rPr>
                  <w:rFonts w:ascii="Arial" w:cs="Arial" w:eastAsia="Arial" w:hAnsi="Arial"/>
                  <w:sz w:val="18"/>
                  <w:szCs w:val="18"/>
                  <w:color w:val="0000FF"/>
                </w:rPr>
                <w:t>3</w:t>
              </w:r>
            </w:hyperlink>
          </w:p>
        </w:tc>
      </w:tr>
      <w:tr>
        <w:trPr>
          <w:trHeight w:val="209"/>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140" w:type="dxa"/>
            <w:vAlign w:val="bottom"/>
            <w:tcBorders>
              <w:top w:val="single" w:sz="8" w:color="0000FF"/>
            </w:tcBorders>
            <w:gridSpan w:val="14"/>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Condensed Consolidated Balance Sheets (Unaudited)</w:t>
              </w:r>
            </w:hyperlink>
          </w:p>
        </w:tc>
        <w:tc>
          <w:tcPr>
            <w:tcW w:w="7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Borders>
              <w:top w:val="single" w:sz="8" w:color="0000FF"/>
            </w:tcBorders>
          </w:tcPr>
          <w:p>
            <w:pPr>
              <w:jc w:val="right"/>
              <w:spacing w:after="0"/>
              <w:rPr>
                <w:rFonts w:ascii="Arial" w:cs="Arial" w:eastAsia="Arial" w:hAnsi="Arial"/>
                <w:sz w:val="18"/>
                <w:szCs w:val="18"/>
                <w:color w:val="0000FF"/>
                <w:w w:val="79"/>
              </w:rPr>
            </w:pPr>
            <w:hyperlink w:anchor="page3">
              <w:r>
                <w:rPr>
                  <w:rFonts w:ascii="Arial" w:cs="Arial" w:eastAsia="Arial" w:hAnsi="Arial"/>
                  <w:sz w:val="18"/>
                  <w:szCs w:val="18"/>
                  <w:color w:val="0000FF"/>
                  <w:w w:val="79"/>
                </w:rPr>
                <w:t>4</w:t>
              </w:r>
            </w:hyperlink>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72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900" w:type="dxa"/>
            <w:vAlign w:val="bottom"/>
            <w:gridSpan w:val="15"/>
          </w:tcPr>
          <w:p>
            <w:pPr>
              <w:spacing w:after="0"/>
              <w:rPr>
                <w:rFonts w:ascii="Arial" w:cs="Arial" w:eastAsia="Arial" w:hAnsi="Arial"/>
                <w:sz w:val="18"/>
                <w:szCs w:val="18"/>
                <w:color w:val="0000FF"/>
              </w:rPr>
            </w:pPr>
            <w:hyperlink w:anchor="page4">
              <w:r>
                <w:rPr>
                  <w:rFonts w:ascii="Arial" w:cs="Arial" w:eastAsia="Arial" w:hAnsi="Arial"/>
                  <w:sz w:val="18"/>
                  <w:szCs w:val="18"/>
                  <w:color w:val="0000FF"/>
                </w:rPr>
                <w:t>Condensed Consolidated Statement of Changes in Stockholders’ Equity (Unaudited)</w:t>
              </w:r>
            </w:hyperlink>
          </w:p>
        </w:tc>
        <w:tc>
          <w:tcPr>
            <w:tcW w:w="1520" w:type="dxa"/>
            <w:vAlign w:val="bottom"/>
            <w:gridSpan w:val="2"/>
          </w:tcPr>
          <w:p>
            <w:pPr>
              <w:jc w:val="right"/>
              <w:spacing w:after="0"/>
              <w:rPr>
                <w:rFonts w:ascii="Arial" w:cs="Arial" w:eastAsia="Arial" w:hAnsi="Arial"/>
                <w:sz w:val="18"/>
                <w:szCs w:val="18"/>
                <w:color w:val="0000FF"/>
              </w:rPr>
            </w:pPr>
            <w:hyperlink w:anchor="page4">
              <w:r>
                <w:rPr>
                  <w:rFonts w:ascii="Arial" w:cs="Arial" w:eastAsia="Arial" w:hAnsi="Arial"/>
                  <w:sz w:val="18"/>
                  <w:szCs w:val="18"/>
                  <w:color w:val="0000FF"/>
                </w:rPr>
                <w:t>5</w:t>
              </w:r>
            </w:hyperlink>
          </w:p>
        </w:tc>
      </w:tr>
      <w:tr>
        <w:trPr>
          <w:trHeight w:val="210"/>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80" w:type="dxa"/>
            <w:vAlign w:val="bottom"/>
            <w:tcBorders>
              <w:top w:val="single" w:sz="8" w:color="0000FF"/>
            </w:tcBorders>
            <w:gridSpan w:val="12"/>
          </w:tcPr>
          <w:p>
            <w:pPr>
              <w:spacing w:after="0"/>
              <w:rPr>
                <w:rFonts w:ascii="Arial" w:cs="Arial" w:eastAsia="Arial" w:hAnsi="Arial"/>
                <w:sz w:val="18"/>
                <w:szCs w:val="18"/>
                <w:color w:val="0000FF"/>
              </w:rPr>
            </w:pPr>
            <w:hyperlink w:anchor="page5">
              <w:r>
                <w:rPr>
                  <w:rFonts w:ascii="Arial" w:cs="Arial" w:eastAsia="Arial" w:hAnsi="Arial"/>
                  <w:sz w:val="18"/>
                  <w:szCs w:val="18"/>
                  <w:color w:val="0000FF"/>
                </w:rPr>
                <w:t>Condensed Consolidated Statements of Cash Flows (Unaudited)</w:t>
              </w:r>
            </w:hyperlink>
          </w:p>
        </w:tc>
        <w:tc>
          <w:tcPr>
            <w:tcW w:w="1820" w:type="dxa"/>
            <w:vAlign w:val="bottom"/>
            <w:gridSpan w:val="3"/>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Borders>
              <w:top w:val="single" w:sz="8" w:color="0000FF"/>
            </w:tcBorders>
          </w:tcPr>
          <w:p>
            <w:pPr>
              <w:jc w:val="right"/>
              <w:spacing w:after="0"/>
              <w:rPr>
                <w:rFonts w:ascii="Arial" w:cs="Arial" w:eastAsia="Arial" w:hAnsi="Arial"/>
                <w:sz w:val="18"/>
                <w:szCs w:val="18"/>
                <w:color w:val="0000FF"/>
                <w:w w:val="79"/>
              </w:rPr>
            </w:pPr>
            <w:hyperlink w:anchor="page5">
              <w:r>
                <w:rPr>
                  <w:rFonts w:ascii="Arial" w:cs="Arial" w:eastAsia="Arial" w:hAnsi="Arial"/>
                  <w:sz w:val="18"/>
                  <w:szCs w:val="18"/>
                  <w:color w:val="0000FF"/>
                  <w:w w:val="79"/>
                </w:rPr>
                <w:t>6</w:t>
              </w:r>
            </w:hyperlink>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48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900" w:type="dxa"/>
            <w:vAlign w:val="bottom"/>
            <w:gridSpan w:val="15"/>
          </w:tcPr>
          <w:p>
            <w:pPr>
              <w:spacing w:after="0"/>
              <w:rPr>
                <w:rFonts w:ascii="Arial" w:cs="Arial" w:eastAsia="Arial" w:hAnsi="Arial"/>
                <w:sz w:val="18"/>
                <w:szCs w:val="18"/>
                <w:color w:val="0000FF"/>
              </w:rPr>
            </w:pPr>
            <w:hyperlink w:anchor="page6">
              <w:r>
                <w:rPr>
                  <w:rFonts w:ascii="Arial" w:cs="Arial" w:eastAsia="Arial" w:hAnsi="Arial"/>
                  <w:sz w:val="18"/>
                  <w:szCs w:val="18"/>
                  <w:color w:val="0000FF"/>
                </w:rPr>
                <w:t>Notes to Condensed Consolidated Financial Statements (Unaudited)</w:t>
              </w:r>
            </w:hyperlink>
          </w:p>
        </w:tc>
        <w:tc>
          <w:tcPr>
            <w:tcW w:w="1520" w:type="dxa"/>
            <w:vAlign w:val="bottom"/>
            <w:gridSpan w:val="2"/>
          </w:tcPr>
          <w:p>
            <w:pPr>
              <w:jc w:val="right"/>
              <w:spacing w:after="0"/>
              <w:rPr>
                <w:rFonts w:ascii="Arial" w:cs="Arial" w:eastAsia="Arial" w:hAnsi="Arial"/>
                <w:sz w:val="18"/>
                <w:szCs w:val="18"/>
                <w:color w:val="0000FF"/>
              </w:rPr>
            </w:pPr>
            <w:hyperlink w:anchor="page6">
              <w:r>
                <w:rPr>
                  <w:rFonts w:ascii="Arial" w:cs="Arial" w:eastAsia="Arial" w:hAnsi="Arial"/>
                  <w:sz w:val="18"/>
                  <w:szCs w:val="18"/>
                  <w:color w:val="0000FF"/>
                </w:rPr>
                <w:t>7</w:t>
              </w:r>
            </w:hyperlink>
          </w:p>
        </w:tc>
      </w:tr>
      <w:tr>
        <w:trPr>
          <w:trHeight w:val="209"/>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900" w:type="dxa"/>
            <w:vAlign w:val="bottom"/>
            <w:tcBorders>
              <w:top w:val="single" w:sz="8" w:color="0000FF"/>
            </w:tcBorders>
            <w:gridSpan w:val="11"/>
          </w:tcPr>
          <w:p>
            <w:pPr>
              <w:ind w:left="220"/>
              <w:spacing w:after="0"/>
              <w:rPr>
                <w:sz w:val="20"/>
                <w:szCs w:val="20"/>
                <w:color w:val="auto"/>
              </w:rPr>
            </w:pPr>
            <w:r>
              <w:rPr>
                <w:rFonts w:ascii="Arial" w:cs="Arial" w:eastAsia="Arial" w:hAnsi="Arial"/>
                <w:sz w:val="18"/>
                <w:szCs w:val="18"/>
                <w:color w:val="auto"/>
              </w:rPr>
              <w:t>Note 1. Interim Financial Statements</w:t>
            </w:r>
          </w:p>
        </w:tc>
        <w:tc>
          <w:tcPr>
            <w:tcW w:w="3000" w:type="dxa"/>
            <w:vAlign w:val="bottom"/>
            <w:gridSpan w:val="4"/>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Borders>
              <w:top w:val="single" w:sz="8" w:color="0000FF"/>
              <w:bottom w:val="single" w:sz="8" w:color="0000FF"/>
            </w:tcBorders>
          </w:tcPr>
          <w:p>
            <w:pPr>
              <w:jc w:val="right"/>
              <w:spacing w:after="0"/>
              <w:rPr>
                <w:rFonts w:ascii="Arial" w:cs="Arial" w:eastAsia="Arial" w:hAnsi="Arial"/>
                <w:sz w:val="18"/>
                <w:szCs w:val="18"/>
                <w:color w:val="0000FF"/>
                <w:w w:val="79"/>
              </w:rPr>
            </w:pPr>
            <w:hyperlink w:anchor="page7">
              <w:r>
                <w:rPr>
                  <w:rFonts w:ascii="Arial" w:cs="Arial" w:eastAsia="Arial" w:hAnsi="Arial"/>
                  <w:sz w:val="18"/>
                  <w:szCs w:val="18"/>
                  <w:color w:val="0000FF"/>
                  <w:w w:val="79"/>
                </w:rPr>
                <w:t>7</w:t>
              </w:r>
            </w:hyperlink>
          </w:p>
        </w:tc>
      </w:tr>
      <w:tr>
        <w:trPr>
          <w:trHeight w:val="210"/>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900" w:type="dxa"/>
            <w:vAlign w:val="bottom"/>
            <w:gridSpan w:val="15"/>
          </w:tcPr>
          <w:p>
            <w:pPr>
              <w:ind w:left="220"/>
              <w:spacing w:after="0"/>
              <w:rPr>
                <w:sz w:val="20"/>
                <w:szCs w:val="20"/>
                <w:color w:val="auto"/>
              </w:rPr>
            </w:pPr>
            <w:r>
              <w:rPr>
                <w:rFonts w:ascii="Arial" w:cs="Arial" w:eastAsia="Arial" w:hAnsi="Arial"/>
                <w:sz w:val="18"/>
                <w:szCs w:val="18"/>
                <w:color w:val="auto"/>
              </w:rPr>
              <w:t>Note 2. Discontinued Operations</w:t>
            </w:r>
          </w:p>
        </w:tc>
        <w:tc>
          <w:tcPr>
            <w:tcW w:w="1420" w:type="dxa"/>
            <w:vAlign w:val="bottom"/>
          </w:tcPr>
          <w:p>
            <w:pPr>
              <w:spacing w:after="0"/>
              <w:rPr>
                <w:sz w:val="18"/>
                <w:szCs w:val="18"/>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8">
              <w:r>
                <w:rPr>
                  <w:rFonts w:ascii="Arial" w:cs="Arial" w:eastAsia="Arial" w:hAnsi="Arial"/>
                  <w:sz w:val="18"/>
                  <w:szCs w:val="18"/>
                  <w:color w:val="0000FF"/>
                  <w:w w:val="79"/>
                </w:rPr>
                <w:t>8</w:t>
              </w:r>
            </w:hyperlink>
          </w:p>
        </w:tc>
      </w:tr>
      <w:tr>
        <w:trPr>
          <w:trHeight w:val="209"/>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900" w:type="dxa"/>
            <w:vAlign w:val="bottom"/>
            <w:gridSpan w:val="15"/>
          </w:tcPr>
          <w:p>
            <w:pPr>
              <w:ind w:left="220"/>
              <w:spacing w:after="0"/>
              <w:rPr>
                <w:sz w:val="20"/>
                <w:szCs w:val="20"/>
                <w:color w:val="auto"/>
              </w:rPr>
            </w:pPr>
            <w:r>
              <w:rPr>
                <w:rFonts w:ascii="Arial" w:cs="Arial" w:eastAsia="Arial" w:hAnsi="Arial"/>
                <w:sz w:val="18"/>
                <w:szCs w:val="18"/>
                <w:color w:val="auto"/>
              </w:rPr>
              <w:t>Note 3. Segment Information</w:t>
            </w:r>
          </w:p>
        </w:tc>
        <w:tc>
          <w:tcPr>
            <w:tcW w:w="1420" w:type="dxa"/>
            <w:vAlign w:val="bottom"/>
          </w:tcPr>
          <w:p>
            <w:pPr>
              <w:spacing w:after="0"/>
              <w:rPr>
                <w:sz w:val="18"/>
                <w:szCs w:val="18"/>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9">
              <w:r>
                <w:rPr>
                  <w:rFonts w:ascii="Arial" w:cs="Arial" w:eastAsia="Arial" w:hAnsi="Arial"/>
                  <w:sz w:val="18"/>
                  <w:szCs w:val="18"/>
                  <w:color w:val="0000FF"/>
                  <w:w w:val="79"/>
                </w:rPr>
                <w:t>9</w:t>
              </w:r>
            </w:hyperlink>
          </w:p>
        </w:tc>
      </w:tr>
      <w:tr>
        <w:trPr>
          <w:trHeight w:val="209"/>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900" w:type="dxa"/>
            <w:vAlign w:val="bottom"/>
            <w:gridSpan w:val="15"/>
          </w:tcPr>
          <w:p>
            <w:pPr>
              <w:ind w:left="220"/>
              <w:spacing w:after="0"/>
              <w:rPr>
                <w:sz w:val="20"/>
                <w:szCs w:val="20"/>
                <w:color w:val="auto"/>
              </w:rPr>
            </w:pPr>
            <w:r>
              <w:rPr>
                <w:rFonts w:ascii="Arial" w:cs="Arial" w:eastAsia="Arial" w:hAnsi="Arial"/>
                <w:sz w:val="18"/>
                <w:szCs w:val="18"/>
                <w:color w:val="auto"/>
              </w:rPr>
              <w:t>Note 4. Inventories</w:t>
            </w:r>
          </w:p>
        </w:tc>
        <w:tc>
          <w:tcPr>
            <w:tcW w:w="1520" w:type="dxa"/>
            <w:vAlign w:val="bottom"/>
            <w:gridSpan w:val="2"/>
          </w:tcPr>
          <w:p>
            <w:pPr>
              <w:jc w:val="right"/>
              <w:spacing w:after="0"/>
              <w:rPr>
                <w:rFonts w:ascii="Arial" w:cs="Arial" w:eastAsia="Arial" w:hAnsi="Arial"/>
                <w:sz w:val="18"/>
                <w:szCs w:val="18"/>
                <w:color w:val="0000FF"/>
              </w:rPr>
            </w:pPr>
            <w:hyperlink w:anchor="page10">
              <w:r>
                <w:rPr>
                  <w:rFonts w:ascii="Arial" w:cs="Arial" w:eastAsia="Arial" w:hAnsi="Arial"/>
                  <w:sz w:val="18"/>
                  <w:szCs w:val="18"/>
                  <w:color w:val="0000FF"/>
                </w:rPr>
                <w:t>10</w:t>
              </w:r>
            </w:hyperlink>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2120" w:type="dxa"/>
            <w:vAlign w:val="bottom"/>
            <w:gridSpan w:val="4"/>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142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900" w:type="dxa"/>
            <w:vAlign w:val="bottom"/>
            <w:gridSpan w:val="15"/>
          </w:tcPr>
          <w:p>
            <w:pPr>
              <w:ind w:left="220"/>
              <w:spacing w:after="0"/>
              <w:rPr>
                <w:sz w:val="20"/>
                <w:szCs w:val="20"/>
                <w:color w:val="auto"/>
              </w:rPr>
            </w:pPr>
            <w:r>
              <w:rPr>
                <w:rFonts w:ascii="Arial" w:cs="Arial" w:eastAsia="Arial" w:hAnsi="Arial"/>
                <w:sz w:val="18"/>
                <w:szCs w:val="18"/>
                <w:color w:val="auto"/>
              </w:rPr>
              <w:t>Note 5. Goodwill</w:t>
            </w:r>
          </w:p>
        </w:tc>
        <w:tc>
          <w:tcPr>
            <w:tcW w:w="1520" w:type="dxa"/>
            <w:vAlign w:val="bottom"/>
            <w:gridSpan w:val="2"/>
          </w:tcPr>
          <w:p>
            <w:pPr>
              <w:jc w:val="right"/>
              <w:spacing w:after="0"/>
              <w:rPr>
                <w:rFonts w:ascii="Arial" w:cs="Arial" w:eastAsia="Arial" w:hAnsi="Arial"/>
                <w:sz w:val="18"/>
                <w:szCs w:val="18"/>
                <w:color w:val="0000FF"/>
              </w:rPr>
            </w:pPr>
            <w:hyperlink w:anchor="page10">
              <w:r>
                <w:rPr>
                  <w:rFonts w:ascii="Arial" w:cs="Arial" w:eastAsia="Arial" w:hAnsi="Arial"/>
                  <w:sz w:val="18"/>
                  <w:szCs w:val="18"/>
                  <w:color w:val="0000FF"/>
                </w:rPr>
                <w:t>10</w:t>
              </w:r>
            </w:hyperlink>
          </w:p>
        </w:tc>
      </w:tr>
      <w:tr>
        <w:trPr>
          <w:trHeight w:val="209"/>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900" w:type="dxa"/>
            <w:vAlign w:val="bottom"/>
            <w:gridSpan w:val="15"/>
          </w:tcPr>
          <w:p>
            <w:pPr>
              <w:ind w:left="220"/>
              <w:spacing w:after="0"/>
              <w:rPr>
                <w:sz w:val="20"/>
                <w:szCs w:val="20"/>
                <w:color w:val="auto"/>
              </w:rPr>
            </w:pPr>
            <w:r>
              <w:rPr>
                <w:rFonts w:ascii="Arial" w:cs="Arial" w:eastAsia="Arial" w:hAnsi="Arial"/>
                <w:sz w:val="18"/>
                <w:szCs w:val="18"/>
                <w:color w:val="auto"/>
              </w:rPr>
              <w:t>Note 6. Intangible Assets, Net</w:t>
            </w:r>
          </w:p>
        </w:tc>
        <w:tc>
          <w:tcPr>
            <w:tcW w:w="1420" w:type="dxa"/>
            <w:vAlign w:val="bottom"/>
          </w:tcPr>
          <w:p>
            <w:pPr>
              <w:spacing w:after="0"/>
              <w:rPr>
                <w:sz w:val="18"/>
                <w:szCs w:val="18"/>
                <w:color w:val="auto"/>
              </w:rPr>
            </w:pPr>
          </w:p>
        </w:tc>
        <w:tc>
          <w:tcPr>
            <w:tcW w:w="100" w:type="dxa"/>
            <w:vAlign w:val="bottom"/>
            <w:tcBorders>
              <w:top w:val="single" w:sz="8" w:color="0000FF"/>
            </w:tcBorders>
          </w:tcPr>
          <w:p>
            <w:pPr>
              <w:jc w:val="right"/>
              <w:spacing w:after="0"/>
              <w:rPr>
                <w:rFonts w:ascii="Arial" w:cs="Arial" w:eastAsia="Arial" w:hAnsi="Arial"/>
                <w:sz w:val="10"/>
                <w:szCs w:val="10"/>
                <w:color w:val="0000FF"/>
                <w:w w:val="71"/>
              </w:rPr>
            </w:pPr>
            <w:hyperlink w:anchor="page10">
              <w:r>
                <w:rPr>
                  <w:rFonts w:ascii="Arial" w:cs="Arial" w:eastAsia="Arial" w:hAnsi="Arial"/>
                  <w:sz w:val="10"/>
                  <w:szCs w:val="10"/>
                  <w:color w:val="0000FF"/>
                  <w:w w:val="71"/>
                </w:rPr>
                <w:t>11</w:t>
              </w:r>
            </w:hyperlink>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2120" w:type="dxa"/>
            <w:vAlign w:val="bottom"/>
            <w:gridSpan w:val="4"/>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142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900" w:type="dxa"/>
            <w:vAlign w:val="bottom"/>
            <w:gridSpan w:val="15"/>
          </w:tcPr>
          <w:p>
            <w:pPr>
              <w:ind w:left="220"/>
              <w:spacing w:after="0"/>
              <w:rPr>
                <w:sz w:val="20"/>
                <w:szCs w:val="20"/>
                <w:color w:val="auto"/>
              </w:rPr>
            </w:pPr>
            <w:r>
              <w:rPr>
                <w:rFonts w:ascii="Arial" w:cs="Arial" w:eastAsia="Arial" w:hAnsi="Arial"/>
                <w:sz w:val="18"/>
                <w:szCs w:val="18"/>
                <w:color w:val="auto"/>
              </w:rPr>
              <w:t>Note 7. Investment in Joint Venture</w:t>
            </w:r>
          </w:p>
        </w:tc>
        <w:tc>
          <w:tcPr>
            <w:tcW w:w="1520" w:type="dxa"/>
            <w:vAlign w:val="bottom"/>
            <w:gridSpan w:val="2"/>
          </w:tcPr>
          <w:p>
            <w:pPr>
              <w:jc w:val="right"/>
              <w:spacing w:after="0"/>
              <w:rPr>
                <w:rFonts w:ascii="Arial" w:cs="Arial" w:eastAsia="Arial" w:hAnsi="Arial"/>
                <w:sz w:val="18"/>
                <w:szCs w:val="18"/>
                <w:color w:val="0000FF"/>
              </w:rPr>
            </w:pPr>
            <w:hyperlink w:anchor="page11">
              <w:r>
                <w:rPr>
                  <w:rFonts w:ascii="Arial" w:cs="Arial" w:eastAsia="Arial" w:hAnsi="Arial"/>
                  <w:sz w:val="18"/>
                  <w:szCs w:val="18"/>
                  <w:color w:val="0000FF"/>
                </w:rPr>
                <w:t>11</w:t>
              </w:r>
            </w:hyperlink>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2120" w:type="dxa"/>
            <w:vAlign w:val="bottom"/>
            <w:gridSpan w:val="4"/>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142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900" w:type="dxa"/>
            <w:vAlign w:val="bottom"/>
            <w:gridSpan w:val="15"/>
          </w:tcPr>
          <w:p>
            <w:pPr>
              <w:ind w:left="220"/>
              <w:spacing w:after="0"/>
              <w:rPr>
                <w:sz w:val="20"/>
                <w:szCs w:val="20"/>
                <w:color w:val="auto"/>
              </w:rPr>
            </w:pPr>
            <w:r>
              <w:rPr>
                <w:rFonts w:ascii="Arial" w:cs="Arial" w:eastAsia="Arial" w:hAnsi="Arial"/>
                <w:sz w:val="18"/>
                <w:szCs w:val="18"/>
                <w:color w:val="auto"/>
              </w:rPr>
              <w:t>Note 8. Income Taxes</w:t>
            </w:r>
          </w:p>
        </w:tc>
        <w:tc>
          <w:tcPr>
            <w:tcW w:w="1520" w:type="dxa"/>
            <w:vAlign w:val="bottom"/>
            <w:gridSpan w:val="2"/>
          </w:tcPr>
          <w:p>
            <w:pPr>
              <w:jc w:val="right"/>
              <w:spacing w:after="0"/>
              <w:rPr>
                <w:rFonts w:ascii="Arial" w:cs="Arial" w:eastAsia="Arial" w:hAnsi="Arial"/>
                <w:sz w:val="18"/>
                <w:szCs w:val="18"/>
                <w:color w:val="0000FF"/>
              </w:rPr>
            </w:pPr>
            <w:hyperlink w:anchor="page11">
              <w:r>
                <w:rPr>
                  <w:rFonts w:ascii="Arial" w:cs="Arial" w:eastAsia="Arial" w:hAnsi="Arial"/>
                  <w:sz w:val="18"/>
                  <w:szCs w:val="18"/>
                  <w:color w:val="0000FF"/>
                </w:rPr>
                <w:t>11</w:t>
              </w:r>
            </w:hyperlink>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2120" w:type="dxa"/>
            <w:vAlign w:val="bottom"/>
            <w:gridSpan w:val="4"/>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142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900" w:type="dxa"/>
            <w:vAlign w:val="bottom"/>
            <w:gridSpan w:val="15"/>
          </w:tcPr>
          <w:p>
            <w:pPr>
              <w:ind w:left="220"/>
              <w:spacing w:after="0"/>
              <w:rPr>
                <w:sz w:val="20"/>
                <w:szCs w:val="20"/>
                <w:color w:val="auto"/>
              </w:rPr>
            </w:pPr>
            <w:r>
              <w:rPr>
                <w:rFonts w:ascii="Arial" w:cs="Arial" w:eastAsia="Arial" w:hAnsi="Arial"/>
                <w:sz w:val="18"/>
                <w:szCs w:val="18"/>
                <w:color w:val="auto"/>
              </w:rPr>
              <w:t>Note 9. Debt</w:t>
            </w:r>
          </w:p>
        </w:tc>
        <w:tc>
          <w:tcPr>
            <w:tcW w:w="1520" w:type="dxa"/>
            <w:vAlign w:val="bottom"/>
            <w:gridSpan w:val="2"/>
          </w:tcPr>
          <w:p>
            <w:pPr>
              <w:jc w:val="right"/>
              <w:spacing w:after="0"/>
              <w:rPr>
                <w:rFonts w:ascii="Arial" w:cs="Arial" w:eastAsia="Arial" w:hAnsi="Arial"/>
                <w:sz w:val="18"/>
                <w:szCs w:val="18"/>
                <w:color w:val="0000FF"/>
              </w:rPr>
            </w:pPr>
            <w:hyperlink w:anchor="page11">
              <w:r>
                <w:rPr>
                  <w:rFonts w:ascii="Arial" w:cs="Arial" w:eastAsia="Arial" w:hAnsi="Arial"/>
                  <w:sz w:val="18"/>
                  <w:szCs w:val="18"/>
                  <w:color w:val="0000FF"/>
                </w:rPr>
                <w:t>11</w:t>
              </w:r>
            </w:hyperlink>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2120" w:type="dxa"/>
            <w:vAlign w:val="bottom"/>
            <w:gridSpan w:val="4"/>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142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900" w:type="dxa"/>
            <w:vAlign w:val="bottom"/>
            <w:gridSpan w:val="15"/>
          </w:tcPr>
          <w:p>
            <w:pPr>
              <w:ind w:left="220"/>
              <w:spacing w:after="0"/>
              <w:rPr>
                <w:sz w:val="20"/>
                <w:szCs w:val="20"/>
                <w:color w:val="auto"/>
              </w:rPr>
            </w:pPr>
            <w:r>
              <w:rPr>
                <w:rFonts w:ascii="Arial" w:cs="Arial" w:eastAsia="Arial" w:hAnsi="Arial"/>
                <w:sz w:val="18"/>
                <w:szCs w:val="18"/>
                <w:color w:val="auto"/>
              </w:rPr>
              <w:t>Note 10. Leases</w:t>
            </w:r>
          </w:p>
        </w:tc>
        <w:tc>
          <w:tcPr>
            <w:tcW w:w="1520" w:type="dxa"/>
            <w:vAlign w:val="bottom"/>
            <w:gridSpan w:val="2"/>
          </w:tcPr>
          <w:p>
            <w:pPr>
              <w:jc w:val="right"/>
              <w:spacing w:after="0"/>
              <w:rPr>
                <w:rFonts w:ascii="Arial" w:cs="Arial" w:eastAsia="Arial" w:hAnsi="Arial"/>
                <w:sz w:val="18"/>
                <w:szCs w:val="18"/>
                <w:color w:val="0000FF"/>
              </w:rPr>
            </w:pPr>
            <w:hyperlink w:anchor="page13">
              <w:r>
                <w:rPr>
                  <w:rFonts w:ascii="Arial" w:cs="Arial" w:eastAsia="Arial" w:hAnsi="Arial"/>
                  <w:sz w:val="18"/>
                  <w:szCs w:val="18"/>
                  <w:color w:val="0000FF"/>
                </w:rPr>
                <w:t>13</w:t>
              </w:r>
            </w:hyperlink>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2120" w:type="dxa"/>
            <w:vAlign w:val="bottom"/>
            <w:gridSpan w:val="4"/>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142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900" w:type="dxa"/>
            <w:vAlign w:val="bottom"/>
            <w:gridSpan w:val="15"/>
          </w:tcPr>
          <w:p>
            <w:pPr>
              <w:ind w:left="220"/>
              <w:spacing w:after="0"/>
              <w:rPr>
                <w:sz w:val="20"/>
                <w:szCs w:val="20"/>
                <w:color w:val="auto"/>
              </w:rPr>
            </w:pPr>
            <w:r>
              <w:rPr>
                <w:rFonts w:ascii="Arial" w:cs="Arial" w:eastAsia="Arial" w:hAnsi="Arial"/>
                <w:sz w:val="18"/>
                <w:szCs w:val="18"/>
                <w:color w:val="auto"/>
              </w:rPr>
              <w:t>Note 11. Commitments and Contingencies</w:t>
            </w:r>
          </w:p>
        </w:tc>
        <w:tc>
          <w:tcPr>
            <w:tcW w:w="1520" w:type="dxa"/>
            <w:vAlign w:val="bottom"/>
            <w:gridSpan w:val="2"/>
          </w:tcPr>
          <w:p>
            <w:pPr>
              <w:jc w:val="right"/>
              <w:spacing w:after="0"/>
              <w:rPr>
                <w:rFonts w:ascii="Arial" w:cs="Arial" w:eastAsia="Arial" w:hAnsi="Arial"/>
                <w:sz w:val="18"/>
                <w:szCs w:val="18"/>
                <w:color w:val="0000FF"/>
              </w:rPr>
            </w:pPr>
            <w:hyperlink w:anchor="page13">
              <w:r>
                <w:rPr>
                  <w:rFonts w:ascii="Arial" w:cs="Arial" w:eastAsia="Arial" w:hAnsi="Arial"/>
                  <w:sz w:val="18"/>
                  <w:szCs w:val="18"/>
                  <w:color w:val="0000FF"/>
                </w:rPr>
                <w:t>13</w:t>
              </w:r>
            </w:hyperlink>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2120" w:type="dxa"/>
            <w:vAlign w:val="bottom"/>
            <w:gridSpan w:val="4"/>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142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900" w:type="dxa"/>
            <w:vAlign w:val="bottom"/>
            <w:gridSpan w:val="15"/>
          </w:tcPr>
          <w:p>
            <w:pPr>
              <w:ind w:left="220"/>
              <w:spacing w:after="0"/>
              <w:rPr>
                <w:sz w:val="20"/>
                <w:szCs w:val="20"/>
                <w:color w:val="auto"/>
              </w:rPr>
            </w:pPr>
            <w:r>
              <w:rPr>
                <w:rFonts w:ascii="Arial" w:cs="Arial" w:eastAsia="Arial" w:hAnsi="Arial"/>
                <w:sz w:val="18"/>
                <w:szCs w:val="18"/>
                <w:color w:val="auto"/>
              </w:rPr>
              <w:t>Note 12. Preferred Stock and Stockholders' Equity</w:t>
            </w:r>
          </w:p>
        </w:tc>
        <w:tc>
          <w:tcPr>
            <w:tcW w:w="1520" w:type="dxa"/>
            <w:vAlign w:val="bottom"/>
            <w:gridSpan w:val="2"/>
          </w:tcPr>
          <w:p>
            <w:pPr>
              <w:jc w:val="right"/>
              <w:spacing w:after="0"/>
              <w:rPr>
                <w:rFonts w:ascii="Arial" w:cs="Arial" w:eastAsia="Arial" w:hAnsi="Arial"/>
                <w:sz w:val="18"/>
                <w:szCs w:val="18"/>
                <w:color w:val="0000FF"/>
              </w:rPr>
            </w:pPr>
            <w:hyperlink w:anchor="page14">
              <w:r>
                <w:rPr>
                  <w:rFonts w:ascii="Arial" w:cs="Arial" w:eastAsia="Arial" w:hAnsi="Arial"/>
                  <w:sz w:val="18"/>
                  <w:szCs w:val="18"/>
                  <w:color w:val="0000FF"/>
                </w:rPr>
                <w:t>14</w:t>
              </w:r>
            </w:hyperlink>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2120" w:type="dxa"/>
            <w:vAlign w:val="bottom"/>
            <w:gridSpan w:val="4"/>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142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900" w:type="dxa"/>
            <w:vAlign w:val="bottom"/>
            <w:gridSpan w:val="15"/>
          </w:tcPr>
          <w:p>
            <w:pPr>
              <w:ind w:left="220"/>
              <w:spacing w:after="0"/>
              <w:rPr>
                <w:sz w:val="20"/>
                <w:szCs w:val="20"/>
                <w:color w:val="auto"/>
              </w:rPr>
            </w:pPr>
            <w:r>
              <w:rPr>
                <w:rFonts w:ascii="Arial" w:cs="Arial" w:eastAsia="Arial" w:hAnsi="Arial"/>
                <w:sz w:val="18"/>
                <w:szCs w:val="18"/>
                <w:color w:val="auto"/>
              </w:rPr>
              <w:t>Note 13. Revenue from Contracts with Customers</w:t>
            </w:r>
          </w:p>
        </w:tc>
        <w:tc>
          <w:tcPr>
            <w:tcW w:w="1520" w:type="dxa"/>
            <w:vAlign w:val="bottom"/>
            <w:gridSpan w:val="2"/>
          </w:tcPr>
          <w:p>
            <w:pPr>
              <w:jc w:val="right"/>
              <w:spacing w:after="0"/>
              <w:rPr>
                <w:rFonts w:ascii="Arial" w:cs="Arial" w:eastAsia="Arial" w:hAnsi="Arial"/>
                <w:sz w:val="18"/>
                <w:szCs w:val="18"/>
                <w:color w:val="0000FF"/>
              </w:rPr>
            </w:pPr>
            <w:hyperlink w:anchor="page15">
              <w:r>
                <w:rPr>
                  <w:rFonts w:ascii="Arial" w:cs="Arial" w:eastAsia="Arial" w:hAnsi="Arial"/>
                  <w:sz w:val="18"/>
                  <w:szCs w:val="18"/>
                  <w:color w:val="0000FF"/>
                </w:rPr>
                <w:t>16</w:t>
              </w:r>
            </w:hyperlink>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2120" w:type="dxa"/>
            <w:vAlign w:val="bottom"/>
            <w:gridSpan w:val="4"/>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142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900" w:type="dxa"/>
            <w:vAlign w:val="bottom"/>
            <w:gridSpan w:val="15"/>
          </w:tcPr>
          <w:p>
            <w:pPr>
              <w:ind w:left="220"/>
              <w:spacing w:after="0"/>
              <w:rPr>
                <w:sz w:val="20"/>
                <w:szCs w:val="20"/>
                <w:color w:val="auto"/>
              </w:rPr>
            </w:pPr>
            <w:r>
              <w:rPr>
                <w:rFonts w:ascii="Arial" w:cs="Arial" w:eastAsia="Arial" w:hAnsi="Arial"/>
                <w:sz w:val="18"/>
                <w:szCs w:val="18"/>
                <w:color w:val="auto"/>
              </w:rPr>
              <w:t>Note 14. Share-Based Compensation</w:t>
            </w:r>
          </w:p>
        </w:tc>
        <w:tc>
          <w:tcPr>
            <w:tcW w:w="1520" w:type="dxa"/>
            <w:vAlign w:val="bottom"/>
            <w:gridSpan w:val="2"/>
          </w:tcPr>
          <w:p>
            <w:pPr>
              <w:jc w:val="right"/>
              <w:spacing w:after="0"/>
              <w:rPr>
                <w:rFonts w:ascii="Arial" w:cs="Arial" w:eastAsia="Arial" w:hAnsi="Arial"/>
                <w:sz w:val="18"/>
                <w:szCs w:val="18"/>
                <w:color w:val="0000FF"/>
              </w:rPr>
            </w:pPr>
            <w:hyperlink w:anchor="page17">
              <w:r>
                <w:rPr>
                  <w:rFonts w:ascii="Arial" w:cs="Arial" w:eastAsia="Arial" w:hAnsi="Arial"/>
                  <w:sz w:val="18"/>
                  <w:szCs w:val="18"/>
                  <w:color w:val="0000FF"/>
                </w:rPr>
                <w:t>17</w:t>
              </w:r>
            </w:hyperlink>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2120" w:type="dxa"/>
            <w:vAlign w:val="bottom"/>
            <w:gridSpan w:val="4"/>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142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900" w:type="dxa"/>
            <w:vAlign w:val="bottom"/>
            <w:gridSpan w:val="15"/>
          </w:tcPr>
          <w:p>
            <w:pPr>
              <w:ind w:left="220"/>
              <w:spacing w:after="0"/>
              <w:rPr>
                <w:sz w:val="20"/>
                <w:szCs w:val="20"/>
                <w:color w:val="auto"/>
              </w:rPr>
            </w:pPr>
            <w:r>
              <w:rPr>
                <w:rFonts w:ascii="Arial" w:cs="Arial" w:eastAsia="Arial" w:hAnsi="Arial"/>
                <w:sz w:val="18"/>
                <w:szCs w:val="18"/>
                <w:color w:val="auto"/>
              </w:rPr>
              <w:t>Note 15. Accumulated Other Comprehensive Income</w:t>
            </w:r>
          </w:p>
        </w:tc>
        <w:tc>
          <w:tcPr>
            <w:tcW w:w="1520" w:type="dxa"/>
            <w:vAlign w:val="bottom"/>
            <w:gridSpan w:val="2"/>
          </w:tcPr>
          <w:p>
            <w:pPr>
              <w:jc w:val="right"/>
              <w:spacing w:after="0"/>
              <w:rPr>
                <w:rFonts w:ascii="Arial" w:cs="Arial" w:eastAsia="Arial" w:hAnsi="Arial"/>
                <w:sz w:val="18"/>
                <w:szCs w:val="18"/>
                <w:color w:val="0000FF"/>
              </w:rPr>
            </w:pPr>
            <w:hyperlink w:anchor="page19">
              <w:r>
                <w:rPr>
                  <w:rFonts w:ascii="Arial" w:cs="Arial" w:eastAsia="Arial" w:hAnsi="Arial"/>
                  <w:sz w:val="18"/>
                  <w:szCs w:val="18"/>
                  <w:color w:val="0000FF"/>
                </w:rPr>
                <w:t>20</w:t>
              </w:r>
            </w:hyperlink>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2120" w:type="dxa"/>
            <w:vAlign w:val="bottom"/>
            <w:gridSpan w:val="4"/>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142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900" w:type="dxa"/>
            <w:vAlign w:val="bottom"/>
            <w:gridSpan w:val="15"/>
          </w:tcPr>
          <w:p>
            <w:pPr>
              <w:ind w:left="220"/>
              <w:spacing w:after="0"/>
              <w:rPr>
                <w:sz w:val="20"/>
                <w:szCs w:val="20"/>
                <w:color w:val="auto"/>
              </w:rPr>
            </w:pPr>
            <w:r>
              <w:rPr>
                <w:rFonts w:ascii="Arial" w:cs="Arial" w:eastAsia="Arial" w:hAnsi="Arial"/>
                <w:sz w:val="18"/>
                <w:szCs w:val="18"/>
                <w:color w:val="auto"/>
              </w:rPr>
              <w:t>Note 16. Net Income (Loss) Per Common Share</w:t>
            </w:r>
          </w:p>
        </w:tc>
        <w:tc>
          <w:tcPr>
            <w:tcW w:w="1520" w:type="dxa"/>
            <w:vAlign w:val="bottom"/>
            <w:gridSpan w:val="2"/>
          </w:tcPr>
          <w:p>
            <w:pPr>
              <w:jc w:val="right"/>
              <w:spacing w:after="0"/>
              <w:rPr>
                <w:rFonts w:ascii="Arial" w:cs="Arial" w:eastAsia="Arial" w:hAnsi="Arial"/>
                <w:sz w:val="18"/>
                <w:szCs w:val="18"/>
                <w:color w:val="0000FF"/>
              </w:rPr>
            </w:pPr>
            <w:hyperlink w:anchor="page20">
              <w:r>
                <w:rPr>
                  <w:rFonts w:ascii="Arial" w:cs="Arial" w:eastAsia="Arial" w:hAnsi="Arial"/>
                  <w:sz w:val="18"/>
                  <w:szCs w:val="18"/>
                  <w:color w:val="0000FF"/>
                </w:rPr>
                <w:t>20</w:t>
              </w:r>
            </w:hyperlink>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2120" w:type="dxa"/>
            <w:vAlign w:val="bottom"/>
            <w:gridSpan w:val="4"/>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142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900" w:type="dxa"/>
            <w:vAlign w:val="bottom"/>
            <w:gridSpan w:val="15"/>
          </w:tcPr>
          <w:p>
            <w:pPr>
              <w:ind w:left="220"/>
              <w:spacing w:after="0"/>
              <w:rPr>
                <w:sz w:val="20"/>
                <w:szCs w:val="20"/>
                <w:color w:val="auto"/>
              </w:rPr>
            </w:pPr>
            <w:r>
              <w:rPr>
                <w:rFonts w:ascii="Arial" w:cs="Arial" w:eastAsia="Arial" w:hAnsi="Arial"/>
                <w:sz w:val="18"/>
                <w:szCs w:val="18"/>
                <w:color w:val="auto"/>
              </w:rPr>
              <w:t>Note 17. Fair Value Measurements</w:t>
            </w:r>
          </w:p>
        </w:tc>
        <w:tc>
          <w:tcPr>
            <w:tcW w:w="1520" w:type="dxa"/>
            <w:vAlign w:val="bottom"/>
            <w:gridSpan w:val="2"/>
          </w:tcPr>
          <w:p>
            <w:pPr>
              <w:jc w:val="right"/>
              <w:spacing w:after="0"/>
              <w:rPr>
                <w:rFonts w:ascii="Arial" w:cs="Arial" w:eastAsia="Arial" w:hAnsi="Arial"/>
                <w:sz w:val="18"/>
                <w:szCs w:val="18"/>
                <w:color w:val="0000FF"/>
              </w:rPr>
            </w:pPr>
            <w:hyperlink w:anchor="page21">
              <w:r>
                <w:rPr>
                  <w:rFonts w:ascii="Arial" w:cs="Arial" w:eastAsia="Arial" w:hAnsi="Arial"/>
                  <w:sz w:val="18"/>
                  <w:szCs w:val="18"/>
                  <w:color w:val="0000FF"/>
                </w:rPr>
                <w:t>22</w:t>
              </w:r>
            </w:hyperlink>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2120" w:type="dxa"/>
            <w:vAlign w:val="bottom"/>
            <w:gridSpan w:val="4"/>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142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1560" w:type="dxa"/>
            <w:vAlign w:val="bottom"/>
            <w:gridSpan w:val="3"/>
          </w:tcPr>
          <w:p>
            <w:pPr>
              <w:ind w:left="200"/>
              <w:spacing w:after="0"/>
              <w:rPr>
                <w:sz w:val="20"/>
                <w:szCs w:val="20"/>
                <w:color w:val="auto"/>
              </w:rPr>
            </w:pPr>
            <w:r>
              <w:rPr>
                <w:rFonts w:ascii="Arial" w:cs="Arial" w:eastAsia="Arial" w:hAnsi="Arial"/>
                <w:sz w:val="18"/>
                <w:szCs w:val="18"/>
                <w:color w:val="auto"/>
              </w:rPr>
              <w:t>Item 2.</w:t>
            </w:r>
          </w:p>
        </w:tc>
        <w:tc>
          <w:tcPr>
            <w:tcW w:w="6460" w:type="dxa"/>
            <w:vAlign w:val="bottom"/>
            <w:gridSpan w:val="14"/>
          </w:tcPr>
          <w:p>
            <w:pPr>
              <w:spacing w:after="0"/>
              <w:rPr>
                <w:rFonts w:ascii="Arial" w:cs="Arial" w:eastAsia="Arial" w:hAnsi="Arial"/>
                <w:sz w:val="18"/>
                <w:szCs w:val="18"/>
                <w:color w:val="0000FF"/>
                <w:w w:val="90"/>
              </w:rPr>
            </w:pPr>
            <w:hyperlink w:anchor="page24">
              <w:r>
                <w:rPr>
                  <w:rFonts w:ascii="Arial" w:cs="Arial" w:eastAsia="Arial" w:hAnsi="Arial"/>
                  <w:sz w:val="18"/>
                  <w:szCs w:val="18"/>
                  <w:color w:val="0000FF"/>
                  <w:w w:val="90"/>
                </w:rPr>
                <w:t>Management’s Discussion and Analysis of Financial Condition and Results of Operations</w:t>
              </w:r>
            </w:hyperlink>
          </w:p>
        </w:tc>
        <w:tc>
          <w:tcPr>
            <w:tcW w:w="1640" w:type="dxa"/>
            <w:vAlign w:val="bottom"/>
            <w:gridSpan w:val="2"/>
          </w:tcPr>
          <w:p>
            <w:pPr>
              <w:spacing w:after="0"/>
              <w:rPr>
                <w:sz w:val="22"/>
                <w:szCs w:val="22"/>
                <w:color w:val="auto"/>
              </w:rPr>
            </w:pPr>
          </w:p>
        </w:tc>
        <w:tc>
          <w:tcPr>
            <w:tcW w:w="1520" w:type="dxa"/>
            <w:vAlign w:val="bottom"/>
            <w:gridSpan w:val="2"/>
          </w:tcPr>
          <w:p>
            <w:pPr>
              <w:jc w:val="right"/>
              <w:spacing w:after="0"/>
              <w:rPr>
                <w:rFonts w:ascii="Arial" w:cs="Arial" w:eastAsia="Arial" w:hAnsi="Arial"/>
                <w:sz w:val="18"/>
                <w:szCs w:val="18"/>
                <w:color w:val="0000FF"/>
              </w:rPr>
            </w:pPr>
            <w:hyperlink w:anchor="page24">
              <w:r>
                <w:rPr>
                  <w:rFonts w:ascii="Arial" w:cs="Arial" w:eastAsia="Arial" w:hAnsi="Arial"/>
                  <w:sz w:val="18"/>
                  <w:szCs w:val="18"/>
                  <w:color w:val="0000FF"/>
                </w:rPr>
                <w:t>25</w:t>
              </w:r>
            </w:hyperlink>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2120" w:type="dxa"/>
            <w:vAlign w:val="bottom"/>
            <w:tcBorders>
              <w:left w:val="single" w:sz="8" w:color="0000FF"/>
            </w:tcBorders>
            <w:gridSpan w:val="4"/>
            <w:shd w:val="clear" w:color="auto" w:fill="0000FF"/>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142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1560" w:type="dxa"/>
            <w:vAlign w:val="bottom"/>
            <w:gridSpan w:val="3"/>
          </w:tcPr>
          <w:p>
            <w:pPr>
              <w:ind w:left="200"/>
              <w:spacing w:after="0"/>
              <w:rPr>
                <w:sz w:val="20"/>
                <w:szCs w:val="20"/>
                <w:color w:val="auto"/>
              </w:rPr>
            </w:pPr>
            <w:r>
              <w:rPr>
                <w:rFonts w:ascii="Arial" w:cs="Arial" w:eastAsia="Arial" w:hAnsi="Arial"/>
                <w:sz w:val="18"/>
                <w:szCs w:val="18"/>
                <w:color w:val="auto"/>
              </w:rPr>
              <w:t>Item 3.</w:t>
            </w:r>
          </w:p>
        </w:tc>
        <w:tc>
          <w:tcPr>
            <w:tcW w:w="4340" w:type="dxa"/>
            <w:vAlign w:val="bottom"/>
            <w:gridSpan w:val="10"/>
          </w:tcPr>
          <w:p>
            <w:pPr>
              <w:spacing w:after="0"/>
              <w:rPr>
                <w:rFonts w:ascii="Arial" w:cs="Arial" w:eastAsia="Arial" w:hAnsi="Arial"/>
                <w:sz w:val="18"/>
                <w:szCs w:val="18"/>
                <w:color w:val="0000FF"/>
                <w:w w:val="91"/>
              </w:rPr>
            </w:pPr>
            <w:hyperlink w:anchor="page30">
              <w:r>
                <w:rPr>
                  <w:rFonts w:ascii="Arial" w:cs="Arial" w:eastAsia="Arial" w:hAnsi="Arial"/>
                  <w:sz w:val="18"/>
                  <w:szCs w:val="18"/>
                  <w:color w:val="0000FF"/>
                  <w:w w:val="91"/>
                </w:rPr>
                <w:t>Quantitative and Qualitative Disclosures About Market Risk</w:t>
              </w:r>
            </w:hyperlink>
          </w:p>
        </w:tc>
        <w:tc>
          <w:tcPr>
            <w:tcW w:w="2120" w:type="dxa"/>
            <w:vAlign w:val="bottom"/>
            <w:gridSpan w:val="4"/>
          </w:tcPr>
          <w:p>
            <w:pPr>
              <w:spacing w:after="0"/>
              <w:rPr>
                <w:sz w:val="22"/>
                <w:szCs w:val="22"/>
                <w:color w:val="auto"/>
              </w:rPr>
            </w:pPr>
          </w:p>
        </w:tc>
        <w:tc>
          <w:tcPr>
            <w:tcW w:w="1640" w:type="dxa"/>
            <w:vAlign w:val="bottom"/>
            <w:gridSpan w:val="2"/>
          </w:tcPr>
          <w:p>
            <w:pPr>
              <w:spacing w:after="0"/>
              <w:rPr>
                <w:sz w:val="22"/>
                <w:szCs w:val="22"/>
                <w:color w:val="auto"/>
              </w:rPr>
            </w:pPr>
          </w:p>
        </w:tc>
        <w:tc>
          <w:tcPr>
            <w:tcW w:w="1520" w:type="dxa"/>
            <w:vAlign w:val="bottom"/>
            <w:gridSpan w:val="2"/>
          </w:tcPr>
          <w:p>
            <w:pPr>
              <w:jc w:val="right"/>
              <w:spacing w:after="0"/>
              <w:rPr>
                <w:rFonts w:ascii="Arial" w:cs="Arial" w:eastAsia="Arial" w:hAnsi="Arial"/>
                <w:sz w:val="18"/>
                <w:szCs w:val="18"/>
                <w:color w:val="0000FF"/>
              </w:rPr>
            </w:pPr>
            <w:hyperlink w:anchor="page30">
              <w:r>
                <w:rPr>
                  <w:rFonts w:ascii="Arial" w:cs="Arial" w:eastAsia="Arial" w:hAnsi="Arial"/>
                  <w:sz w:val="18"/>
                  <w:szCs w:val="18"/>
                  <w:color w:val="0000FF"/>
                </w:rPr>
                <w:t>30</w:t>
              </w:r>
            </w:hyperlink>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7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80" w:type="dxa"/>
            <w:vAlign w:val="bottom"/>
            <w:tcBorders>
              <w:left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2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1560" w:type="dxa"/>
            <w:vAlign w:val="bottom"/>
            <w:gridSpan w:val="3"/>
          </w:tcPr>
          <w:p>
            <w:pPr>
              <w:ind w:left="200"/>
              <w:spacing w:after="0"/>
              <w:rPr>
                <w:sz w:val="20"/>
                <w:szCs w:val="20"/>
                <w:color w:val="auto"/>
              </w:rPr>
            </w:pPr>
            <w:r>
              <w:rPr>
                <w:rFonts w:ascii="Arial" w:cs="Arial" w:eastAsia="Arial" w:hAnsi="Arial"/>
                <w:sz w:val="18"/>
                <w:szCs w:val="18"/>
                <w:color w:val="auto"/>
              </w:rPr>
              <w:t>Item 4.</w:t>
            </w:r>
          </w:p>
        </w:tc>
        <w:tc>
          <w:tcPr>
            <w:tcW w:w="4340" w:type="dxa"/>
            <w:vAlign w:val="bottom"/>
            <w:gridSpan w:val="10"/>
          </w:tcPr>
          <w:p>
            <w:pPr>
              <w:spacing w:after="0"/>
              <w:rPr>
                <w:rFonts w:ascii="Arial" w:cs="Arial" w:eastAsia="Arial" w:hAnsi="Arial"/>
                <w:sz w:val="18"/>
                <w:szCs w:val="18"/>
                <w:color w:val="0000FF"/>
              </w:rPr>
            </w:pPr>
            <w:hyperlink w:anchor="page31">
              <w:r>
                <w:rPr>
                  <w:rFonts w:ascii="Arial" w:cs="Arial" w:eastAsia="Arial" w:hAnsi="Arial"/>
                  <w:sz w:val="18"/>
                  <w:szCs w:val="18"/>
                  <w:color w:val="0000FF"/>
                </w:rPr>
                <w:t>Controls and Procedures</w:t>
              </w:r>
            </w:hyperlink>
          </w:p>
        </w:tc>
        <w:tc>
          <w:tcPr>
            <w:tcW w:w="3760" w:type="dxa"/>
            <w:vAlign w:val="bottom"/>
            <w:gridSpan w:val="6"/>
          </w:tcPr>
          <w:p>
            <w:pPr>
              <w:spacing w:after="0"/>
              <w:rPr>
                <w:sz w:val="22"/>
                <w:szCs w:val="22"/>
                <w:color w:val="auto"/>
              </w:rPr>
            </w:pPr>
          </w:p>
        </w:tc>
        <w:tc>
          <w:tcPr>
            <w:tcW w:w="1520" w:type="dxa"/>
            <w:vAlign w:val="bottom"/>
            <w:gridSpan w:val="2"/>
          </w:tcPr>
          <w:p>
            <w:pPr>
              <w:jc w:val="right"/>
              <w:spacing w:after="0"/>
              <w:rPr>
                <w:rFonts w:ascii="Arial" w:cs="Arial" w:eastAsia="Arial" w:hAnsi="Arial"/>
                <w:sz w:val="18"/>
                <w:szCs w:val="18"/>
                <w:color w:val="0000FF"/>
              </w:rPr>
            </w:pPr>
            <w:hyperlink w:anchor="page31">
              <w:r>
                <w:rPr>
                  <w:rFonts w:ascii="Arial" w:cs="Arial" w:eastAsia="Arial" w:hAnsi="Arial"/>
                  <w:sz w:val="18"/>
                  <w:szCs w:val="18"/>
                  <w:color w:val="0000FF"/>
                </w:rPr>
                <w:t>31</w:t>
              </w:r>
            </w:hyperlink>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gridSpan w:val="2"/>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3760" w:type="dxa"/>
            <w:vAlign w:val="bottom"/>
            <w:gridSpan w:val="6"/>
          </w:tcPr>
          <w:p>
            <w:pPr>
              <w:spacing w:after="0" w:line="20" w:lineRule="exact"/>
              <w:rPr>
                <w:sz w:val="1"/>
                <w:szCs w:val="1"/>
                <w:color w:val="auto"/>
              </w:rPr>
            </w:pPr>
          </w:p>
        </w:tc>
        <w:tc>
          <w:tcPr>
            <w:tcW w:w="142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2580" w:type="dxa"/>
            <w:vAlign w:val="bottom"/>
            <w:gridSpan w:val="7"/>
          </w:tcPr>
          <w:p>
            <w:pPr>
              <w:spacing w:after="0"/>
              <w:rPr>
                <w:rFonts w:ascii="Arial" w:cs="Arial" w:eastAsia="Arial" w:hAnsi="Arial"/>
                <w:sz w:val="18"/>
                <w:szCs w:val="18"/>
                <w:color w:val="0000FF"/>
                <w:w w:val="95"/>
              </w:rPr>
            </w:pPr>
            <w:hyperlink w:anchor="page31">
              <w:r>
                <w:rPr>
                  <w:rFonts w:ascii="Arial" w:cs="Arial" w:eastAsia="Arial" w:hAnsi="Arial"/>
                  <w:sz w:val="18"/>
                  <w:szCs w:val="18"/>
                  <w:color w:val="0000FF"/>
                  <w:w w:val="95"/>
                </w:rPr>
                <w:t>PART II. OTHER INFORMATION</w:t>
              </w:r>
            </w:hyperlink>
          </w:p>
        </w:tc>
        <w:tc>
          <w:tcPr>
            <w:tcW w:w="7080" w:type="dxa"/>
            <w:vAlign w:val="bottom"/>
            <w:gridSpan w:val="12"/>
          </w:tcPr>
          <w:p>
            <w:pPr>
              <w:spacing w:after="0"/>
              <w:rPr>
                <w:sz w:val="22"/>
                <w:szCs w:val="22"/>
                <w:color w:val="auto"/>
              </w:rPr>
            </w:pPr>
          </w:p>
        </w:tc>
        <w:tc>
          <w:tcPr>
            <w:tcW w:w="1520" w:type="dxa"/>
            <w:vAlign w:val="bottom"/>
            <w:gridSpan w:val="2"/>
          </w:tcPr>
          <w:p>
            <w:pPr>
              <w:jc w:val="right"/>
              <w:spacing w:after="0"/>
              <w:rPr>
                <w:rFonts w:ascii="Arial" w:cs="Arial" w:eastAsia="Arial" w:hAnsi="Arial"/>
                <w:sz w:val="18"/>
                <w:szCs w:val="18"/>
                <w:color w:val="0000FF"/>
              </w:rPr>
            </w:pPr>
            <w:hyperlink w:anchor="page31">
              <w:r>
                <w:rPr>
                  <w:rFonts w:ascii="Arial" w:cs="Arial" w:eastAsia="Arial" w:hAnsi="Arial"/>
                  <w:sz w:val="18"/>
                  <w:szCs w:val="18"/>
                  <w:color w:val="0000FF"/>
                </w:rPr>
                <w:t>32</w:t>
              </w:r>
            </w:hyperlink>
          </w:p>
        </w:tc>
      </w:tr>
      <w:tr>
        <w:trPr>
          <w:trHeight w:val="20"/>
        </w:trPr>
        <w:tc>
          <w:tcPr>
            <w:tcW w:w="20" w:type="dxa"/>
            <w:vAlign w:val="bottom"/>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3760" w:type="dxa"/>
            <w:vAlign w:val="bottom"/>
            <w:gridSpan w:val="6"/>
          </w:tcPr>
          <w:p>
            <w:pPr>
              <w:spacing w:after="0" w:line="20" w:lineRule="exact"/>
              <w:rPr>
                <w:sz w:val="1"/>
                <w:szCs w:val="1"/>
                <w:color w:val="auto"/>
              </w:rPr>
            </w:pPr>
          </w:p>
        </w:tc>
        <w:tc>
          <w:tcPr>
            <w:tcW w:w="142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1560" w:type="dxa"/>
            <w:vAlign w:val="bottom"/>
            <w:gridSpan w:val="3"/>
          </w:tcPr>
          <w:p>
            <w:pPr>
              <w:ind w:left="200"/>
              <w:spacing w:after="0"/>
              <w:rPr>
                <w:sz w:val="20"/>
                <w:szCs w:val="20"/>
                <w:color w:val="auto"/>
              </w:rPr>
            </w:pPr>
            <w:r>
              <w:rPr>
                <w:rFonts w:ascii="Arial" w:cs="Arial" w:eastAsia="Arial" w:hAnsi="Arial"/>
                <w:sz w:val="18"/>
                <w:szCs w:val="18"/>
                <w:color w:val="auto"/>
              </w:rPr>
              <w:t>Item 1.</w:t>
            </w:r>
          </w:p>
        </w:tc>
        <w:tc>
          <w:tcPr>
            <w:tcW w:w="1320" w:type="dxa"/>
            <w:vAlign w:val="bottom"/>
            <w:gridSpan w:val="5"/>
          </w:tcPr>
          <w:p>
            <w:pPr>
              <w:spacing w:after="0"/>
              <w:rPr>
                <w:rFonts w:ascii="Arial" w:cs="Arial" w:eastAsia="Arial" w:hAnsi="Arial"/>
                <w:sz w:val="18"/>
                <w:szCs w:val="18"/>
                <w:color w:val="0000FF"/>
                <w:w w:val="85"/>
              </w:rPr>
            </w:pPr>
            <w:hyperlink w:anchor="page32">
              <w:r>
                <w:rPr>
                  <w:rFonts w:ascii="Arial" w:cs="Arial" w:eastAsia="Arial" w:hAnsi="Arial"/>
                  <w:sz w:val="18"/>
                  <w:szCs w:val="18"/>
                  <w:color w:val="0000FF"/>
                  <w:w w:val="85"/>
                </w:rPr>
                <w:t>Legal Proceedings</w:t>
              </w:r>
            </w:hyperlink>
          </w:p>
        </w:tc>
        <w:tc>
          <w:tcPr>
            <w:tcW w:w="6780" w:type="dxa"/>
            <w:vAlign w:val="bottom"/>
            <w:gridSpan w:val="11"/>
          </w:tcPr>
          <w:p>
            <w:pPr>
              <w:spacing w:after="0"/>
              <w:rPr>
                <w:sz w:val="22"/>
                <w:szCs w:val="22"/>
                <w:color w:val="auto"/>
              </w:rPr>
            </w:pPr>
          </w:p>
        </w:tc>
        <w:tc>
          <w:tcPr>
            <w:tcW w:w="1520" w:type="dxa"/>
            <w:vAlign w:val="bottom"/>
            <w:gridSpan w:val="2"/>
          </w:tcPr>
          <w:p>
            <w:pPr>
              <w:jc w:val="right"/>
              <w:spacing w:after="0"/>
              <w:rPr>
                <w:rFonts w:ascii="Arial" w:cs="Arial" w:eastAsia="Arial" w:hAnsi="Arial"/>
                <w:sz w:val="18"/>
                <w:szCs w:val="18"/>
                <w:color w:val="0000FF"/>
              </w:rPr>
            </w:pPr>
            <w:hyperlink w:anchor="page32">
              <w:r>
                <w:rPr>
                  <w:rFonts w:ascii="Arial" w:cs="Arial" w:eastAsia="Arial" w:hAnsi="Arial"/>
                  <w:sz w:val="18"/>
                  <w:szCs w:val="18"/>
                  <w:color w:val="0000FF"/>
                </w:rPr>
                <w:t>32</w:t>
              </w:r>
            </w:hyperlink>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2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1560" w:type="dxa"/>
            <w:vAlign w:val="bottom"/>
            <w:gridSpan w:val="3"/>
          </w:tcPr>
          <w:p>
            <w:pPr>
              <w:ind w:left="200"/>
              <w:spacing w:after="0"/>
              <w:rPr>
                <w:sz w:val="20"/>
                <w:szCs w:val="20"/>
                <w:color w:val="auto"/>
              </w:rPr>
            </w:pPr>
            <w:r>
              <w:rPr>
                <w:rFonts w:ascii="Arial" w:cs="Arial" w:eastAsia="Arial" w:hAnsi="Arial"/>
                <w:sz w:val="18"/>
                <w:szCs w:val="18"/>
                <w:color w:val="auto"/>
              </w:rPr>
              <w:t>Item 1A.</w:t>
            </w:r>
          </w:p>
        </w:tc>
        <w:tc>
          <w:tcPr>
            <w:tcW w:w="1320" w:type="dxa"/>
            <w:vAlign w:val="bottom"/>
            <w:gridSpan w:val="5"/>
          </w:tcPr>
          <w:p>
            <w:pPr>
              <w:spacing w:after="0"/>
              <w:rPr>
                <w:rFonts w:ascii="Arial" w:cs="Arial" w:eastAsia="Arial" w:hAnsi="Arial"/>
                <w:sz w:val="18"/>
                <w:szCs w:val="18"/>
                <w:color w:val="0000FF"/>
              </w:rPr>
            </w:pPr>
            <w:hyperlink w:anchor="page32">
              <w:r>
                <w:rPr>
                  <w:rFonts w:ascii="Arial" w:cs="Arial" w:eastAsia="Arial" w:hAnsi="Arial"/>
                  <w:sz w:val="18"/>
                  <w:szCs w:val="18"/>
                  <w:color w:val="0000FF"/>
                </w:rPr>
                <w:t>Risk Factors</w:t>
              </w:r>
            </w:hyperlink>
          </w:p>
        </w:tc>
        <w:tc>
          <w:tcPr>
            <w:tcW w:w="6780" w:type="dxa"/>
            <w:vAlign w:val="bottom"/>
            <w:gridSpan w:val="11"/>
          </w:tcPr>
          <w:p>
            <w:pPr>
              <w:spacing w:after="0"/>
              <w:rPr>
                <w:sz w:val="22"/>
                <w:szCs w:val="22"/>
                <w:color w:val="auto"/>
              </w:rPr>
            </w:pPr>
          </w:p>
        </w:tc>
        <w:tc>
          <w:tcPr>
            <w:tcW w:w="1520" w:type="dxa"/>
            <w:vAlign w:val="bottom"/>
            <w:gridSpan w:val="2"/>
          </w:tcPr>
          <w:p>
            <w:pPr>
              <w:jc w:val="right"/>
              <w:spacing w:after="0"/>
              <w:rPr>
                <w:rFonts w:ascii="Arial" w:cs="Arial" w:eastAsia="Arial" w:hAnsi="Arial"/>
                <w:sz w:val="18"/>
                <w:szCs w:val="18"/>
                <w:color w:val="0000FF"/>
              </w:rPr>
            </w:pPr>
            <w:hyperlink w:anchor="page32">
              <w:r>
                <w:rPr>
                  <w:rFonts w:ascii="Arial" w:cs="Arial" w:eastAsia="Arial" w:hAnsi="Arial"/>
                  <w:sz w:val="18"/>
                  <w:szCs w:val="18"/>
                  <w:color w:val="0000FF"/>
                </w:rPr>
                <w:t>32</w:t>
              </w:r>
            </w:hyperlink>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3760" w:type="dxa"/>
            <w:vAlign w:val="bottom"/>
            <w:gridSpan w:val="6"/>
          </w:tcPr>
          <w:p>
            <w:pPr>
              <w:spacing w:after="0" w:line="20" w:lineRule="exact"/>
              <w:rPr>
                <w:sz w:val="1"/>
                <w:szCs w:val="1"/>
                <w:color w:val="auto"/>
              </w:rPr>
            </w:pPr>
          </w:p>
        </w:tc>
        <w:tc>
          <w:tcPr>
            <w:tcW w:w="142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560" w:type="dxa"/>
            <w:vAlign w:val="bottom"/>
            <w:gridSpan w:val="3"/>
          </w:tcPr>
          <w:p>
            <w:pPr>
              <w:ind w:left="200"/>
              <w:spacing w:after="0"/>
              <w:rPr>
                <w:sz w:val="20"/>
                <w:szCs w:val="20"/>
                <w:color w:val="auto"/>
              </w:rPr>
            </w:pPr>
            <w:r>
              <w:rPr>
                <w:rFonts w:ascii="Arial" w:cs="Arial" w:eastAsia="Arial" w:hAnsi="Arial"/>
                <w:sz w:val="18"/>
                <w:szCs w:val="18"/>
                <w:color w:val="auto"/>
              </w:rPr>
              <w:t>Item 2.</w:t>
            </w:r>
          </w:p>
        </w:tc>
        <w:tc>
          <w:tcPr>
            <w:tcW w:w="8100" w:type="dxa"/>
            <w:vAlign w:val="bottom"/>
            <w:gridSpan w:val="16"/>
          </w:tcPr>
          <w:p>
            <w:pPr>
              <w:spacing w:after="0"/>
              <w:rPr>
                <w:rFonts w:ascii="Arial" w:cs="Arial" w:eastAsia="Arial" w:hAnsi="Arial"/>
                <w:sz w:val="18"/>
                <w:szCs w:val="18"/>
                <w:color w:val="0000FF"/>
              </w:rPr>
            </w:pPr>
            <w:hyperlink w:anchor="page32">
              <w:r>
                <w:rPr>
                  <w:rFonts w:ascii="Arial" w:cs="Arial" w:eastAsia="Arial" w:hAnsi="Arial"/>
                  <w:sz w:val="18"/>
                  <w:szCs w:val="18"/>
                  <w:color w:val="0000FF"/>
                </w:rPr>
                <w:t>Unregistered Sales of Equity Securities and Use of Proceeds</w:t>
              </w:r>
            </w:hyperlink>
          </w:p>
        </w:tc>
        <w:tc>
          <w:tcPr>
            <w:tcW w:w="1520" w:type="dxa"/>
            <w:vAlign w:val="bottom"/>
            <w:gridSpan w:val="2"/>
          </w:tcPr>
          <w:p>
            <w:pPr>
              <w:jc w:val="right"/>
              <w:spacing w:after="0"/>
              <w:rPr>
                <w:rFonts w:ascii="Arial" w:cs="Arial" w:eastAsia="Arial" w:hAnsi="Arial"/>
                <w:sz w:val="18"/>
                <w:szCs w:val="18"/>
                <w:color w:val="0000FF"/>
              </w:rPr>
            </w:pPr>
            <w:hyperlink w:anchor="page32">
              <w:r>
                <w:rPr>
                  <w:rFonts w:ascii="Arial" w:cs="Arial" w:eastAsia="Arial" w:hAnsi="Arial"/>
                  <w:sz w:val="18"/>
                  <w:szCs w:val="18"/>
                  <w:color w:val="0000FF"/>
                </w:rPr>
                <w:t>32</w:t>
              </w:r>
            </w:hyperlink>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7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2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560" w:type="dxa"/>
            <w:vAlign w:val="bottom"/>
            <w:gridSpan w:val="3"/>
          </w:tcPr>
          <w:p>
            <w:pPr>
              <w:ind w:left="200"/>
              <w:spacing w:after="0"/>
              <w:rPr>
                <w:sz w:val="20"/>
                <w:szCs w:val="20"/>
                <w:color w:val="auto"/>
              </w:rPr>
            </w:pPr>
            <w:r>
              <w:rPr>
                <w:rFonts w:ascii="Arial" w:cs="Arial" w:eastAsia="Arial" w:hAnsi="Arial"/>
                <w:sz w:val="18"/>
                <w:szCs w:val="18"/>
                <w:color w:val="auto"/>
              </w:rPr>
              <w:t>Item 3.</w:t>
            </w:r>
          </w:p>
        </w:tc>
        <w:tc>
          <w:tcPr>
            <w:tcW w:w="4340" w:type="dxa"/>
            <w:vAlign w:val="bottom"/>
            <w:gridSpan w:val="10"/>
          </w:tcPr>
          <w:p>
            <w:pPr>
              <w:spacing w:after="0"/>
              <w:rPr>
                <w:rFonts w:ascii="Arial" w:cs="Arial" w:eastAsia="Arial" w:hAnsi="Arial"/>
                <w:sz w:val="18"/>
                <w:szCs w:val="18"/>
                <w:color w:val="0000FF"/>
              </w:rPr>
            </w:pPr>
            <w:hyperlink w:anchor="page32">
              <w:r>
                <w:rPr>
                  <w:rFonts w:ascii="Arial" w:cs="Arial" w:eastAsia="Arial" w:hAnsi="Arial"/>
                  <w:sz w:val="18"/>
                  <w:szCs w:val="18"/>
                  <w:color w:val="0000FF"/>
                </w:rPr>
                <w:t xml:space="preserve">Defaults </w:t>
              </w:r>
            </w:hyperlink>
            <w:r>
              <w:rPr>
                <w:rFonts w:ascii="Arial" w:cs="Arial" w:eastAsia="Arial" w:hAnsi="Arial"/>
                <w:sz w:val="18"/>
                <w:szCs w:val="18"/>
                <w:color w:val="0000FF"/>
              </w:rPr>
              <w:t xml:space="preserve">Upon </w:t>
            </w:r>
            <w:hyperlink w:anchor="page32">
              <w:r>
                <w:rPr>
                  <w:rFonts w:ascii="Arial" w:cs="Arial" w:eastAsia="Arial" w:hAnsi="Arial"/>
                  <w:sz w:val="18"/>
                  <w:szCs w:val="18"/>
                  <w:color w:val="0000FF"/>
                </w:rPr>
                <w:t>Senior Securities</w:t>
              </w:r>
            </w:hyperlink>
          </w:p>
        </w:tc>
        <w:tc>
          <w:tcPr>
            <w:tcW w:w="3760" w:type="dxa"/>
            <w:vAlign w:val="bottom"/>
            <w:gridSpan w:val="6"/>
          </w:tcPr>
          <w:p>
            <w:pPr>
              <w:spacing w:after="0"/>
              <w:rPr>
                <w:sz w:val="18"/>
                <w:szCs w:val="18"/>
                <w:color w:val="auto"/>
              </w:rPr>
            </w:pPr>
          </w:p>
        </w:tc>
        <w:tc>
          <w:tcPr>
            <w:tcW w:w="1520" w:type="dxa"/>
            <w:vAlign w:val="bottom"/>
            <w:gridSpan w:val="2"/>
          </w:tcPr>
          <w:p>
            <w:pPr>
              <w:jc w:val="right"/>
              <w:spacing w:after="0"/>
              <w:rPr>
                <w:rFonts w:ascii="Arial" w:cs="Arial" w:eastAsia="Arial" w:hAnsi="Arial"/>
                <w:sz w:val="18"/>
                <w:szCs w:val="18"/>
                <w:color w:val="0000FF"/>
              </w:rPr>
            </w:pPr>
            <w:hyperlink w:anchor="page32">
              <w:r>
                <w:rPr>
                  <w:rFonts w:ascii="Arial" w:cs="Arial" w:eastAsia="Arial" w:hAnsi="Arial"/>
                  <w:sz w:val="18"/>
                  <w:szCs w:val="18"/>
                  <w:color w:val="0000FF"/>
                </w:rPr>
                <w:t>32</w:t>
              </w:r>
            </w:hyperlink>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2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560" w:type="dxa"/>
            <w:vAlign w:val="bottom"/>
            <w:gridSpan w:val="3"/>
          </w:tcPr>
          <w:p>
            <w:pPr>
              <w:ind w:left="200"/>
              <w:spacing w:after="0"/>
              <w:rPr>
                <w:sz w:val="20"/>
                <w:szCs w:val="20"/>
                <w:color w:val="auto"/>
              </w:rPr>
            </w:pPr>
            <w:r>
              <w:rPr>
                <w:rFonts w:ascii="Arial" w:cs="Arial" w:eastAsia="Arial" w:hAnsi="Arial"/>
                <w:sz w:val="18"/>
                <w:szCs w:val="18"/>
                <w:color w:val="auto"/>
              </w:rPr>
              <w:t>Item 4.</w:t>
            </w:r>
          </w:p>
        </w:tc>
        <w:tc>
          <w:tcPr>
            <w:tcW w:w="2320" w:type="dxa"/>
            <w:vAlign w:val="bottom"/>
            <w:gridSpan w:val="8"/>
          </w:tcPr>
          <w:p>
            <w:pPr>
              <w:spacing w:after="0"/>
              <w:rPr>
                <w:rFonts w:ascii="Arial" w:cs="Arial" w:eastAsia="Arial" w:hAnsi="Arial"/>
                <w:sz w:val="18"/>
                <w:szCs w:val="18"/>
                <w:color w:val="0000FF"/>
              </w:rPr>
            </w:pPr>
            <w:hyperlink w:anchor="page32">
              <w:r>
                <w:rPr>
                  <w:rFonts w:ascii="Arial" w:cs="Arial" w:eastAsia="Arial" w:hAnsi="Arial"/>
                  <w:sz w:val="18"/>
                  <w:szCs w:val="18"/>
                  <w:color w:val="0000FF"/>
                </w:rPr>
                <w:t>Mine Safety Disclosures</w:t>
              </w:r>
            </w:hyperlink>
          </w:p>
        </w:tc>
        <w:tc>
          <w:tcPr>
            <w:tcW w:w="5780" w:type="dxa"/>
            <w:vAlign w:val="bottom"/>
            <w:gridSpan w:val="8"/>
          </w:tcPr>
          <w:p>
            <w:pPr>
              <w:spacing w:after="0"/>
              <w:rPr>
                <w:sz w:val="18"/>
                <w:szCs w:val="18"/>
                <w:color w:val="auto"/>
              </w:rPr>
            </w:pPr>
          </w:p>
        </w:tc>
        <w:tc>
          <w:tcPr>
            <w:tcW w:w="1520" w:type="dxa"/>
            <w:vAlign w:val="bottom"/>
            <w:gridSpan w:val="2"/>
          </w:tcPr>
          <w:p>
            <w:pPr>
              <w:jc w:val="right"/>
              <w:spacing w:after="0"/>
              <w:rPr>
                <w:rFonts w:ascii="Arial" w:cs="Arial" w:eastAsia="Arial" w:hAnsi="Arial"/>
                <w:sz w:val="18"/>
                <w:szCs w:val="18"/>
                <w:color w:val="0000FF"/>
              </w:rPr>
            </w:pPr>
            <w:hyperlink w:anchor="page32">
              <w:r>
                <w:rPr>
                  <w:rFonts w:ascii="Arial" w:cs="Arial" w:eastAsia="Arial" w:hAnsi="Arial"/>
                  <w:sz w:val="18"/>
                  <w:szCs w:val="18"/>
                  <w:color w:val="0000FF"/>
                </w:rPr>
                <w:t>32</w:t>
              </w:r>
            </w:hyperlink>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440" w:type="dxa"/>
            <w:vAlign w:val="bottom"/>
            <w:tcBorders>
              <w:left w:val="single" w:sz="8" w:color="0000FF"/>
            </w:tcBorders>
            <w:gridSpan w:val="2"/>
            <w:shd w:val="clear" w:color="auto" w:fill="0000FF"/>
          </w:tcPr>
          <w:p>
            <w:pPr>
              <w:spacing w:after="0" w:line="20" w:lineRule="exact"/>
              <w:rPr>
                <w:sz w:val="1"/>
                <w:szCs w:val="1"/>
                <w:color w:val="auto"/>
              </w:rPr>
            </w:pPr>
          </w:p>
        </w:tc>
        <w:tc>
          <w:tcPr>
            <w:tcW w:w="6340" w:type="dxa"/>
            <w:vAlign w:val="bottom"/>
            <w:gridSpan w:val="9"/>
          </w:tcPr>
          <w:p>
            <w:pPr>
              <w:spacing w:after="0" w:line="20" w:lineRule="exact"/>
              <w:rPr>
                <w:sz w:val="1"/>
                <w:szCs w:val="1"/>
                <w:color w:val="auto"/>
              </w:rPr>
            </w:pPr>
          </w:p>
        </w:tc>
        <w:tc>
          <w:tcPr>
            <w:tcW w:w="142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560" w:type="dxa"/>
            <w:vAlign w:val="bottom"/>
            <w:gridSpan w:val="3"/>
          </w:tcPr>
          <w:p>
            <w:pPr>
              <w:ind w:left="200"/>
              <w:spacing w:after="0"/>
              <w:rPr>
                <w:sz w:val="20"/>
                <w:szCs w:val="20"/>
                <w:color w:val="auto"/>
              </w:rPr>
            </w:pPr>
            <w:r>
              <w:rPr>
                <w:rFonts w:ascii="Arial" w:cs="Arial" w:eastAsia="Arial" w:hAnsi="Arial"/>
                <w:sz w:val="18"/>
                <w:szCs w:val="18"/>
                <w:color w:val="auto"/>
              </w:rPr>
              <w:t>Item 5.</w:t>
            </w:r>
          </w:p>
        </w:tc>
        <w:tc>
          <w:tcPr>
            <w:tcW w:w="1320" w:type="dxa"/>
            <w:vAlign w:val="bottom"/>
            <w:gridSpan w:val="5"/>
          </w:tcPr>
          <w:p>
            <w:pPr>
              <w:spacing w:after="0"/>
              <w:rPr>
                <w:rFonts w:ascii="Arial" w:cs="Arial" w:eastAsia="Arial" w:hAnsi="Arial"/>
                <w:sz w:val="18"/>
                <w:szCs w:val="18"/>
                <w:color w:val="0000FF"/>
                <w:w w:val="91"/>
              </w:rPr>
            </w:pPr>
            <w:hyperlink w:anchor="page32">
              <w:r>
                <w:rPr>
                  <w:rFonts w:ascii="Arial" w:cs="Arial" w:eastAsia="Arial" w:hAnsi="Arial"/>
                  <w:sz w:val="18"/>
                  <w:szCs w:val="18"/>
                  <w:color w:val="0000FF"/>
                  <w:w w:val="91"/>
                </w:rPr>
                <w:t>Other Information</w:t>
              </w:r>
            </w:hyperlink>
          </w:p>
        </w:tc>
        <w:tc>
          <w:tcPr>
            <w:tcW w:w="440" w:type="dxa"/>
            <w:vAlign w:val="bottom"/>
            <w:gridSpan w:val="2"/>
          </w:tcPr>
          <w:p>
            <w:pPr>
              <w:spacing w:after="0"/>
              <w:rPr>
                <w:sz w:val="18"/>
                <w:szCs w:val="18"/>
                <w:color w:val="auto"/>
              </w:rPr>
            </w:pPr>
          </w:p>
        </w:tc>
        <w:tc>
          <w:tcPr>
            <w:tcW w:w="6340" w:type="dxa"/>
            <w:vAlign w:val="bottom"/>
            <w:gridSpan w:val="9"/>
          </w:tcPr>
          <w:p>
            <w:pPr>
              <w:spacing w:after="0"/>
              <w:rPr>
                <w:sz w:val="18"/>
                <w:szCs w:val="18"/>
                <w:color w:val="auto"/>
              </w:rPr>
            </w:pPr>
          </w:p>
        </w:tc>
        <w:tc>
          <w:tcPr>
            <w:tcW w:w="1520" w:type="dxa"/>
            <w:vAlign w:val="bottom"/>
            <w:gridSpan w:val="2"/>
          </w:tcPr>
          <w:p>
            <w:pPr>
              <w:jc w:val="right"/>
              <w:spacing w:after="0"/>
              <w:rPr>
                <w:rFonts w:ascii="Arial" w:cs="Arial" w:eastAsia="Arial" w:hAnsi="Arial"/>
                <w:sz w:val="18"/>
                <w:szCs w:val="18"/>
                <w:color w:val="0000FF"/>
              </w:rPr>
            </w:pPr>
            <w:hyperlink w:anchor="page32">
              <w:r>
                <w:rPr>
                  <w:rFonts w:ascii="Arial" w:cs="Arial" w:eastAsia="Arial" w:hAnsi="Arial"/>
                  <w:sz w:val="18"/>
                  <w:szCs w:val="18"/>
                  <w:color w:val="0000FF"/>
                </w:rPr>
                <w:t>32</w:t>
              </w:r>
            </w:hyperlink>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6780" w:type="dxa"/>
            <w:vAlign w:val="bottom"/>
            <w:gridSpan w:val="11"/>
          </w:tcPr>
          <w:p>
            <w:pPr>
              <w:spacing w:after="0" w:line="20" w:lineRule="exact"/>
              <w:rPr>
                <w:sz w:val="1"/>
                <w:szCs w:val="1"/>
                <w:color w:val="auto"/>
              </w:rPr>
            </w:pPr>
          </w:p>
        </w:tc>
        <w:tc>
          <w:tcPr>
            <w:tcW w:w="142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560" w:type="dxa"/>
            <w:vAlign w:val="bottom"/>
            <w:gridSpan w:val="3"/>
          </w:tcPr>
          <w:p>
            <w:pPr>
              <w:ind w:left="200"/>
              <w:spacing w:after="0"/>
              <w:rPr>
                <w:sz w:val="20"/>
                <w:szCs w:val="20"/>
                <w:color w:val="auto"/>
              </w:rPr>
            </w:pPr>
            <w:r>
              <w:rPr>
                <w:rFonts w:ascii="Arial" w:cs="Arial" w:eastAsia="Arial" w:hAnsi="Arial"/>
                <w:sz w:val="18"/>
                <w:szCs w:val="18"/>
                <w:color w:val="auto"/>
              </w:rPr>
              <w:t>Item 6.</w:t>
            </w:r>
          </w:p>
        </w:tc>
        <w:tc>
          <w:tcPr>
            <w:tcW w:w="600" w:type="dxa"/>
            <w:vAlign w:val="bottom"/>
            <w:gridSpan w:val="2"/>
          </w:tcPr>
          <w:p>
            <w:pPr>
              <w:spacing w:after="0"/>
              <w:rPr>
                <w:rFonts w:ascii="Arial" w:cs="Arial" w:eastAsia="Arial" w:hAnsi="Arial"/>
                <w:sz w:val="18"/>
                <w:szCs w:val="18"/>
                <w:color w:val="0000FF"/>
                <w:w w:val="91"/>
              </w:rPr>
            </w:pPr>
            <w:hyperlink w:anchor="page32">
              <w:r>
                <w:rPr>
                  <w:rFonts w:ascii="Arial" w:cs="Arial" w:eastAsia="Arial" w:hAnsi="Arial"/>
                  <w:sz w:val="18"/>
                  <w:szCs w:val="18"/>
                  <w:color w:val="0000FF"/>
                  <w:w w:val="91"/>
                </w:rPr>
                <w:t>Exhibits</w:t>
              </w:r>
            </w:hyperlink>
          </w:p>
        </w:tc>
        <w:tc>
          <w:tcPr>
            <w:tcW w:w="720" w:type="dxa"/>
            <w:vAlign w:val="bottom"/>
            <w:gridSpan w:val="3"/>
          </w:tcPr>
          <w:p>
            <w:pPr>
              <w:spacing w:after="0"/>
              <w:rPr>
                <w:sz w:val="18"/>
                <w:szCs w:val="18"/>
                <w:color w:val="auto"/>
              </w:rPr>
            </w:pPr>
          </w:p>
        </w:tc>
        <w:tc>
          <w:tcPr>
            <w:tcW w:w="6780" w:type="dxa"/>
            <w:vAlign w:val="bottom"/>
            <w:gridSpan w:val="11"/>
          </w:tcPr>
          <w:p>
            <w:pPr>
              <w:spacing w:after="0"/>
              <w:rPr>
                <w:sz w:val="18"/>
                <w:szCs w:val="18"/>
                <w:color w:val="auto"/>
              </w:rPr>
            </w:pPr>
          </w:p>
        </w:tc>
        <w:tc>
          <w:tcPr>
            <w:tcW w:w="1520" w:type="dxa"/>
            <w:vAlign w:val="bottom"/>
            <w:gridSpan w:val="2"/>
          </w:tcPr>
          <w:p>
            <w:pPr>
              <w:jc w:val="right"/>
              <w:spacing w:after="0"/>
              <w:rPr>
                <w:rFonts w:ascii="Arial" w:cs="Arial" w:eastAsia="Arial" w:hAnsi="Arial"/>
                <w:sz w:val="18"/>
                <w:szCs w:val="18"/>
                <w:color w:val="0000FF"/>
              </w:rPr>
            </w:pPr>
            <w:hyperlink w:anchor="page32">
              <w:r>
                <w:rPr>
                  <w:rFonts w:ascii="Arial" w:cs="Arial" w:eastAsia="Arial" w:hAnsi="Arial"/>
                  <w:sz w:val="18"/>
                  <w:szCs w:val="18"/>
                  <w:color w:val="0000FF"/>
                </w:rPr>
                <w:t>33</w:t>
              </w:r>
            </w:hyperlink>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2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560" w:type="dxa"/>
            <w:vAlign w:val="bottom"/>
            <w:gridSpan w:val="3"/>
          </w:tcPr>
          <w:p>
            <w:pPr>
              <w:spacing w:after="0"/>
              <w:rPr>
                <w:rFonts w:ascii="Arial" w:cs="Arial" w:eastAsia="Arial" w:hAnsi="Arial"/>
                <w:sz w:val="18"/>
                <w:szCs w:val="18"/>
                <w:color w:val="0000FF"/>
              </w:rPr>
            </w:pPr>
            <w:hyperlink w:anchor="page33">
              <w:r>
                <w:rPr>
                  <w:rFonts w:ascii="Arial" w:cs="Arial" w:eastAsia="Arial" w:hAnsi="Arial"/>
                  <w:sz w:val="18"/>
                  <w:szCs w:val="18"/>
                  <w:color w:val="0000FF"/>
                </w:rPr>
                <w:t>SIGNATURES</w:t>
              </w:r>
            </w:hyperlink>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520" w:type="dxa"/>
            <w:vAlign w:val="bottom"/>
            <w:gridSpan w:val="2"/>
          </w:tcPr>
          <w:p>
            <w:pPr>
              <w:jc w:val="right"/>
              <w:spacing w:after="0"/>
              <w:rPr>
                <w:rFonts w:ascii="Arial" w:cs="Arial" w:eastAsia="Arial" w:hAnsi="Arial"/>
                <w:sz w:val="18"/>
                <w:szCs w:val="18"/>
                <w:color w:val="0000FF"/>
              </w:rPr>
            </w:pPr>
            <w:hyperlink w:anchor="page33">
              <w:r>
                <w:rPr>
                  <w:rFonts w:ascii="Arial" w:cs="Arial" w:eastAsia="Arial" w:hAnsi="Arial"/>
                  <w:sz w:val="18"/>
                  <w:szCs w:val="18"/>
                  <w:color w:val="0000FF"/>
                </w:rPr>
                <w:t>34</w:t>
              </w:r>
            </w:hyperlink>
          </w:p>
        </w:tc>
      </w:tr>
      <w:tr>
        <w:trPr>
          <w:trHeight w:val="20"/>
        </w:trPr>
        <w:tc>
          <w:tcPr>
            <w:tcW w:w="20" w:type="dxa"/>
            <w:vAlign w:val="bottom"/>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2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16" w:right="379" w:bottom="1440" w:gutter="0" w:footer="0" w:header="0"/>
        </w:sectPr>
      </w:pPr>
    </w:p>
    <w:bookmarkStart w:id="2" w:name="page3"/>
    <w:bookmarkEnd w:id="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NN, Inc.</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and Comprehensive Income (Loss)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20" w:type="dxa"/>
            <w:vAlign w:val="bottom"/>
            <w:gridSpan w:val="4"/>
          </w:tcPr>
          <w:p>
            <w:pPr>
              <w:jc w:val="right"/>
              <w:ind w:right="748"/>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86"/>
        </w:trPr>
        <w:tc>
          <w:tcPr>
            <w:tcW w:w="82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jc w:val="right"/>
              <w:ind w:right="68"/>
              <w:spacing w:after="0"/>
              <w:rPr>
                <w:sz w:val="20"/>
                <w:szCs w:val="20"/>
                <w:color w:val="auto"/>
              </w:rPr>
            </w:pPr>
            <w:r>
              <w:rPr>
                <w:rFonts w:ascii="Arial" w:cs="Arial" w:eastAsia="Arial" w:hAnsi="Arial"/>
                <w:sz w:val="14"/>
                <w:szCs w:val="14"/>
                <w:b w:val="1"/>
                <w:bCs w:val="1"/>
                <w:color w:val="auto"/>
              </w:rPr>
              <w:t>March 31,</w:t>
            </w: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82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 except per share data)</w:t>
            </w: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84"/>
        </w:trPr>
        <w:tc>
          <w:tcPr>
            <w:tcW w:w="82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Net sales</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126,804</w:t>
            </w: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116,213</w:t>
            </w:r>
          </w:p>
        </w:tc>
        <w:tc>
          <w:tcPr>
            <w:tcW w:w="0" w:type="dxa"/>
            <w:vAlign w:val="bottom"/>
          </w:tcPr>
          <w:p>
            <w:pPr>
              <w:spacing w:after="0"/>
              <w:rPr>
                <w:sz w:val="1"/>
                <w:szCs w:val="1"/>
                <w:color w:val="auto"/>
              </w:rPr>
            </w:pPr>
          </w:p>
        </w:tc>
      </w:tr>
      <w:tr>
        <w:trPr>
          <w:trHeight w:val="186"/>
        </w:trPr>
        <w:tc>
          <w:tcPr>
            <w:tcW w:w="8280" w:type="dxa"/>
            <w:vAlign w:val="bottom"/>
          </w:tcPr>
          <w:p>
            <w:pPr>
              <w:ind w:left="360"/>
              <w:spacing w:after="0"/>
              <w:rPr>
                <w:sz w:val="20"/>
                <w:szCs w:val="20"/>
                <w:color w:val="auto"/>
              </w:rPr>
            </w:pPr>
            <w:r>
              <w:rPr>
                <w:rFonts w:ascii="Arial" w:cs="Arial" w:eastAsia="Arial" w:hAnsi="Arial"/>
                <w:sz w:val="14"/>
                <w:szCs w:val="14"/>
                <w:color w:val="auto"/>
              </w:rPr>
              <w:t>Cost of sales (exclusive of depreciation and amortization shown separately below)</w:t>
            </w: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99,688</w:t>
            </w: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94,478</w:t>
            </w:r>
          </w:p>
        </w:tc>
        <w:tc>
          <w:tcPr>
            <w:tcW w:w="0" w:type="dxa"/>
            <w:vAlign w:val="bottom"/>
          </w:tcPr>
          <w:p>
            <w:pPr>
              <w:spacing w:after="0"/>
              <w:rPr>
                <w:sz w:val="1"/>
                <w:szCs w:val="1"/>
                <w:color w:val="auto"/>
              </w:rPr>
            </w:pPr>
          </w:p>
        </w:tc>
      </w:tr>
      <w:tr>
        <w:trPr>
          <w:trHeight w:val="192"/>
        </w:trPr>
        <w:tc>
          <w:tcPr>
            <w:tcW w:w="82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Selling, general, and administrative expense</w:t>
            </w: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14,575</w:t>
            </w:r>
          </w:p>
        </w:tc>
        <w:tc>
          <w:tcPr>
            <w:tcW w:w="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16,160</w:t>
            </w:r>
          </w:p>
        </w:tc>
        <w:tc>
          <w:tcPr>
            <w:tcW w:w="0" w:type="dxa"/>
            <w:vAlign w:val="bottom"/>
          </w:tcPr>
          <w:p>
            <w:pPr>
              <w:spacing w:after="0"/>
              <w:rPr>
                <w:sz w:val="1"/>
                <w:szCs w:val="1"/>
                <w:color w:val="auto"/>
              </w:rPr>
            </w:pPr>
          </w:p>
        </w:tc>
      </w:tr>
      <w:tr>
        <w:trPr>
          <w:trHeight w:val="186"/>
        </w:trPr>
        <w:tc>
          <w:tcPr>
            <w:tcW w:w="8280" w:type="dxa"/>
            <w:vAlign w:val="bottom"/>
          </w:tcPr>
          <w:p>
            <w:pPr>
              <w:ind w:left="360"/>
              <w:spacing w:after="0"/>
              <w:rPr>
                <w:sz w:val="20"/>
                <w:szCs w:val="20"/>
                <w:color w:val="auto"/>
              </w:rPr>
            </w:pPr>
            <w:r>
              <w:rPr>
                <w:rFonts w:ascii="Arial" w:cs="Arial" w:eastAsia="Arial" w:hAnsi="Arial"/>
                <w:sz w:val="14"/>
                <w:szCs w:val="14"/>
                <w:color w:val="auto"/>
              </w:rPr>
              <w:t>Depreciation and amortization</w:t>
            </w: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11,568</w:t>
            </w: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11,357</w:t>
            </w:r>
          </w:p>
        </w:tc>
        <w:tc>
          <w:tcPr>
            <w:tcW w:w="0" w:type="dxa"/>
            <w:vAlign w:val="bottom"/>
          </w:tcPr>
          <w:p>
            <w:pPr>
              <w:spacing w:after="0"/>
              <w:rPr>
                <w:sz w:val="1"/>
                <w:szCs w:val="1"/>
                <w:color w:val="auto"/>
              </w:rPr>
            </w:pPr>
          </w:p>
        </w:tc>
      </w:tr>
      <w:tr>
        <w:trPr>
          <w:trHeight w:val="192"/>
        </w:trPr>
        <w:tc>
          <w:tcPr>
            <w:tcW w:w="82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Goodwill impairment</w:t>
            </w:r>
          </w:p>
        </w:tc>
        <w:tc>
          <w:tcPr>
            <w:tcW w:w="34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92,942</w:t>
            </w:r>
          </w:p>
        </w:tc>
        <w:tc>
          <w:tcPr>
            <w:tcW w:w="0" w:type="dxa"/>
            <w:vAlign w:val="bottom"/>
          </w:tcPr>
          <w:p>
            <w:pPr>
              <w:spacing w:after="0"/>
              <w:rPr>
                <w:sz w:val="1"/>
                <w:szCs w:val="1"/>
                <w:color w:val="auto"/>
              </w:rPr>
            </w:pPr>
          </w:p>
        </w:tc>
      </w:tr>
      <w:tr>
        <w:trPr>
          <w:trHeight w:val="186"/>
        </w:trPr>
        <w:tc>
          <w:tcPr>
            <w:tcW w:w="8280" w:type="dxa"/>
            <w:vAlign w:val="bottom"/>
            <w:tcBorders>
              <w:bottom w:val="single" w:sz="8" w:color="CCEEFF"/>
            </w:tcBorders>
          </w:tcPr>
          <w:p>
            <w:pPr>
              <w:ind w:left="360"/>
              <w:spacing w:after="0"/>
              <w:rPr>
                <w:sz w:val="20"/>
                <w:szCs w:val="20"/>
                <w:color w:val="auto"/>
              </w:rPr>
            </w:pPr>
            <w:r>
              <w:rPr>
                <w:rFonts w:ascii="Arial" w:cs="Arial" w:eastAsia="Arial" w:hAnsi="Arial"/>
                <w:sz w:val="14"/>
                <w:szCs w:val="14"/>
                <w:color w:val="auto"/>
              </w:rPr>
              <w:t>Other operating expense (income), net</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w:t>
            </w:r>
          </w:p>
        </w:tc>
        <w:tc>
          <w:tcPr>
            <w:tcW w:w="8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5,126</w:t>
            </w:r>
          </w:p>
        </w:tc>
        <w:tc>
          <w:tcPr>
            <w:tcW w:w="0" w:type="dxa"/>
            <w:vAlign w:val="bottom"/>
          </w:tcPr>
          <w:p>
            <w:pPr>
              <w:spacing w:after="0"/>
              <w:rPr>
                <w:sz w:val="1"/>
                <w:szCs w:val="1"/>
                <w:color w:val="auto"/>
              </w:rPr>
            </w:pPr>
          </w:p>
        </w:tc>
      </w:tr>
      <w:tr>
        <w:trPr>
          <w:trHeight w:val="186"/>
        </w:trPr>
        <w:tc>
          <w:tcPr>
            <w:tcW w:w="8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Income (loss) from operations</w:t>
            </w: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978</w:t>
            </w:r>
          </w:p>
        </w:tc>
        <w:tc>
          <w:tcPr>
            <w:tcW w:w="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(103,850)</w:t>
            </w:r>
          </w:p>
        </w:tc>
        <w:tc>
          <w:tcPr>
            <w:tcW w:w="0" w:type="dxa"/>
            <w:vAlign w:val="bottom"/>
          </w:tcPr>
          <w:p>
            <w:pPr>
              <w:spacing w:after="0"/>
              <w:rPr>
                <w:sz w:val="1"/>
                <w:szCs w:val="1"/>
                <w:color w:val="auto"/>
              </w:rPr>
            </w:pPr>
          </w:p>
        </w:tc>
      </w:tr>
      <w:tr>
        <w:trPr>
          <w:trHeight w:val="186"/>
        </w:trPr>
        <w:tc>
          <w:tcPr>
            <w:tcW w:w="8280" w:type="dxa"/>
            <w:vAlign w:val="bottom"/>
          </w:tcPr>
          <w:p>
            <w:pPr>
              <w:ind w:left="360"/>
              <w:spacing w:after="0"/>
              <w:rPr>
                <w:sz w:val="20"/>
                <w:szCs w:val="20"/>
                <w:color w:val="auto"/>
              </w:rPr>
            </w:pPr>
            <w:r>
              <w:rPr>
                <w:rFonts w:ascii="Arial" w:cs="Arial" w:eastAsia="Arial" w:hAnsi="Arial"/>
                <w:sz w:val="14"/>
                <w:szCs w:val="14"/>
                <w:color w:val="auto"/>
              </w:rPr>
              <w:t>Interest expense</w:t>
            </w: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2,024</w:t>
            </w: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3,807</w:t>
            </w:r>
          </w:p>
        </w:tc>
        <w:tc>
          <w:tcPr>
            <w:tcW w:w="0" w:type="dxa"/>
            <w:vAlign w:val="bottom"/>
          </w:tcPr>
          <w:p>
            <w:pPr>
              <w:spacing w:after="0"/>
              <w:rPr>
                <w:sz w:val="1"/>
                <w:szCs w:val="1"/>
                <w:color w:val="auto"/>
              </w:rPr>
            </w:pPr>
          </w:p>
        </w:tc>
      </w:tr>
      <w:tr>
        <w:trPr>
          <w:trHeight w:val="192"/>
        </w:trPr>
        <w:tc>
          <w:tcPr>
            <w:tcW w:w="82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Loss on extinguishment of debt and write-off of debt issuance costs</w:t>
            </w: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2,390</w:t>
            </w:r>
          </w:p>
        </w:tc>
        <w:tc>
          <w:tcPr>
            <w:tcW w:w="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8280" w:type="dxa"/>
            <w:vAlign w:val="bottom"/>
          </w:tcPr>
          <w:p>
            <w:pPr>
              <w:ind w:left="360"/>
              <w:spacing w:after="0"/>
              <w:rPr>
                <w:sz w:val="20"/>
                <w:szCs w:val="20"/>
                <w:color w:val="auto"/>
              </w:rPr>
            </w:pPr>
            <w:r>
              <w:rPr>
                <w:rFonts w:ascii="Arial" w:cs="Arial" w:eastAsia="Arial" w:hAnsi="Arial"/>
                <w:sz w:val="14"/>
                <w:szCs w:val="14"/>
                <w:color w:val="auto"/>
              </w:rPr>
              <w:t>Derivative payments on interest rate swap</w:t>
            </w: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1,717</w:t>
            </w: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82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Loss on interest rate swap</w:t>
            </w: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2,033</w:t>
            </w:r>
          </w:p>
        </w:tc>
        <w:tc>
          <w:tcPr>
            <w:tcW w:w="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8280" w:type="dxa"/>
            <w:vAlign w:val="bottom"/>
            <w:tcBorders>
              <w:bottom w:val="single" w:sz="8" w:color="CCEEFF"/>
            </w:tcBorders>
          </w:tcPr>
          <w:p>
            <w:pPr>
              <w:ind w:left="360"/>
              <w:spacing w:after="0"/>
              <w:rPr>
                <w:sz w:val="20"/>
                <w:szCs w:val="20"/>
                <w:color w:val="auto"/>
              </w:rPr>
            </w:pPr>
            <w:r>
              <w:rPr>
                <w:rFonts w:ascii="Arial" w:cs="Arial" w:eastAsia="Arial" w:hAnsi="Arial"/>
                <w:sz w:val="14"/>
                <w:szCs w:val="14"/>
                <w:color w:val="auto"/>
              </w:rPr>
              <w:t>Other expense (income), net</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(122)</w:t>
            </w:r>
          </w:p>
        </w:tc>
        <w:tc>
          <w:tcPr>
            <w:tcW w:w="8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1,544</w:t>
            </w:r>
          </w:p>
        </w:tc>
        <w:tc>
          <w:tcPr>
            <w:tcW w:w="0" w:type="dxa"/>
            <w:vAlign w:val="bottom"/>
          </w:tcPr>
          <w:p>
            <w:pPr>
              <w:spacing w:after="0"/>
              <w:rPr>
                <w:sz w:val="1"/>
                <w:szCs w:val="1"/>
                <w:color w:val="auto"/>
              </w:rPr>
            </w:pPr>
          </w:p>
        </w:tc>
      </w:tr>
      <w:tr>
        <w:trPr>
          <w:trHeight w:val="186"/>
        </w:trPr>
        <w:tc>
          <w:tcPr>
            <w:tcW w:w="8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Loss from continuing operations before benefit for income taxes and share of net income (loss) from joint venture</w:t>
            </w: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(7,064)</w:t>
            </w:r>
          </w:p>
        </w:tc>
        <w:tc>
          <w:tcPr>
            <w:tcW w:w="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(109,201)</w:t>
            </w:r>
          </w:p>
        </w:tc>
        <w:tc>
          <w:tcPr>
            <w:tcW w:w="0" w:type="dxa"/>
            <w:vAlign w:val="bottom"/>
          </w:tcPr>
          <w:p>
            <w:pPr>
              <w:spacing w:after="0"/>
              <w:rPr>
                <w:sz w:val="1"/>
                <w:szCs w:val="1"/>
                <w:color w:val="auto"/>
              </w:rPr>
            </w:pPr>
          </w:p>
        </w:tc>
      </w:tr>
      <w:tr>
        <w:trPr>
          <w:trHeight w:val="186"/>
        </w:trPr>
        <w:tc>
          <w:tcPr>
            <w:tcW w:w="8280" w:type="dxa"/>
            <w:vAlign w:val="bottom"/>
          </w:tcPr>
          <w:p>
            <w:pPr>
              <w:ind w:left="360"/>
              <w:spacing w:after="0"/>
              <w:rPr>
                <w:sz w:val="20"/>
                <w:szCs w:val="20"/>
                <w:color w:val="auto"/>
              </w:rPr>
            </w:pPr>
            <w:r>
              <w:rPr>
                <w:rFonts w:ascii="Arial" w:cs="Arial" w:eastAsia="Arial" w:hAnsi="Arial"/>
                <w:sz w:val="14"/>
                <w:szCs w:val="14"/>
                <w:color w:val="auto"/>
              </w:rPr>
              <w:t>Benefit for income taxes</w:t>
            </w: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756</w:t>
            </w: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1,395</w:t>
            </w:r>
          </w:p>
        </w:tc>
        <w:tc>
          <w:tcPr>
            <w:tcW w:w="0" w:type="dxa"/>
            <w:vAlign w:val="bottom"/>
          </w:tcPr>
          <w:p>
            <w:pPr>
              <w:spacing w:after="0"/>
              <w:rPr>
                <w:sz w:val="1"/>
                <w:szCs w:val="1"/>
                <w:color w:val="auto"/>
              </w:rPr>
            </w:pPr>
          </w:p>
        </w:tc>
      </w:tr>
      <w:tr>
        <w:trPr>
          <w:trHeight w:val="192"/>
        </w:trPr>
        <w:tc>
          <w:tcPr>
            <w:tcW w:w="82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Share of net income (loss) from joint venture</w:t>
            </w:r>
          </w:p>
        </w:tc>
        <w:tc>
          <w:tcPr>
            <w:tcW w:w="34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1,395</w:t>
            </w:r>
          </w:p>
        </w:tc>
        <w:tc>
          <w:tcPr>
            <w:tcW w:w="80" w:type="dxa"/>
            <w:vAlign w:val="bottom"/>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(271)</w:t>
            </w:r>
          </w:p>
        </w:tc>
        <w:tc>
          <w:tcPr>
            <w:tcW w:w="0" w:type="dxa"/>
            <w:vAlign w:val="bottom"/>
          </w:tcPr>
          <w:p>
            <w:pPr>
              <w:spacing w:after="0"/>
              <w:rPr>
                <w:sz w:val="1"/>
                <w:szCs w:val="1"/>
                <w:color w:val="auto"/>
              </w:rPr>
            </w:pPr>
          </w:p>
        </w:tc>
      </w:tr>
      <w:tr>
        <w:trPr>
          <w:trHeight w:val="179"/>
        </w:trPr>
        <w:tc>
          <w:tcPr>
            <w:tcW w:w="8280" w:type="dxa"/>
            <w:vAlign w:val="bottom"/>
          </w:tcPr>
          <w:p>
            <w:pPr>
              <w:ind w:left="20"/>
              <w:spacing w:after="0"/>
              <w:rPr>
                <w:sz w:val="20"/>
                <w:szCs w:val="20"/>
                <w:color w:val="auto"/>
              </w:rPr>
            </w:pPr>
            <w:r>
              <w:rPr>
                <w:rFonts w:ascii="Arial" w:cs="Arial" w:eastAsia="Arial" w:hAnsi="Arial"/>
                <w:sz w:val="14"/>
                <w:szCs w:val="14"/>
                <w:b w:val="1"/>
                <w:bCs w:val="1"/>
                <w:color w:val="auto"/>
              </w:rPr>
              <w:t>Loss from continuing operations</w:t>
            </w: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(4,913)</w:t>
            </w: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(108,077)</w:t>
            </w:r>
          </w:p>
        </w:tc>
        <w:tc>
          <w:tcPr>
            <w:tcW w:w="0" w:type="dxa"/>
            <w:vAlign w:val="bottom"/>
          </w:tcPr>
          <w:p>
            <w:pPr>
              <w:spacing w:after="0"/>
              <w:rPr>
                <w:sz w:val="1"/>
                <w:szCs w:val="1"/>
                <w:color w:val="auto"/>
              </w:rPr>
            </w:pPr>
          </w:p>
        </w:tc>
      </w:tr>
      <w:tr>
        <w:trPr>
          <w:trHeight w:val="192"/>
        </w:trPr>
        <w:tc>
          <w:tcPr>
            <w:tcW w:w="8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Loss from discontinued operations, net of tax (Note 2)</w:t>
            </w:r>
          </w:p>
        </w:tc>
        <w:tc>
          <w:tcPr>
            <w:tcW w:w="34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(140,114)</w:t>
            </w:r>
          </w:p>
        </w:tc>
        <w:tc>
          <w:tcPr>
            <w:tcW w:w="0" w:type="dxa"/>
            <w:vAlign w:val="bottom"/>
          </w:tcPr>
          <w:p>
            <w:pPr>
              <w:spacing w:after="0"/>
              <w:rPr>
                <w:sz w:val="1"/>
                <w:szCs w:val="1"/>
                <w:color w:val="auto"/>
              </w:rPr>
            </w:pPr>
          </w:p>
        </w:tc>
      </w:tr>
      <w:tr>
        <w:trPr>
          <w:trHeight w:val="179"/>
        </w:trPr>
        <w:tc>
          <w:tcPr>
            <w:tcW w:w="82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Net loss</w:t>
            </w:r>
          </w:p>
        </w:tc>
        <w:tc>
          <w:tcPr>
            <w:tcW w:w="340" w:type="dxa"/>
            <w:vAlign w:val="bottom"/>
            <w:tcBorders>
              <w:top w:val="single" w:sz="8" w:color="auto"/>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(4,913)</w:t>
            </w:r>
          </w:p>
        </w:tc>
        <w:tc>
          <w:tcPr>
            <w:tcW w:w="80" w:type="dxa"/>
            <w:vAlign w:val="bottom"/>
            <w:tcBorders>
              <w:bottom w:val="single" w:sz="8" w:color="CCEEFF"/>
            </w:tcBorders>
          </w:tcPr>
          <w:p>
            <w:pPr>
              <w:spacing w:after="0"/>
              <w:rPr>
                <w:sz w:val="15"/>
                <w:szCs w:val="15"/>
                <w:color w:val="auto"/>
              </w:rPr>
            </w:pPr>
          </w:p>
        </w:tc>
        <w:tc>
          <w:tcPr>
            <w:tcW w:w="420" w:type="dxa"/>
            <w:vAlign w:val="bottom"/>
            <w:tcBorders>
              <w:top w:val="single" w:sz="8" w:color="auto"/>
              <w:bottom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(248,191)</w:t>
            </w:r>
          </w:p>
        </w:tc>
        <w:tc>
          <w:tcPr>
            <w:tcW w:w="0" w:type="dxa"/>
            <w:vAlign w:val="bottom"/>
          </w:tcPr>
          <w:p>
            <w:pPr>
              <w:spacing w:after="0"/>
              <w:rPr>
                <w:sz w:val="1"/>
                <w:szCs w:val="1"/>
                <w:color w:val="auto"/>
              </w:rPr>
            </w:pPr>
          </w:p>
        </w:tc>
      </w:tr>
      <w:tr>
        <w:trPr>
          <w:trHeight w:val="172"/>
        </w:trPr>
        <w:tc>
          <w:tcPr>
            <w:tcW w:w="8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comprehensive loss:</w:t>
            </w: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8280" w:type="dxa"/>
            <w:vAlign w:val="bottom"/>
          </w:tcPr>
          <w:p>
            <w:pPr>
              <w:ind w:left="360"/>
              <w:spacing w:after="0"/>
              <w:rPr>
                <w:sz w:val="20"/>
                <w:szCs w:val="20"/>
                <w:color w:val="auto"/>
              </w:rPr>
            </w:pPr>
            <w:r>
              <w:rPr>
                <w:rFonts w:ascii="Arial" w:cs="Arial" w:eastAsia="Arial" w:hAnsi="Arial"/>
                <w:sz w:val="14"/>
                <w:szCs w:val="14"/>
                <w:color w:val="auto"/>
              </w:rPr>
              <w:t>Foreign currency translation loss</w:t>
            </w: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(3,347)</w:t>
            </w: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(14,342)</w:t>
            </w:r>
          </w:p>
        </w:tc>
        <w:tc>
          <w:tcPr>
            <w:tcW w:w="0" w:type="dxa"/>
            <w:vAlign w:val="bottom"/>
          </w:tcPr>
          <w:p>
            <w:pPr>
              <w:spacing w:after="0"/>
              <w:rPr>
                <w:sz w:val="1"/>
                <w:szCs w:val="1"/>
                <w:color w:val="auto"/>
              </w:rPr>
            </w:pPr>
          </w:p>
        </w:tc>
      </w:tr>
      <w:tr>
        <w:trPr>
          <w:trHeight w:val="192"/>
        </w:trPr>
        <w:tc>
          <w:tcPr>
            <w:tcW w:w="82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Interest rate swap:</w:t>
            </w: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8280" w:type="dxa"/>
            <w:vAlign w:val="bottom"/>
          </w:tcPr>
          <w:p>
            <w:pPr>
              <w:ind w:left="560"/>
              <w:spacing w:after="0"/>
              <w:rPr>
                <w:sz w:val="20"/>
                <w:szCs w:val="20"/>
                <w:color w:val="auto"/>
              </w:rPr>
            </w:pPr>
            <w:r>
              <w:rPr>
                <w:rFonts w:ascii="Arial" w:cs="Arial" w:eastAsia="Arial" w:hAnsi="Arial"/>
                <w:sz w:val="14"/>
                <w:szCs w:val="14"/>
                <w:color w:val="auto"/>
              </w:rPr>
              <w:t>Change in fair value, net of tax</w:t>
            </w:r>
          </w:p>
        </w:tc>
        <w:tc>
          <w:tcPr>
            <w:tcW w:w="340" w:type="dxa"/>
            <w:vAlign w:val="bottom"/>
          </w:tcPr>
          <w:p>
            <w:pPr>
              <w:spacing w:after="0"/>
              <w:rPr>
                <w:sz w:val="16"/>
                <w:szCs w:val="16"/>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(11,209)</w:t>
            </w:r>
          </w:p>
        </w:tc>
        <w:tc>
          <w:tcPr>
            <w:tcW w:w="0" w:type="dxa"/>
            <w:vAlign w:val="bottom"/>
          </w:tcPr>
          <w:p>
            <w:pPr>
              <w:spacing w:after="0"/>
              <w:rPr>
                <w:sz w:val="1"/>
                <w:szCs w:val="1"/>
                <w:color w:val="auto"/>
              </w:rPr>
            </w:pPr>
          </w:p>
        </w:tc>
      </w:tr>
      <w:tr>
        <w:trPr>
          <w:trHeight w:val="192"/>
        </w:trPr>
        <w:tc>
          <w:tcPr>
            <w:tcW w:w="8280" w:type="dxa"/>
            <w:vAlign w:val="bottom"/>
            <w:shd w:val="clear" w:color="auto" w:fill="CCEEFF"/>
          </w:tcPr>
          <w:p>
            <w:pPr>
              <w:ind w:left="560"/>
              <w:spacing w:after="0"/>
              <w:rPr>
                <w:sz w:val="20"/>
                <w:szCs w:val="20"/>
                <w:color w:val="auto"/>
              </w:rPr>
            </w:pPr>
            <w:r>
              <w:rPr>
                <w:rFonts w:ascii="Arial" w:cs="Arial" w:eastAsia="Arial" w:hAnsi="Arial"/>
                <w:sz w:val="14"/>
                <w:szCs w:val="14"/>
                <w:color w:val="auto"/>
              </w:rPr>
              <w:t>Reclassification adjustment for losses included in net loss, net of tax</w:t>
            </w:r>
          </w:p>
        </w:tc>
        <w:tc>
          <w:tcPr>
            <w:tcW w:w="34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2,851</w:t>
            </w:r>
          </w:p>
        </w:tc>
        <w:tc>
          <w:tcPr>
            <w:tcW w:w="80" w:type="dxa"/>
            <w:vAlign w:val="bottom"/>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1,052</w:t>
            </w:r>
          </w:p>
        </w:tc>
        <w:tc>
          <w:tcPr>
            <w:tcW w:w="0" w:type="dxa"/>
            <w:vAlign w:val="bottom"/>
          </w:tcPr>
          <w:p>
            <w:pPr>
              <w:spacing w:after="0"/>
              <w:rPr>
                <w:sz w:val="1"/>
                <w:szCs w:val="1"/>
                <w:color w:val="auto"/>
              </w:rPr>
            </w:pPr>
          </w:p>
        </w:tc>
      </w:tr>
      <w:tr>
        <w:trPr>
          <w:trHeight w:val="179"/>
        </w:trPr>
        <w:tc>
          <w:tcPr>
            <w:tcW w:w="82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comprehensive loss</w:t>
            </w: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(496)</w:t>
            </w:r>
          </w:p>
        </w:tc>
        <w:tc>
          <w:tcPr>
            <w:tcW w:w="8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(24,499)</w:t>
            </w:r>
          </w:p>
        </w:tc>
        <w:tc>
          <w:tcPr>
            <w:tcW w:w="0" w:type="dxa"/>
            <w:vAlign w:val="bottom"/>
          </w:tcPr>
          <w:p>
            <w:pPr>
              <w:spacing w:after="0"/>
              <w:rPr>
                <w:sz w:val="1"/>
                <w:szCs w:val="1"/>
                <w:color w:val="auto"/>
              </w:rPr>
            </w:pPr>
          </w:p>
        </w:tc>
      </w:tr>
      <w:tr>
        <w:trPr>
          <w:trHeight w:val="208"/>
        </w:trPr>
        <w:tc>
          <w:tcPr>
            <w:tcW w:w="8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Comprehensive loss</w:t>
            </w: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(5,409)</w:t>
            </w:r>
          </w:p>
        </w:tc>
        <w:tc>
          <w:tcPr>
            <w:tcW w:w="8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(272,690)</w:t>
            </w:r>
          </w:p>
        </w:tc>
        <w:tc>
          <w:tcPr>
            <w:tcW w:w="0" w:type="dxa"/>
            <w:vAlign w:val="bottom"/>
          </w:tcPr>
          <w:p>
            <w:pPr>
              <w:spacing w:after="0"/>
              <w:rPr>
                <w:sz w:val="1"/>
                <w:szCs w:val="1"/>
                <w:color w:val="auto"/>
              </w:rPr>
            </w:pPr>
          </w:p>
        </w:tc>
      </w:tr>
      <w:tr>
        <w:trPr>
          <w:trHeight w:val="20"/>
        </w:trPr>
        <w:tc>
          <w:tcPr>
            <w:tcW w:w="82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b w:val="1"/>
                <w:bCs w:val="1"/>
                <w:color w:val="auto"/>
              </w:rPr>
              <w:t>Basic net loss per common share:</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828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82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Loss from continuing operations per common share</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(0.46)</w:t>
            </w:r>
          </w:p>
        </w:tc>
        <w:tc>
          <w:tcPr>
            <w:tcW w:w="80" w:type="dxa"/>
            <w:vAlign w:val="bottom"/>
            <w:shd w:val="clear" w:color="auto" w:fill="CCEEFF"/>
          </w:tcPr>
          <w:p>
            <w:pPr>
              <w:spacing w:after="0"/>
              <w:rPr>
                <w:sz w:val="16"/>
                <w:szCs w:val="16"/>
                <w:color w:val="auto"/>
              </w:rPr>
            </w:pPr>
          </w:p>
        </w:tc>
        <w:tc>
          <w:tcPr>
            <w:tcW w:w="42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(2.64)</w:t>
            </w:r>
          </w:p>
        </w:tc>
        <w:tc>
          <w:tcPr>
            <w:tcW w:w="0" w:type="dxa"/>
            <w:vAlign w:val="bottom"/>
          </w:tcPr>
          <w:p>
            <w:pPr>
              <w:spacing w:after="0"/>
              <w:rPr>
                <w:sz w:val="1"/>
                <w:szCs w:val="1"/>
                <w:color w:val="auto"/>
              </w:rPr>
            </w:pPr>
          </w:p>
        </w:tc>
      </w:tr>
      <w:tr>
        <w:trPr>
          <w:trHeight w:val="186"/>
        </w:trPr>
        <w:tc>
          <w:tcPr>
            <w:tcW w:w="8280" w:type="dxa"/>
            <w:vAlign w:val="bottom"/>
          </w:tcPr>
          <w:p>
            <w:pPr>
              <w:ind w:left="360"/>
              <w:spacing w:after="0"/>
              <w:rPr>
                <w:sz w:val="20"/>
                <w:szCs w:val="20"/>
                <w:color w:val="auto"/>
              </w:rPr>
            </w:pPr>
            <w:r>
              <w:rPr>
                <w:rFonts w:ascii="Arial" w:cs="Arial" w:eastAsia="Arial" w:hAnsi="Arial"/>
                <w:sz w:val="14"/>
                <w:szCs w:val="14"/>
                <w:color w:val="auto"/>
              </w:rPr>
              <w:t>Loss from discontinued operations per common share</w:t>
            </w:r>
          </w:p>
        </w:tc>
        <w:tc>
          <w:tcPr>
            <w:tcW w:w="340" w:type="dxa"/>
            <w:vAlign w:val="bottom"/>
          </w:tcPr>
          <w:p>
            <w:pPr>
              <w:spacing w:after="0"/>
              <w:rPr>
                <w:sz w:val="16"/>
                <w:szCs w:val="16"/>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(3.32)</w:t>
            </w:r>
          </w:p>
        </w:tc>
        <w:tc>
          <w:tcPr>
            <w:tcW w:w="0" w:type="dxa"/>
            <w:vAlign w:val="bottom"/>
          </w:tcPr>
          <w:p>
            <w:pPr>
              <w:spacing w:after="0"/>
              <w:rPr>
                <w:sz w:val="1"/>
                <w:szCs w:val="1"/>
                <w:color w:val="auto"/>
              </w:rPr>
            </w:pPr>
          </w:p>
        </w:tc>
      </w:tr>
      <w:tr>
        <w:trPr>
          <w:trHeight w:val="208"/>
        </w:trPr>
        <w:tc>
          <w:tcPr>
            <w:tcW w:w="828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Net loss per common share</w:t>
            </w:r>
          </w:p>
        </w:tc>
        <w:tc>
          <w:tcPr>
            <w:tcW w:w="340" w:type="dxa"/>
            <w:vAlign w:val="bottom"/>
            <w:tcBorders>
              <w:top w:val="single" w:sz="8" w:color="auto"/>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(0.46)</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420" w:type="dxa"/>
            <w:vAlign w:val="bottom"/>
            <w:tcBorders>
              <w:top w:val="single" w:sz="8" w:color="auto"/>
              <w:bottom w:val="single" w:sz="8" w:color="auto"/>
            </w:tcBorders>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(5.96)</w:t>
            </w:r>
          </w:p>
        </w:tc>
        <w:tc>
          <w:tcPr>
            <w:tcW w:w="0" w:type="dxa"/>
            <w:vAlign w:val="bottom"/>
          </w:tcPr>
          <w:p>
            <w:pPr>
              <w:spacing w:after="0"/>
              <w:rPr>
                <w:sz w:val="1"/>
                <w:szCs w:val="1"/>
                <w:color w:val="auto"/>
              </w:rPr>
            </w:pPr>
          </w:p>
        </w:tc>
      </w:tr>
      <w:tr>
        <w:trPr>
          <w:trHeight w:val="20"/>
        </w:trPr>
        <w:tc>
          <w:tcPr>
            <w:tcW w:w="8280" w:type="dxa"/>
            <w:vAlign w:val="bottom"/>
            <w:tcBorders>
              <w:top w:val="single" w:sz="8" w:color="CCEEFF"/>
              <w:bottom w:val="single" w:sz="8" w:color="CCEEFF"/>
            </w:tcBorders>
            <w:vMerge w:val="restart"/>
          </w:tcPr>
          <w:p>
            <w:pPr>
              <w:ind w:left="360"/>
              <w:spacing w:after="0"/>
              <w:rPr>
                <w:sz w:val="20"/>
                <w:szCs w:val="20"/>
                <w:color w:val="auto"/>
              </w:rPr>
            </w:pPr>
            <w:r>
              <w:rPr>
                <w:rFonts w:ascii="Arial" w:cs="Arial" w:eastAsia="Arial" w:hAnsi="Arial"/>
                <w:sz w:val="14"/>
                <w:szCs w:val="14"/>
                <w:color w:val="auto"/>
              </w:rPr>
              <w:t>Weighted average common shares outstanding</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828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42,672</w:t>
            </w: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42,111</w:t>
            </w:r>
          </w:p>
        </w:tc>
        <w:tc>
          <w:tcPr>
            <w:tcW w:w="0" w:type="dxa"/>
            <w:vAlign w:val="bottom"/>
          </w:tcPr>
          <w:p>
            <w:pPr>
              <w:spacing w:after="0"/>
              <w:rPr>
                <w:sz w:val="1"/>
                <w:szCs w:val="1"/>
                <w:color w:val="auto"/>
              </w:rPr>
            </w:pPr>
          </w:p>
        </w:tc>
      </w:tr>
      <w:tr>
        <w:trPr>
          <w:trHeight w:val="192"/>
        </w:trPr>
        <w:tc>
          <w:tcPr>
            <w:tcW w:w="82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Diluted net loss per common share:</w:t>
            </w: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8280" w:type="dxa"/>
            <w:vAlign w:val="bottom"/>
          </w:tcPr>
          <w:p>
            <w:pPr>
              <w:ind w:left="360"/>
              <w:spacing w:after="0"/>
              <w:rPr>
                <w:sz w:val="20"/>
                <w:szCs w:val="20"/>
                <w:color w:val="auto"/>
              </w:rPr>
            </w:pPr>
            <w:r>
              <w:rPr>
                <w:rFonts w:ascii="Arial" w:cs="Arial" w:eastAsia="Arial" w:hAnsi="Arial"/>
                <w:sz w:val="14"/>
                <w:szCs w:val="14"/>
                <w:color w:val="auto"/>
              </w:rPr>
              <w:t>Loss from continuing operations per common share</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(0.46)</w:t>
            </w:r>
          </w:p>
        </w:tc>
        <w:tc>
          <w:tcPr>
            <w:tcW w:w="80" w:type="dxa"/>
            <w:vAlign w:val="bottom"/>
          </w:tcPr>
          <w:p>
            <w:pPr>
              <w:spacing w:after="0"/>
              <w:rPr>
                <w:sz w:val="16"/>
                <w:szCs w:val="16"/>
                <w:color w:val="auto"/>
              </w:rPr>
            </w:pP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(2.64)</w:t>
            </w:r>
          </w:p>
        </w:tc>
        <w:tc>
          <w:tcPr>
            <w:tcW w:w="0" w:type="dxa"/>
            <w:vAlign w:val="bottom"/>
          </w:tcPr>
          <w:p>
            <w:pPr>
              <w:spacing w:after="0"/>
              <w:rPr>
                <w:sz w:val="1"/>
                <w:szCs w:val="1"/>
                <w:color w:val="auto"/>
              </w:rPr>
            </w:pPr>
          </w:p>
        </w:tc>
      </w:tr>
      <w:tr>
        <w:trPr>
          <w:trHeight w:val="192"/>
        </w:trPr>
        <w:tc>
          <w:tcPr>
            <w:tcW w:w="82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Loss from discontinued operations per common share</w:t>
            </w:r>
          </w:p>
        </w:tc>
        <w:tc>
          <w:tcPr>
            <w:tcW w:w="34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(3.32)</w:t>
            </w:r>
          </w:p>
        </w:tc>
        <w:tc>
          <w:tcPr>
            <w:tcW w:w="0" w:type="dxa"/>
            <w:vAlign w:val="bottom"/>
          </w:tcPr>
          <w:p>
            <w:pPr>
              <w:spacing w:after="0"/>
              <w:rPr>
                <w:sz w:val="1"/>
                <w:szCs w:val="1"/>
                <w:color w:val="auto"/>
              </w:rPr>
            </w:pPr>
          </w:p>
        </w:tc>
      </w:tr>
      <w:tr>
        <w:trPr>
          <w:trHeight w:val="179"/>
        </w:trPr>
        <w:tc>
          <w:tcPr>
            <w:tcW w:w="8280" w:type="dxa"/>
            <w:vAlign w:val="bottom"/>
          </w:tcPr>
          <w:p>
            <w:pPr>
              <w:ind w:left="360"/>
              <w:spacing w:after="0"/>
              <w:rPr>
                <w:sz w:val="20"/>
                <w:szCs w:val="20"/>
                <w:color w:val="auto"/>
              </w:rPr>
            </w:pPr>
            <w:r>
              <w:rPr>
                <w:rFonts w:ascii="Arial" w:cs="Arial" w:eastAsia="Arial" w:hAnsi="Arial"/>
                <w:sz w:val="14"/>
                <w:szCs w:val="14"/>
                <w:color w:val="auto"/>
              </w:rPr>
              <w:t>Net loss per common share</w:t>
            </w:r>
          </w:p>
        </w:tc>
        <w:tc>
          <w:tcPr>
            <w:tcW w:w="340" w:type="dxa"/>
            <w:vAlign w:val="bottom"/>
            <w:tcBorders>
              <w:top w:val="single" w:sz="8" w:color="auto"/>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(0.46)</w:t>
            </w:r>
          </w:p>
        </w:tc>
        <w:tc>
          <w:tcPr>
            <w:tcW w:w="80" w:type="dxa"/>
            <w:vAlign w:val="bottom"/>
          </w:tcPr>
          <w:p>
            <w:pPr>
              <w:spacing w:after="0"/>
              <w:rPr>
                <w:sz w:val="15"/>
                <w:szCs w:val="15"/>
                <w:color w:val="auto"/>
              </w:rPr>
            </w:pPr>
          </w:p>
        </w:tc>
        <w:tc>
          <w:tcPr>
            <w:tcW w:w="420" w:type="dxa"/>
            <w:vAlign w:val="bottom"/>
            <w:tcBorders>
              <w:top w:val="single" w:sz="8" w:color="auto"/>
              <w:bottom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(5.96)</w:t>
            </w:r>
          </w:p>
        </w:tc>
        <w:tc>
          <w:tcPr>
            <w:tcW w:w="0" w:type="dxa"/>
            <w:vAlign w:val="bottom"/>
          </w:tcPr>
          <w:p>
            <w:pPr>
              <w:spacing w:after="0"/>
              <w:rPr>
                <w:sz w:val="1"/>
                <w:szCs w:val="1"/>
                <w:color w:val="auto"/>
              </w:rPr>
            </w:pPr>
          </w:p>
        </w:tc>
      </w:tr>
      <w:tr>
        <w:trPr>
          <w:trHeight w:val="20"/>
        </w:trPr>
        <w:tc>
          <w:tcPr>
            <w:tcW w:w="82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82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Weighted average common shares outstanding</w:t>
            </w: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42,672</w:t>
            </w:r>
          </w:p>
        </w:tc>
        <w:tc>
          <w:tcPr>
            <w:tcW w:w="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42,111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notes to condensed consolidated financial statements (unaudited).</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 w:name="page4"/>
    <w:bookmarkEnd w:id="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NN,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11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640" w:type="dxa"/>
            <w:vAlign w:val="bottom"/>
          </w:tcPr>
          <w:p>
            <w:pPr>
              <w:ind w:left="20"/>
              <w:spacing w:after="0"/>
              <w:rPr>
                <w:sz w:val="20"/>
                <w:szCs w:val="20"/>
                <w:color w:val="auto"/>
              </w:rPr>
            </w:pPr>
            <w:r>
              <w:rPr>
                <w:rFonts w:ascii="Arial" w:cs="Arial" w:eastAsia="Arial" w:hAnsi="Arial"/>
                <w:sz w:val="14"/>
                <w:szCs w:val="14"/>
                <w:b w:val="1"/>
                <w:bCs w:val="1"/>
                <w:color w:val="auto"/>
              </w:rPr>
              <w:t>(in thousands, except per share data)</w:t>
            </w:r>
          </w:p>
        </w:tc>
        <w:tc>
          <w:tcPr>
            <w:tcW w:w="120" w:type="dxa"/>
            <w:vAlign w:val="bottom"/>
          </w:tcPr>
          <w:p>
            <w:pPr>
              <w:spacing w:after="0"/>
              <w:rPr>
                <w:sz w:val="16"/>
                <w:szCs w:val="16"/>
                <w:color w:val="auto"/>
              </w:rPr>
            </w:pPr>
          </w:p>
        </w:tc>
        <w:tc>
          <w:tcPr>
            <w:tcW w:w="1240" w:type="dxa"/>
            <w:vAlign w:val="bottom"/>
            <w:gridSpan w:val="2"/>
          </w:tcPr>
          <w:p>
            <w:pPr>
              <w:ind w:left="40"/>
              <w:spacing w:after="0"/>
              <w:rPr>
                <w:sz w:val="20"/>
                <w:szCs w:val="20"/>
                <w:color w:val="auto"/>
              </w:rPr>
            </w:pPr>
            <w:r>
              <w:rPr>
                <w:rFonts w:ascii="Arial" w:cs="Arial" w:eastAsia="Arial" w:hAnsi="Arial"/>
                <w:sz w:val="14"/>
                <w:szCs w:val="14"/>
                <w:b w:val="1"/>
                <w:bCs w:val="1"/>
                <w:color w:val="auto"/>
              </w:rPr>
              <w:t>March 31, 2021</w:t>
            </w:r>
          </w:p>
        </w:tc>
        <w:tc>
          <w:tcPr>
            <w:tcW w:w="1240" w:type="dxa"/>
            <w:vAlign w:val="bottom"/>
            <w:gridSpan w:val="2"/>
          </w:tcPr>
          <w:p>
            <w:pPr>
              <w:jc w:val="right"/>
              <w:spacing w:after="0"/>
              <w:rPr>
                <w:sz w:val="20"/>
                <w:szCs w:val="20"/>
                <w:color w:val="auto"/>
              </w:rPr>
            </w:pPr>
            <w:r>
              <w:rPr>
                <w:rFonts w:ascii="Arial" w:cs="Arial" w:eastAsia="Arial" w:hAnsi="Arial"/>
                <w:sz w:val="14"/>
                <w:szCs w:val="14"/>
                <w:b w:val="1"/>
                <w:bCs w:val="1"/>
                <w:color w:val="auto"/>
                <w:w w:val="93"/>
              </w:rPr>
              <w:t>December 31, 2020</w:t>
            </w:r>
          </w:p>
        </w:tc>
        <w:tc>
          <w:tcPr>
            <w:tcW w:w="0" w:type="dxa"/>
            <w:vAlign w:val="bottom"/>
          </w:tcPr>
          <w:p>
            <w:pPr>
              <w:spacing w:after="0"/>
              <w:rPr>
                <w:sz w:val="1"/>
                <w:szCs w:val="1"/>
                <w:color w:val="auto"/>
              </w:rPr>
            </w:pPr>
          </w:p>
        </w:tc>
      </w:tr>
      <w:tr>
        <w:trPr>
          <w:trHeight w:val="175"/>
        </w:trPr>
        <w:tc>
          <w:tcPr>
            <w:tcW w:w="86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120" w:type="dxa"/>
            <w:vAlign w:val="bottom"/>
            <w:tcBorders>
              <w:top w:val="single" w:sz="8" w:color="auto"/>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8640" w:type="dxa"/>
            <w:vAlign w:val="bottom"/>
          </w:tcPr>
          <w:p>
            <w:pPr>
              <w:ind w:left="140"/>
              <w:spacing w:after="0"/>
              <w:rPr>
                <w:sz w:val="20"/>
                <w:szCs w:val="20"/>
                <w:color w:val="auto"/>
              </w:rPr>
            </w:pPr>
            <w:r>
              <w:rPr>
                <w:rFonts w:ascii="Arial" w:cs="Arial" w:eastAsia="Arial" w:hAnsi="Arial"/>
                <w:sz w:val="14"/>
                <w:szCs w:val="14"/>
                <w:color w:val="auto"/>
              </w:rPr>
              <w:t>Current assets:</w:t>
            </w: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86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Cash and cash equivalents</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43,033</w:t>
            </w: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48,138</w:t>
            </w:r>
          </w:p>
        </w:tc>
        <w:tc>
          <w:tcPr>
            <w:tcW w:w="0" w:type="dxa"/>
            <w:vAlign w:val="bottom"/>
          </w:tcPr>
          <w:p>
            <w:pPr>
              <w:spacing w:after="0"/>
              <w:rPr>
                <w:sz w:val="1"/>
                <w:szCs w:val="1"/>
                <w:color w:val="auto"/>
              </w:rPr>
            </w:pPr>
          </w:p>
        </w:tc>
      </w:tr>
      <w:tr>
        <w:trPr>
          <w:trHeight w:val="186"/>
        </w:trPr>
        <w:tc>
          <w:tcPr>
            <w:tcW w:w="8640" w:type="dxa"/>
            <w:vAlign w:val="bottom"/>
          </w:tcPr>
          <w:p>
            <w:pPr>
              <w:ind w:left="360"/>
              <w:spacing w:after="0"/>
              <w:rPr>
                <w:sz w:val="20"/>
                <w:szCs w:val="20"/>
                <w:color w:val="auto"/>
              </w:rPr>
            </w:pPr>
            <w:r>
              <w:rPr>
                <w:rFonts w:ascii="Arial" w:cs="Arial" w:eastAsia="Arial" w:hAnsi="Arial"/>
                <w:sz w:val="14"/>
                <w:szCs w:val="14"/>
                <w:color w:val="auto"/>
              </w:rPr>
              <w:t>Accounts receivable, net</w:t>
            </w:r>
          </w:p>
        </w:tc>
        <w:tc>
          <w:tcPr>
            <w:tcW w:w="1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90,545</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84,615</w:t>
            </w:r>
          </w:p>
        </w:tc>
        <w:tc>
          <w:tcPr>
            <w:tcW w:w="0" w:type="dxa"/>
            <w:vAlign w:val="bottom"/>
          </w:tcPr>
          <w:p>
            <w:pPr>
              <w:spacing w:after="0"/>
              <w:rPr>
                <w:sz w:val="1"/>
                <w:szCs w:val="1"/>
                <w:color w:val="auto"/>
              </w:rPr>
            </w:pPr>
          </w:p>
        </w:tc>
      </w:tr>
      <w:tr>
        <w:trPr>
          <w:trHeight w:val="192"/>
        </w:trPr>
        <w:tc>
          <w:tcPr>
            <w:tcW w:w="86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Inventories</w:t>
            </w: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67,531</w:t>
            </w: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62,517</w:t>
            </w:r>
          </w:p>
        </w:tc>
        <w:tc>
          <w:tcPr>
            <w:tcW w:w="0" w:type="dxa"/>
            <w:vAlign w:val="bottom"/>
          </w:tcPr>
          <w:p>
            <w:pPr>
              <w:spacing w:after="0"/>
              <w:rPr>
                <w:sz w:val="1"/>
                <w:szCs w:val="1"/>
                <w:color w:val="auto"/>
              </w:rPr>
            </w:pPr>
          </w:p>
        </w:tc>
      </w:tr>
      <w:tr>
        <w:trPr>
          <w:trHeight w:val="186"/>
        </w:trPr>
        <w:tc>
          <w:tcPr>
            <w:tcW w:w="8640" w:type="dxa"/>
            <w:vAlign w:val="bottom"/>
          </w:tcPr>
          <w:p>
            <w:pPr>
              <w:ind w:left="360"/>
              <w:spacing w:after="0"/>
              <w:rPr>
                <w:sz w:val="20"/>
                <w:szCs w:val="20"/>
                <w:color w:val="auto"/>
              </w:rPr>
            </w:pPr>
            <w:r>
              <w:rPr>
                <w:rFonts w:ascii="Arial" w:cs="Arial" w:eastAsia="Arial" w:hAnsi="Arial"/>
                <w:sz w:val="14"/>
                <w:szCs w:val="14"/>
                <w:color w:val="auto"/>
              </w:rPr>
              <w:t>Income tax receivable</w:t>
            </w:r>
          </w:p>
        </w:tc>
        <w:tc>
          <w:tcPr>
            <w:tcW w:w="1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8,956</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8,800</w:t>
            </w:r>
          </w:p>
        </w:tc>
        <w:tc>
          <w:tcPr>
            <w:tcW w:w="0" w:type="dxa"/>
            <w:vAlign w:val="bottom"/>
          </w:tcPr>
          <w:p>
            <w:pPr>
              <w:spacing w:after="0"/>
              <w:rPr>
                <w:sz w:val="1"/>
                <w:szCs w:val="1"/>
                <w:color w:val="auto"/>
              </w:rPr>
            </w:pPr>
          </w:p>
        </w:tc>
      </w:tr>
      <w:tr>
        <w:trPr>
          <w:trHeight w:val="192"/>
        </w:trPr>
        <w:tc>
          <w:tcPr>
            <w:tcW w:w="86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Other current assets</w:t>
            </w:r>
          </w:p>
        </w:tc>
        <w:tc>
          <w:tcPr>
            <w:tcW w:w="12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12,431</w:t>
            </w:r>
          </w:p>
        </w:tc>
        <w:tc>
          <w:tcPr>
            <w:tcW w:w="12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11,148</w:t>
            </w:r>
          </w:p>
        </w:tc>
        <w:tc>
          <w:tcPr>
            <w:tcW w:w="0" w:type="dxa"/>
            <w:vAlign w:val="bottom"/>
          </w:tcPr>
          <w:p>
            <w:pPr>
              <w:spacing w:after="0"/>
              <w:rPr>
                <w:sz w:val="1"/>
                <w:szCs w:val="1"/>
                <w:color w:val="auto"/>
              </w:rPr>
            </w:pPr>
          </w:p>
        </w:tc>
      </w:tr>
      <w:tr>
        <w:trPr>
          <w:trHeight w:val="179"/>
        </w:trPr>
        <w:tc>
          <w:tcPr>
            <w:tcW w:w="8640" w:type="dxa"/>
            <w:vAlign w:val="bottom"/>
          </w:tcPr>
          <w:p>
            <w:pPr>
              <w:ind w:left="680"/>
              <w:spacing w:after="0"/>
              <w:rPr>
                <w:sz w:val="20"/>
                <w:szCs w:val="20"/>
                <w:color w:val="auto"/>
              </w:rPr>
            </w:pPr>
            <w:r>
              <w:rPr>
                <w:rFonts w:ascii="Arial" w:cs="Arial" w:eastAsia="Arial" w:hAnsi="Arial"/>
                <w:sz w:val="14"/>
                <w:szCs w:val="14"/>
                <w:color w:val="auto"/>
              </w:rPr>
              <w:t>Total current assets</w:t>
            </w:r>
          </w:p>
        </w:tc>
        <w:tc>
          <w:tcPr>
            <w:tcW w:w="1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222,496</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215,218</w:t>
            </w:r>
          </w:p>
        </w:tc>
        <w:tc>
          <w:tcPr>
            <w:tcW w:w="0" w:type="dxa"/>
            <w:vAlign w:val="bottom"/>
          </w:tcPr>
          <w:p>
            <w:pPr>
              <w:spacing w:after="0"/>
              <w:rPr>
                <w:sz w:val="1"/>
                <w:szCs w:val="1"/>
                <w:color w:val="auto"/>
              </w:rPr>
            </w:pPr>
          </w:p>
        </w:tc>
      </w:tr>
      <w:tr>
        <w:trPr>
          <w:trHeight w:val="192"/>
        </w:trPr>
        <w:tc>
          <w:tcPr>
            <w:tcW w:w="86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Property, plant and equipment, net</w:t>
            </w: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218,057</w:t>
            </w: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223,690</w:t>
            </w:r>
          </w:p>
        </w:tc>
        <w:tc>
          <w:tcPr>
            <w:tcW w:w="0" w:type="dxa"/>
            <w:vAlign w:val="bottom"/>
          </w:tcPr>
          <w:p>
            <w:pPr>
              <w:spacing w:after="0"/>
              <w:rPr>
                <w:sz w:val="1"/>
                <w:szCs w:val="1"/>
                <w:color w:val="auto"/>
              </w:rPr>
            </w:pPr>
          </w:p>
        </w:tc>
      </w:tr>
      <w:tr>
        <w:trPr>
          <w:trHeight w:val="186"/>
        </w:trPr>
        <w:tc>
          <w:tcPr>
            <w:tcW w:w="8640" w:type="dxa"/>
            <w:vAlign w:val="bottom"/>
          </w:tcPr>
          <w:p>
            <w:pPr>
              <w:ind w:left="140"/>
              <w:spacing w:after="0"/>
              <w:rPr>
                <w:sz w:val="20"/>
                <w:szCs w:val="20"/>
                <w:color w:val="auto"/>
              </w:rPr>
            </w:pPr>
            <w:r>
              <w:rPr>
                <w:rFonts w:ascii="Arial" w:cs="Arial" w:eastAsia="Arial" w:hAnsi="Arial"/>
                <w:sz w:val="14"/>
                <w:szCs w:val="14"/>
                <w:color w:val="auto"/>
              </w:rPr>
              <w:t>Operating lease right-of-use assets</w:t>
            </w:r>
          </w:p>
        </w:tc>
        <w:tc>
          <w:tcPr>
            <w:tcW w:w="1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49,545</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50,264</w:t>
            </w:r>
          </w:p>
        </w:tc>
        <w:tc>
          <w:tcPr>
            <w:tcW w:w="0" w:type="dxa"/>
            <w:vAlign w:val="bottom"/>
          </w:tcPr>
          <w:p>
            <w:pPr>
              <w:spacing w:after="0"/>
              <w:rPr>
                <w:sz w:val="1"/>
                <w:szCs w:val="1"/>
                <w:color w:val="auto"/>
              </w:rPr>
            </w:pPr>
          </w:p>
        </w:tc>
      </w:tr>
      <w:tr>
        <w:trPr>
          <w:trHeight w:val="192"/>
        </w:trPr>
        <w:tc>
          <w:tcPr>
            <w:tcW w:w="86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Intangible assets, net</w:t>
            </w: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99,479</w:t>
            </w: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103,065</w:t>
            </w:r>
          </w:p>
        </w:tc>
        <w:tc>
          <w:tcPr>
            <w:tcW w:w="0" w:type="dxa"/>
            <w:vAlign w:val="bottom"/>
          </w:tcPr>
          <w:p>
            <w:pPr>
              <w:spacing w:after="0"/>
              <w:rPr>
                <w:sz w:val="1"/>
                <w:szCs w:val="1"/>
                <w:color w:val="auto"/>
              </w:rPr>
            </w:pPr>
          </w:p>
        </w:tc>
      </w:tr>
      <w:tr>
        <w:trPr>
          <w:trHeight w:val="186"/>
        </w:trPr>
        <w:tc>
          <w:tcPr>
            <w:tcW w:w="8640" w:type="dxa"/>
            <w:vAlign w:val="bottom"/>
          </w:tcPr>
          <w:p>
            <w:pPr>
              <w:ind w:left="140"/>
              <w:spacing w:after="0"/>
              <w:rPr>
                <w:sz w:val="20"/>
                <w:szCs w:val="20"/>
                <w:color w:val="auto"/>
              </w:rPr>
            </w:pPr>
            <w:r>
              <w:rPr>
                <w:rFonts w:ascii="Arial" w:cs="Arial" w:eastAsia="Arial" w:hAnsi="Arial"/>
                <w:sz w:val="14"/>
                <w:szCs w:val="14"/>
                <w:color w:val="auto"/>
              </w:rPr>
              <w:t>Investment in joint venture</w:t>
            </w:r>
          </w:p>
        </w:tc>
        <w:tc>
          <w:tcPr>
            <w:tcW w:w="1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28,207</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26,983</w:t>
            </w:r>
          </w:p>
        </w:tc>
        <w:tc>
          <w:tcPr>
            <w:tcW w:w="0" w:type="dxa"/>
            <w:vAlign w:val="bottom"/>
          </w:tcPr>
          <w:p>
            <w:pPr>
              <w:spacing w:after="0"/>
              <w:rPr>
                <w:sz w:val="1"/>
                <w:szCs w:val="1"/>
                <w:color w:val="auto"/>
              </w:rPr>
            </w:pPr>
          </w:p>
        </w:tc>
      </w:tr>
      <w:tr>
        <w:trPr>
          <w:trHeight w:val="192"/>
        </w:trPr>
        <w:tc>
          <w:tcPr>
            <w:tcW w:w="86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Other non-current assets</w:t>
            </w:r>
          </w:p>
        </w:tc>
        <w:tc>
          <w:tcPr>
            <w:tcW w:w="12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4,532</w:t>
            </w:r>
          </w:p>
        </w:tc>
        <w:tc>
          <w:tcPr>
            <w:tcW w:w="12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5,742</w:t>
            </w:r>
          </w:p>
        </w:tc>
        <w:tc>
          <w:tcPr>
            <w:tcW w:w="0" w:type="dxa"/>
            <w:vAlign w:val="bottom"/>
          </w:tcPr>
          <w:p>
            <w:pPr>
              <w:spacing w:after="0"/>
              <w:rPr>
                <w:sz w:val="1"/>
                <w:szCs w:val="1"/>
                <w:color w:val="auto"/>
              </w:rPr>
            </w:pPr>
          </w:p>
        </w:tc>
      </w:tr>
      <w:tr>
        <w:trPr>
          <w:trHeight w:val="179"/>
        </w:trPr>
        <w:tc>
          <w:tcPr>
            <w:tcW w:w="8640" w:type="dxa"/>
            <w:vAlign w:val="bottom"/>
          </w:tcPr>
          <w:p>
            <w:pPr>
              <w:ind w:left="20"/>
              <w:spacing w:after="0"/>
              <w:rPr>
                <w:sz w:val="20"/>
                <w:szCs w:val="20"/>
                <w:color w:val="auto"/>
              </w:rPr>
            </w:pPr>
            <w:r>
              <w:rPr>
                <w:rFonts w:ascii="Arial" w:cs="Arial" w:eastAsia="Arial" w:hAnsi="Arial"/>
                <w:sz w:val="14"/>
                <w:szCs w:val="14"/>
                <w:color w:val="auto"/>
              </w:rPr>
              <w:t>Total assets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622,316</w:t>
            </w:r>
          </w:p>
        </w:tc>
        <w:tc>
          <w:tcPr>
            <w:tcW w:w="120" w:type="dxa"/>
            <w:vAlign w:val="bottom"/>
          </w:tcPr>
          <w:p>
            <w:pPr>
              <w:spacing w:after="0"/>
              <w:rPr>
                <w:sz w:val="15"/>
                <w:szCs w:val="15"/>
                <w:color w:val="auto"/>
              </w:rPr>
            </w:pPr>
          </w:p>
        </w:tc>
        <w:tc>
          <w:tcPr>
            <w:tcW w:w="3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624,962</w:t>
            </w:r>
          </w:p>
        </w:tc>
        <w:tc>
          <w:tcPr>
            <w:tcW w:w="0" w:type="dxa"/>
            <w:vAlign w:val="bottom"/>
          </w:tcPr>
          <w:p>
            <w:pPr>
              <w:spacing w:after="0"/>
              <w:rPr>
                <w:sz w:val="1"/>
                <w:szCs w:val="1"/>
                <w:color w:val="auto"/>
              </w:rPr>
            </w:pPr>
          </w:p>
        </w:tc>
      </w:tr>
      <w:tr>
        <w:trPr>
          <w:trHeight w:val="20"/>
        </w:trPr>
        <w:tc>
          <w:tcPr>
            <w:tcW w:w="86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8640" w:type="dxa"/>
            <w:vAlign w:val="bottom"/>
            <w:shd w:val="clear" w:color="auto" w:fill="CCEEFF"/>
          </w:tcPr>
          <w:p>
            <w:pPr>
              <w:ind w:left="20"/>
              <w:spacing w:after="0" w:line="159" w:lineRule="exact"/>
              <w:rPr>
                <w:sz w:val="20"/>
                <w:szCs w:val="20"/>
                <w:color w:val="auto"/>
              </w:rPr>
            </w:pPr>
            <w:r>
              <w:rPr>
                <w:rFonts w:ascii="Arial" w:cs="Arial" w:eastAsia="Arial" w:hAnsi="Arial"/>
                <w:sz w:val="14"/>
                <w:szCs w:val="14"/>
                <w:b w:val="1"/>
                <w:bCs w:val="1"/>
                <w:color w:val="auto"/>
              </w:rPr>
              <w:t>Liabilities, Preferred Stock, and Stockholders’ Equity</w:t>
            </w:r>
          </w:p>
        </w:tc>
        <w:tc>
          <w:tcPr>
            <w:tcW w:w="1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8640" w:type="dxa"/>
            <w:vAlign w:val="bottom"/>
          </w:tcPr>
          <w:p>
            <w:pPr>
              <w:ind w:left="140"/>
              <w:spacing w:after="0"/>
              <w:rPr>
                <w:sz w:val="20"/>
                <w:szCs w:val="20"/>
                <w:color w:val="auto"/>
              </w:rPr>
            </w:pPr>
            <w:r>
              <w:rPr>
                <w:rFonts w:ascii="Arial" w:cs="Arial" w:eastAsia="Arial" w:hAnsi="Arial"/>
                <w:sz w:val="14"/>
                <w:szCs w:val="14"/>
                <w:color w:val="auto"/>
              </w:rPr>
              <w:t>Current liabilities:</w:t>
            </w: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86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Accounts payable</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43,232</w:t>
            </w: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37,435</w:t>
            </w:r>
          </w:p>
        </w:tc>
        <w:tc>
          <w:tcPr>
            <w:tcW w:w="0" w:type="dxa"/>
            <w:vAlign w:val="bottom"/>
          </w:tcPr>
          <w:p>
            <w:pPr>
              <w:spacing w:after="0"/>
              <w:rPr>
                <w:sz w:val="1"/>
                <w:szCs w:val="1"/>
                <w:color w:val="auto"/>
              </w:rPr>
            </w:pPr>
          </w:p>
        </w:tc>
      </w:tr>
      <w:tr>
        <w:trPr>
          <w:trHeight w:val="186"/>
        </w:trPr>
        <w:tc>
          <w:tcPr>
            <w:tcW w:w="8640" w:type="dxa"/>
            <w:vAlign w:val="bottom"/>
          </w:tcPr>
          <w:p>
            <w:pPr>
              <w:ind w:left="360"/>
              <w:spacing w:after="0"/>
              <w:rPr>
                <w:sz w:val="20"/>
                <w:szCs w:val="20"/>
                <w:color w:val="auto"/>
              </w:rPr>
            </w:pPr>
            <w:r>
              <w:rPr>
                <w:rFonts w:ascii="Arial" w:cs="Arial" w:eastAsia="Arial" w:hAnsi="Arial"/>
                <w:sz w:val="14"/>
                <w:szCs w:val="14"/>
                <w:color w:val="auto"/>
              </w:rPr>
              <w:t>Accrued salaries, wages and benefits</w:t>
            </w:r>
          </w:p>
        </w:tc>
        <w:tc>
          <w:tcPr>
            <w:tcW w:w="1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24,613</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21,296</w:t>
            </w:r>
          </w:p>
        </w:tc>
        <w:tc>
          <w:tcPr>
            <w:tcW w:w="0" w:type="dxa"/>
            <w:vAlign w:val="bottom"/>
          </w:tcPr>
          <w:p>
            <w:pPr>
              <w:spacing w:after="0"/>
              <w:rPr>
                <w:sz w:val="1"/>
                <w:szCs w:val="1"/>
                <w:color w:val="auto"/>
              </w:rPr>
            </w:pPr>
          </w:p>
        </w:tc>
      </w:tr>
      <w:tr>
        <w:trPr>
          <w:trHeight w:val="192"/>
        </w:trPr>
        <w:tc>
          <w:tcPr>
            <w:tcW w:w="86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Income tax payable</w:t>
            </w: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3,376</w:t>
            </w: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3,557</w:t>
            </w:r>
          </w:p>
        </w:tc>
        <w:tc>
          <w:tcPr>
            <w:tcW w:w="0" w:type="dxa"/>
            <w:vAlign w:val="bottom"/>
          </w:tcPr>
          <w:p>
            <w:pPr>
              <w:spacing w:after="0"/>
              <w:rPr>
                <w:sz w:val="1"/>
                <w:szCs w:val="1"/>
                <w:color w:val="auto"/>
              </w:rPr>
            </w:pPr>
          </w:p>
        </w:tc>
      </w:tr>
      <w:tr>
        <w:trPr>
          <w:trHeight w:val="186"/>
        </w:trPr>
        <w:tc>
          <w:tcPr>
            <w:tcW w:w="8640" w:type="dxa"/>
            <w:vAlign w:val="bottom"/>
          </w:tcPr>
          <w:p>
            <w:pPr>
              <w:ind w:left="360"/>
              <w:spacing w:after="0"/>
              <w:rPr>
                <w:sz w:val="20"/>
                <w:szCs w:val="20"/>
                <w:color w:val="auto"/>
              </w:rPr>
            </w:pPr>
            <w:r>
              <w:rPr>
                <w:rFonts w:ascii="Arial" w:cs="Arial" w:eastAsia="Arial" w:hAnsi="Arial"/>
                <w:sz w:val="14"/>
                <w:szCs w:val="14"/>
                <w:color w:val="auto"/>
              </w:rPr>
              <w:t>Current maturities of long-term debt</w:t>
            </w:r>
          </w:p>
        </w:tc>
        <w:tc>
          <w:tcPr>
            <w:tcW w:w="1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4,844</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4,885</w:t>
            </w:r>
          </w:p>
        </w:tc>
        <w:tc>
          <w:tcPr>
            <w:tcW w:w="0" w:type="dxa"/>
            <w:vAlign w:val="bottom"/>
          </w:tcPr>
          <w:p>
            <w:pPr>
              <w:spacing w:after="0"/>
              <w:rPr>
                <w:sz w:val="1"/>
                <w:szCs w:val="1"/>
                <w:color w:val="auto"/>
              </w:rPr>
            </w:pPr>
          </w:p>
        </w:tc>
      </w:tr>
      <w:tr>
        <w:trPr>
          <w:trHeight w:val="192"/>
        </w:trPr>
        <w:tc>
          <w:tcPr>
            <w:tcW w:w="86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Current portion of operating lease liabilities</w:t>
            </w: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4,963</w:t>
            </w: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4,797</w:t>
            </w:r>
          </w:p>
        </w:tc>
        <w:tc>
          <w:tcPr>
            <w:tcW w:w="0" w:type="dxa"/>
            <w:vAlign w:val="bottom"/>
          </w:tcPr>
          <w:p>
            <w:pPr>
              <w:spacing w:after="0"/>
              <w:rPr>
                <w:sz w:val="1"/>
                <w:szCs w:val="1"/>
                <w:color w:val="auto"/>
              </w:rPr>
            </w:pPr>
          </w:p>
        </w:tc>
      </w:tr>
      <w:tr>
        <w:trPr>
          <w:trHeight w:val="186"/>
        </w:trPr>
        <w:tc>
          <w:tcPr>
            <w:tcW w:w="8640" w:type="dxa"/>
            <w:vAlign w:val="bottom"/>
            <w:tcBorders>
              <w:bottom w:val="single" w:sz="8" w:color="CCEEFF"/>
            </w:tcBorders>
          </w:tcPr>
          <w:p>
            <w:pPr>
              <w:ind w:left="360"/>
              <w:spacing w:after="0"/>
              <w:rPr>
                <w:sz w:val="20"/>
                <w:szCs w:val="20"/>
                <w:color w:val="auto"/>
              </w:rPr>
            </w:pPr>
            <w:r>
              <w:rPr>
                <w:rFonts w:ascii="Arial" w:cs="Arial" w:eastAsia="Arial" w:hAnsi="Arial"/>
                <w:sz w:val="14"/>
                <w:szCs w:val="14"/>
                <w:color w:val="auto"/>
              </w:rPr>
              <w:t>Other current liabilities</w:t>
            </w: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17,042</w:t>
            </w: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31,261</w:t>
            </w:r>
          </w:p>
        </w:tc>
        <w:tc>
          <w:tcPr>
            <w:tcW w:w="0" w:type="dxa"/>
            <w:vAlign w:val="bottom"/>
          </w:tcPr>
          <w:p>
            <w:pPr>
              <w:spacing w:after="0"/>
              <w:rPr>
                <w:sz w:val="1"/>
                <w:szCs w:val="1"/>
                <w:color w:val="auto"/>
              </w:rPr>
            </w:pPr>
          </w:p>
        </w:tc>
      </w:tr>
      <w:tr>
        <w:trPr>
          <w:trHeight w:val="186"/>
        </w:trPr>
        <w:tc>
          <w:tcPr>
            <w:tcW w:w="8640" w:type="dxa"/>
            <w:vAlign w:val="bottom"/>
            <w:shd w:val="clear" w:color="auto" w:fill="CCEEFF"/>
          </w:tcPr>
          <w:p>
            <w:pPr>
              <w:ind w:left="680"/>
              <w:spacing w:after="0"/>
              <w:rPr>
                <w:sz w:val="20"/>
                <w:szCs w:val="20"/>
                <w:color w:val="auto"/>
              </w:rPr>
            </w:pPr>
            <w:r>
              <w:rPr>
                <w:rFonts w:ascii="Arial" w:cs="Arial" w:eastAsia="Arial" w:hAnsi="Arial"/>
                <w:sz w:val="14"/>
                <w:szCs w:val="14"/>
                <w:color w:val="auto"/>
              </w:rPr>
              <w:t>Total current liabilities</w:t>
            </w: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98,070</w:t>
            </w: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103,231</w:t>
            </w:r>
          </w:p>
        </w:tc>
        <w:tc>
          <w:tcPr>
            <w:tcW w:w="0" w:type="dxa"/>
            <w:vAlign w:val="bottom"/>
          </w:tcPr>
          <w:p>
            <w:pPr>
              <w:spacing w:after="0"/>
              <w:rPr>
                <w:sz w:val="1"/>
                <w:szCs w:val="1"/>
                <w:color w:val="auto"/>
              </w:rPr>
            </w:pPr>
          </w:p>
        </w:tc>
      </w:tr>
      <w:tr>
        <w:trPr>
          <w:trHeight w:val="186"/>
        </w:trPr>
        <w:tc>
          <w:tcPr>
            <w:tcW w:w="8640" w:type="dxa"/>
            <w:vAlign w:val="bottom"/>
          </w:tcPr>
          <w:p>
            <w:pPr>
              <w:ind w:left="140"/>
              <w:spacing w:after="0"/>
              <w:rPr>
                <w:sz w:val="20"/>
                <w:szCs w:val="20"/>
                <w:color w:val="auto"/>
              </w:rPr>
            </w:pPr>
            <w:r>
              <w:rPr>
                <w:rFonts w:ascii="Arial" w:cs="Arial" w:eastAsia="Arial" w:hAnsi="Arial"/>
                <w:sz w:val="14"/>
                <w:szCs w:val="14"/>
                <w:color w:val="auto"/>
              </w:rPr>
              <w:t>Deferred tax liabilities</w:t>
            </w:r>
          </w:p>
        </w:tc>
        <w:tc>
          <w:tcPr>
            <w:tcW w:w="1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10,326</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11,178</w:t>
            </w:r>
          </w:p>
        </w:tc>
        <w:tc>
          <w:tcPr>
            <w:tcW w:w="0" w:type="dxa"/>
            <w:vAlign w:val="bottom"/>
          </w:tcPr>
          <w:p>
            <w:pPr>
              <w:spacing w:after="0"/>
              <w:rPr>
                <w:sz w:val="1"/>
                <w:szCs w:val="1"/>
                <w:color w:val="auto"/>
              </w:rPr>
            </w:pPr>
          </w:p>
        </w:tc>
      </w:tr>
      <w:tr>
        <w:trPr>
          <w:trHeight w:val="192"/>
        </w:trPr>
        <w:tc>
          <w:tcPr>
            <w:tcW w:w="86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Long-term debt, net of current portion</w:t>
            </w: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151,551</w:t>
            </w: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79,025</w:t>
            </w:r>
          </w:p>
        </w:tc>
        <w:tc>
          <w:tcPr>
            <w:tcW w:w="0" w:type="dxa"/>
            <w:vAlign w:val="bottom"/>
          </w:tcPr>
          <w:p>
            <w:pPr>
              <w:spacing w:after="0"/>
              <w:rPr>
                <w:sz w:val="1"/>
                <w:szCs w:val="1"/>
                <w:color w:val="auto"/>
              </w:rPr>
            </w:pPr>
          </w:p>
        </w:tc>
      </w:tr>
      <w:tr>
        <w:trPr>
          <w:trHeight w:val="186"/>
        </w:trPr>
        <w:tc>
          <w:tcPr>
            <w:tcW w:w="8640" w:type="dxa"/>
            <w:vAlign w:val="bottom"/>
          </w:tcPr>
          <w:p>
            <w:pPr>
              <w:ind w:left="140"/>
              <w:spacing w:after="0"/>
              <w:rPr>
                <w:sz w:val="20"/>
                <w:szCs w:val="20"/>
                <w:color w:val="auto"/>
              </w:rPr>
            </w:pPr>
            <w:r>
              <w:rPr>
                <w:rFonts w:ascii="Arial" w:cs="Arial" w:eastAsia="Arial" w:hAnsi="Arial"/>
                <w:sz w:val="14"/>
                <w:szCs w:val="14"/>
                <w:color w:val="auto"/>
              </w:rPr>
              <w:t>Operating lease liabilities, net of current portion</w:t>
            </w:r>
          </w:p>
        </w:tc>
        <w:tc>
          <w:tcPr>
            <w:tcW w:w="1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54,780</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55,053</w:t>
            </w:r>
          </w:p>
        </w:tc>
        <w:tc>
          <w:tcPr>
            <w:tcW w:w="0" w:type="dxa"/>
            <w:vAlign w:val="bottom"/>
          </w:tcPr>
          <w:p>
            <w:pPr>
              <w:spacing w:after="0"/>
              <w:rPr>
                <w:sz w:val="1"/>
                <w:szCs w:val="1"/>
                <w:color w:val="auto"/>
              </w:rPr>
            </w:pPr>
          </w:p>
        </w:tc>
      </w:tr>
      <w:tr>
        <w:trPr>
          <w:trHeight w:val="192"/>
        </w:trPr>
        <w:tc>
          <w:tcPr>
            <w:tcW w:w="86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Other non-current liabilities</w:t>
            </w:r>
          </w:p>
        </w:tc>
        <w:tc>
          <w:tcPr>
            <w:tcW w:w="12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25,976</w:t>
            </w:r>
          </w:p>
        </w:tc>
        <w:tc>
          <w:tcPr>
            <w:tcW w:w="12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17,237</w:t>
            </w:r>
          </w:p>
        </w:tc>
        <w:tc>
          <w:tcPr>
            <w:tcW w:w="0" w:type="dxa"/>
            <w:vAlign w:val="bottom"/>
          </w:tcPr>
          <w:p>
            <w:pPr>
              <w:spacing w:after="0"/>
              <w:rPr>
                <w:sz w:val="1"/>
                <w:szCs w:val="1"/>
                <w:color w:val="auto"/>
              </w:rPr>
            </w:pPr>
          </w:p>
        </w:tc>
      </w:tr>
      <w:tr>
        <w:trPr>
          <w:trHeight w:val="179"/>
        </w:trPr>
        <w:tc>
          <w:tcPr>
            <w:tcW w:w="8640" w:type="dxa"/>
            <w:vAlign w:val="bottom"/>
            <w:tcBorders>
              <w:bottom w:val="single" w:sz="8" w:color="CCEEFF"/>
            </w:tcBorders>
          </w:tcPr>
          <w:p>
            <w:pPr>
              <w:ind w:left="680"/>
              <w:spacing w:after="0"/>
              <w:rPr>
                <w:sz w:val="20"/>
                <w:szCs w:val="20"/>
                <w:color w:val="auto"/>
              </w:rPr>
            </w:pPr>
            <w:r>
              <w:rPr>
                <w:rFonts w:ascii="Arial" w:cs="Arial" w:eastAsia="Arial" w:hAnsi="Arial"/>
                <w:sz w:val="14"/>
                <w:szCs w:val="14"/>
                <w:color w:val="auto"/>
              </w:rPr>
              <w:t>Total liabilities</w:t>
            </w:r>
          </w:p>
        </w:tc>
        <w:tc>
          <w:tcPr>
            <w:tcW w:w="1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340,703</w:t>
            </w:r>
          </w:p>
        </w:tc>
        <w:tc>
          <w:tcPr>
            <w:tcW w:w="12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265,724</w:t>
            </w:r>
          </w:p>
        </w:tc>
        <w:tc>
          <w:tcPr>
            <w:tcW w:w="0" w:type="dxa"/>
            <w:vAlign w:val="bottom"/>
          </w:tcPr>
          <w:p>
            <w:pPr>
              <w:spacing w:after="0"/>
              <w:rPr>
                <w:sz w:val="1"/>
                <w:szCs w:val="1"/>
                <w:color w:val="auto"/>
              </w:rPr>
            </w:pPr>
          </w:p>
        </w:tc>
      </w:tr>
      <w:tr>
        <w:trPr>
          <w:trHeight w:val="172"/>
        </w:trPr>
        <w:tc>
          <w:tcPr>
            <w:tcW w:w="86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Commitments and contingencies (Note 11)</w:t>
            </w: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8640" w:type="dxa"/>
            <w:vAlign w:val="bottom"/>
          </w:tcPr>
          <w:p>
            <w:pPr>
              <w:ind w:left="140"/>
              <w:spacing w:after="0"/>
              <w:rPr>
                <w:sz w:val="20"/>
                <w:szCs w:val="20"/>
                <w:color w:val="auto"/>
              </w:rPr>
            </w:pPr>
            <w:r>
              <w:rPr>
                <w:rFonts w:ascii="Arial" w:cs="Arial" w:eastAsia="Arial" w:hAnsi="Arial"/>
                <w:sz w:val="14"/>
                <w:szCs w:val="14"/>
                <w:color w:val="auto"/>
                <w:w w:val="96"/>
              </w:rPr>
              <w:t>Series D perpetual preferred stock - $0.01 par value per share, 5,000 shares authorized, 65 shares issued and outstanding at March 31, 2021</w:t>
            </w:r>
          </w:p>
        </w:tc>
        <w:tc>
          <w:tcPr>
            <w:tcW w:w="1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46,858</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8640" w:type="dxa"/>
            <w:vAlign w:val="bottom"/>
            <w:shd w:val="clear" w:color="auto" w:fill="CCEEFF"/>
          </w:tcPr>
          <w:p>
            <w:pPr>
              <w:ind w:left="140"/>
              <w:spacing w:after="0"/>
              <w:rPr>
                <w:sz w:val="20"/>
                <w:szCs w:val="20"/>
                <w:color w:val="auto"/>
              </w:rPr>
            </w:pPr>
            <w:r>
              <w:rPr>
                <w:rFonts w:ascii="Arial" w:cs="Arial" w:eastAsia="Arial" w:hAnsi="Arial"/>
                <w:sz w:val="14"/>
                <w:szCs w:val="14"/>
                <w:color w:val="auto"/>
                <w:w w:val="93"/>
              </w:rPr>
              <w:t>Series B convertible preferred stock - $0.01 par value per share, 100 shares authorized, 100 shares issued and outstanding at December 31, 2020</w:t>
            </w:r>
          </w:p>
        </w:tc>
        <w:tc>
          <w:tcPr>
            <w:tcW w:w="12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105,086</w:t>
            </w:r>
          </w:p>
        </w:tc>
        <w:tc>
          <w:tcPr>
            <w:tcW w:w="0" w:type="dxa"/>
            <w:vAlign w:val="bottom"/>
          </w:tcPr>
          <w:p>
            <w:pPr>
              <w:spacing w:after="0"/>
              <w:rPr>
                <w:sz w:val="1"/>
                <w:szCs w:val="1"/>
                <w:color w:val="auto"/>
              </w:rPr>
            </w:pPr>
          </w:p>
        </w:tc>
      </w:tr>
      <w:tr>
        <w:trPr>
          <w:trHeight w:val="186"/>
        </w:trPr>
        <w:tc>
          <w:tcPr>
            <w:tcW w:w="8640" w:type="dxa"/>
            <w:vAlign w:val="bottom"/>
          </w:tcPr>
          <w:p>
            <w:pPr>
              <w:ind w:left="140"/>
              <w:spacing w:after="0"/>
              <w:rPr>
                <w:sz w:val="20"/>
                <w:szCs w:val="20"/>
                <w:color w:val="auto"/>
              </w:rPr>
            </w:pPr>
            <w:r>
              <w:rPr>
                <w:rFonts w:ascii="Arial" w:cs="Arial" w:eastAsia="Arial" w:hAnsi="Arial"/>
                <w:sz w:val="14"/>
                <w:szCs w:val="14"/>
                <w:color w:val="auto"/>
              </w:rPr>
              <w:t>Stockholders' equity:</w:t>
            </w: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8640" w:type="dxa"/>
            <w:vAlign w:val="bottom"/>
            <w:shd w:val="clear" w:color="auto" w:fill="CCEEFF"/>
          </w:tcPr>
          <w:p>
            <w:pPr>
              <w:ind w:left="360"/>
              <w:spacing w:after="0" w:line="139" w:lineRule="exact"/>
              <w:rPr>
                <w:sz w:val="20"/>
                <w:szCs w:val="20"/>
                <w:color w:val="auto"/>
              </w:rPr>
            </w:pPr>
            <w:r>
              <w:rPr>
                <w:rFonts w:ascii="Arial" w:cs="Arial" w:eastAsia="Arial" w:hAnsi="Arial"/>
                <w:sz w:val="14"/>
                <w:szCs w:val="14"/>
                <w:color w:val="auto"/>
                <w:w w:val="92"/>
              </w:rPr>
              <w:t>Common stock - $0.01 par value per share, 90,000 shares authorized, 42,686 and 43,049 shares issued and outstanding at December 31, 2020</w:t>
            </w:r>
          </w:p>
        </w:tc>
        <w:tc>
          <w:tcPr>
            <w:tcW w:w="120" w:type="dxa"/>
            <w:vAlign w:val="bottom"/>
            <w:shd w:val="clear" w:color="auto" w:fill="CCEEFF"/>
          </w:tcPr>
          <w:p>
            <w:pPr>
              <w:spacing w:after="0"/>
              <w:rPr>
                <w:sz w:val="12"/>
                <w:szCs w:val="12"/>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430</w:t>
            </w:r>
          </w:p>
        </w:tc>
        <w:tc>
          <w:tcPr>
            <w:tcW w:w="1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427</w:t>
            </w:r>
          </w:p>
        </w:tc>
        <w:tc>
          <w:tcPr>
            <w:tcW w:w="0" w:type="dxa"/>
            <w:vAlign w:val="bottom"/>
          </w:tcPr>
          <w:p>
            <w:pPr>
              <w:spacing w:after="0"/>
              <w:rPr>
                <w:sz w:val="1"/>
                <w:szCs w:val="1"/>
                <w:color w:val="auto"/>
              </w:rPr>
            </w:pPr>
          </w:p>
        </w:tc>
      </w:tr>
      <w:tr>
        <w:trPr>
          <w:trHeight w:val="189"/>
        </w:trPr>
        <w:tc>
          <w:tcPr>
            <w:tcW w:w="86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and March 31, 2021, respectively</w:t>
            </w:r>
          </w:p>
        </w:tc>
        <w:tc>
          <w:tcPr>
            <w:tcW w:w="120" w:type="dxa"/>
            <w:vAlign w:val="bottom"/>
            <w:shd w:val="clear" w:color="auto" w:fill="CCEEFF"/>
          </w:tcPr>
          <w:p>
            <w:pPr>
              <w:spacing w:after="0"/>
              <w:rPr>
                <w:sz w:val="16"/>
                <w:szCs w:val="16"/>
                <w:color w:val="auto"/>
              </w:rPr>
            </w:pPr>
          </w:p>
        </w:tc>
        <w:tc>
          <w:tcPr>
            <w:tcW w:w="112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8640" w:type="dxa"/>
            <w:vAlign w:val="bottom"/>
          </w:tcPr>
          <w:p>
            <w:pPr>
              <w:ind w:left="360"/>
              <w:spacing w:after="0"/>
              <w:rPr>
                <w:sz w:val="20"/>
                <w:szCs w:val="20"/>
                <w:color w:val="auto"/>
              </w:rPr>
            </w:pPr>
            <w:r>
              <w:rPr>
                <w:rFonts w:ascii="Arial" w:cs="Arial" w:eastAsia="Arial" w:hAnsi="Arial"/>
                <w:sz w:val="14"/>
                <w:szCs w:val="14"/>
                <w:color w:val="auto"/>
              </w:rPr>
              <w:t>Additional paid-in capital</w:t>
            </w:r>
          </w:p>
        </w:tc>
        <w:tc>
          <w:tcPr>
            <w:tcW w:w="1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479,341</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493,332</w:t>
            </w:r>
          </w:p>
        </w:tc>
        <w:tc>
          <w:tcPr>
            <w:tcW w:w="0" w:type="dxa"/>
            <w:vAlign w:val="bottom"/>
          </w:tcPr>
          <w:p>
            <w:pPr>
              <w:spacing w:after="0"/>
              <w:rPr>
                <w:sz w:val="1"/>
                <w:szCs w:val="1"/>
                <w:color w:val="auto"/>
              </w:rPr>
            </w:pPr>
          </w:p>
        </w:tc>
      </w:tr>
      <w:tr>
        <w:trPr>
          <w:trHeight w:val="192"/>
        </w:trPr>
        <w:tc>
          <w:tcPr>
            <w:tcW w:w="86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Accumulated deficit</w:t>
            </w: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(210,788)</w:t>
            </w: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(205,875)</w:t>
            </w:r>
          </w:p>
        </w:tc>
        <w:tc>
          <w:tcPr>
            <w:tcW w:w="0" w:type="dxa"/>
            <w:vAlign w:val="bottom"/>
          </w:tcPr>
          <w:p>
            <w:pPr>
              <w:spacing w:after="0"/>
              <w:rPr>
                <w:sz w:val="1"/>
                <w:szCs w:val="1"/>
                <w:color w:val="auto"/>
              </w:rPr>
            </w:pPr>
          </w:p>
        </w:tc>
      </w:tr>
      <w:tr>
        <w:trPr>
          <w:trHeight w:val="186"/>
        </w:trPr>
        <w:tc>
          <w:tcPr>
            <w:tcW w:w="8640" w:type="dxa"/>
            <w:vAlign w:val="bottom"/>
            <w:tcBorders>
              <w:bottom w:val="single" w:sz="8" w:color="CCEEFF"/>
            </w:tcBorders>
          </w:tcPr>
          <w:p>
            <w:pPr>
              <w:ind w:left="360"/>
              <w:spacing w:after="0"/>
              <w:rPr>
                <w:sz w:val="20"/>
                <w:szCs w:val="20"/>
                <w:color w:val="auto"/>
              </w:rPr>
            </w:pPr>
            <w:r>
              <w:rPr>
                <w:rFonts w:ascii="Arial" w:cs="Arial" w:eastAsia="Arial" w:hAnsi="Arial"/>
                <w:sz w:val="14"/>
                <w:szCs w:val="14"/>
                <w:color w:val="auto"/>
              </w:rPr>
              <w:t>Accumulated other comprehensive loss</w:t>
            </w: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(34,228)</w:t>
            </w: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(33,732)</w:t>
            </w:r>
          </w:p>
        </w:tc>
        <w:tc>
          <w:tcPr>
            <w:tcW w:w="0" w:type="dxa"/>
            <w:vAlign w:val="bottom"/>
          </w:tcPr>
          <w:p>
            <w:pPr>
              <w:spacing w:after="0"/>
              <w:rPr>
                <w:sz w:val="1"/>
                <w:szCs w:val="1"/>
                <w:color w:val="auto"/>
              </w:rPr>
            </w:pPr>
          </w:p>
        </w:tc>
      </w:tr>
      <w:tr>
        <w:trPr>
          <w:trHeight w:val="186"/>
        </w:trPr>
        <w:tc>
          <w:tcPr>
            <w:tcW w:w="8640" w:type="dxa"/>
            <w:vAlign w:val="bottom"/>
            <w:shd w:val="clear" w:color="auto" w:fill="CCEEFF"/>
          </w:tcPr>
          <w:p>
            <w:pPr>
              <w:ind w:left="680"/>
              <w:spacing w:after="0"/>
              <w:rPr>
                <w:sz w:val="20"/>
                <w:szCs w:val="20"/>
                <w:color w:val="auto"/>
              </w:rPr>
            </w:pPr>
            <w:r>
              <w:rPr>
                <w:rFonts w:ascii="Arial" w:cs="Arial" w:eastAsia="Arial" w:hAnsi="Arial"/>
                <w:sz w:val="14"/>
                <w:szCs w:val="14"/>
                <w:color w:val="auto"/>
              </w:rPr>
              <w:t>Total stockholders’ equity</w:t>
            </w:r>
          </w:p>
        </w:tc>
        <w:tc>
          <w:tcPr>
            <w:tcW w:w="12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234,755</w:t>
            </w:r>
          </w:p>
        </w:tc>
        <w:tc>
          <w:tcPr>
            <w:tcW w:w="12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254,152</w:t>
            </w:r>
          </w:p>
        </w:tc>
        <w:tc>
          <w:tcPr>
            <w:tcW w:w="0" w:type="dxa"/>
            <w:vAlign w:val="bottom"/>
          </w:tcPr>
          <w:p>
            <w:pPr>
              <w:spacing w:after="0"/>
              <w:rPr>
                <w:sz w:val="1"/>
                <w:szCs w:val="1"/>
                <w:color w:val="auto"/>
              </w:rPr>
            </w:pPr>
          </w:p>
        </w:tc>
      </w:tr>
      <w:tr>
        <w:trPr>
          <w:trHeight w:val="179"/>
        </w:trPr>
        <w:tc>
          <w:tcPr>
            <w:tcW w:w="8640" w:type="dxa"/>
            <w:vAlign w:val="bottom"/>
          </w:tcPr>
          <w:p>
            <w:pPr>
              <w:ind w:left="20"/>
              <w:spacing w:after="0"/>
              <w:rPr>
                <w:sz w:val="20"/>
                <w:szCs w:val="20"/>
                <w:color w:val="auto"/>
              </w:rPr>
            </w:pPr>
            <w:r>
              <w:rPr>
                <w:rFonts w:ascii="Arial" w:cs="Arial" w:eastAsia="Arial" w:hAnsi="Arial"/>
                <w:sz w:val="14"/>
                <w:szCs w:val="14"/>
                <w:color w:val="auto"/>
              </w:rPr>
              <w:t>Total liabilities, preferred stock, and stockholders’ equity</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622,316</w:t>
            </w:r>
          </w:p>
        </w:tc>
        <w:tc>
          <w:tcPr>
            <w:tcW w:w="120" w:type="dxa"/>
            <w:vAlign w:val="bottom"/>
          </w:tcPr>
          <w:p>
            <w:pPr>
              <w:spacing w:after="0"/>
              <w:rPr>
                <w:sz w:val="15"/>
                <w:szCs w:val="15"/>
                <w:color w:val="auto"/>
              </w:rPr>
            </w:pPr>
          </w:p>
        </w:tc>
        <w:tc>
          <w:tcPr>
            <w:tcW w:w="3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624,962</w:t>
            </w:r>
          </w:p>
        </w:tc>
        <w:tc>
          <w:tcPr>
            <w:tcW w:w="0" w:type="dxa"/>
            <w:vAlign w:val="bottom"/>
          </w:tcPr>
          <w:p>
            <w:pPr>
              <w:spacing w:after="0"/>
              <w:rPr>
                <w:sz w:val="1"/>
                <w:szCs w:val="1"/>
                <w:color w:val="auto"/>
              </w:rPr>
            </w:pPr>
          </w:p>
        </w:tc>
      </w:tr>
      <w:tr>
        <w:trPr>
          <w:trHeight w:val="24"/>
        </w:trPr>
        <w:tc>
          <w:tcPr>
            <w:tcW w:w="86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notes to condensed consolidated financial statements (unaudited).</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4" w:name="page5"/>
    <w:bookmarkEnd w:id="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NN,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Changes in Stockholders’ Equity</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Months Ended March 31, 2021 and 2020</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00" w:type="dxa"/>
            <w:vAlign w:val="bottom"/>
          </w:tcPr>
          <w:p>
            <w:pPr>
              <w:spacing w:after="0"/>
              <w:rPr>
                <w:sz w:val="16"/>
                <w:szCs w:val="16"/>
                <w:color w:val="auto"/>
              </w:rPr>
            </w:pPr>
          </w:p>
        </w:tc>
        <w:tc>
          <w:tcPr>
            <w:tcW w:w="1560" w:type="dxa"/>
            <w:vAlign w:val="bottom"/>
            <w:tcBorders>
              <w:bottom w:val="single" w:sz="8" w:color="auto"/>
            </w:tcBorders>
            <w:gridSpan w:val="4"/>
          </w:tcPr>
          <w:p>
            <w:pPr>
              <w:jc w:val="right"/>
              <w:ind w:right="221"/>
              <w:spacing w:after="0"/>
              <w:rPr>
                <w:sz w:val="20"/>
                <w:szCs w:val="20"/>
                <w:color w:val="auto"/>
              </w:rPr>
            </w:pPr>
            <w:r>
              <w:rPr>
                <w:rFonts w:ascii="Arial" w:cs="Arial" w:eastAsia="Arial" w:hAnsi="Arial"/>
                <w:sz w:val="14"/>
                <w:szCs w:val="14"/>
                <w:b w:val="1"/>
                <w:bCs w:val="1"/>
                <w:color w:val="auto"/>
              </w:rPr>
              <w:t>Common Stock</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4800" w:type="dxa"/>
            <w:vAlign w:val="bottom"/>
          </w:tcPr>
          <w:p>
            <w:pPr>
              <w:spacing w:after="0"/>
              <w:rPr>
                <w:sz w:val="11"/>
                <w:szCs w:val="11"/>
                <w:color w:val="auto"/>
              </w:rPr>
            </w:pPr>
          </w:p>
        </w:tc>
        <w:tc>
          <w:tcPr>
            <w:tcW w:w="90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8"/>
              </w:rPr>
              <w:t>Number</w:t>
            </w:r>
          </w:p>
        </w:tc>
        <w:tc>
          <w:tcPr>
            <w:tcW w:w="140" w:type="dxa"/>
            <w:vAlign w:val="bottom"/>
          </w:tcPr>
          <w:p>
            <w:pPr>
              <w:spacing w:after="0"/>
              <w:rPr>
                <w:sz w:val="11"/>
                <w:szCs w:val="11"/>
                <w:color w:val="auto"/>
              </w:rPr>
            </w:pPr>
          </w:p>
        </w:tc>
        <w:tc>
          <w:tcPr>
            <w:tcW w:w="6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7"/>
              </w:rPr>
              <w:t>Par</w:t>
            </w:r>
          </w:p>
        </w:tc>
        <w:tc>
          <w:tcPr>
            <w:tcW w:w="120" w:type="dxa"/>
            <w:vAlign w:val="bottom"/>
          </w:tcPr>
          <w:p>
            <w:pPr>
              <w:spacing w:after="0"/>
              <w:rPr>
                <w:sz w:val="11"/>
                <w:szCs w:val="11"/>
                <w:color w:val="auto"/>
              </w:rPr>
            </w:pPr>
          </w:p>
        </w:tc>
        <w:tc>
          <w:tcPr>
            <w:tcW w:w="96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96"/>
              </w:rPr>
              <w:t>Additional</w:t>
            </w:r>
          </w:p>
        </w:tc>
        <w:tc>
          <w:tcPr>
            <w:tcW w:w="160" w:type="dxa"/>
            <w:vAlign w:val="bottom"/>
          </w:tcPr>
          <w:p>
            <w:pPr>
              <w:spacing w:after="0"/>
              <w:rPr>
                <w:sz w:val="11"/>
                <w:szCs w:val="11"/>
                <w:color w:val="auto"/>
              </w:rPr>
            </w:pPr>
          </w:p>
        </w:tc>
        <w:tc>
          <w:tcPr>
            <w:tcW w:w="11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Accumulated</w:t>
            </w:r>
          </w:p>
        </w:tc>
        <w:tc>
          <w:tcPr>
            <w:tcW w:w="1420" w:type="dxa"/>
            <w:vAlign w:val="bottom"/>
            <w:gridSpan w:val="3"/>
          </w:tcPr>
          <w:p>
            <w:pPr>
              <w:jc w:val="center"/>
              <w:ind w:right="120"/>
              <w:spacing w:after="0" w:line="135" w:lineRule="exact"/>
              <w:rPr>
                <w:sz w:val="20"/>
                <w:szCs w:val="20"/>
                <w:color w:val="auto"/>
              </w:rPr>
            </w:pPr>
            <w:r>
              <w:rPr>
                <w:rFonts w:ascii="Arial" w:cs="Arial" w:eastAsia="Arial" w:hAnsi="Arial"/>
                <w:sz w:val="14"/>
                <w:szCs w:val="14"/>
                <w:b w:val="1"/>
                <w:bCs w:val="1"/>
                <w:color w:val="auto"/>
                <w:w w:val="93"/>
              </w:rPr>
              <w:t>Accumulated other</w:t>
            </w: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8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90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0"/>
              </w:rPr>
              <w:t>of</w:t>
            </w:r>
          </w:p>
        </w:tc>
        <w:tc>
          <w:tcPr>
            <w:tcW w:w="140" w:type="dxa"/>
            <w:vAlign w:val="bottom"/>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5"/>
              </w:rPr>
              <w:t>paid-in</w:t>
            </w:r>
          </w:p>
        </w:tc>
        <w:tc>
          <w:tcPr>
            <w:tcW w:w="160" w:type="dxa"/>
            <w:vAlign w:val="bottom"/>
          </w:tcPr>
          <w:p>
            <w:pPr>
              <w:spacing w:after="0"/>
              <w:rPr>
                <w:sz w:val="11"/>
                <w:szCs w:val="11"/>
                <w:color w:val="auto"/>
              </w:rPr>
            </w:pPr>
          </w:p>
        </w:tc>
        <w:tc>
          <w:tcPr>
            <w:tcW w:w="116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28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89"/>
              </w:rPr>
              <w:t>comprehensive</w:t>
            </w:r>
          </w:p>
        </w:tc>
        <w:tc>
          <w:tcPr>
            <w:tcW w:w="220" w:type="dxa"/>
            <w:vAlign w:val="bottom"/>
          </w:tcPr>
          <w:p>
            <w:pPr>
              <w:spacing w:after="0"/>
              <w:rPr>
                <w:sz w:val="11"/>
                <w:szCs w:val="11"/>
                <w:color w:val="auto"/>
              </w:rPr>
            </w:pPr>
          </w:p>
        </w:tc>
        <w:tc>
          <w:tcPr>
            <w:tcW w:w="720" w:type="dxa"/>
            <w:vAlign w:val="bottom"/>
            <w:vMerge w:val="restart"/>
          </w:tcPr>
          <w:p>
            <w:pPr>
              <w:jc w:val="right"/>
              <w:ind w:righ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4800" w:type="dxa"/>
            <w:vAlign w:val="bottom"/>
            <w:vMerge w:val="continue"/>
          </w:tcPr>
          <w:p>
            <w:pPr>
              <w:spacing w:after="0"/>
              <w:rPr>
                <w:sz w:val="16"/>
                <w:szCs w:val="16"/>
                <w:color w:val="auto"/>
              </w:rPr>
            </w:pPr>
          </w:p>
        </w:tc>
        <w:tc>
          <w:tcPr>
            <w:tcW w:w="9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shares</w:t>
            </w:r>
          </w:p>
        </w:tc>
        <w:tc>
          <w:tcPr>
            <w:tcW w:w="140" w:type="dxa"/>
            <w:vAlign w:val="bottom"/>
          </w:tcPr>
          <w:p>
            <w:pPr>
              <w:spacing w:after="0"/>
              <w:rPr>
                <w:sz w:val="16"/>
                <w:szCs w:val="16"/>
                <w:color w:val="auto"/>
              </w:rPr>
            </w:pPr>
          </w:p>
        </w:tc>
        <w:tc>
          <w:tcPr>
            <w:tcW w:w="6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value</w:t>
            </w:r>
          </w:p>
        </w:tc>
        <w:tc>
          <w:tcPr>
            <w:tcW w:w="120" w:type="dxa"/>
            <w:vAlign w:val="bottom"/>
          </w:tcPr>
          <w:p>
            <w:pPr>
              <w:spacing w:after="0"/>
              <w:rPr>
                <w:sz w:val="16"/>
                <w:szCs w:val="16"/>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capital</w:t>
            </w:r>
          </w:p>
        </w:tc>
        <w:tc>
          <w:tcPr>
            <w:tcW w:w="160" w:type="dxa"/>
            <w:vAlign w:val="bottom"/>
          </w:tcPr>
          <w:p>
            <w:pPr>
              <w:spacing w:after="0"/>
              <w:rPr>
                <w:sz w:val="16"/>
                <w:szCs w:val="16"/>
                <w:color w:val="auto"/>
              </w:rPr>
            </w:pPr>
          </w:p>
        </w:tc>
        <w:tc>
          <w:tcPr>
            <w:tcW w:w="1160" w:type="dxa"/>
            <w:vAlign w:val="bottom"/>
            <w:gridSpan w:val="2"/>
          </w:tcPr>
          <w:p>
            <w:pPr>
              <w:ind w:left="260"/>
              <w:spacing w:after="0"/>
              <w:rPr>
                <w:sz w:val="20"/>
                <w:szCs w:val="20"/>
                <w:color w:val="auto"/>
              </w:rPr>
            </w:pPr>
            <w:r>
              <w:rPr>
                <w:rFonts w:ascii="Arial" w:cs="Arial" w:eastAsia="Arial" w:hAnsi="Arial"/>
                <w:sz w:val="14"/>
                <w:szCs w:val="14"/>
                <w:b w:val="1"/>
                <w:bCs w:val="1"/>
                <w:color w:val="auto"/>
              </w:rPr>
              <w:t>deficit</w:t>
            </w:r>
          </w:p>
        </w:tc>
        <w:tc>
          <w:tcPr>
            <w:tcW w:w="140" w:type="dxa"/>
            <w:vAlign w:val="bottom"/>
          </w:tcPr>
          <w:p>
            <w:pPr>
              <w:spacing w:after="0"/>
              <w:rPr>
                <w:sz w:val="16"/>
                <w:szCs w:val="16"/>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income (loss)</w:t>
            </w:r>
          </w:p>
        </w:tc>
        <w:tc>
          <w:tcPr>
            <w:tcW w:w="22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48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December 31, 2020</w:t>
            </w:r>
          </w:p>
        </w:tc>
        <w:tc>
          <w:tcPr>
            <w:tcW w:w="80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42,686</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427</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493,332</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(205,875)</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(33,732)</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254,152</w:t>
            </w:r>
          </w:p>
        </w:tc>
        <w:tc>
          <w:tcPr>
            <w:tcW w:w="0" w:type="dxa"/>
            <w:vAlign w:val="bottom"/>
          </w:tcPr>
          <w:p>
            <w:pPr>
              <w:spacing w:after="0"/>
              <w:rPr>
                <w:sz w:val="1"/>
                <w:szCs w:val="1"/>
                <w:color w:val="auto"/>
              </w:rPr>
            </w:pPr>
          </w:p>
        </w:tc>
      </w:tr>
      <w:tr>
        <w:trPr>
          <w:trHeight w:val="213"/>
        </w:trPr>
        <w:tc>
          <w:tcPr>
            <w:tcW w:w="4800" w:type="dxa"/>
            <w:vAlign w:val="bottom"/>
          </w:tcPr>
          <w:p>
            <w:pPr>
              <w:ind w:left="360"/>
              <w:spacing w:after="0"/>
              <w:rPr>
                <w:sz w:val="20"/>
                <w:szCs w:val="20"/>
                <w:color w:val="auto"/>
              </w:rPr>
            </w:pPr>
            <w:r>
              <w:rPr>
                <w:rFonts w:ascii="Arial" w:cs="Arial" w:eastAsia="Arial" w:hAnsi="Arial"/>
                <w:sz w:val="16"/>
                <w:szCs w:val="16"/>
                <w:color w:val="auto"/>
              </w:rPr>
              <w:t>Net loss</w:t>
            </w:r>
          </w:p>
        </w:tc>
        <w:tc>
          <w:tcPr>
            <w:tcW w:w="9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(4,913)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(4,913)</w:t>
            </w:r>
          </w:p>
        </w:tc>
        <w:tc>
          <w:tcPr>
            <w:tcW w:w="0" w:type="dxa"/>
            <w:vAlign w:val="bottom"/>
          </w:tcPr>
          <w:p>
            <w:pPr>
              <w:spacing w:after="0"/>
              <w:rPr>
                <w:sz w:val="1"/>
                <w:szCs w:val="1"/>
                <w:color w:val="auto"/>
              </w:rPr>
            </w:pPr>
          </w:p>
        </w:tc>
      </w:tr>
      <w:tr>
        <w:trPr>
          <w:trHeight w:val="219"/>
        </w:trPr>
        <w:tc>
          <w:tcPr>
            <w:tcW w:w="48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Dividends accrued for preferred stock</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(14,529)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8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(14,529)</w:t>
            </w:r>
          </w:p>
        </w:tc>
        <w:tc>
          <w:tcPr>
            <w:tcW w:w="0" w:type="dxa"/>
            <w:vAlign w:val="bottom"/>
          </w:tcPr>
          <w:p>
            <w:pPr>
              <w:spacing w:after="0"/>
              <w:rPr>
                <w:sz w:val="1"/>
                <w:szCs w:val="1"/>
                <w:color w:val="auto"/>
              </w:rPr>
            </w:pPr>
          </w:p>
        </w:tc>
      </w:tr>
      <w:tr>
        <w:trPr>
          <w:trHeight w:val="213"/>
        </w:trPr>
        <w:tc>
          <w:tcPr>
            <w:tcW w:w="4800" w:type="dxa"/>
            <w:vAlign w:val="bottom"/>
          </w:tcPr>
          <w:p>
            <w:pPr>
              <w:ind w:left="360"/>
              <w:spacing w:after="0"/>
              <w:rPr>
                <w:sz w:val="20"/>
                <w:szCs w:val="20"/>
                <w:color w:val="auto"/>
              </w:rPr>
            </w:pPr>
            <w:r>
              <w:rPr>
                <w:rFonts w:ascii="Arial" w:cs="Arial" w:eastAsia="Arial" w:hAnsi="Arial"/>
                <w:sz w:val="16"/>
                <w:szCs w:val="16"/>
                <w:color w:val="auto"/>
              </w:rPr>
              <w:t>Share-based compensation expense</w:t>
            </w:r>
          </w:p>
        </w:tc>
        <w:tc>
          <w:tcPr>
            <w:tcW w:w="800" w:type="dxa"/>
            <w:vAlign w:val="bottom"/>
          </w:tcPr>
          <w:p>
            <w:pPr>
              <w:jc w:val="right"/>
              <w:ind w:right="2"/>
              <w:spacing w:after="0"/>
              <w:rPr>
                <w:sz w:val="20"/>
                <w:szCs w:val="20"/>
                <w:color w:val="auto"/>
              </w:rPr>
            </w:pPr>
            <w:r>
              <w:rPr>
                <w:rFonts w:ascii="Arial" w:cs="Arial" w:eastAsia="Arial" w:hAnsi="Arial"/>
                <w:sz w:val="16"/>
                <w:szCs w:val="16"/>
                <w:color w:val="auto"/>
              </w:rPr>
              <w:t>413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882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ind w:left="8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886</w:t>
            </w:r>
          </w:p>
        </w:tc>
        <w:tc>
          <w:tcPr>
            <w:tcW w:w="0" w:type="dxa"/>
            <w:vAlign w:val="bottom"/>
          </w:tcPr>
          <w:p>
            <w:pPr>
              <w:spacing w:after="0"/>
              <w:rPr>
                <w:sz w:val="1"/>
                <w:szCs w:val="1"/>
                <w:color w:val="auto"/>
              </w:rPr>
            </w:pPr>
          </w:p>
        </w:tc>
      </w:tr>
      <w:tr>
        <w:trPr>
          <w:trHeight w:val="219"/>
        </w:trPr>
        <w:tc>
          <w:tcPr>
            <w:tcW w:w="48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Restricted shares forgiven for taxes</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8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(345)</w:t>
            </w:r>
          </w:p>
        </w:tc>
        <w:tc>
          <w:tcPr>
            <w:tcW w:w="0" w:type="dxa"/>
            <w:vAlign w:val="bottom"/>
          </w:tcPr>
          <w:p>
            <w:pPr>
              <w:spacing w:after="0"/>
              <w:rPr>
                <w:sz w:val="1"/>
                <w:szCs w:val="1"/>
                <w:color w:val="auto"/>
              </w:rPr>
            </w:pPr>
          </w:p>
        </w:tc>
      </w:tr>
      <w:tr>
        <w:trPr>
          <w:trHeight w:val="213"/>
        </w:trPr>
        <w:tc>
          <w:tcPr>
            <w:tcW w:w="4800" w:type="dxa"/>
            <w:vAlign w:val="bottom"/>
          </w:tcPr>
          <w:p>
            <w:pPr>
              <w:ind w:left="360"/>
              <w:spacing w:after="0"/>
              <w:rPr>
                <w:sz w:val="20"/>
                <w:szCs w:val="20"/>
                <w:color w:val="auto"/>
              </w:rPr>
            </w:pPr>
            <w:r>
              <w:rPr>
                <w:rFonts w:ascii="Arial" w:cs="Arial" w:eastAsia="Arial" w:hAnsi="Arial"/>
                <w:sz w:val="16"/>
                <w:szCs w:val="16"/>
                <w:color w:val="auto"/>
                <w:w w:val="94"/>
              </w:rPr>
              <w:t>Reclassification of interest rate swap to net loss, net of tax of $861</w:t>
            </w:r>
          </w:p>
        </w:tc>
        <w:tc>
          <w:tcPr>
            <w:tcW w:w="9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160" w:type="dxa"/>
            <w:vAlign w:val="bottom"/>
            <w:gridSpan w:val="2"/>
          </w:tcPr>
          <w:p>
            <w:pPr>
              <w:ind w:left="8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2,851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2,851</w:t>
            </w: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Foreign currency translation loss</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8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(3,347)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(3,347)</w:t>
            </w:r>
          </w:p>
        </w:tc>
        <w:tc>
          <w:tcPr>
            <w:tcW w:w="0" w:type="dxa"/>
            <w:vAlign w:val="bottom"/>
          </w:tcPr>
          <w:p>
            <w:pPr>
              <w:spacing w:after="0"/>
              <w:rPr>
                <w:sz w:val="1"/>
                <w:szCs w:val="1"/>
                <w:color w:val="auto"/>
              </w:rPr>
            </w:pPr>
          </w:p>
        </w:tc>
      </w:tr>
      <w:tr>
        <w:trPr>
          <w:trHeight w:val="213"/>
        </w:trPr>
        <w:tc>
          <w:tcPr>
            <w:tcW w:w="4800" w:type="dxa"/>
            <w:vAlign w:val="bottom"/>
          </w:tcPr>
          <w:p>
            <w:pPr>
              <w:ind w:left="20"/>
              <w:spacing w:after="0"/>
              <w:rPr>
                <w:sz w:val="20"/>
                <w:szCs w:val="20"/>
                <w:color w:val="auto"/>
              </w:rPr>
            </w:pPr>
            <w:r>
              <w:rPr>
                <w:rFonts w:ascii="Arial" w:cs="Arial" w:eastAsia="Arial" w:hAnsi="Arial"/>
                <w:sz w:val="16"/>
                <w:szCs w:val="16"/>
                <w:color w:val="auto"/>
              </w:rPr>
              <w:t>Balance, March 31, 2021</w:t>
            </w:r>
          </w:p>
        </w:tc>
        <w:tc>
          <w:tcPr>
            <w:tcW w:w="80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6"/>
                <w:szCs w:val="16"/>
                <w:color w:val="auto"/>
              </w:rPr>
              <w:t>43,049</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430</w:t>
            </w: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479,341</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(210,788)</w:t>
            </w:r>
          </w:p>
        </w:tc>
        <w:tc>
          <w:tcPr>
            <w:tcW w:w="1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(34,228)</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234,755</w:t>
            </w: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tbl>
      <w:tblPr>
        <w:tblLayout w:type="fixed"/>
        <w:tblInd w:w="60" w:type="dxa"/>
        <w:tblCellMar>
          <w:top w:w="0" w:type="dxa"/>
          <w:left w:w="0" w:type="dxa"/>
          <w:bottom w:w="0" w:type="dxa"/>
          <w:right w:w="0" w:type="dxa"/>
        </w:tblCellMar>
      </w:tblPr>
      <w:tr>
        <w:trPr>
          <w:trHeight w:val="192"/>
        </w:trPr>
        <w:tc>
          <w:tcPr>
            <w:tcW w:w="3780" w:type="dxa"/>
            <w:vAlign w:val="bottom"/>
          </w:tcPr>
          <w:p>
            <w:pPr>
              <w:spacing w:after="0"/>
              <w:rPr>
                <w:sz w:val="16"/>
                <w:szCs w:val="16"/>
                <w:color w:val="auto"/>
              </w:rPr>
            </w:pPr>
          </w:p>
        </w:tc>
        <w:tc>
          <w:tcPr>
            <w:tcW w:w="1540" w:type="dxa"/>
            <w:vAlign w:val="bottom"/>
            <w:tcBorders>
              <w:bottom w:val="single" w:sz="8" w:color="auto"/>
            </w:tcBorders>
            <w:gridSpan w:val="4"/>
          </w:tcPr>
          <w:p>
            <w:pPr>
              <w:jc w:val="right"/>
              <w:ind w:right="221"/>
              <w:spacing w:after="0"/>
              <w:rPr>
                <w:sz w:val="20"/>
                <w:szCs w:val="20"/>
                <w:color w:val="auto"/>
              </w:rPr>
            </w:pPr>
            <w:r>
              <w:rPr>
                <w:rFonts w:ascii="Arial" w:cs="Arial" w:eastAsia="Arial" w:hAnsi="Arial"/>
                <w:sz w:val="14"/>
                <w:szCs w:val="14"/>
                <w:b w:val="1"/>
                <w:bCs w:val="1"/>
                <w:color w:val="auto"/>
              </w:rPr>
              <w:t>Common Stock</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3780" w:type="dxa"/>
            <w:vAlign w:val="bottom"/>
          </w:tcPr>
          <w:p>
            <w:pPr>
              <w:spacing w:after="0"/>
              <w:rPr>
                <w:sz w:val="11"/>
                <w:szCs w:val="11"/>
                <w:color w:val="auto"/>
              </w:rPr>
            </w:pPr>
          </w:p>
        </w:tc>
        <w:tc>
          <w:tcPr>
            <w:tcW w:w="90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4"/>
              </w:rPr>
              <w:t>Number</w:t>
            </w:r>
          </w:p>
        </w:tc>
        <w:tc>
          <w:tcPr>
            <w:tcW w:w="120" w:type="dxa"/>
            <w:vAlign w:val="bottom"/>
          </w:tcPr>
          <w:p>
            <w:pPr>
              <w:spacing w:after="0"/>
              <w:rPr>
                <w:sz w:val="11"/>
                <w:szCs w:val="11"/>
                <w:color w:val="auto"/>
              </w:rPr>
            </w:pPr>
          </w:p>
        </w:tc>
        <w:tc>
          <w:tcPr>
            <w:tcW w:w="6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7"/>
              </w:rPr>
              <w:t>Par</w:t>
            </w:r>
          </w:p>
        </w:tc>
        <w:tc>
          <w:tcPr>
            <w:tcW w:w="140" w:type="dxa"/>
            <w:vAlign w:val="bottom"/>
          </w:tcPr>
          <w:p>
            <w:pPr>
              <w:spacing w:after="0"/>
              <w:rPr>
                <w:sz w:val="11"/>
                <w:szCs w:val="11"/>
                <w:color w:val="auto"/>
              </w:rPr>
            </w:pPr>
          </w:p>
        </w:tc>
        <w:tc>
          <w:tcPr>
            <w:tcW w:w="94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6"/>
              </w:rPr>
              <w:t>Additional</w:t>
            </w: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Accumulated</w:t>
            </w:r>
          </w:p>
        </w:tc>
        <w:tc>
          <w:tcPr>
            <w:tcW w:w="1400" w:type="dxa"/>
            <w:vAlign w:val="bottom"/>
            <w:gridSpan w:val="3"/>
          </w:tcPr>
          <w:p>
            <w:pPr>
              <w:jc w:val="center"/>
              <w:ind w:right="140"/>
              <w:spacing w:after="0" w:line="135" w:lineRule="exact"/>
              <w:rPr>
                <w:sz w:val="20"/>
                <w:szCs w:val="20"/>
                <w:color w:val="auto"/>
              </w:rPr>
            </w:pPr>
            <w:r>
              <w:rPr>
                <w:rFonts w:ascii="Arial" w:cs="Arial" w:eastAsia="Arial" w:hAnsi="Arial"/>
                <w:sz w:val="14"/>
                <w:szCs w:val="14"/>
                <w:b w:val="1"/>
                <w:bCs w:val="1"/>
                <w:color w:val="auto"/>
                <w:w w:val="93"/>
              </w:rPr>
              <w:t>Accumulated other</w:t>
            </w: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7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900" w:type="dxa"/>
            <w:vAlign w:val="bottom"/>
            <w:gridSpan w:val="2"/>
          </w:tcPr>
          <w:p>
            <w:pPr>
              <w:jc w:val="center"/>
              <w:ind w:right="140"/>
              <w:spacing w:after="0" w:line="135" w:lineRule="exact"/>
              <w:rPr>
                <w:sz w:val="20"/>
                <w:szCs w:val="20"/>
                <w:color w:val="auto"/>
              </w:rPr>
            </w:pPr>
            <w:r>
              <w:rPr>
                <w:rFonts w:ascii="Arial" w:cs="Arial" w:eastAsia="Arial" w:hAnsi="Arial"/>
                <w:sz w:val="14"/>
                <w:szCs w:val="14"/>
                <w:b w:val="1"/>
                <w:bCs w:val="1"/>
                <w:color w:val="auto"/>
                <w:w w:val="90"/>
              </w:rPr>
              <w:t>of</w:t>
            </w:r>
          </w:p>
        </w:tc>
        <w:tc>
          <w:tcPr>
            <w:tcW w:w="120" w:type="dxa"/>
            <w:vAlign w:val="bottom"/>
          </w:tcPr>
          <w:p>
            <w:pPr>
              <w:spacing w:after="0"/>
              <w:rPr>
                <w:sz w:val="11"/>
                <w:szCs w:val="11"/>
                <w:color w:val="auto"/>
              </w:rPr>
            </w:pPr>
          </w:p>
        </w:tc>
        <w:tc>
          <w:tcPr>
            <w:tcW w:w="62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5"/>
              </w:rPr>
              <w:t>paid-in</w:t>
            </w:r>
          </w:p>
        </w:tc>
        <w:tc>
          <w:tcPr>
            <w:tcW w:w="120" w:type="dxa"/>
            <w:vAlign w:val="bottom"/>
          </w:tcPr>
          <w:p>
            <w:pPr>
              <w:spacing w:after="0"/>
              <w:rPr>
                <w:sz w:val="11"/>
                <w:szCs w:val="11"/>
                <w:color w:val="auto"/>
              </w:rPr>
            </w:pPr>
          </w:p>
        </w:tc>
        <w:tc>
          <w:tcPr>
            <w:tcW w:w="8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Warrants</w:t>
            </w:r>
          </w:p>
        </w:tc>
        <w:tc>
          <w:tcPr>
            <w:tcW w:w="140" w:type="dxa"/>
            <w:vAlign w:val="bottom"/>
          </w:tcPr>
          <w:p>
            <w:pPr>
              <w:spacing w:after="0"/>
              <w:rPr>
                <w:sz w:val="11"/>
                <w:szCs w:val="11"/>
                <w:color w:val="auto"/>
              </w:rPr>
            </w:pPr>
          </w:p>
        </w:tc>
        <w:tc>
          <w:tcPr>
            <w:tcW w:w="116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89"/>
              </w:rPr>
              <w:t>comprehensive</w:t>
            </w:r>
          </w:p>
        </w:tc>
        <w:tc>
          <w:tcPr>
            <w:tcW w:w="180" w:type="dxa"/>
            <w:vAlign w:val="bottom"/>
          </w:tcPr>
          <w:p>
            <w:pPr>
              <w:spacing w:after="0"/>
              <w:rPr>
                <w:sz w:val="11"/>
                <w:szCs w:val="11"/>
                <w:color w:val="auto"/>
              </w:rPr>
            </w:pPr>
          </w:p>
        </w:tc>
        <w:tc>
          <w:tcPr>
            <w:tcW w:w="760" w:type="dxa"/>
            <w:vAlign w:val="bottom"/>
            <w:vMerge w:val="restart"/>
          </w:tcPr>
          <w:p>
            <w:pPr>
              <w:jc w:val="right"/>
              <w:ind w:right="2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3780" w:type="dxa"/>
            <w:vAlign w:val="bottom"/>
            <w:vMerge w:val="continue"/>
          </w:tcPr>
          <w:p>
            <w:pPr>
              <w:spacing w:after="0"/>
              <w:rPr>
                <w:sz w:val="16"/>
                <w:szCs w:val="16"/>
                <w:color w:val="auto"/>
              </w:rPr>
            </w:pPr>
          </w:p>
        </w:tc>
        <w:tc>
          <w:tcPr>
            <w:tcW w:w="9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4"/>
              </w:rPr>
              <w:t>shares</w:t>
            </w:r>
          </w:p>
        </w:tc>
        <w:tc>
          <w:tcPr>
            <w:tcW w:w="120" w:type="dxa"/>
            <w:vAlign w:val="bottom"/>
          </w:tcPr>
          <w:p>
            <w:pPr>
              <w:spacing w:after="0"/>
              <w:rPr>
                <w:sz w:val="16"/>
                <w:szCs w:val="16"/>
                <w:color w:val="auto"/>
              </w:rPr>
            </w:pPr>
          </w:p>
        </w:tc>
        <w:tc>
          <w:tcPr>
            <w:tcW w:w="6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value</w:t>
            </w:r>
          </w:p>
        </w:tc>
        <w:tc>
          <w:tcPr>
            <w:tcW w:w="140" w:type="dxa"/>
            <w:vAlign w:val="bottom"/>
          </w:tcPr>
          <w:p>
            <w:pPr>
              <w:spacing w:after="0"/>
              <w:rPr>
                <w:sz w:val="16"/>
                <w:szCs w:val="16"/>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capital</w:t>
            </w:r>
          </w:p>
        </w:tc>
        <w:tc>
          <w:tcPr>
            <w:tcW w:w="12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gridSpan w:val="2"/>
          </w:tcPr>
          <w:p>
            <w:pPr>
              <w:ind w:left="260"/>
              <w:spacing w:after="0"/>
              <w:rPr>
                <w:sz w:val="20"/>
                <w:szCs w:val="20"/>
                <w:color w:val="auto"/>
              </w:rPr>
            </w:pPr>
            <w:r>
              <w:rPr>
                <w:rFonts w:ascii="Arial" w:cs="Arial" w:eastAsia="Arial" w:hAnsi="Arial"/>
                <w:sz w:val="14"/>
                <w:szCs w:val="14"/>
                <w:b w:val="1"/>
                <w:bCs w:val="1"/>
                <w:color w:val="auto"/>
              </w:rPr>
              <w:t>deficit</w:t>
            </w:r>
          </w:p>
        </w:tc>
        <w:tc>
          <w:tcPr>
            <w:tcW w:w="140" w:type="dxa"/>
            <w:vAlign w:val="bottom"/>
          </w:tcPr>
          <w:p>
            <w:pPr>
              <w:spacing w:after="0"/>
              <w:rPr>
                <w:sz w:val="16"/>
                <w:szCs w:val="16"/>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income (loss)</w:t>
            </w:r>
          </w:p>
        </w:tc>
        <w:tc>
          <w:tcPr>
            <w:tcW w:w="18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3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December 31, 2019</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42,313</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423</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501,615</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1,076</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ind w:left="380"/>
              <w:spacing w:after="0"/>
              <w:rPr>
                <w:sz w:val="20"/>
                <w:szCs w:val="20"/>
                <w:color w:val="auto"/>
              </w:rPr>
            </w:pPr>
            <w:r>
              <w:rPr>
                <w:rFonts w:ascii="Arial" w:cs="Arial" w:eastAsia="Arial" w:hAnsi="Arial"/>
                <w:sz w:val="16"/>
                <w:szCs w:val="16"/>
                <w:color w:val="auto"/>
                <w:w w:val="93"/>
              </w:rPr>
              <w:t>(105,283)</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(44,554)</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353,277</w:t>
            </w:r>
          </w:p>
        </w:tc>
        <w:tc>
          <w:tcPr>
            <w:tcW w:w="0" w:type="dxa"/>
            <w:vAlign w:val="bottom"/>
          </w:tcPr>
          <w:p>
            <w:pPr>
              <w:spacing w:after="0"/>
              <w:rPr>
                <w:sz w:val="1"/>
                <w:szCs w:val="1"/>
                <w:color w:val="auto"/>
              </w:rPr>
            </w:pPr>
          </w:p>
        </w:tc>
      </w:tr>
      <w:tr>
        <w:trPr>
          <w:trHeight w:val="213"/>
        </w:trPr>
        <w:tc>
          <w:tcPr>
            <w:tcW w:w="3780" w:type="dxa"/>
            <w:vAlign w:val="bottom"/>
          </w:tcPr>
          <w:p>
            <w:pPr>
              <w:ind w:left="340"/>
              <w:spacing w:after="0"/>
              <w:rPr>
                <w:sz w:val="20"/>
                <w:szCs w:val="20"/>
                <w:color w:val="auto"/>
              </w:rPr>
            </w:pPr>
            <w:r>
              <w:rPr>
                <w:rFonts w:ascii="Arial" w:cs="Arial" w:eastAsia="Arial" w:hAnsi="Arial"/>
                <w:sz w:val="16"/>
                <w:szCs w:val="16"/>
                <w:color w:val="auto"/>
              </w:rPr>
              <w:t>Net loss</w:t>
            </w:r>
          </w:p>
        </w:tc>
        <w:tc>
          <w:tcPr>
            <w:tcW w:w="9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40" w:type="dxa"/>
            <w:vAlign w:val="bottom"/>
          </w:tcPr>
          <w:p>
            <w:pPr>
              <w:ind w:left="380"/>
              <w:spacing w:after="0"/>
              <w:rPr>
                <w:sz w:val="20"/>
                <w:szCs w:val="20"/>
                <w:color w:val="auto"/>
              </w:rPr>
            </w:pPr>
            <w:r>
              <w:rPr>
                <w:rFonts w:ascii="Arial" w:cs="Arial" w:eastAsia="Arial" w:hAnsi="Arial"/>
                <w:sz w:val="16"/>
                <w:szCs w:val="16"/>
                <w:color w:val="auto"/>
                <w:w w:val="93"/>
              </w:rPr>
              <w:t>(248,191)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(248,191)</w:t>
            </w:r>
          </w:p>
        </w:tc>
        <w:tc>
          <w:tcPr>
            <w:tcW w:w="0" w:type="dxa"/>
            <w:vAlign w:val="bottom"/>
          </w:tcPr>
          <w:p>
            <w:pPr>
              <w:spacing w:after="0"/>
              <w:rPr>
                <w:sz w:val="1"/>
                <w:szCs w:val="1"/>
                <w:color w:val="auto"/>
              </w:rPr>
            </w:pPr>
          </w:p>
        </w:tc>
      </w:tr>
      <w:tr>
        <w:trPr>
          <w:trHeight w:val="219"/>
        </w:trPr>
        <w:tc>
          <w:tcPr>
            <w:tcW w:w="37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Dividends accrued for preferred stock</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(2,951)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8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(2,951)</w:t>
            </w:r>
          </w:p>
        </w:tc>
        <w:tc>
          <w:tcPr>
            <w:tcW w:w="0" w:type="dxa"/>
            <w:vAlign w:val="bottom"/>
          </w:tcPr>
          <w:p>
            <w:pPr>
              <w:spacing w:after="0"/>
              <w:rPr>
                <w:sz w:val="1"/>
                <w:szCs w:val="1"/>
                <w:color w:val="auto"/>
              </w:rPr>
            </w:pPr>
          </w:p>
        </w:tc>
      </w:tr>
      <w:tr>
        <w:trPr>
          <w:trHeight w:val="213"/>
        </w:trPr>
        <w:tc>
          <w:tcPr>
            <w:tcW w:w="3780" w:type="dxa"/>
            <w:vAlign w:val="bottom"/>
          </w:tcPr>
          <w:p>
            <w:pPr>
              <w:ind w:left="340"/>
              <w:spacing w:after="0"/>
              <w:rPr>
                <w:sz w:val="20"/>
                <w:szCs w:val="20"/>
                <w:color w:val="auto"/>
              </w:rPr>
            </w:pPr>
            <w:r>
              <w:rPr>
                <w:rFonts w:ascii="Arial" w:cs="Arial" w:eastAsia="Arial" w:hAnsi="Arial"/>
                <w:sz w:val="16"/>
                <w:szCs w:val="16"/>
                <w:color w:val="auto"/>
              </w:rPr>
              <w:t>Share-based compensation expense</w:t>
            </w:r>
          </w:p>
        </w:tc>
        <w:tc>
          <w:tcPr>
            <w:tcW w:w="780" w:type="dxa"/>
            <w:vAlign w:val="bottom"/>
          </w:tcPr>
          <w:p>
            <w:pPr>
              <w:jc w:val="right"/>
              <w:spacing w:after="0"/>
              <w:rPr>
                <w:sz w:val="20"/>
                <w:szCs w:val="20"/>
                <w:color w:val="auto"/>
              </w:rPr>
            </w:pPr>
            <w:r>
              <w:rPr>
                <w:rFonts w:ascii="Arial" w:cs="Arial" w:eastAsia="Arial" w:hAnsi="Arial"/>
                <w:sz w:val="16"/>
                <w:szCs w:val="16"/>
                <w:color w:val="auto"/>
              </w:rPr>
              <w:t>452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ind w:right="1"/>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ind w:right="1"/>
              <w:spacing w:after="0"/>
              <w:rPr>
                <w:sz w:val="20"/>
                <w:szCs w:val="20"/>
                <w:color w:val="auto"/>
              </w:rPr>
            </w:pPr>
            <w:r>
              <w:rPr>
                <w:rFonts w:ascii="Arial" w:cs="Arial" w:eastAsia="Arial" w:hAnsi="Arial"/>
                <w:sz w:val="16"/>
                <w:szCs w:val="16"/>
                <w:color w:val="auto"/>
              </w:rPr>
              <w:t>1,291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60" w:type="dxa"/>
            <w:vAlign w:val="bottom"/>
            <w:gridSpan w:val="2"/>
          </w:tcPr>
          <w:p>
            <w:pPr>
              <w:ind w:left="8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1,296</w:t>
            </w:r>
          </w:p>
        </w:tc>
        <w:tc>
          <w:tcPr>
            <w:tcW w:w="0" w:type="dxa"/>
            <w:vAlign w:val="bottom"/>
          </w:tcPr>
          <w:p>
            <w:pPr>
              <w:spacing w:after="0"/>
              <w:rPr>
                <w:sz w:val="1"/>
                <w:szCs w:val="1"/>
                <w:color w:val="auto"/>
              </w:rPr>
            </w:pPr>
          </w:p>
        </w:tc>
      </w:tr>
      <w:tr>
        <w:trPr>
          <w:trHeight w:val="219"/>
        </w:trPr>
        <w:tc>
          <w:tcPr>
            <w:tcW w:w="37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Restricted shares forgiven for taxes</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8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166"/>
        </w:trPr>
        <w:tc>
          <w:tcPr>
            <w:tcW w:w="3780" w:type="dxa"/>
            <w:vAlign w:val="bottom"/>
          </w:tcPr>
          <w:p>
            <w:pPr>
              <w:ind w:left="340"/>
              <w:spacing w:after="0" w:line="166" w:lineRule="exact"/>
              <w:rPr>
                <w:sz w:val="20"/>
                <w:szCs w:val="20"/>
                <w:color w:val="auto"/>
              </w:rPr>
            </w:pPr>
            <w:r>
              <w:rPr>
                <w:rFonts w:ascii="Arial" w:cs="Arial" w:eastAsia="Arial" w:hAnsi="Arial"/>
                <w:sz w:val="16"/>
                <w:szCs w:val="16"/>
                <w:color w:val="auto"/>
              </w:rPr>
              <w:t>Change in fair value of interest rate swap, net of</w:t>
            </w:r>
          </w:p>
        </w:tc>
        <w:tc>
          <w:tcPr>
            <w:tcW w:w="90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62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94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88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1160" w:type="dxa"/>
            <w:vAlign w:val="bottom"/>
            <w:gridSpan w:val="2"/>
            <w:vMerge w:val="restart"/>
          </w:tcPr>
          <w:p>
            <w:pPr>
              <w:ind w:left="8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1160" w:type="dxa"/>
            <w:vAlign w:val="bottom"/>
            <w:vMerge w:val="restart"/>
          </w:tcPr>
          <w:p>
            <w:pPr>
              <w:jc w:val="right"/>
              <w:spacing w:after="0"/>
              <w:rPr>
                <w:sz w:val="20"/>
                <w:szCs w:val="20"/>
                <w:color w:val="auto"/>
              </w:rPr>
            </w:pPr>
            <w:r>
              <w:rPr>
                <w:rFonts w:ascii="Arial" w:cs="Arial" w:eastAsia="Arial" w:hAnsi="Arial"/>
                <w:sz w:val="16"/>
                <w:szCs w:val="16"/>
                <w:color w:val="auto"/>
              </w:rPr>
              <w:t>(11,209)</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(11,209)</w:t>
            </w:r>
          </w:p>
        </w:tc>
        <w:tc>
          <w:tcPr>
            <w:tcW w:w="0" w:type="dxa"/>
            <w:vAlign w:val="bottom"/>
          </w:tcPr>
          <w:p>
            <w:pPr>
              <w:spacing w:after="0"/>
              <w:rPr>
                <w:sz w:val="1"/>
                <w:szCs w:val="1"/>
                <w:color w:val="auto"/>
              </w:rPr>
            </w:pPr>
          </w:p>
        </w:tc>
      </w:tr>
      <w:tr>
        <w:trPr>
          <w:trHeight w:val="209"/>
        </w:trPr>
        <w:tc>
          <w:tcPr>
            <w:tcW w:w="3780" w:type="dxa"/>
            <w:vAlign w:val="bottom"/>
          </w:tcPr>
          <w:p>
            <w:pPr>
              <w:ind w:left="340"/>
              <w:spacing w:after="0"/>
              <w:rPr>
                <w:sz w:val="20"/>
                <w:szCs w:val="20"/>
                <w:color w:val="auto"/>
              </w:rPr>
            </w:pPr>
            <w:r>
              <w:rPr>
                <w:rFonts w:ascii="Arial" w:cs="Arial" w:eastAsia="Arial" w:hAnsi="Arial"/>
                <w:sz w:val="16"/>
                <w:szCs w:val="16"/>
                <w:color w:val="auto"/>
              </w:rPr>
              <w:t>tax of $3,390</w:t>
            </w:r>
          </w:p>
        </w:tc>
        <w:tc>
          <w:tcPr>
            <w:tcW w:w="9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3780" w:type="dxa"/>
            <w:vAlign w:val="bottom"/>
            <w:shd w:val="clear" w:color="auto" w:fill="CCEEFF"/>
          </w:tcPr>
          <w:p>
            <w:pPr>
              <w:ind w:left="340"/>
              <w:spacing w:after="0" w:line="169" w:lineRule="exact"/>
              <w:rPr>
                <w:sz w:val="20"/>
                <w:szCs w:val="20"/>
                <w:color w:val="auto"/>
              </w:rPr>
            </w:pPr>
            <w:r>
              <w:rPr>
                <w:rFonts w:ascii="Arial" w:cs="Arial" w:eastAsia="Arial" w:hAnsi="Arial"/>
                <w:sz w:val="16"/>
                <w:szCs w:val="16"/>
                <w:color w:val="auto"/>
                <w:w w:val="96"/>
              </w:rPr>
              <w:t>Reclassification of interest rate swap settlement to</w:t>
            </w:r>
          </w:p>
        </w:tc>
        <w:tc>
          <w:tcPr>
            <w:tcW w:w="9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6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9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8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1160" w:type="dxa"/>
            <w:vAlign w:val="bottom"/>
            <w:gridSpan w:val="2"/>
            <w:vMerge w:val="restart"/>
            <w:shd w:val="clear" w:color="auto" w:fill="CCEEFF"/>
          </w:tcPr>
          <w:p>
            <w:pPr>
              <w:ind w:left="8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116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1,052</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1,052</w:t>
            </w:r>
          </w:p>
        </w:tc>
        <w:tc>
          <w:tcPr>
            <w:tcW w:w="0" w:type="dxa"/>
            <w:vAlign w:val="bottom"/>
          </w:tcPr>
          <w:p>
            <w:pPr>
              <w:spacing w:after="0"/>
              <w:rPr>
                <w:sz w:val="1"/>
                <w:szCs w:val="1"/>
                <w:color w:val="auto"/>
              </w:rPr>
            </w:pPr>
          </w:p>
        </w:tc>
      </w:tr>
      <w:tr>
        <w:trPr>
          <w:trHeight w:val="212"/>
        </w:trPr>
        <w:tc>
          <w:tcPr>
            <w:tcW w:w="37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net loss, net of tax of $318</w:t>
            </w:r>
          </w:p>
        </w:tc>
        <w:tc>
          <w:tcPr>
            <w:tcW w:w="90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780" w:type="dxa"/>
            <w:vAlign w:val="bottom"/>
          </w:tcPr>
          <w:p>
            <w:pPr>
              <w:ind w:left="340"/>
              <w:spacing w:after="0"/>
              <w:rPr>
                <w:sz w:val="20"/>
                <w:szCs w:val="20"/>
                <w:color w:val="auto"/>
              </w:rPr>
            </w:pPr>
            <w:r>
              <w:rPr>
                <w:rFonts w:ascii="Arial" w:cs="Arial" w:eastAsia="Arial" w:hAnsi="Arial"/>
                <w:sz w:val="16"/>
                <w:szCs w:val="16"/>
                <w:color w:val="auto"/>
              </w:rPr>
              <w:t>Foreign currency translation loss</w:t>
            </w:r>
          </w:p>
        </w:tc>
        <w:tc>
          <w:tcPr>
            <w:tcW w:w="9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60" w:type="dxa"/>
            <w:vAlign w:val="bottom"/>
            <w:gridSpan w:val="2"/>
          </w:tcPr>
          <w:p>
            <w:pPr>
              <w:ind w:left="8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(14,342)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(14,342)</w:t>
            </w:r>
          </w:p>
        </w:tc>
        <w:tc>
          <w:tcPr>
            <w:tcW w:w="0" w:type="dxa"/>
            <w:vAlign w:val="bottom"/>
          </w:tcPr>
          <w:p>
            <w:pPr>
              <w:spacing w:after="0"/>
              <w:rPr>
                <w:sz w:val="1"/>
                <w:szCs w:val="1"/>
                <w:color w:val="auto"/>
              </w:rPr>
            </w:pPr>
          </w:p>
        </w:tc>
      </w:tr>
      <w:tr>
        <w:trPr>
          <w:trHeight w:val="238"/>
        </w:trPr>
        <w:tc>
          <w:tcPr>
            <w:tcW w:w="37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March 31, 2020</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42,757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428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499,925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1,076</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ind w:left="380"/>
              <w:spacing w:after="0"/>
              <w:rPr>
                <w:sz w:val="20"/>
                <w:szCs w:val="20"/>
                <w:color w:val="auto"/>
              </w:rPr>
            </w:pPr>
            <w:r>
              <w:rPr>
                <w:rFonts w:ascii="Arial" w:cs="Arial" w:eastAsia="Arial" w:hAnsi="Arial"/>
                <w:sz w:val="16"/>
                <w:szCs w:val="16"/>
                <w:color w:val="auto"/>
                <w:w w:val="93"/>
              </w:rPr>
              <w:t>(353,474)</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(69,053)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78,902</w:t>
            </w: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5" w:name="page6"/>
    <w:bookmarkEnd w:id="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NN, Inc.</w:t>
      </w:r>
    </w:p>
    <w:p>
      <w:pPr>
        <w:spacing w:after="0" w:line="11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11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0" w:type="dxa"/>
            <w:vAlign w:val="bottom"/>
            <w:gridSpan w:val="4"/>
          </w:tcPr>
          <w:p>
            <w:pPr>
              <w:jc w:val="right"/>
              <w:ind w:right="728"/>
              <w:spacing w:after="0"/>
              <w:rPr>
                <w:sz w:val="20"/>
                <w:szCs w:val="20"/>
                <w:color w:val="auto"/>
              </w:rPr>
            </w:pPr>
            <w:r>
              <w:rPr>
                <w:rFonts w:ascii="Arial" w:cs="Arial" w:eastAsia="Arial" w:hAnsi="Arial"/>
                <w:sz w:val="14"/>
                <w:szCs w:val="14"/>
                <w:b w:val="1"/>
                <w:bCs w:val="1"/>
                <w:color w:val="auto"/>
              </w:rPr>
              <w:t>Three Months Ended</w:t>
            </w:r>
          </w:p>
        </w:tc>
      </w:tr>
      <w:tr>
        <w:trPr>
          <w:trHeight w:val="180"/>
        </w:trPr>
        <w:tc>
          <w:tcPr>
            <w:tcW w:w="8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0" w:type="dxa"/>
            <w:vAlign w:val="bottom"/>
            <w:gridSpan w:val="3"/>
          </w:tcPr>
          <w:p>
            <w:pPr>
              <w:jc w:val="right"/>
              <w:ind w:right="68"/>
              <w:spacing w:after="0"/>
              <w:rPr>
                <w:sz w:val="20"/>
                <w:szCs w:val="20"/>
                <w:color w:val="auto"/>
              </w:rPr>
            </w:pPr>
            <w:r>
              <w:rPr>
                <w:rFonts w:ascii="Arial" w:cs="Arial" w:eastAsia="Arial" w:hAnsi="Arial"/>
                <w:sz w:val="14"/>
                <w:szCs w:val="14"/>
                <w:b w:val="1"/>
                <w:bCs w:val="1"/>
                <w:color w:val="auto"/>
              </w:rPr>
              <w:t>March 31,</w:t>
            </w:r>
          </w:p>
        </w:tc>
        <w:tc>
          <w:tcPr>
            <w:tcW w:w="1000" w:type="dxa"/>
            <w:vAlign w:val="bottom"/>
          </w:tcPr>
          <w:p>
            <w:pPr>
              <w:spacing w:after="0"/>
              <w:rPr>
                <w:sz w:val="15"/>
                <w:szCs w:val="15"/>
                <w:color w:val="auto"/>
              </w:rPr>
            </w:pPr>
          </w:p>
        </w:tc>
      </w:tr>
      <w:tr>
        <w:trPr>
          <w:trHeight w:val="192"/>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2020</w:t>
            </w:r>
          </w:p>
        </w:tc>
      </w:tr>
      <w:tr>
        <w:trPr>
          <w:trHeight w:val="175"/>
        </w:trPr>
        <w:tc>
          <w:tcPr>
            <w:tcW w:w="82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Cash flows from operating activities</w:t>
            </w: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r>
      <w:tr>
        <w:trPr>
          <w:trHeight w:val="186"/>
        </w:trPr>
        <w:tc>
          <w:tcPr>
            <w:tcW w:w="8260" w:type="dxa"/>
            <w:vAlign w:val="bottom"/>
          </w:tcPr>
          <w:p>
            <w:pPr>
              <w:ind w:left="140"/>
              <w:spacing w:after="0"/>
              <w:rPr>
                <w:sz w:val="20"/>
                <w:szCs w:val="20"/>
                <w:color w:val="auto"/>
              </w:rPr>
            </w:pPr>
            <w:r>
              <w:rPr>
                <w:rFonts w:ascii="Arial" w:cs="Arial" w:eastAsia="Arial" w:hAnsi="Arial"/>
                <w:sz w:val="14"/>
                <w:szCs w:val="14"/>
                <w:color w:val="auto"/>
              </w:rPr>
              <w:t>Net loss</w:t>
            </w:r>
          </w:p>
        </w:tc>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(4,913)</w:t>
            </w:r>
          </w:p>
        </w:tc>
        <w:tc>
          <w:tcPr>
            <w:tcW w:w="80" w:type="dxa"/>
            <w:vAlign w:val="bottom"/>
          </w:tcPr>
          <w:p>
            <w:pPr>
              <w:spacing w:after="0"/>
              <w:rPr>
                <w:sz w:val="16"/>
                <w:szCs w:val="16"/>
                <w:color w:val="auto"/>
              </w:rPr>
            </w:pP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(248,191)</w:t>
            </w:r>
          </w:p>
        </w:tc>
      </w:tr>
      <w:tr>
        <w:trPr>
          <w:trHeight w:val="192"/>
        </w:trPr>
        <w:tc>
          <w:tcPr>
            <w:tcW w:w="82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Adjustments to reconcile net loss to net cash provided by operating activities:</w:t>
            </w: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r>
      <w:tr>
        <w:trPr>
          <w:trHeight w:val="186"/>
        </w:trPr>
        <w:tc>
          <w:tcPr>
            <w:tcW w:w="8260" w:type="dxa"/>
            <w:vAlign w:val="bottom"/>
          </w:tcPr>
          <w:p>
            <w:pPr>
              <w:ind w:left="480"/>
              <w:spacing w:after="0"/>
              <w:rPr>
                <w:sz w:val="20"/>
                <w:szCs w:val="20"/>
                <w:color w:val="auto"/>
              </w:rPr>
            </w:pPr>
            <w:r>
              <w:rPr>
                <w:rFonts w:ascii="Arial" w:cs="Arial" w:eastAsia="Arial" w:hAnsi="Arial"/>
                <w:sz w:val="14"/>
                <w:szCs w:val="14"/>
                <w:color w:val="auto"/>
              </w:rPr>
              <w:t>Depreciation and amortization of continuing operations</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11,568</w:t>
            </w: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11,357</w:t>
            </w:r>
          </w:p>
        </w:tc>
      </w:tr>
      <w:tr>
        <w:trPr>
          <w:trHeight w:val="192"/>
        </w:trPr>
        <w:tc>
          <w:tcPr>
            <w:tcW w:w="8260" w:type="dxa"/>
            <w:vAlign w:val="bottom"/>
            <w:shd w:val="clear" w:color="auto" w:fill="CCEEFF"/>
          </w:tcPr>
          <w:p>
            <w:pPr>
              <w:ind w:left="480"/>
              <w:spacing w:after="0"/>
              <w:rPr>
                <w:sz w:val="20"/>
                <w:szCs w:val="20"/>
                <w:color w:val="auto"/>
              </w:rPr>
            </w:pPr>
            <w:r>
              <w:rPr>
                <w:rFonts w:ascii="Arial" w:cs="Arial" w:eastAsia="Arial" w:hAnsi="Arial"/>
                <w:sz w:val="14"/>
                <w:szCs w:val="14"/>
                <w:color w:val="auto"/>
              </w:rPr>
              <w:t>Depreciation and amortization of discontinued operations</w:t>
            </w:r>
          </w:p>
        </w:tc>
        <w:tc>
          <w:tcPr>
            <w:tcW w:w="32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11,827</w:t>
            </w:r>
          </w:p>
        </w:tc>
      </w:tr>
      <w:tr>
        <w:trPr>
          <w:trHeight w:val="186"/>
        </w:trPr>
        <w:tc>
          <w:tcPr>
            <w:tcW w:w="8260" w:type="dxa"/>
            <w:vAlign w:val="bottom"/>
          </w:tcPr>
          <w:p>
            <w:pPr>
              <w:ind w:left="480"/>
              <w:spacing w:after="0"/>
              <w:rPr>
                <w:sz w:val="20"/>
                <w:szCs w:val="20"/>
                <w:color w:val="auto"/>
              </w:rPr>
            </w:pPr>
            <w:r>
              <w:rPr>
                <w:rFonts w:ascii="Arial" w:cs="Arial" w:eastAsia="Arial" w:hAnsi="Arial"/>
                <w:sz w:val="14"/>
                <w:szCs w:val="14"/>
                <w:color w:val="auto"/>
              </w:rPr>
              <w:t>Amortization of debt issuance costs</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405</w:t>
            </w: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1,652</w:t>
            </w:r>
          </w:p>
        </w:tc>
      </w:tr>
      <w:tr>
        <w:trPr>
          <w:trHeight w:val="192"/>
        </w:trPr>
        <w:tc>
          <w:tcPr>
            <w:tcW w:w="8260" w:type="dxa"/>
            <w:vAlign w:val="bottom"/>
            <w:shd w:val="clear" w:color="auto" w:fill="CCEEFF"/>
          </w:tcPr>
          <w:p>
            <w:pPr>
              <w:ind w:left="480"/>
              <w:spacing w:after="0"/>
              <w:rPr>
                <w:sz w:val="20"/>
                <w:szCs w:val="20"/>
                <w:color w:val="auto"/>
              </w:rPr>
            </w:pPr>
            <w:r>
              <w:rPr>
                <w:rFonts w:ascii="Arial" w:cs="Arial" w:eastAsia="Arial" w:hAnsi="Arial"/>
                <w:sz w:val="14"/>
                <w:szCs w:val="14"/>
                <w:color w:val="auto"/>
              </w:rPr>
              <w:t>Goodwill impairment of continuing operations</w:t>
            </w:r>
          </w:p>
        </w:tc>
        <w:tc>
          <w:tcPr>
            <w:tcW w:w="32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92,942</w:t>
            </w:r>
          </w:p>
        </w:tc>
      </w:tr>
      <w:tr>
        <w:trPr>
          <w:trHeight w:val="186"/>
        </w:trPr>
        <w:tc>
          <w:tcPr>
            <w:tcW w:w="8260" w:type="dxa"/>
            <w:vAlign w:val="bottom"/>
          </w:tcPr>
          <w:p>
            <w:pPr>
              <w:ind w:left="480"/>
              <w:spacing w:after="0"/>
              <w:rPr>
                <w:sz w:val="20"/>
                <w:szCs w:val="20"/>
                <w:color w:val="auto"/>
              </w:rPr>
            </w:pPr>
            <w:r>
              <w:rPr>
                <w:rFonts w:ascii="Arial" w:cs="Arial" w:eastAsia="Arial" w:hAnsi="Arial"/>
                <w:sz w:val="14"/>
                <w:szCs w:val="14"/>
                <w:color w:val="auto"/>
              </w:rPr>
              <w:t>Goodwill impairment of discontinued operations</w:t>
            </w:r>
          </w:p>
        </w:tc>
        <w:tc>
          <w:tcPr>
            <w:tcW w:w="320" w:type="dxa"/>
            <w:vAlign w:val="bottom"/>
          </w:tcPr>
          <w:p>
            <w:pPr>
              <w:spacing w:after="0"/>
              <w:rPr>
                <w:sz w:val="16"/>
                <w:szCs w:val="16"/>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146,757</w:t>
            </w:r>
          </w:p>
        </w:tc>
      </w:tr>
      <w:tr>
        <w:trPr>
          <w:trHeight w:val="192"/>
        </w:trPr>
        <w:tc>
          <w:tcPr>
            <w:tcW w:w="8260" w:type="dxa"/>
            <w:vAlign w:val="bottom"/>
            <w:shd w:val="clear" w:color="auto" w:fill="CCEEFF"/>
          </w:tcPr>
          <w:p>
            <w:pPr>
              <w:ind w:left="480"/>
              <w:spacing w:after="0"/>
              <w:rPr>
                <w:sz w:val="20"/>
                <w:szCs w:val="20"/>
                <w:color w:val="auto"/>
              </w:rPr>
            </w:pPr>
            <w:r>
              <w:rPr>
                <w:rFonts w:ascii="Arial" w:cs="Arial" w:eastAsia="Arial" w:hAnsi="Arial"/>
                <w:sz w:val="14"/>
                <w:szCs w:val="14"/>
                <w:color w:val="auto"/>
              </w:rPr>
              <w:t>Loss on extinguishment of debt and write-off of debt issuance costs</w:t>
            </w: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2,390</w:t>
            </w:r>
          </w:p>
        </w:tc>
        <w:tc>
          <w:tcPr>
            <w:tcW w:w="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6"/>
        </w:trPr>
        <w:tc>
          <w:tcPr>
            <w:tcW w:w="8260" w:type="dxa"/>
            <w:vAlign w:val="bottom"/>
          </w:tcPr>
          <w:p>
            <w:pPr>
              <w:ind w:left="480"/>
              <w:spacing w:after="0"/>
              <w:rPr>
                <w:sz w:val="20"/>
                <w:szCs w:val="20"/>
                <w:color w:val="auto"/>
              </w:rPr>
            </w:pPr>
            <w:r>
              <w:rPr>
                <w:rFonts w:ascii="Arial" w:cs="Arial" w:eastAsia="Arial" w:hAnsi="Arial"/>
                <w:sz w:val="14"/>
                <w:szCs w:val="14"/>
                <w:color w:val="auto"/>
              </w:rPr>
              <w:t>Total derivative loss, net of cash settlements</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3,750</w:t>
            </w: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92"/>
        </w:trPr>
        <w:tc>
          <w:tcPr>
            <w:tcW w:w="8260" w:type="dxa"/>
            <w:vAlign w:val="bottom"/>
            <w:shd w:val="clear" w:color="auto" w:fill="CCEEFF"/>
          </w:tcPr>
          <w:p>
            <w:pPr>
              <w:ind w:left="480"/>
              <w:spacing w:after="0"/>
              <w:rPr>
                <w:sz w:val="20"/>
                <w:szCs w:val="20"/>
                <w:color w:val="auto"/>
              </w:rPr>
            </w:pPr>
            <w:r>
              <w:rPr>
                <w:rFonts w:ascii="Arial" w:cs="Arial" w:eastAsia="Arial" w:hAnsi="Arial"/>
                <w:sz w:val="14"/>
                <w:szCs w:val="14"/>
                <w:color w:val="auto"/>
              </w:rPr>
              <w:t>Share of net income (loss) from joint venture, net of cash dividends received</w:t>
            </w: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(1,395)</w:t>
            </w:r>
          </w:p>
        </w:tc>
        <w:tc>
          <w:tcPr>
            <w:tcW w:w="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271</w:t>
            </w:r>
          </w:p>
        </w:tc>
      </w:tr>
      <w:tr>
        <w:trPr>
          <w:trHeight w:val="186"/>
        </w:trPr>
        <w:tc>
          <w:tcPr>
            <w:tcW w:w="8260" w:type="dxa"/>
            <w:vAlign w:val="bottom"/>
          </w:tcPr>
          <w:p>
            <w:pPr>
              <w:ind w:left="480"/>
              <w:spacing w:after="0"/>
              <w:rPr>
                <w:sz w:val="20"/>
                <w:szCs w:val="20"/>
                <w:color w:val="auto"/>
              </w:rPr>
            </w:pPr>
            <w:r>
              <w:rPr>
                <w:rFonts w:ascii="Arial" w:cs="Arial" w:eastAsia="Arial" w:hAnsi="Arial"/>
                <w:sz w:val="14"/>
                <w:szCs w:val="14"/>
                <w:color w:val="auto"/>
              </w:rPr>
              <w:t>Compensation expense from issuance of share-based awards</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886</w:t>
            </w: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1,296</w:t>
            </w:r>
          </w:p>
        </w:tc>
      </w:tr>
      <w:tr>
        <w:trPr>
          <w:trHeight w:val="192"/>
        </w:trPr>
        <w:tc>
          <w:tcPr>
            <w:tcW w:w="8260" w:type="dxa"/>
            <w:vAlign w:val="bottom"/>
            <w:shd w:val="clear" w:color="auto" w:fill="CCEEFF"/>
          </w:tcPr>
          <w:p>
            <w:pPr>
              <w:ind w:left="480"/>
              <w:spacing w:after="0"/>
              <w:rPr>
                <w:sz w:val="20"/>
                <w:szCs w:val="20"/>
                <w:color w:val="auto"/>
              </w:rPr>
            </w:pPr>
            <w:r>
              <w:rPr>
                <w:rFonts w:ascii="Arial" w:cs="Arial" w:eastAsia="Arial" w:hAnsi="Arial"/>
                <w:sz w:val="14"/>
                <w:szCs w:val="14"/>
                <w:color w:val="auto"/>
              </w:rPr>
              <w:t>Deferred income taxes</w:t>
            </w: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(1,605)</w:t>
            </w:r>
          </w:p>
        </w:tc>
        <w:tc>
          <w:tcPr>
            <w:tcW w:w="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(3,923)</w:t>
            </w:r>
          </w:p>
        </w:tc>
      </w:tr>
      <w:tr>
        <w:trPr>
          <w:trHeight w:val="186"/>
        </w:trPr>
        <w:tc>
          <w:tcPr>
            <w:tcW w:w="8260" w:type="dxa"/>
            <w:vAlign w:val="bottom"/>
          </w:tcPr>
          <w:p>
            <w:pPr>
              <w:ind w:left="480"/>
              <w:spacing w:after="0"/>
              <w:rPr>
                <w:sz w:val="20"/>
                <w:szCs w:val="20"/>
                <w:color w:val="auto"/>
              </w:rPr>
            </w:pPr>
            <w:r>
              <w:rPr>
                <w:rFonts w:ascii="Arial" w:cs="Arial" w:eastAsia="Arial" w:hAnsi="Arial"/>
                <w:sz w:val="14"/>
                <w:szCs w:val="14"/>
                <w:color w:val="auto"/>
              </w:rPr>
              <w:t>Other</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(1,081)</w:t>
            </w: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614</w:t>
            </w:r>
          </w:p>
        </w:tc>
      </w:tr>
      <w:tr>
        <w:trPr>
          <w:trHeight w:val="192"/>
        </w:trPr>
        <w:tc>
          <w:tcPr>
            <w:tcW w:w="8260" w:type="dxa"/>
            <w:vAlign w:val="bottom"/>
            <w:shd w:val="clear" w:color="auto" w:fill="CCEEFF"/>
          </w:tcPr>
          <w:p>
            <w:pPr>
              <w:ind w:left="480"/>
              <w:spacing w:after="0"/>
              <w:rPr>
                <w:sz w:val="20"/>
                <w:szCs w:val="20"/>
                <w:color w:val="auto"/>
              </w:rPr>
            </w:pPr>
            <w:r>
              <w:rPr>
                <w:rFonts w:ascii="Arial" w:cs="Arial" w:eastAsia="Arial" w:hAnsi="Arial"/>
                <w:sz w:val="14"/>
                <w:szCs w:val="14"/>
                <w:color w:val="auto"/>
              </w:rPr>
              <w:t>Changes in operating assets and liabilities:</w:t>
            </w: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r>
      <w:tr>
        <w:trPr>
          <w:trHeight w:val="186"/>
        </w:trPr>
        <w:tc>
          <w:tcPr>
            <w:tcW w:w="8260" w:type="dxa"/>
            <w:vAlign w:val="bottom"/>
          </w:tcPr>
          <w:p>
            <w:pPr>
              <w:ind w:left="880"/>
              <w:spacing w:after="0"/>
              <w:rPr>
                <w:sz w:val="20"/>
                <w:szCs w:val="20"/>
                <w:color w:val="auto"/>
              </w:rPr>
            </w:pPr>
            <w:r>
              <w:rPr>
                <w:rFonts w:ascii="Arial" w:cs="Arial" w:eastAsia="Arial" w:hAnsi="Arial"/>
                <w:sz w:val="14"/>
                <w:szCs w:val="14"/>
                <w:color w:val="auto"/>
              </w:rPr>
              <w:t>Accounts receivable</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(6,684)</w:t>
            </w: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1,760</w:t>
            </w:r>
          </w:p>
        </w:tc>
      </w:tr>
      <w:tr>
        <w:trPr>
          <w:trHeight w:val="192"/>
        </w:trPr>
        <w:tc>
          <w:tcPr>
            <w:tcW w:w="8260" w:type="dxa"/>
            <w:vAlign w:val="bottom"/>
            <w:shd w:val="clear" w:color="auto" w:fill="CCEEFF"/>
          </w:tcPr>
          <w:p>
            <w:pPr>
              <w:ind w:left="880"/>
              <w:spacing w:after="0"/>
              <w:rPr>
                <w:sz w:val="20"/>
                <w:szCs w:val="20"/>
                <w:color w:val="auto"/>
              </w:rPr>
            </w:pPr>
            <w:r>
              <w:rPr>
                <w:rFonts w:ascii="Arial" w:cs="Arial" w:eastAsia="Arial" w:hAnsi="Arial"/>
                <w:sz w:val="14"/>
                <w:szCs w:val="14"/>
                <w:color w:val="auto"/>
              </w:rPr>
              <w:t>Inventories</w:t>
            </w: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(5,589)</w:t>
            </w:r>
          </w:p>
        </w:tc>
        <w:tc>
          <w:tcPr>
            <w:tcW w:w="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(2,507)</w:t>
            </w:r>
          </w:p>
        </w:tc>
      </w:tr>
      <w:tr>
        <w:trPr>
          <w:trHeight w:val="186"/>
        </w:trPr>
        <w:tc>
          <w:tcPr>
            <w:tcW w:w="8260" w:type="dxa"/>
            <w:vAlign w:val="bottom"/>
          </w:tcPr>
          <w:p>
            <w:pPr>
              <w:ind w:left="880"/>
              <w:spacing w:after="0"/>
              <w:rPr>
                <w:sz w:val="20"/>
                <w:szCs w:val="20"/>
                <w:color w:val="auto"/>
              </w:rPr>
            </w:pPr>
            <w:r>
              <w:rPr>
                <w:rFonts w:ascii="Arial" w:cs="Arial" w:eastAsia="Arial" w:hAnsi="Arial"/>
                <w:sz w:val="14"/>
                <w:szCs w:val="14"/>
                <w:color w:val="auto"/>
              </w:rPr>
              <w:t>Accounts payable</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7,094</w:t>
            </w: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3,584</w:t>
            </w:r>
          </w:p>
        </w:tc>
      </w:tr>
      <w:tr>
        <w:trPr>
          <w:trHeight w:val="192"/>
        </w:trPr>
        <w:tc>
          <w:tcPr>
            <w:tcW w:w="8260" w:type="dxa"/>
            <w:vAlign w:val="bottom"/>
            <w:shd w:val="clear" w:color="auto" w:fill="CCEEFF"/>
          </w:tcPr>
          <w:p>
            <w:pPr>
              <w:ind w:left="880"/>
              <w:spacing w:after="0"/>
              <w:rPr>
                <w:sz w:val="20"/>
                <w:szCs w:val="20"/>
                <w:color w:val="auto"/>
              </w:rPr>
            </w:pPr>
            <w:r>
              <w:rPr>
                <w:rFonts w:ascii="Arial" w:cs="Arial" w:eastAsia="Arial" w:hAnsi="Arial"/>
                <w:sz w:val="14"/>
                <w:szCs w:val="14"/>
                <w:color w:val="auto"/>
              </w:rPr>
              <w:t>Income taxes receivable and payable, net</w:t>
            </w: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(344)</w:t>
            </w:r>
          </w:p>
        </w:tc>
        <w:tc>
          <w:tcPr>
            <w:tcW w:w="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(12,676)</w:t>
            </w:r>
          </w:p>
        </w:tc>
      </w:tr>
      <w:tr>
        <w:trPr>
          <w:trHeight w:val="186"/>
        </w:trPr>
        <w:tc>
          <w:tcPr>
            <w:tcW w:w="8260" w:type="dxa"/>
            <w:vAlign w:val="bottom"/>
            <w:tcBorders>
              <w:bottom w:val="single" w:sz="8" w:color="CCEEFF"/>
            </w:tcBorders>
          </w:tcPr>
          <w:p>
            <w:pPr>
              <w:ind w:left="880"/>
              <w:spacing w:after="0"/>
              <w:rPr>
                <w:sz w:val="20"/>
                <w:szCs w:val="20"/>
                <w:color w:val="auto"/>
              </w:rPr>
            </w:pPr>
            <w:r>
              <w:rPr>
                <w:rFonts w:ascii="Arial" w:cs="Arial" w:eastAsia="Arial" w:hAnsi="Arial"/>
                <w:sz w:val="14"/>
                <w:szCs w:val="14"/>
                <w:color w:val="auto"/>
              </w:rPr>
              <w:t>Other</w:t>
            </w: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3,402</w:t>
            </w:r>
          </w:p>
        </w:tc>
        <w:tc>
          <w:tcPr>
            <w:tcW w:w="8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5,461</w:t>
            </w:r>
          </w:p>
        </w:tc>
      </w:tr>
      <w:tr>
        <w:trPr>
          <w:trHeight w:val="186"/>
        </w:trPr>
        <w:tc>
          <w:tcPr>
            <w:tcW w:w="8260" w:type="dxa"/>
            <w:vAlign w:val="bottom"/>
            <w:shd w:val="clear" w:color="auto" w:fill="CCEEFF"/>
          </w:tcPr>
          <w:p>
            <w:pPr>
              <w:ind w:left="1200"/>
              <w:spacing w:after="0"/>
              <w:rPr>
                <w:sz w:val="20"/>
                <w:szCs w:val="20"/>
                <w:color w:val="auto"/>
              </w:rPr>
            </w:pPr>
            <w:r>
              <w:rPr>
                <w:rFonts w:ascii="Arial" w:cs="Arial" w:eastAsia="Arial" w:hAnsi="Arial"/>
                <w:sz w:val="14"/>
                <w:szCs w:val="14"/>
                <w:color w:val="auto"/>
              </w:rPr>
              <w:t>Net cash provided by operating activities</w:t>
            </w:r>
          </w:p>
        </w:tc>
        <w:tc>
          <w:tcPr>
            <w:tcW w:w="32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7,884</w:t>
            </w:r>
          </w:p>
        </w:tc>
        <w:tc>
          <w:tcPr>
            <w:tcW w:w="80" w:type="dxa"/>
            <w:vAlign w:val="bottom"/>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10,224</w:t>
            </w:r>
          </w:p>
        </w:tc>
      </w:tr>
      <w:tr>
        <w:trPr>
          <w:trHeight w:val="168"/>
        </w:trPr>
        <w:tc>
          <w:tcPr>
            <w:tcW w:w="8260" w:type="dxa"/>
            <w:vAlign w:val="bottom"/>
          </w:tcPr>
          <w:p>
            <w:pPr>
              <w:ind w:left="20"/>
              <w:spacing w:after="0"/>
              <w:rPr>
                <w:sz w:val="20"/>
                <w:szCs w:val="20"/>
                <w:color w:val="auto"/>
              </w:rPr>
            </w:pPr>
            <w:r>
              <w:rPr>
                <w:rFonts w:ascii="Arial" w:cs="Arial" w:eastAsia="Arial" w:hAnsi="Arial"/>
                <w:sz w:val="14"/>
                <w:szCs w:val="14"/>
                <w:b w:val="1"/>
                <w:bCs w:val="1"/>
                <w:color w:val="auto"/>
              </w:rPr>
              <w:t>Cash flows from investing activities</w:t>
            </w: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90"/>
        </w:trPr>
        <w:tc>
          <w:tcPr>
            <w:tcW w:w="82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Acquisition of property, plant and equipment</w:t>
            </w: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(5,468)</w:t>
            </w:r>
          </w:p>
        </w:tc>
        <w:tc>
          <w:tcPr>
            <w:tcW w:w="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(11,260)</w:t>
            </w:r>
          </w:p>
        </w:tc>
      </w:tr>
      <w:tr>
        <w:trPr>
          <w:trHeight w:val="186"/>
        </w:trPr>
        <w:tc>
          <w:tcPr>
            <w:tcW w:w="8260" w:type="dxa"/>
            <w:vAlign w:val="bottom"/>
          </w:tcPr>
          <w:p>
            <w:pPr>
              <w:ind w:left="140"/>
              <w:spacing w:after="0"/>
              <w:rPr>
                <w:sz w:val="20"/>
                <w:szCs w:val="20"/>
                <w:color w:val="auto"/>
              </w:rPr>
            </w:pPr>
            <w:r>
              <w:rPr>
                <w:rFonts w:ascii="Arial" w:cs="Arial" w:eastAsia="Arial" w:hAnsi="Arial"/>
                <w:sz w:val="14"/>
                <w:szCs w:val="14"/>
                <w:color w:val="auto"/>
              </w:rPr>
              <w:t>Proceeds from sale of property, plant, and equipment</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11</w:t>
            </w: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82</w:t>
            </w:r>
          </w:p>
        </w:tc>
      </w:tr>
      <w:tr>
        <w:trPr>
          <w:trHeight w:val="192"/>
        </w:trPr>
        <w:tc>
          <w:tcPr>
            <w:tcW w:w="82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Cash settlements of interest rate swap</w:t>
            </w:r>
          </w:p>
        </w:tc>
        <w:tc>
          <w:tcPr>
            <w:tcW w:w="32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(15,420)</w:t>
            </w:r>
          </w:p>
        </w:tc>
        <w:tc>
          <w:tcPr>
            <w:tcW w:w="80" w:type="dxa"/>
            <w:vAlign w:val="bottom"/>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79"/>
        </w:trPr>
        <w:tc>
          <w:tcPr>
            <w:tcW w:w="8260" w:type="dxa"/>
            <w:vAlign w:val="bottom"/>
            <w:tcBorders>
              <w:bottom w:val="single" w:sz="8" w:color="CCEEFF"/>
            </w:tcBorders>
          </w:tcPr>
          <w:p>
            <w:pPr>
              <w:ind w:left="1120"/>
              <w:spacing w:after="0"/>
              <w:rPr>
                <w:sz w:val="20"/>
                <w:szCs w:val="20"/>
                <w:color w:val="auto"/>
              </w:rPr>
            </w:pPr>
            <w:r>
              <w:rPr>
                <w:rFonts w:ascii="Arial" w:cs="Arial" w:eastAsia="Arial" w:hAnsi="Arial"/>
                <w:sz w:val="14"/>
                <w:szCs w:val="14"/>
                <w:color w:val="auto"/>
              </w:rPr>
              <w:t>Net cash used in investing activities</w:t>
            </w: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(20,877)</w:t>
            </w:r>
          </w:p>
        </w:tc>
        <w:tc>
          <w:tcPr>
            <w:tcW w:w="8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(11,178)</w:t>
            </w:r>
          </w:p>
        </w:tc>
      </w:tr>
      <w:tr>
        <w:trPr>
          <w:trHeight w:val="172"/>
        </w:trPr>
        <w:tc>
          <w:tcPr>
            <w:tcW w:w="82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Cash flows from financing activities</w:t>
            </w: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r>
      <w:tr>
        <w:trPr>
          <w:trHeight w:val="186"/>
        </w:trPr>
        <w:tc>
          <w:tcPr>
            <w:tcW w:w="8260" w:type="dxa"/>
            <w:vAlign w:val="bottom"/>
          </w:tcPr>
          <w:p>
            <w:pPr>
              <w:ind w:left="140"/>
              <w:spacing w:after="0"/>
              <w:rPr>
                <w:sz w:val="20"/>
                <w:szCs w:val="20"/>
                <w:color w:val="auto"/>
              </w:rPr>
            </w:pPr>
            <w:r>
              <w:rPr>
                <w:rFonts w:ascii="Arial" w:cs="Arial" w:eastAsia="Arial" w:hAnsi="Arial"/>
                <w:sz w:val="14"/>
                <w:szCs w:val="14"/>
                <w:color w:val="auto"/>
              </w:rPr>
              <w:t>Cash paid for debt issuance costs</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(6,856)</w:t>
            </w: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(286)</w:t>
            </w:r>
          </w:p>
        </w:tc>
      </w:tr>
      <w:tr>
        <w:trPr>
          <w:trHeight w:val="192"/>
        </w:trPr>
        <w:tc>
          <w:tcPr>
            <w:tcW w:w="82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Proceeds from issuance of preferred stock</w:t>
            </w: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61,918</w:t>
            </w:r>
          </w:p>
        </w:tc>
        <w:tc>
          <w:tcPr>
            <w:tcW w:w="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6"/>
        </w:trPr>
        <w:tc>
          <w:tcPr>
            <w:tcW w:w="8260" w:type="dxa"/>
            <w:vAlign w:val="bottom"/>
          </w:tcPr>
          <w:p>
            <w:pPr>
              <w:ind w:left="140"/>
              <w:spacing w:after="0"/>
              <w:rPr>
                <w:sz w:val="20"/>
                <w:szCs w:val="20"/>
                <w:color w:val="auto"/>
              </w:rPr>
            </w:pPr>
            <w:r>
              <w:rPr>
                <w:rFonts w:ascii="Arial" w:cs="Arial" w:eastAsia="Arial" w:hAnsi="Arial"/>
                <w:sz w:val="14"/>
                <w:szCs w:val="14"/>
                <w:color w:val="auto"/>
              </w:rPr>
              <w:t>Redemption of preferred stock</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(122,434)</w:t>
            </w: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92"/>
        </w:trPr>
        <w:tc>
          <w:tcPr>
            <w:tcW w:w="82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Proceeds from long-term debt</w:t>
            </w: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150,000</w:t>
            </w:r>
          </w:p>
        </w:tc>
        <w:tc>
          <w:tcPr>
            <w:tcW w:w="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60,012</w:t>
            </w:r>
          </w:p>
        </w:tc>
      </w:tr>
      <w:tr>
        <w:trPr>
          <w:trHeight w:val="186"/>
        </w:trPr>
        <w:tc>
          <w:tcPr>
            <w:tcW w:w="8260" w:type="dxa"/>
            <w:vAlign w:val="bottom"/>
          </w:tcPr>
          <w:p>
            <w:pPr>
              <w:ind w:left="140"/>
              <w:spacing w:after="0"/>
              <w:rPr>
                <w:sz w:val="20"/>
                <w:szCs w:val="20"/>
                <w:color w:val="auto"/>
              </w:rPr>
            </w:pPr>
            <w:r>
              <w:rPr>
                <w:rFonts w:ascii="Arial" w:cs="Arial" w:eastAsia="Arial" w:hAnsi="Arial"/>
                <w:sz w:val="14"/>
                <w:szCs w:val="14"/>
                <w:color w:val="auto"/>
              </w:rPr>
              <w:t>Repayments of long-term debt</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(70,721)</w:t>
            </w: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(4,527)</w:t>
            </w:r>
          </w:p>
        </w:tc>
      </w:tr>
      <w:tr>
        <w:trPr>
          <w:trHeight w:val="192"/>
        </w:trPr>
        <w:tc>
          <w:tcPr>
            <w:tcW w:w="82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Repayments of short-term debt, net</w:t>
            </w: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(1,090)</w:t>
            </w:r>
          </w:p>
        </w:tc>
        <w:tc>
          <w:tcPr>
            <w:tcW w:w="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(411)</w:t>
            </w:r>
          </w:p>
        </w:tc>
      </w:tr>
      <w:tr>
        <w:trPr>
          <w:trHeight w:val="186"/>
        </w:trPr>
        <w:tc>
          <w:tcPr>
            <w:tcW w:w="826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Other</w:t>
            </w: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(1,189)</w:t>
            </w:r>
          </w:p>
        </w:tc>
        <w:tc>
          <w:tcPr>
            <w:tcW w:w="8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(888)</w:t>
            </w:r>
          </w:p>
        </w:tc>
      </w:tr>
      <w:tr>
        <w:trPr>
          <w:trHeight w:val="186"/>
        </w:trPr>
        <w:tc>
          <w:tcPr>
            <w:tcW w:w="8260" w:type="dxa"/>
            <w:vAlign w:val="bottom"/>
            <w:shd w:val="clear" w:color="auto" w:fill="CCEEFF"/>
          </w:tcPr>
          <w:p>
            <w:pPr>
              <w:ind w:left="1120"/>
              <w:spacing w:after="0"/>
              <w:rPr>
                <w:sz w:val="20"/>
                <w:szCs w:val="20"/>
                <w:color w:val="auto"/>
              </w:rPr>
            </w:pPr>
            <w:r>
              <w:rPr>
                <w:rFonts w:ascii="Arial" w:cs="Arial" w:eastAsia="Arial" w:hAnsi="Arial"/>
                <w:sz w:val="14"/>
                <w:szCs w:val="14"/>
                <w:color w:val="auto"/>
              </w:rPr>
              <w:t>Net cash provided by financing activities</w:t>
            </w:r>
          </w:p>
        </w:tc>
        <w:tc>
          <w:tcPr>
            <w:tcW w:w="32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9,628</w:t>
            </w:r>
          </w:p>
        </w:tc>
        <w:tc>
          <w:tcPr>
            <w:tcW w:w="80" w:type="dxa"/>
            <w:vAlign w:val="bottom"/>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53,900</w:t>
            </w:r>
          </w:p>
        </w:tc>
      </w:tr>
      <w:tr>
        <w:trPr>
          <w:trHeight w:val="179"/>
        </w:trPr>
        <w:tc>
          <w:tcPr>
            <w:tcW w:w="8260" w:type="dxa"/>
            <w:vAlign w:val="bottom"/>
          </w:tcPr>
          <w:p>
            <w:pPr>
              <w:ind w:left="140"/>
              <w:spacing w:after="0"/>
              <w:rPr>
                <w:sz w:val="20"/>
                <w:szCs w:val="20"/>
                <w:color w:val="auto"/>
              </w:rPr>
            </w:pPr>
            <w:r>
              <w:rPr>
                <w:rFonts w:ascii="Arial" w:cs="Arial" w:eastAsia="Arial" w:hAnsi="Arial"/>
                <w:sz w:val="14"/>
                <w:szCs w:val="14"/>
                <w:color w:val="auto"/>
              </w:rPr>
              <w:t>Effect of exchange rate changes on cash flows</w:t>
            </w: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(1,740)</w:t>
            </w: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(5,435)</w:t>
            </w:r>
          </w:p>
        </w:tc>
      </w:tr>
      <w:tr>
        <w:trPr>
          <w:trHeight w:val="192"/>
        </w:trPr>
        <w:tc>
          <w:tcPr>
            <w:tcW w:w="82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Net change in cash and cash equivalents</w:t>
            </w: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(5,105)</w:t>
            </w:r>
          </w:p>
        </w:tc>
        <w:tc>
          <w:tcPr>
            <w:tcW w:w="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47,511</w:t>
            </w:r>
          </w:p>
        </w:tc>
      </w:tr>
      <w:tr>
        <w:trPr>
          <w:trHeight w:val="186"/>
        </w:trPr>
        <w:tc>
          <w:tcPr>
            <w:tcW w:w="826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Cash and cash equivalents at beginning of period (1)</w:t>
            </w: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48,138</w:t>
            </w:r>
          </w:p>
        </w:tc>
        <w:tc>
          <w:tcPr>
            <w:tcW w:w="8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31,703</w:t>
            </w:r>
          </w:p>
        </w:tc>
      </w:tr>
      <w:tr>
        <w:trPr>
          <w:trHeight w:val="208"/>
        </w:trPr>
        <w:tc>
          <w:tcPr>
            <w:tcW w:w="82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Cash and cash equivalents at end of period (1)</w:t>
            </w:r>
          </w:p>
        </w:tc>
        <w:tc>
          <w:tcPr>
            <w:tcW w:w="32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43,033</w:t>
            </w:r>
          </w:p>
        </w:tc>
        <w:tc>
          <w:tcPr>
            <w:tcW w:w="8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79,214</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49"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w:t>
      </w:r>
    </w:p>
    <w:p>
      <w:pPr>
        <w:spacing w:after="0" w:line="55" w:lineRule="exact"/>
        <w:rPr>
          <w:sz w:val="20"/>
          <w:szCs w:val="20"/>
          <w:color w:val="auto"/>
        </w:rPr>
      </w:pPr>
    </w:p>
    <w:p>
      <w:pPr>
        <w:ind w:left="900" w:right="240" w:hanging="244"/>
        <w:spacing w:after="0" w:line="273" w:lineRule="auto"/>
        <w:tabs>
          <w:tab w:leader="none" w:pos="861" w:val="left"/>
        </w:tabs>
        <w:numPr>
          <w:ilvl w:val="0"/>
          <w:numId w:val="3"/>
        </w:numPr>
        <w:rPr>
          <w:rFonts w:ascii="Arial" w:cs="Arial" w:eastAsia="Arial" w:hAnsi="Arial"/>
          <w:sz w:val="14"/>
          <w:szCs w:val="14"/>
          <w:color w:val="auto"/>
        </w:rPr>
      </w:pPr>
      <w:r>
        <w:rPr>
          <w:rFonts w:ascii="Arial" w:cs="Arial" w:eastAsia="Arial" w:hAnsi="Arial"/>
          <w:sz w:val="14"/>
          <w:szCs w:val="14"/>
          <w:color w:val="auto"/>
        </w:rPr>
        <w:t>Cash and cash equivalents include $11.7 million and $13.8 million of cash and cash equivalents that were included in current assets of discontinued operations as of March 31, 2020, and December 31, 2019, respectively.</w:t>
      </w:r>
    </w:p>
    <w:p>
      <w:pPr>
        <w:spacing w:after="0" w:line="200" w:lineRule="exact"/>
        <w:rPr>
          <w:sz w:val="20"/>
          <w:szCs w:val="20"/>
          <w:color w:val="auto"/>
        </w:rPr>
      </w:pPr>
    </w:p>
    <w:p>
      <w:pPr>
        <w:spacing w:after="0" w:line="3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See notes to condensed consolidated financial statements (unaudited).</w:t>
      </w:r>
    </w:p>
    <w:p>
      <w:pPr>
        <w:spacing w:after="0" w:line="200" w:lineRule="exact"/>
        <w:rPr>
          <w:sz w:val="20"/>
          <w:szCs w:val="20"/>
          <w:color w:val="auto"/>
        </w:rPr>
      </w:pPr>
    </w:p>
    <w:p>
      <w:pPr>
        <w:spacing w:after="0" w:line="36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233" w:right="399" w:bottom="1440" w:gutter="0" w:footer="0" w:header="0"/>
        </w:sectPr>
      </w:pPr>
    </w:p>
    <w:bookmarkStart w:id="6" w:name="page7"/>
    <w:bookmarkEnd w:id="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NN, Inc.</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March 31, 2021</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Amounts in thousands, except per share data</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Interim Financial Statements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Nature of Business</w:t>
      </w:r>
    </w:p>
    <w:p>
      <w:pPr>
        <w:spacing w:after="0" w:line="11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NN, Inc. is a global diversified industrial company that combines advanced engineering and production capabilities with in-depth materials science expertise to design and manufacture high-precision components and assemblies primarily for the automotive, general industrial, electrical, aerospace and defense, and medical markets. As used in this Quarterly Report on Form 10-Q (this “Quarterly Report”), the terms “NN,” the “Company,” “we,” “our,” or “us” refer to NN, Inc., and its subsidiaries.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w:t>
      </w:r>
    </w:p>
    <w:p>
      <w:pPr>
        <w:spacing w:after="0" w:line="117"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 xml:space="preserve">The accompanying condensed consolidated financial statements have not been audited. The Condensed Consolidated Balance Sheet as of December 31, 2020, was derived from the audited consolidated financial statements included in our Annual Report on Form 10-K for the year ended December 31, 2020 (the “2020 Annual Report”), which we filed with the U.S. Securities and Exchange Commission (the “SEC”) on March 15, 2021. Historical periods presented reflect reclassifications for discontinued operations (see Note 2). In management’s opinion, the accompanying unaudited condensed consolidated financial statements reflect all adjustments necessary to fairly state our results of operations for the three months ended March 31, 2021 and 2020; financial position as of March 31, 2021, and December 31, 2020; and cash flows for the three months ended March 31, 2021 and 2020, on a basis consistent with our audited consolidated financial statements other than the adoption of new accounting standards (see </w:t>
      </w:r>
      <w:r>
        <w:rPr>
          <w:rFonts w:ascii="Arial" w:cs="Arial" w:eastAsia="Arial" w:hAnsi="Arial"/>
          <w:sz w:val="17"/>
          <w:szCs w:val="17"/>
          <w:i w:val="1"/>
          <w:iCs w:val="1"/>
          <w:color w:val="auto"/>
        </w:rPr>
        <w:t>Accounting Standards Recently Adopted</w:t>
      </w:r>
      <w:r>
        <w:rPr>
          <w:rFonts w:ascii="Arial" w:cs="Arial" w:eastAsia="Arial" w:hAnsi="Arial"/>
          <w:sz w:val="17"/>
          <w:szCs w:val="17"/>
          <w:color w:val="auto"/>
        </w:rPr>
        <w:t xml:space="preserve"> section below). These adjustments are of a normal recurring nature and are, in the opinion of management, necessary to state fairly the Company’s financial position and operating results for the interim periods.</w:t>
      </w:r>
    </w:p>
    <w:p>
      <w:pPr>
        <w:spacing w:after="0" w:line="73"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Certain information and footnote disclosures normally included in the consolidated financial statements prepared in accordance with accounting principles generally accepted in the United States (“U.S. GAAP”) have been condensed or omitted from the interim financial statements presented in this Quarterly Report. These unaudited condensed consolidated financial statements should be read in conjunction with our audited consolidated financial statements and accompanying notes included in the 2020 Annual Report. The results for the three months ended March 31, 2021, are not necessarily indicative of results for the year ending December 31, 2021, or any other future periods.</w:t>
      </w:r>
    </w:p>
    <w:p>
      <w:pPr>
        <w:spacing w:after="0" w:line="80"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Except for per share data or as otherwise indicated, all U.S. dollar amounts presented in the tables in these Notes to Condensed Consolidated Financial Statements are in thousands.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Standards Recently Adopted</w:t>
      </w:r>
    </w:p>
    <w:p>
      <w:pPr>
        <w:spacing w:after="0" w:line="11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 xml:space="preserve">In December 2019, the FASB issued ASU 2019-12, </w:t>
      </w:r>
      <w:r>
        <w:rPr>
          <w:rFonts w:ascii="Arial" w:cs="Arial" w:eastAsia="Arial" w:hAnsi="Arial"/>
          <w:sz w:val="18"/>
          <w:szCs w:val="18"/>
          <w:i w:val="1"/>
          <w:iCs w:val="1"/>
          <w:color w:val="auto"/>
        </w:rPr>
        <w:t>Income Taxes (Topic 740) - Simplifying the Accounting for Income Taxes,</w:t>
      </w:r>
      <w:r>
        <w:rPr>
          <w:rFonts w:ascii="Arial" w:cs="Arial" w:eastAsia="Arial" w:hAnsi="Arial"/>
          <w:sz w:val="18"/>
          <w:szCs w:val="18"/>
          <w:color w:val="auto"/>
        </w:rPr>
        <w:t xml:space="preserve"> (“ASU 2019-12”) as part of its initiative to reduce complexity in accounting standards. ASU 2019-12 removes certain exceptions and provides simplification to specific tax items to improve consistent application. This standard was effective for us beginning January 1, 2021. The adoption of ASU 2019-12 did not have a material impact on our consolidated financial statements and related disclosures.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Standards Not Yet Adopted</w:t>
      </w:r>
    </w:p>
    <w:p>
      <w:pPr>
        <w:spacing w:after="0" w:line="11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 xml:space="preserve">In August 2020, the FASB issued ASU 2020-06, </w:t>
      </w:r>
      <w:r>
        <w:rPr>
          <w:rFonts w:ascii="Arial" w:cs="Arial" w:eastAsia="Arial" w:hAnsi="Arial"/>
          <w:sz w:val="18"/>
          <w:szCs w:val="18"/>
          <w:i w:val="1"/>
          <w:iCs w:val="1"/>
          <w:color w:val="auto"/>
        </w:rPr>
        <w:t>Accounting for Convertible Instruments and Contracts in an Entity’s Own Equity,</w:t>
      </w:r>
      <w:r>
        <w:rPr>
          <w:rFonts w:ascii="Arial" w:cs="Arial" w:eastAsia="Arial" w:hAnsi="Arial"/>
          <w:sz w:val="18"/>
          <w:szCs w:val="18"/>
          <w:color w:val="auto"/>
        </w:rPr>
        <w:t xml:space="preserve"> (“ASU 2020-06”) which simplifies the accounting for certain financial instruments with characteristics of liabilities and equity. Specifically, ASU 2020-06 simplifies accounting for convertible instruments by removing major separation models required under current U.S. GAAP. In addition, ASU 2020-06 removes certain settlement conditions that are required for equity contracts to qualify for the derivative scope exception, which will permit more equity contracts to qualify for the exception. Further, for the diluted earnings-per-share calculation, the new guidance requires entities to use the if-converted method for all convertible instruments and generally requires entities to include the effect of share settlement for instruments that may be settled in cash or shares, among other things. ASU 2020-06 is effective for fiscal years beginning after December 15, 2021, and interim periods within those fiscal years, with early adoption permitted. Either the full or modified retrospective adoption method is allowed. We are currently evaluating the impact on our consolidated financial statements and related disclosures.</w:t>
      </w: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7" w:name="page8"/>
    <w:bookmarkEnd w:id="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Discontinued Operations</w:t>
      </w:r>
    </w:p>
    <w:p>
      <w:pPr>
        <w:spacing w:after="0" w:line="12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In October 2020, we closed on the sale of our Life Sciences business under the terms of a Stock Purchase Agreement (the “SPA”) with affiliates of American Securities LLC for $753.3 million cash. The SPA includes a potential earnout payment of up to $70 million based on the performance of the Life Sciences business during the year ending December 31, 2022, measured by Adjusted EBITDA targets, as defined by the SPA. After working capital and other closing adjustments, we received cash proceeds at closing of $757.2 million and have recorded a $3.9 million payable as of March 31, 2021, and December 31, 2020, for the balance.</w:t>
      </w:r>
    </w:p>
    <w:p>
      <w:pPr>
        <w:spacing w:after="0" w:line="80"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Under the terms of a transition services agreement, we provided certain support services after the sale. In accordance with the terms of the SPA, we agreed to indemnify the buyer for certain tax liabilities on its consolidated federal income tax return related to the Life Sciences business during the portion of the year ended December 31, 2020, prior to the change in ownership on October 6, 2020. We estimate that the tax indemnification will result in a payment of approximately $1.2 million to the buyer during the year ending December 31, 2021, and we have recorded this estimated obligation in the “Other current liabilities” line item on the Condensed Consolidated Balance Sheets as of March 31, 2021, and December 31, 2020.</w:t>
      </w:r>
    </w:p>
    <w:p>
      <w:pPr>
        <w:spacing w:after="0" w:line="68"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 xml:space="preserve">In accordance with ASC 205-20, </w:t>
      </w:r>
      <w:r>
        <w:rPr>
          <w:rFonts w:ascii="Arial" w:cs="Arial" w:eastAsia="Arial" w:hAnsi="Arial"/>
          <w:sz w:val="18"/>
          <w:szCs w:val="18"/>
          <w:i w:val="1"/>
          <w:iCs w:val="1"/>
          <w:color w:val="auto"/>
        </w:rPr>
        <w:t>Presentation of Financial Statements - Discontinued Operations</w:t>
      </w:r>
      <w:r>
        <w:rPr>
          <w:rFonts w:ascii="Arial" w:cs="Arial" w:eastAsia="Arial" w:hAnsi="Arial"/>
          <w:sz w:val="18"/>
          <w:szCs w:val="18"/>
          <w:color w:val="auto"/>
        </w:rPr>
        <w:t>, the operating results of the Life Sciences business are classified as discontinued operations. The presentation of discontinued operations includes revenues and expenses of the discontinued operations as well as any gain on the disposition of the business, all net of tax, as one line item on the Condensed Consolidated Statements of Operations and Comprehensive Income (Loss). The Condensed Consolidated Statements of Operations and Comprehensive Income (Loss) for all historical periods presented have been revised to reflect this presentation. Accordingly, the results of the Life Sciences business have been excluded from continuing operations and segment results for all historical periods presented in the condensed consolidated financial statements and the accompanying notes unless otherwise stated. The Condensed Consolidated Statements of Cash Flows for historical periods include cash flows of the Life Sciences business in each line item unless otherwise stated.</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operating results of the discontinued operations.</w:t>
      </w:r>
    </w:p>
    <w:p>
      <w:pPr>
        <w:spacing w:after="0" w:line="31" w:lineRule="exact"/>
        <w:rPr>
          <w:sz w:val="20"/>
          <w:szCs w:val="20"/>
          <w:color w:val="auto"/>
        </w:rPr>
      </w:pPr>
    </w:p>
    <w:p>
      <w:pPr>
        <w:jc w:val="center"/>
        <w:ind w:left="9480"/>
        <w:spacing w:after="0"/>
        <w:rPr>
          <w:sz w:val="20"/>
          <w:szCs w:val="20"/>
          <w:color w:val="auto"/>
        </w:rPr>
      </w:pPr>
      <w:r>
        <w:rPr>
          <w:rFonts w:ascii="Arial" w:cs="Arial" w:eastAsia="Arial" w:hAnsi="Arial"/>
          <w:sz w:val="14"/>
          <w:szCs w:val="14"/>
          <w:b w:val="1"/>
          <w:bCs w:val="1"/>
          <w:color w:val="auto"/>
        </w:rPr>
        <w:t>Three Months Ended</w:t>
      </w:r>
    </w:p>
    <w:p>
      <w:pPr>
        <w:jc w:val="center"/>
        <w:ind w:left="9480"/>
        <w:spacing w:after="0"/>
        <w:rPr>
          <w:sz w:val="20"/>
          <w:szCs w:val="20"/>
          <w:color w:val="auto"/>
        </w:rPr>
      </w:pPr>
      <w:r>
        <w:rPr>
          <w:rFonts w:ascii="Arial" w:cs="Arial" w:eastAsia="Arial" w:hAnsi="Arial"/>
          <w:sz w:val="14"/>
          <w:szCs w:val="14"/>
          <w:b w:val="1"/>
          <w:bCs w:val="1"/>
          <w:color w:val="auto"/>
        </w:rPr>
        <w:t>March 31, 2020</w:t>
      </w:r>
    </w:p>
    <w:p>
      <w:pPr>
        <w:sectPr>
          <w:pgSz w:w="11900" w:h="16838" w:orient="portrait"/>
          <w:cols w:equalWidth="0" w:num="1">
            <w:col w:w="11220"/>
          </w:cols>
          <w:pgMar w:left="320" w:top="233" w:right="359" w:bottom="1440" w:gutter="0" w:footer="0" w:header="0"/>
        </w:sectPr>
      </w:pPr>
    </w:p>
    <w:p>
      <w:pPr>
        <w:spacing w:after="0" w:line="20"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Net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543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7"/>
          <w:szCs w:val="17"/>
          <w:color w:val="auto"/>
        </w:rPr>
        <w:t>Cost of sales (exclusive of depreciation and amortization shown separately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132320" cy="1460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Selling, general, and administrative expense</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Depreciation and 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Goodwill impairment</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Other operating expense,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543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Loss from operations</w:t>
      </w:r>
    </w:p>
    <w:p>
      <w:pPr>
        <w:spacing w:after="0" w:line="35"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Interest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54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Other income, net</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6"/>
          <w:szCs w:val="16"/>
          <w:color w:val="auto"/>
        </w:rPr>
        <w:t>Loss from discontinued operations before costs of disposal and benefit for income taxes</w:t>
      </w:r>
    </w:p>
    <w:p>
      <w:pPr>
        <w:spacing w:after="0" w:line="58" w:lineRule="exact"/>
        <w:rPr>
          <w:sz w:val="20"/>
          <w:szCs w:val="20"/>
          <w:color w:val="auto"/>
        </w:rPr>
      </w:pPr>
    </w:p>
    <w:p>
      <w:pPr>
        <w:ind w:left="20"/>
        <w:spacing w:after="0"/>
        <w:rPr>
          <w:sz w:val="20"/>
          <w:szCs w:val="20"/>
          <w:color w:val="auto"/>
        </w:rPr>
      </w:pPr>
      <w:r>
        <w:rPr>
          <w:rFonts w:ascii="Arial" w:cs="Arial" w:eastAsia="Arial" w:hAnsi="Arial"/>
          <w:sz w:val="18"/>
          <w:szCs w:val="18"/>
          <w:color w:val="auto"/>
        </w:rPr>
        <w:t>Benefit for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454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Loss from discontinued operations before costs of disposal</w:t>
      </w:r>
    </w:p>
    <w:p>
      <w:pPr>
        <w:spacing w:after="0" w:line="35" w:lineRule="exact"/>
        <w:rPr>
          <w:sz w:val="20"/>
          <w:szCs w:val="20"/>
          <w:color w:val="auto"/>
        </w:rPr>
      </w:pPr>
    </w:p>
    <w:p>
      <w:pPr>
        <w:ind w:left="20"/>
        <w:spacing w:after="0"/>
        <w:rPr>
          <w:sz w:val="20"/>
          <w:szCs w:val="20"/>
          <w:color w:val="auto"/>
        </w:rPr>
      </w:pPr>
      <w:r>
        <w:rPr>
          <w:rFonts w:ascii="Arial" w:cs="Arial" w:eastAsia="Arial" w:hAnsi="Arial"/>
          <w:sz w:val="18"/>
          <w:szCs w:val="18"/>
          <w:color w:val="auto"/>
        </w:rPr>
        <w:t>Costs of disposal of discontinued operations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454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Benefit for income taxes on costs of disposal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Loss from discontinued operations, net of tax</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w:t>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ind w:left="1150" w:hanging="1150"/>
        <w:spacing w:after="0"/>
        <w:tabs>
          <w:tab w:leader="none" w:pos="1150" w:val="left"/>
        </w:tabs>
        <w:numPr>
          <w:ilvl w:val="0"/>
          <w:numId w:val="4"/>
        </w:numPr>
        <w:rPr>
          <w:rFonts w:ascii="Arial" w:cs="Arial" w:eastAsia="Arial" w:hAnsi="Arial"/>
          <w:sz w:val="17"/>
          <w:szCs w:val="17"/>
          <w:color w:val="auto"/>
        </w:rPr>
      </w:pPr>
      <w:r>
        <w:rPr>
          <w:rFonts w:ascii="Arial" w:cs="Arial" w:eastAsia="Arial" w:hAnsi="Arial"/>
          <w:sz w:val="17"/>
          <w:szCs w:val="17"/>
          <w:color w:val="auto"/>
        </w:rPr>
        <w:t>83,532</w:t>
      </w:r>
    </w:p>
    <w:p>
      <w:pPr>
        <w:spacing w:after="0" w:line="34" w:lineRule="exact"/>
        <w:rPr>
          <w:rFonts w:ascii="Arial" w:cs="Arial" w:eastAsia="Arial" w:hAnsi="Arial"/>
          <w:sz w:val="17"/>
          <w:szCs w:val="17"/>
          <w:color w:val="auto"/>
        </w:rPr>
      </w:pPr>
    </w:p>
    <w:p>
      <w:pPr>
        <w:ind w:left="1150"/>
        <w:spacing w:after="0"/>
        <w:rPr>
          <w:rFonts w:ascii="Arial" w:cs="Arial" w:eastAsia="Arial" w:hAnsi="Arial"/>
          <w:sz w:val="17"/>
          <w:szCs w:val="17"/>
          <w:color w:val="auto"/>
        </w:rPr>
      </w:pPr>
      <w:r>
        <w:rPr>
          <w:rFonts w:ascii="Arial" w:cs="Arial" w:eastAsia="Arial" w:hAnsi="Arial"/>
          <w:sz w:val="17"/>
          <w:szCs w:val="17"/>
          <w:color w:val="auto"/>
        </w:rPr>
        <w:t>57,763</w:t>
      </w:r>
    </w:p>
    <w:p>
      <w:pPr>
        <w:spacing w:after="0" w:line="34" w:lineRule="exact"/>
        <w:rPr>
          <w:rFonts w:ascii="Arial" w:cs="Arial" w:eastAsia="Arial" w:hAnsi="Arial"/>
          <w:sz w:val="17"/>
          <w:szCs w:val="17"/>
          <w:color w:val="auto"/>
        </w:rPr>
      </w:pPr>
    </w:p>
    <w:p>
      <w:pPr>
        <w:ind w:left="1230"/>
        <w:spacing w:after="0"/>
        <w:rPr>
          <w:rFonts w:ascii="Arial" w:cs="Arial" w:eastAsia="Arial" w:hAnsi="Arial"/>
          <w:sz w:val="17"/>
          <w:szCs w:val="17"/>
          <w:color w:val="auto"/>
        </w:rPr>
      </w:pPr>
      <w:r>
        <w:rPr>
          <w:rFonts w:ascii="Arial" w:cs="Arial" w:eastAsia="Arial" w:hAnsi="Arial"/>
          <w:sz w:val="18"/>
          <w:szCs w:val="18"/>
          <w:color w:val="auto"/>
        </w:rPr>
        <w:t>8,405</w:t>
      </w:r>
    </w:p>
    <w:p>
      <w:pPr>
        <w:spacing w:after="0" w:line="22" w:lineRule="exact"/>
        <w:rPr>
          <w:rFonts w:ascii="Arial" w:cs="Arial" w:eastAsia="Arial" w:hAnsi="Arial"/>
          <w:sz w:val="17"/>
          <w:szCs w:val="17"/>
          <w:color w:val="auto"/>
        </w:rPr>
      </w:pPr>
    </w:p>
    <w:p>
      <w:pPr>
        <w:ind w:left="1150"/>
        <w:spacing w:after="0"/>
        <w:rPr>
          <w:rFonts w:ascii="Arial" w:cs="Arial" w:eastAsia="Arial" w:hAnsi="Arial"/>
          <w:sz w:val="17"/>
          <w:szCs w:val="17"/>
          <w:color w:val="auto"/>
        </w:rPr>
      </w:pPr>
      <w:r>
        <w:rPr>
          <w:rFonts w:ascii="Arial" w:cs="Arial" w:eastAsia="Arial" w:hAnsi="Arial"/>
          <w:sz w:val="17"/>
          <w:szCs w:val="17"/>
          <w:color w:val="auto"/>
        </w:rPr>
        <w:t>11,827</w:t>
      </w:r>
    </w:p>
    <w:p>
      <w:pPr>
        <w:spacing w:after="0" w:line="34"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146,757</w:t>
      </w:r>
    </w:p>
    <w:p>
      <w:pPr>
        <w:spacing w:after="0" w:line="23"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3</w:t>
      </w:r>
    </w:p>
    <w:p>
      <w:pPr>
        <w:spacing w:after="0" w:line="3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(141,223)</w:t>
      </w:r>
    </w:p>
    <w:p>
      <w:pPr>
        <w:spacing w:after="0" w:line="23"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13,270</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14605</wp:posOffset>
            </wp:positionV>
            <wp:extent cx="109728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097280" cy="8890"/>
                    </a:xfrm>
                    <a:prstGeom prst="rect">
                      <a:avLst/>
                    </a:prstGeom>
                    <a:noFill/>
                  </pic:spPr>
                </pic:pic>
              </a:graphicData>
            </a:graphic>
          </wp:anchor>
        </w:drawing>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(154,069)</w:t>
      </w:r>
    </w:p>
    <w:p>
      <w:pPr>
        <w:spacing w:after="0" w:line="23"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14,187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14605</wp:posOffset>
            </wp:positionV>
            <wp:extent cx="109728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097280" cy="8890"/>
                    </a:xfrm>
                    <a:prstGeom prst="rect">
                      <a:avLst/>
                    </a:prstGeom>
                    <a:noFill/>
                  </pic:spPr>
                </pic:pic>
              </a:graphicData>
            </a:graphic>
          </wp:anchor>
        </w:drawing>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(139,882)</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(259)</w:t>
      </w:r>
    </w:p>
    <w:p>
      <w:pPr>
        <w:spacing w:after="0" w:line="23"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27</w:t>
      </w:r>
    </w:p>
    <w:p>
      <w:pPr>
        <w:spacing w:after="0" w:line="35" w:lineRule="exact"/>
        <w:rPr>
          <w:sz w:val="20"/>
          <w:szCs w:val="20"/>
          <w:color w:val="auto"/>
        </w:rPr>
      </w:pPr>
    </w:p>
    <w:p>
      <w:pPr>
        <w:ind w:left="990" w:hanging="990"/>
        <w:spacing w:after="0"/>
        <w:tabs>
          <w:tab w:leader="none" w:pos="990" w:val="left"/>
        </w:tabs>
        <w:numPr>
          <w:ilvl w:val="0"/>
          <w:numId w:val="5"/>
        </w:numPr>
        <w:rPr>
          <w:rFonts w:ascii="Arial" w:cs="Arial" w:eastAsia="Arial" w:hAnsi="Arial"/>
          <w:sz w:val="16"/>
          <w:szCs w:val="16"/>
          <w:color w:val="auto"/>
        </w:rPr>
      </w:pPr>
      <w:r>
        <w:rPr>
          <w:rFonts w:ascii="Arial" w:cs="Arial" w:eastAsia="Arial" w:hAnsi="Arial"/>
          <w:sz w:val="16"/>
          <w:szCs w:val="16"/>
          <w:color w:val="auto"/>
        </w:rPr>
        <w:t>(140,114)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55245</wp:posOffset>
            </wp:positionV>
            <wp:extent cx="109728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097280" cy="8890"/>
                    </a:xfrm>
                    <a:prstGeom prst="rect">
                      <a:avLst/>
                    </a:prstGeom>
                    <a:noFill/>
                  </pic:spPr>
                </pic:pic>
              </a:graphicData>
            </a:graphic>
          </wp:anchor>
        </w:drawing>
      </w:r>
    </w:p>
    <w:p>
      <w:pPr>
        <w:spacing w:after="0" w:line="409" w:lineRule="exact"/>
        <w:rPr>
          <w:sz w:val="20"/>
          <w:szCs w:val="20"/>
          <w:color w:val="auto"/>
        </w:rPr>
      </w:pPr>
    </w:p>
    <w:p>
      <w:pPr>
        <w:sectPr>
          <w:pgSz w:w="11900" w:h="16838" w:orient="portrait"/>
          <w:cols w:equalWidth="0" w:num="2">
            <w:col w:w="8810" w:space="720"/>
            <w:col w:w="1690"/>
          </w:cols>
          <w:pgMar w:left="320" w:top="233" w:right="359" w:bottom="1440" w:gutter="0" w:footer="0" w:header="0"/>
          <w:type w:val="continuous"/>
        </w:sectPr>
      </w:pPr>
    </w:p>
    <w:p>
      <w:pPr>
        <w:ind w:left="340"/>
        <w:spacing w:after="0"/>
        <w:rPr>
          <w:sz w:val="20"/>
          <w:szCs w:val="20"/>
          <w:color w:val="auto"/>
        </w:rPr>
      </w:pPr>
      <w:r>
        <w:rPr>
          <w:rFonts w:ascii="Arial" w:cs="Arial" w:eastAsia="Arial" w:hAnsi="Arial"/>
          <w:sz w:val="17"/>
          <w:szCs w:val="17"/>
          <w:color w:val="auto"/>
        </w:rPr>
        <w:t>(1) Represents incremental direct costs related to the sale of the Life Sciences business that were incurred prior to the closing of the sale.</w:t>
      </w:r>
    </w:p>
    <w:p>
      <w:pPr>
        <w:spacing w:after="0" w:line="237" w:lineRule="exact"/>
        <w:rPr>
          <w:sz w:val="20"/>
          <w:szCs w:val="20"/>
          <w:color w:val="auto"/>
        </w:rPr>
      </w:pPr>
    </w:p>
    <w:p>
      <w:pPr>
        <w:ind w:right="120"/>
        <w:spacing w:after="0" w:line="243" w:lineRule="auto"/>
        <w:rPr>
          <w:sz w:val="20"/>
          <w:szCs w:val="20"/>
          <w:color w:val="auto"/>
        </w:rPr>
      </w:pPr>
      <w:r>
        <w:rPr>
          <w:rFonts w:ascii="Arial" w:cs="Arial" w:eastAsia="Arial" w:hAnsi="Arial"/>
          <w:sz w:val="18"/>
          <w:szCs w:val="18"/>
          <w:color w:val="auto"/>
        </w:rPr>
        <w:t>During the first quarter of 2020, our market capitalization declined to a level that was less than the net book value of our stockholders’ equity. The decline in market capitalization was a triggering event that caused us to perform a goodwill impairment analysis as of March 31, 2020. The carrying value of the Life Sciences reporting unit exceeded its estimated fair value as of March 31, 2020. As a result of our analysis, we recorded an impairment loss on goodwill of $146.8 million for Life</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type w:val="continuous"/>
        </w:sectPr>
      </w:pPr>
    </w:p>
    <w:bookmarkStart w:id="8" w:name="page9"/>
    <w:bookmarkEnd w:id="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Sciences. The judgments, assumptions, and estimates involved in the goodwill impairment analysis for the Life Sciences reporting unit are consistent with those discussed in Note 5.</w:t>
      </w:r>
    </w:p>
    <w:p>
      <w:pPr>
        <w:spacing w:after="0" w:line="63" w:lineRule="exact"/>
        <w:rPr>
          <w:sz w:val="20"/>
          <w:szCs w:val="20"/>
          <w:color w:val="auto"/>
        </w:rPr>
      </w:pPr>
    </w:p>
    <w:p>
      <w:pPr>
        <w:ind w:right="200"/>
        <w:spacing w:after="0" w:line="282" w:lineRule="auto"/>
        <w:rPr>
          <w:sz w:val="20"/>
          <w:szCs w:val="20"/>
          <w:color w:val="auto"/>
        </w:rPr>
      </w:pPr>
      <w:r>
        <w:rPr>
          <w:rFonts w:ascii="Arial" w:cs="Arial" w:eastAsia="Arial" w:hAnsi="Arial"/>
          <w:sz w:val="16"/>
          <w:szCs w:val="16"/>
          <w:color w:val="auto"/>
        </w:rPr>
        <w:t>Our previous credit facility, which was in place at the time, required us to use proceeds from the sale of the Life Sciences business to prepay a portion of our previous debt. We paid $700 million in the aggregate on our term loans immediately after the transaction closed on October 6, 2020. The prepayment</w:t>
      </w:r>
    </w:p>
    <w:p>
      <w:pPr>
        <w:ind w:right="200"/>
        <w:spacing w:after="0" w:line="247" w:lineRule="auto"/>
        <w:rPr>
          <w:sz w:val="20"/>
          <w:szCs w:val="20"/>
          <w:color w:val="auto"/>
        </w:rPr>
      </w:pPr>
      <w:r>
        <w:rPr>
          <w:rFonts w:ascii="Arial" w:cs="Arial" w:eastAsia="Arial" w:hAnsi="Arial"/>
          <w:sz w:val="18"/>
          <w:szCs w:val="18"/>
          <w:color w:val="auto"/>
        </w:rPr>
        <w:t>was applied to debt in accordance with the prepayment provisions of the previous credit agreement which was in place at the time. Average quarterly interest rates were multiplied by the required prepayment amounts to calculate interest expense to be reclassified to discontinued operations for historical periods presented. The following table summarizes the amount of interest expense related to the previous credit facility that has been reclassified to discontinued operations.</w:t>
      </w:r>
    </w:p>
    <w:tbl>
      <w:tblPr>
        <w:tblLayout w:type="fixed"/>
        <w:tblInd w:w="0" w:type="dxa"/>
        <w:tblCellMar>
          <w:top w:w="0" w:type="dxa"/>
          <w:left w:w="0" w:type="dxa"/>
          <w:bottom w:w="0" w:type="dxa"/>
          <w:right w:w="0" w:type="dxa"/>
        </w:tblCellMar>
      </w:tblPr>
      <w:tr>
        <w:trPr>
          <w:trHeight w:val="147"/>
        </w:trPr>
        <w:tc>
          <w:tcPr>
            <w:tcW w:w="9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60" w:type="dxa"/>
            <w:vAlign w:val="bottom"/>
          </w:tcPr>
          <w:p>
            <w:pPr>
              <w:jc w:val="right"/>
              <w:ind w:right="115"/>
              <w:spacing w:after="0" w:line="147" w:lineRule="exact"/>
              <w:rPr>
                <w:sz w:val="20"/>
                <w:szCs w:val="20"/>
                <w:color w:val="auto"/>
              </w:rPr>
            </w:pPr>
            <w:r>
              <w:rPr>
                <w:rFonts w:ascii="Arial" w:cs="Arial" w:eastAsia="Arial" w:hAnsi="Arial"/>
                <w:sz w:val="14"/>
                <w:szCs w:val="14"/>
                <w:b w:val="1"/>
                <w:bCs w:val="1"/>
                <w:color w:val="auto"/>
                <w:w w:val="96"/>
              </w:rPr>
              <w:t>Three Months Ended</w:t>
            </w:r>
          </w:p>
        </w:tc>
      </w:tr>
      <w:tr>
        <w:trPr>
          <w:trHeight w:val="188"/>
        </w:trPr>
        <w:tc>
          <w:tcPr>
            <w:tcW w:w="95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March 31, 2020</w:t>
            </w:r>
          </w:p>
        </w:tc>
      </w:tr>
      <w:tr>
        <w:trPr>
          <w:trHeight w:val="224"/>
        </w:trPr>
        <w:tc>
          <w:tcPr>
            <w:tcW w:w="9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on debt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12,136</w:t>
            </w:r>
          </w:p>
        </w:tc>
      </w:tr>
      <w:tr>
        <w:trPr>
          <w:trHeight w:val="230"/>
        </w:trPr>
        <w:tc>
          <w:tcPr>
            <w:tcW w:w="9520" w:type="dxa"/>
            <w:vAlign w:val="bottom"/>
          </w:tcPr>
          <w:p>
            <w:pPr>
              <w:ind w:left="20"/>
              <w:spacing w:after="0"/>
              <w:rPr>
                <w:sz w:val="20"/>
                <w:szCs w:val="20"/>
                <w:color w:val="auto"/>
              </w:rPr>
            </w:pPr>
            <w:r>
              <w:rPr>
                <w:rFonts w:ascii="Arial" w:cs="Arial" w:eastAsia="Arial" w:hAnsi="Arial"/>
                <w:sz w:val="18"/>
                <w:szCs w:val="18"/>
                <w:color w:val="auto"/>
              </w:rPr>
              <w:t>Amortization of debt issuance costs</w:t>
            </w:r>
          </w:p>
        </w:tc>
        <w:tc>
          <w:tcPr>
            <w:tcW w:w="1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1,226</w:t>
            </w:r>
          </w:p>
        </w:tc>
      </w:tr>
      <w:tr>
        <w:trPr>
          <w:trHeight w:val="229"/>
        </w:trPr>
        <w:tc>
          <w:tcPr>
            <w:tcW w:w="9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Capitalized interest and other</w:t>
            </w: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w:t>
            </w:r>
          </w:p>
        </w:tc>
      </w:tr>
      <w:tr>
        <w:trPr>
          <w:trHeight w:val="230"/>
        </w:trPr>
        <w:tc>
          <w:tcPr>
            <w:tcW w:w="95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w:t>
            </w:r>
          </w:p>
        </w:tc>
      </w:tr>
      <w:tr>
        <w:trPr>
          <w:trHeight w:val="248"/>
        </w:trPr>
        <w:tc>
          <w:tcPr>
            <w:tcW w:w="9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interest expense of discontinued operations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13,270</w:t>
            </w:r>
          </w:p>
        </w:tc>
      </w:tr>
      <w:tr>
        <w:trPr>
          <w:trHeight w:val="20"/>
        </w:trPr>
        <w:tc>
          <w:tcPr>
            <w:tcW w:w="95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ind w:right="460"/>
        <w:spacing w:after="0" w:line="269" w:lineRule="auto"/>
        <w:rPr>
          <w:sz w:val="20"/>
          <w:szCs w:val="20"/>
          <w:color w:val="auto"/>
        </w:rPr>
      </w:pPr>
      <w:r>
        <w:rPr>
          <w:rFonts w:ascii="Arial" w:cs="Arial" w:eastAsia="Arial" w:hAnsi="Arial"/>
          <w:sz w:val="18"/>
          <w:szCs w:val="18"/>
          <w:color w:val="auto"/>
        </w:rPr>
        <w:t>The following table presents the significant noncash items and cash paid for capital expenditures of discontinued operations for each historical period presented.</w:t>
      </w:r>
    </w:p>
    <w:tbl>
      <w:tblPr>
        <w:tblLayout w:type="fixed"/>
        <w:tblInd w:w="0" w:type="dxa"/>
        <w:tblCellMar>
          <w:top w:w="0" w:type="dxa"/>
          <w:left w:w="0" w:type="dxa"/>
          <w:bottom w:w="0" w:type="dxa"/>
          <w:right w:w="0" w:type="dxa"/>
        </w:tblCellMar>
      </w:tblPr>
      <w:tr>
        <w:trPr>
          <w:trHeight w:val="144"/>
        </w:trPr>
        <w:tc>
          <w:tcPr>
            <w:tcW w:w="9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60" w:type="dxa"/>
            <w:vAlign w:val="bottom"/>
          </w:tcPr>
          <w:p>
            <w:pPr>
              <w:jc w:val="right"/>
              <w:ind w:right="115"/>
              <w:spacing w:after="0" w:line="145" w:lineRule="exact"/>
              <w:rPr>
                <w:sz w:val="20"/>
                <w:szCs w:val="20"/>
                <w:color w:val="auto"/>
              </w:rPr>
            </w:pPr>
            <w:r>
              <w:rPr>
                <w:rFonts w:ascii="Arial" w:cs="Arial" w:eastAsia="Arial" w:hAnsi="Arial"/>
                <w:sz w:val="14"/>
                <w:szCs w:val="14"/>
                <w:b w:val="1"/>
                <w:bCs w:val="1"/>
                <w:color w:val="auto"/>
                <w:w w:val="96"/>
              </w:rPr>
              <w:t>Three Months Ended</w:t>
            </w:r>
          </w:p>
        </w:tc>
      </w:tr>
      <w:tr>
        <w:trPr>
          <w:trHeight w:val="188"/>
        </w:trPr>
        <w:tc>
          <w:tcPr>
            <w:tcW w:w="95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March 31, 2020</w:t>
            </w:r>
          </w:p>
        </w:tc>
      </w:tr>
      <w:tr>
        <w:trPr>
          <w:trHeight w:val="224"/>
        </w:trPr>
        <w:tc>
          <w:tcPr>
            <w:tcW w:w="9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11,827</w:t>
            </w:r>
          </w:p>
        </w:tc>
      </w:tr>
      <w:tr>
        <w:trPr>
          <w:trHeight w:val="229"/>
        </w:trPr>
        <w:tc>
          <w:tcPr>
            <w:tcW w:w="9520" w:type="dxa"/>
            <w:vAlign w:val="bottom"/>
          </w:tcPr>
          <w:p>
            <w:pPr>
              <w:ind w:left="20"/>
              <w:spacing w:after="0"/>
              <w:rPr>
                <w:sz w:val="20"/>
                <w:szCs w:val="20"/>
                <w:color w:val="auto"/>
              </w:rPr>
            </w:pPr>
            <w:r>
              <w:rPr>
                <w:rFonts w:ascii="Arial" w:cs="Arial" w:eastAsia="Arial" w:hAnsi="Arial"/>
                <w:sz w:val="18"/>
                <w:szCs w:val="18"/>
                <w:color w:val="auto"/>
              </w:rPr>
              <w:t>Goodwill impairment</w:t>
            </w:r>
          </w:p>
        </w:tc>
        <w:tc>
          <w:tcPr>
            <w:tcW w:w="1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146,757</w:t>
            </w:r>
          </w:p>
        </w:tc>
      </w:tr>
      <w:tr>
        <w:trPr>
          <w:trHeight w:val="230"/>
        </w:trPr>
        <w:tc>
          <w:tcPr>
            <w:tcW w:w="9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debt issuance costs</w:t>
            </w: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1,226</w:t>
            </w:r>
          </w:p>
        </w:tc>
      </w:tr>
      <w:tr>
        <w:trPr>
          <w:trHeight w:val="229"/>
        </w:trPr>
        <w:tc>
          <w:tcPr>
            <w:tcW w:w="9520" w:type="dxa"/>
            <w:vAlign w:val="bottom"/>
          </w:tcPr>
          <w:p>
            <w:pPr>
              <w:ind w:left="20"/>
              <w:spacing w:after="0"/>
              <w:rPr>
                <w:sz w:val="20"/>
                <w:szCs w:val="20"/>
                <w:color w:val="auto"/>
              </w:rPr>
            </w:pPr>
            <w:r>
              <w:rPr>
                <w:rFonts w:ascii="Arial" w:cs="Arial" w:eastAsia="Arial" w:hAnsi="Arial"/>
                <w:sz w:val="18"/>
                <w:szCs w:val="18"/>
                <w:color w:val="auto"/>
              </w:rPr>
              <w:t>Acquisition of property, plant and equipment</w:t>
            </w:r>
          </w:p>
        </w:tc>
        <w:tc>
          <w:tcPr>
            <w:tcW w:w="1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4,084</w:t>
            </w:r>
          </w:p>
        </w:tc>
      </w:tr>
      <w:tr>
        <w:trPr>
          <w:trHeight w:val="230"/>
        </w:trPr>
        <w:tc>
          <w:tcPr>
            <w:tcW w:w="9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Right-of-use assets obtained in exchange for new finance lease liabilities</w:t>
            </w: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Segment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Our business is aggregated into the following two reportable segments:</w:t>
      </w:r>
    </w:p>
    <w:p>
      <w:pPr>
        <w:spacing w:after="0" w:line="117"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Mobile Solutions, which is focused on growth in the automotive and general industrial end markets; and</w:t>
      </w:r>
    </w:p>
    <w:p>
      <w:pPr>
        <w:spacing w:after="0" w:line="117" w:lineRule="exact"/>
        <w:rPr>
          <w:rFonts w:ascii="Arial" w:cs="Arial" w:eastAsia="Arial" w:hAnsi="Arial"/>
          <w:sz w:val="18"/>
          <w:szCs w:val="18"/>
          <w:color w:val="auto"/>
        </w:rPr>
      </w:pPr>
    </w:p>
    <w:p>
      <w:pPr>
        <w:ind w:left="660" w:right="660" w:hanging="328"/>
        <w:spacing w:after="0" w:line="277"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Power Solutions, which is focused on growth in the electrical, general industrial, automotive, and aerospace and defense, and medical end markets.</w:t>
      </w:r>
    </w:p>
    <w:p>
      <w:pPr>
        <w:spacing w:after="0" w:line="62"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These divisions are considered our two operating segments as each engages in business activities for which it earns revenues and incurs expenses, discrete financial information is available for each, and this is the level at which the chief operating decision maker reviews discrete financial information for purposes of allocating resources and assessing performance. Historically, we had a third operating segment, Life Sciences, that was focused on growth in the medical end market. See Note 2 for information regarding the sale of the Life Sciences business on October 6, 2020. The results of the Life Sciences business are classified as discontinued operations for the three months ended March 31, 2020, and therefore are not included in the tabular presentation below.</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9" w:name="page10"/>
    <w:bookmarkEnd w:id="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present results of continuing operations by reportable segment.</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4"/>
              </w:rPr>
              <w:t>Mobile</w:t>
            </w:r>
          </w:p>
        </w:tc>
        <w:tc>
          <w:tcPr>
            <w:tcW w:w="220" w:type="dxa"/>
            <w:vAlign w:val="bottom"/>
          </w:tcPr>
          <w:p>
            <w:pPr>
              <w:spacing w:after="0"/>
              <w:rPr>
                <w:sz w:val="14"/>
                <w:szCs w:val="14"/>
                <w:color w:val="auto"/>
              </w:rPr>
            </w:pPr>
          </w:p>
        </w:tc>
        <w:tc>
          <w:tcPr>
            <w:tcW w:w="114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5"/>
              </w:rPr>
              <w:t>Power</w:t>
            </w:r>
          </w:p>
        </w:tc>
        <w:tc>
          <w:tcPr>
            <w:tcW w:w="140" w:type="dxa"/>
            <w:vAlign w:val="bottom"/>
          </w:tcPr>
          <w:p>
            <w:pPr>
              <w:spacing w:after="0"/>
              <w:rPr>
                <w:sz w:val="14"/>
                <w:szCs w:val="14"/>
                <w:color w:val="auto"/>
              </w:rPr>
            </w:pPr>
          </w:p>
        </w:tc>
        <w:tc>
          <w:tcPr>
            <w:tcW w:w="1180" w:type="dxa"/>
            <w:vAlign w:val="bottom"/>
          </w:tcPr>
          <w:p>
            <w:pPr>
              <w:jc w:val="center"/>
              <w:ind w:right="57"/>
              <w:spacing w:after="0"/>
              <w:rPr>
                <w:sz w:val="20"/>
                <w:szCs w:val="20"/>
                <w:color w:val="auto"/>
              </w:rPr>
            </w:pPr>
            <w:r>
              <w:rPr>
                <w:rFonts w:ascii="Arial" w:cs="Arial" w:eastAsia="Arial" w:hAnsi="Arial"/>
                <w:sz w:val="14"/>
                <w:szCs w:val="14"/>
                <w:b w:val="1"/>
                <w:bCs w:val="1"/>
                <w:color w:val="auto"/>
                <w:w w:val="95"/>
              </w:rPr>
              <w:t>Corporate</w:t>
            </w: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300" w:type="dxa"/>
            <w:vAlign w:val="bottom"/>
          </w:tcPr>
          <w:p>
            <w:pPr>
              <w:spacing w:after="0"/>
              <w:rPr>
                <w:sz w:val="11"/>
                <w:szCs w:val="11"/>
                <w:color w:val="auto"/>
              </w:rPr>
            </w:pPr>
          </w:p>
        </w:tc>
        <w:tc>
          <w:tcPr>
            <w:tcW w:w="29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tcPr>
          <w:p>
            <w:pPr>
              <w:jc w:val="center"/>
              <w:ind w:right="57"/>
              <w:spacing w:after="0" w:line="135" w:lineRule="exact"/>
              <w:rPr>
                <w:sz w:val="20"/>
                <w:szCs w:val="20"/>
                <w:color w:val="auto"/>
              </w:rPr>
            </w:pPr>
            <w:r>
              <w:rPr>
                <w:rFonts w:ascii="Arial" w:cs="Arial" w:eastAsia="Arial" w:hAnsi="Arial"/>
                <w:sz w:val="14"/>
                <w:szCs w:val="14"/>
                <w:b w:val="1"/>
                <w:bCs w:val="1"/>
                <w:color w:val="auto"/>
                <w:w w:val="96"/>
              </w:rPr>
              <w:t>and</w:t>
            </w: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vMerge w:val="restart"/>
          </w:tcPr>
          <w:p>
            <w:pPr>
              <w:jc w:val="right"/>
              <w:ind w:right="41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2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7"/>
              </w:rPr>
              <w:t>Solutions</w:t>
            </w:r>
          </w:p>
        </w:tc>
        <w:tc>
          <w:tcPr>
            <w:tcW w:w="220" w:type="dxa"/>
            <w:vAlign w:val="bottom"/>
          </w:tcPr>
          <w:p>
            <w:pPr>
              <w:spacing w:after="0"/>
              <w:rPr>
                <w:sz w:val="16"/>
                <w:szCs w:val="16"/>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7"/>
              </w:rPr>
              <w:t>Solutions</w:t>
            </w:r>
          </w:p>
        </w:tc>
        <w:tc>
          <w:tcPr>
            <w:tcW w:w="140" w:type="dxa"/>
            <w:vAlign w:val="bottom"/>
          </w:tcPr>
          <w:p>
            <w:pPr>
              <w:spacing w:after="0"/>
              <w:rPr>
                <w:sz w:val="16"/>
                <w:szCs w:val="16"/>
                <w:color w:val="auto"/>
              </w:rPr>
            </w:pPr>
          </w:p>
        </w:tc>
        <w:tc>
          <w:tcPr>
            <w:tcW w:w="1180" w:type="dxa"/>
            <w:vAlign w:val="bottom"/>
          </w:tcPr>
          <w:p>
            <w:pPr>
              <w:jc w:val="center"/>
              <w:ind w:right="57"/>
              <w:spacing w:after="0"/>
              <w:rPr>
                <w:sz w:val="20"/>
                <w:szCs w:val="20"/>
                <w:color w:val="auto"/>
              </w:rPr>
            </w:pPr>
            <w:r>
              <w:rPr>
                <w:rFonts w:ascii="Arial" w:cs="Arial" w:eastAsia="Arial" w:hAnsi="Arial"/>
                <w:sz w:val="14"/>
                <w:szCs w:val="14"/>
                <w:b w:val="1"/>
                <w:bCs w:val="1"/>
                <w:color w:val="auto"/>
                <w:w w:val="90"/>
              </w:rPr>
              <w:t>Consolidations</w:t>
            </w:r>
          </w:p>
        </w:tc>
        <w:tc>
          <w:tcPr>
            <w:tcW w:w="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0"/>
        </w:trPr>
        <w:tc>
          <w:tcPr>
            <w:tcW w:w="20" w:type="dxa"/>
            <w:vAlign w:val="bottom"/>
            <w:tcBorders>
              <w:top w:val="single" w:sz="8" w:color="CCEEFF"/>
            </w:tcBorders>
            <w:shd w:val="clear" w:color="auto" w:fill="CCEEFF"/>
          </w:tcPr>
          <w:p>
            <w:pPr>
              <w:spacing w:after="0"/>
              <w:rPr>
                <w:sz w:val="13"/>
                <w:szCs w:val="13"/>
                <w:color w:val="auto"/>
              </w:rPr>
            </w:pPr>
          </w:p>
        </w:tc>
        <w:tc>
          <w:tcPr>
            <w:tcW w:w="5260" w:type="dxa"/>
            <w:vAlign w:val="bottom"/>
            <w:tcBorders>
              <w:top w:val="single" w:sz="8" w:color="CCEEFF"/>
            </w:tcBorders>
            <w:gridSpan w:val="2"/>
            <w:shd w:val="clear" w:color="auto" w:fill="CCEEFF"/>
          </w:tcPr>
          <w:p>
            <w:pPr>
              <w:spacing w:after="0" w:line="130" w:lineRule="exact"/>
              <w:rPr>
                <w:sz w:val="20"/>
                <w:szCs w:val="20"/>
                <w:color w:val="auto"/>
              </w:rPr>
            </w:pPr>
            <w:r>
              <w:rPr>
                <w:rFonts w:ascii="Arial" w:cs="Arial" w:eastAsia="Arial" w:hAnsi="Arial"/>
                <w:sz w:val="14"/>
                <w:szCs w:val="14"/>
                <w:b w:val="1"/>
                <w:bCs w:val="1"/>
                <w:color w:val="auto"/>
              </w:rPr>
              <w:t>Three Months Ended March 31, 2021</w:t>
            </w:r>
          </w:p>
        </w:tc>
        <w:tc>
          <w:tcPr>
            <w:tcW w:w="220" w:type="dxa"/>
            <w:vAlign w:val="bottom"/>
            <w:tcBorders>
              <w:top w:val="single" w:sz="8" w:color="auto"/>
            </w:tcBorders>
            <w:shd w:val="clear" w:color="auto" w:fill="CCEEFF"/>
          </w:tcPr>
          <w:p>
            <w:pPr>
              <w:spacing w:after="0"/>
              <w:rPr>
                <w:sz w:val="13"/>
                <w:szCs w:val="13"/>
                <w:color w:val="auto"/>
              </w:rPr>
            </w:pPr>
          </w:p>
        </w:tc>
        <w:tc>
          <w:tcPr>
            <w:tcW w:w="10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102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1180" w:type="dxa"/>
            <w:vAlign w:val="bottom"/>
            <w:tcBorders>
              <w:top w:val="single" w:sz="8" w:color="auto"/>
            </w:tcBorders>
            <w:shd w:val="clear" w:color="auto" w:fill="CCEEFF"/>
          </w:tcPr>
          <w:p>
            <w:pPr>
              <w:spacing w:after="0"/>
              <w:rPr>
                <w:sz w:val="13"/>
                <w:szCs w:val="13"/>
                <w:color w:val="auto"/>
              </w:rPr>
            </w:pPr>
          </w:p>
        </w:tc>
        <w:tc>
          <w:tcPr>
            <w:tcW w:w="62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spacing w:after="0"/>
              <w:rPr>
                <w:sz w:val="13"/>
                <w:szCs w:val="13"/>
                <w:color w:val="auto"/>
              </w:rPr>
            </w:pPr>
          </w:p>
        </w:tc>
        <w:tc>
          <w:tcPr>
            <w:tcW w:w="102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Borders>
              <w:top w:val="single" w:sz="8" w:color="CCEEFF"/>
            </w:tcBorders>
          </w:tcPr>
          <w:p>
            <w:pPr>
              <w:spacing w:after="0"/>
              <w:rPr>
                <w:sz w:val="19"/>
                <w:szCs w:val="19"/>
                <w:color w:val="auto"/>
              </w:rPr>
            </w:pPr>
          </w:p>
        </w:tc>
        <w:tc>
          <w:tcPr>
            <w:tcW w:w="23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Net sales</w:t>
            </w:r>
          </w:p>
        </w:tc>
        <w:tc>
          <w:tcPr>
            <w:tcW w:w="296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77,776</w:t>
            </w:r>
          </w:p>
        </w:tc>
        <w:tc>
          <w:tcPr>
            <w:tcW w:w="10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49,075</w:t>
            </w:r>
          </w:p>
        </w:tc>
        <w:tc>
          <w:tcPr>
            <w:tcW w:w="12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(47)</w:t>
            </w:r>
          </w:p>
        </w:tc>
        <w:tc>
          <w:tcPr>
            <w:tcW w:w="620" w:type="dxa"/>
            <w:vAlign w:val="bottom"/>
            <w:tcBorders>
              <w:top w:val="single" w:sz="8" w:color="CCEEFF"/>
            </w:tcBorders>
          </w:tcPr>
          <w:p>
            <w:pPr>
              <w:ind w:left="120"/>
              <w:spacing w:after="0"/>
              <w:rPr>
                <w:sz w:val="20"/>
                <w:szCs w:val="20"/>
                <w:color w:val="auto"/>
              </w:rPr>
            </w:pPr>
            <w:r>
              <w:rPr>
                <w:rFonts w:ascii="Arial" w:cs="Arial" w:eastAsia="Arial" w:hAnsi="Arial"/>
                <w:sz w:val="18"/>
                <w:szCs w:val="18"/>
                <w:color w:val="auto"/>
              </w:rPr>
              <w:t>(a)</w:t>
            </w:r>
          </w:p>
        </w:tc>
        <w:tc>
          <w:tcPr>
            <w:tcW w:w="300" w:type="dxa"/>
            <w:vAlign w:val="bottom"/>
            <w:tcBorders>
              <w:top w:val="single" w:sz="8" w:color="CCEEFF"/>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126,804</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6,090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(7,544)</w:t>
            </w:r>
          </w:p>
        </w:tc>
        <w:tc>
          <w:tcPr>
            <w:tcW w:w="6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978</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26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(2,024)</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(6,018)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60" w:type="dxa"/>
            <w:vAlign w:val="bottom"/>
            <w:gridSpan w:val="8"/>
          </w:tcPr>
          <w:p>
            <w:pPr>
              <w:spacing w:after="0"/>
              <w:rPr>
                <w:sz w:val="20"/>
                <w:szCs w:val="20"/>
                <w:color w:val="auto"/>
              </w:rPr>
            </w:pPr>
            <w:r>
              <w:rPr>
                <w:rFonts w:ascii="Arial" w:cs="Arial" w:eastAsia="Arial" w:hAnsi="Arial"/>
                <w:sz w:val="18"/>
                <w:szCs w:val="18"/>
                <w:color w:val="auto"/>
              </w:rPr>
              <w:t>Loss from continuing operations before income taxes and share of net income from joint venture</w:t>
            </w: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(7,064)</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300" w:type="dxa"/>
            <w:vAlign w:val="bottom"/>
            <w:tcBorders>
              <w:bottom w:val="single" w:sz="8" w:color="CCEEFF"/>
            </w:tcBorders>
          </w:tcPr>
          <w:p>
            <w:pPr>
              <w:spacing w:after="0" w:line="20" w:lineRule="exact"/>
              <w:rPr>
                <w:sz w:val="1"/>
                <w:szCs w:val="1"/>
                <w:color w:val="auto"/>
              </w:rPr>
            </w:pPr>
          </w:p>
        </w:tc>
        <w:tc>
          <w:tcPr>
            <w:tcW w:w="29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20" w:type="dxa"/>
            <w:vAlign w:val="bottom"/>
            <w:shd w:val="clear" w:color="auto" w:fill="CCEEFF"/>
          </w:tcPr>
          <w:p>
            <w:pPr>
              <w:spacing w:after="0"/>
              <w:rPr>
                <w:sz w:val="11"/>
                <w:szCs w:val="11"/>
                <w:color w:val="auto"/>
              </w:rPr>
            </w:pPr>
          </w:p>
        </w:tc>
        <w:tc>
          <w:tcPr>
            <w:tcW w:w="5260" w:type="dxa"/>
            <w:vAlign w:val="bottom"/>
            <w:gridSpan w:val="2"/>
            <w:shd w:val="clear" w:color="auto" w:fill="CCEEFF"/>
          </w:tcPr>
          <w:p>
            <w:pPr>
              <w:spacing w:after="0" w:line="116" w:lineRule="exact"/>
              <w:rPr>
                <w:sz w:val="20"/>
                <w:szCs w:val="20"/>
                <w:color w:val="auto"/>
              </w:rPr>
            </w:pPr>
            <w:r>
              <w:rPr>
                <w:rFonts w:ascii="Arial" w:cs="Arial" w:eastAsia="Arial" w:hAnsi="Arial"/>
                <w:sz w:val="13"/>
                <w:szCs w:val="13"/>
                <w:b w:val="1"/>
                <w:bCs w:val="1"/>
                <w:color w:val="auto"/>
              </w:rPr>
              <w:t>Three Months Ended March 31, 2020</w:t>
            </w:r>
          </w:p>
        </w:tc>
        <w:tc>
          <w:tcPr>
            <w:tcW w:w="2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20" w:type="dxa"/>
            <w:vAlign w:val="bottom"/>
            <w:tcBorders>
              <w:top w:val="single" w:sz="8" w:color="CCEEFF"/>
            </w:tcBorders>
          </w:tcPr>
          <w:p>
            <w:pPr>
              <w:spacing w:after="0"/>
              <w:rPr>
                <w:sz w:val="19"/>
                <w:szCs w:val="19"/>
                <w:color w:val="auto"/>
              </w:rPr>
            </w:pPr>
          </w:p>
        </w:tc>
        <w:tc>
          <w:tcPr>
            <w:tcW w:w="23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Net sales</w:t>
            </w:r>
          </w:p>
        </w:tc>
        <w:tc>
          <w:tcPr>
            <w:tcW w:w="296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69,884</w:t>
            </w:r>
          </w:p>
        </w:tc>
        <w:tc>
          <w:tcPr>
            <w:tcW w:w="10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46,401</w:t>
            </w:r>
          </w:p>
        </w:tc>
        <w:tc>
          <w:tcPr>
            <w:tcW w:w="12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(72)</w:t>
            </w:r>
          </w:p>
        </w:tc>
        <w:tc>
          <w:tcPr>
            <w:tcW w:w="620" w:type="dxa"/>
            <w:vAlign w:val="bottom"/>
            <w:tcBorders>
              <w:top w:val="single" w:sz="8" w:color="CCEEFF"/>
            </w:tcBorders>
          </w:tcPr>
          <w:p>
            <w:pPr>
              <w:ind w:left="120"/>
              <w:spacing w:after="0"/>
              <w:rPr>
                <w:sz w:val="20"/>
                <w:szCs w:val="20"/>
                <w:color w:val="auto"/>
              </w:rPr>
            </w:pPr>
            <w:r>
              <w:rPr>
                <w:rFonts w:ascii="Arial" w:cs="Arial" w:eastAsia="Arial" w:hAnsi="Arial"/>
                <w:sz w:val="18"/>
                <w:szCs w:val="18"/>
                <w:color w:val="auto"/>
              </w:rPr>
              <w:t>(a)</w:t>
            </w:r>
          </w:p>
        </w:tc>
        <w:tc>
          <w:tcPr>
            <w:tcW w:w="300" w:type="dxa"/>
            <w:vAlign w:val="bottom"/>
            <w:tcBorders>
              <w:top w:val="single" w:sz="8" w:color="CCEEFF"/>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116,213</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Goodwill impairment</w:t>
            </w: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92,942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92,942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60" w:type="dxa"/>
            <w:vAlign w:val="bottom"/>
            <w:gridSpan w:val="2"/>
          </w:tcPr>
          <w:p>
            <w:pPr>
              <w:spacing w:after="0"/>
              <w:rPr>
                <w:sz w:val="20"/>
                <w:szCs w:val="20"/>
                <w:color w:val="auto"/>
              </w:rPr>
            </w:pPr>
            <w:r>
              <w:rPr>
                <w:rFonts w:ascii="Arial" w:cs="Arial" w:eastAsia="Arial" w:hAnsi="Arial"/>
                <w:sz w:val="18"/>
                <w:szCs w:val="18"/>
                <w:color w:val="auto"/>
              </w:rPr>
              <w:t>Income (loss) from operations</w:t>
            </w: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264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(90,334)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(13,780)</w:t>
            </w:r>
          </w:p>
        </w:tc>
        <w:tc>
          <w:tcPr>
            <w:tcW w:w="6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(103,850)</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(3,807)</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52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CCEEFF"/>
            </w:tcBorders>
          </w:tcPr>
          <w:p>
            <w:pPr>
              <w:spacing w:after="0"/>
              <w:rPr>
                <w:sz w:val="19"/>
                <w:szCs w:val="19"/>
                <w:color w:val="auto"/>
              </w:rPr>
            </w:pPr>
          </w:p>
        </w:tc>
        <w:tc>
          <w:tcPr>
            <w:tcW w:w="10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0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spacing w:after="0"/>
              <w:rPr>
                <w:sz w:val="19"/>
                <w:szCs w:val="19"/>
                <w:color w:val="auto"/>
              </w:rPr>
            </w:pPr>
          </w:p>
        </w:tc>
        <w:tc>
          <w:tcPr>
            <w:tcW w:w="6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(1,544)</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6820" w:type="dxa"/>
            <w:vAlign w:val="bottom"/>
            <w:tcBorders>
              <w:bottom w:val="single" w:sz="8" w:color="CCEEFF"/>
            </w:tcBorders>
            <w:gridSpan w:val="6"/>
            <w:shd w:val="clear" w:color="auto" w:fill="CCEEFF"/>
          </w:tcPr>
          <w:p>
            <w:pPr>
              <w:spacing w:after="0"/>
              <w:rPr>
                <w:sz w:val="20"/>
                <w:szCs w:val="20"/>
                <w:color w:val="auto"/>
              </w:rPr>
            </w:pPr>
            <w:r>
              <w:rPr>
                <w:rFonts w:ascii="Arial" w:cs="Arial" w:eastAsia="Arial" w:hAnsi="Arial"/>
                <w:sz w:val="18"/>
                <w:szCs w:val="18"/>
                <w:color w:val="auto"/>
                <w:w w:val="92"/>
              </w:rPr>
              <w:t>Loss from continuing operations before income taxes and share of net loss from joint venture</w:t>
            </w: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(109,201)</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300" w:type="dxa"/>
            <w:vAlign w:val="bottom"/>
            <w:tcBorders>
              <w:top w:val="single" w:sz="8" w:color="CCEEFF"/>
            </w:tcBorders>
          </w:tcPr>
          <w:p>
            <w:pPr>
              <w:spacing w:after="0" w:line="20" w:lineRule="exact"/>
              <w:rPr>
                <w:sz w:val="1"/>
                <w:szCs w:val="1"/>
                <w:color w:val="auto"/>
              </w:rPr>
            </w:pPr>
          </w:p>
        </w:tc>
        <w:tc>
          <w:tcPr>
            <w:tcW w:w="29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w:t>
      </w:r>
    </w:p>
    <w:p>
      <w:pPr>
        <w:spacing w:after="0" w:line="5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Includes elimination of intersegment transactions occurring during the ordinary course of business.</w:t>
      </w:r>
    </w:p>
    <w:p>
      <w:pPr>
        <w:spacing w:after="0" w:line="200" w:lineRule="exact"/>
        <w:rPr>
          <w:sz w:val="20"/>
          <w:szCs w:val="20"/>
          <w:color w:val="auto"/>
        </w:rPr>
      </w:pPr>
    </w:p>
    <w:p>
      <w:pPr>
        <w:spacing w:after="0" w:line="268"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As of March 31, 2021, and December 31, 2020, one customer represented 10% and 11%, respectively, of consolidated accounts receivable. Amounts due from this customer are primarily related to Mobile Solutions.</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Inventories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Inventories are comprised of the following amounts: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40" w:type="dxa"/>
            <w:vAlign w:val="bottom"/>
            <w:gridSpan w:val="2"/>
          </w:tcPr>
          <w:p>
            <w:pPr>
              <w:ind w:left="120"/>
              <w:spacing w:after="0"/>
              <w:rPr>
                <w:sz w:val="20"/>
                <w:szCs w:val="20"/>
                <w:color w:val="auto"/>
              </w:rPr>
            </w:pPr>
            <w:r>
              <w:rPr>
                <w:rFonts w:ascii="Arial" w:cs="Arial" w:eastAsia="Arial" w:hAnsi="Arial"/>
                <w:sz w:val="14"/>
                <w:szCs w:val="14"/>
                <w:b w:val="1"/>
                <w:bCs w:val="1"/>
                <w:color w:val="auto"/>
              </w:rPr>
              <w:t>March 31, 2021</w:t>
            </w:r>
          </w:p>
        </w:tc>
        <w:tc>
          <w:tcPr>
            <w:tcW w:w="160" w:type="dxa"/>
            <w:vAlign w:val="bottom"/>
          </w:tcPr>
          <w:p>
            <w:pPr>
              <w:spacing w:after="0"/>
              <w:rPr>
                <w:sz w:val="16"/>
                <w:szCs w:val="16"/>
                <w:color w:val="auto"/>
              </w:rPr>
            </w:pPr>
          </w:p>
        </w:tc>
        <w:tc>
          <w:tcPr>
            <w:tcW w:w="1480" w:type="dxa"/>
            <w:vAlign w:val="bottom"/>
          </w:tcPr>
          <w:p>
            <w:pPr>
              <w:jc w:val="right"/>
              <w:ind w:right="154"/>
              <w:spacing w:after="0"/>
              <w:rPr>
                <w:sz w:val="20"/>
                <w:szCs w:val="20"/>
                <w:color w:val="auto"/>
              </w:rPr>
            </w:pPr>
            <w:r>
              <w:rPr>
                <w:rFonts w:ascii="Arial" w:cs="Arial" w:eastAsia="Arial" w:hAnsi="Arial"/>
                <w:sz w:val="14"/>
                <w:szCs w:val="14"/>
                <w:b w:val="1"/>
                <w:bCs w:val="1"/>
                <w:color w:val="auto"/>
                <w:w w:val="96"/>
              </w:rPr>
              <w:t>December 31, 2020</w:t>
            </w:r>
          </w:p>
        </w:tc>
      </w:tr>
      <w:tr>
        <w:trPr>
          <w:trHeight w:val="229"/>
        </w:trPr>
        <w:tc>
          <w:tcPr>
            <w:tcW w:w="78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Raw materials</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23,605</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22,589</w:t>
            </w:r>
          </w:p>
        </w:tc>
      </w:tr>
      <w:tr>
        <w:trPr>
          <w:trHeight w:val="230"/>
        </w:trPr>
        <w:tc>
          <w:tcPr>
            <w:tcW w:w="7800" w:type="dxa"/>
            <w:vAlign w:val="bottom"/>
          </w:tcPr>
          <w:p>
            <w:pPr>
              <w:ind w:left="20"/>
              <w:spacing w:after="0"/>
              <w:rPr>
                <w:sz w:val="20"/>
                <w:szCs w:val="20"/>
                <w:color w:val="auto"/>
              </w:rPr>
            </w:pPr>
            <w:r>
              <w:rPr>
                <w:rFonts w:ascii="Arial" w:cs="Arial" w:eastAsia="Arial" w:hAnsi="Arial"/>
                <w:sz w:val="18"/>
                <w:szCs w:val="18"/>
                <w:color w:val="auto"/>
              </w:rPr>
              <w:t>Work in process</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22,626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20,758</w:t>
            </w:r>
          </w:p>
        </w:tc>
      </w:tr>
      <w:tr>
        <w:trPr>
          <w:trHeight w:val="229"/>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Finished goods</w:t>
            </w: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21,300</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19,170</w:t>
            </w:r>
          </w:p>
        </w:tc>
      </w:tr>
      <w:tr>
        <w:trPr>
          <w:trHeight w:val="223"/>
        </w:trPr>
        <w:tc>
          <w:tcPr>
            <w:tcW w:w="7800" w:type="dxa"/>
            <w:vAlign w:val="bottom"/>
          </w:tcPr>
          <w:p>
            <w:pPr>
              <w:ind w:left="140"/>
              <w:spacing w:after="0"/>
              <w:rPr>
                <w:sz w:val="20"/>
                <w:szCs w:val="20"/>
                <w:color w:val="auto"/>
              </w:rPr>
            </w:pPr>
            <w:r>
              <w:rPr>
                <w:rFonts w:ascii="Arial" w:cs="Arial" w:eastAsia="Arial" w:hAnsi="Arial"/>
                <w:sz w:val="18"/>
                <w:szCs w:val="18"/>
                <w:color w:val="auto"/>
              </w:rPr>
              <w:t>Total inventories</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67,531</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62,517</w:t>
            </w:r>
          </w:p>
        </w:tc>
      </w:tr>
      <w:tr>
        <w:trPr>
          <w:trHeight w:val="21"/>
        </w:trPr>
        <w:tc>
          <w:tcPr>
            <w:tcW w:w="78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Goodwill</w:t>
      </w:r>
    </w:p>
    <w:p>
      <w:pPr>
        <w:spacing w:after="0" w:line="121"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During the first quarter of 2020, our market capitalization declined to a level that was less than the net book value of our stockholders’ equity. The decline in market capitalization was a triggering event that caused us to perform a goodwill impairment analysis as of March 31, 2020. The goodwill impairment analysis required significant judgments to calculate the fair value for the Power Solutions reporting unit, including estimation of future cash flows, which is dependent on internal forecasts, estimation of the long-term growth rate for the operating segment, and determination of weighted average cost of capital. Our forecasts used in the goodwill impairment analysis reflected our expectations of declines in sales resulting from COVID-19. Significant assumptions and estimates are involved in the application of the discounted cash flow model to forecast operating cash flows, including market growth and market share, sales volumes and prices, costs to produce, discount rate, and estimated capital needs. Management considers historical experience and all available information at the time the fair values of its reporting units are estimated. Assumptions in estimating future cash flows are subject to a high degree of judgment and complexity. The carrying value of the Power Solutions reporting unit exceeded the estimated fair value as of the March 31, 2020, analysis. As a result of our analysis, we recorded an impairment loss on goodwill of $92.9 million to the “Goodwill impairment” line on the Condensed Consolidated Statements of Operations and Comprehensive Income (Loss). As of March 31, 2021, and December 31, 2020, there was no remaining goodwill balance.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Intangible Assets, Net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changes in the carrying amount of intangible assets, net, by reportable segment.</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9"/>
              </w:rPr>
              <w:t>Mobile</w:t>
            </w:r>
          </w:p>
        </w:tc>
        <w:tc>
          <w:tcPr>
            <w:tcW w:w="300" w:type="dxa"/>
            <w:vAlign w:val="bottom"/>
          </w:tcPr>
          <w:p>
            <w:pPr>
              <w:spacing w:after="0"/>
              <w:rPr>
                <w:sz w:val="14"/>
                <w:szCs w:val="14"/>
                <w:color w:val="auto"/>
              </w:rPr>
            </w:pPr>
          </w:p>
        </w:tc>
        <w:tc>
          <w:tcPr>
            <w:tcW w:w="13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5"/>
              </w:rPr>
              <w:t>Power</w:t>
            </w:r>
          </w:p>
        </w:tc>
        <w:tc>
          <w:tcPr>
            <w:tcW w:w="360" w:type="dxa"/>
            <w:vAlign w:val="bottom"/>
          </w:tcPr>
          <w:p>
            <w:pPr>
              <w:spacing w:after="0"/>
              <w:rPr>
                <w:sz w:val="14"/>
                <w:szCs w:val="14"/>
                <w:color w:val="auto"/>
              </w:rPr>
            </w:pPr>
          </w:p>
        </w:tc>
        <w:tc>
          <w:tcPr>
            <w:tcW w:w="1200" w:type="dxa"/>
            <w:vAlign w:val="bottom"/>
            <w:vMerge w:val="restart"/>
          </w:tcPr>
          <w:p>
            <w:pPr>
              <w:jc w:val="right"/>
              <w:ind w:right="535"/>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6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7"/>
              </w:rPr>
              <w:t>Solutions</w:t>
            </w:r>
          </w:p>
        </w:tc>
        <w:tc>
          <w:tcPr>
            <w:tcW w:w="300" w:type="dxa"/>
            <w:vAlign w:val="bottom"/>
          </w:tcPr>
          <w:p>
            <w:pPr>
              <w:spacing w:after="0"/>
              <w:rPr>
                <w:sz w:val="16"/>
                <w:szCs w:val="16"/>
                <w:color w:val="auto"/>
              </w:rPr>
            </w:pPr>
          </w:p>
        </w:tc>
        <w:tc>
          <w:tcPr>
            <w:tcW w:w="13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7"/>
              </w:rPr>
              <w:t>Solutions</w:t>
            </w:r>
          </w:p>
        </w:tc>
        <w:tc>
          <w:tcPr>
            <w:tcW w:w="36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6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December 31, 2020</w:t>
            </w:r>
          </w:p>
        </w:tc>
        <w:tc>
          <w:tcPr>
            <w:tcW w:w="100" w:type="dxa"/>
            <w:vAlign w:val="bottom"/>
            <w:tcBorders>
              <w:top w:val="single" w:sz="8" w:color="auto"/>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29,062</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CEEFF"/>
          </w:tcPr>
          <w:p>
            <w:pPr>
              <w:ind w:left="700"/>
              <w:spacing w:after="0"/>
              <w:rPr>
                <w:sz w:val="20"/>
                <w:szCs w:val="20"/>
                <w:color w:val="auto"/>
              </w:rPr>
            </w:pPr>
            <w:r>
              <w:rPr>
                <w:rFonts w:ascii="Arial" w:cs="Arial" w:eastAsia="Arial" w:hAnsi="Arial"/>
                <w:sz w:val="18"/>
                <w:szCs w:val="18"/>
                <w:color w:val="auto"/>
                <w:w w:val="98"/>
              </w:rPr>
              <w:t>74,003</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103,065</w:t>
            </w:r>
          </w:p>
        </w:tc>
        <w:tc>
          <w:tcPr>
            <w:tcW w:w="0" w:type="dxa"/>
            <w:vAlign w:val="bottom"/>
          </w:tcPr>
          <w:p>
            <w:pPr>
              <w:spacing w:after="0"/>
              <w:rPr>
                <w:sz w:val="1"/>
                <w:szCs w:val="1"/>
                <w:color w:val="auto"/>
              </w:rPr>
            </w:pPr>
          </w:p>
        </w:tc>
      </w:tr>
      <w:tr>
        <w:trPr>
          <w:trHeight w:val="229"/>
        </w:trPr>
        <w:tc>
          <w:tcPr>
            <w:tcW w:w="63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Amortization</w:t>
            </w:r>
          </w:p>
        </w:tc>
        <w:tc>
          <w:tcPr>
            <w:tcW w:w="3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(838)</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ind w:left="720"/>
              <w:spacing w:after="0"/>
              <w:rPr>
                <w:sz w:val="20"/>
                <w:szCs w:val="20"/>
                <w:color w:val="auto"/>
              </w:rPr>
            </w:pPr>
            <w:r>
              <w:rPr>
                <w:rFonts w:ascii="Arial" w:cs="Arial" w:eastAsia="Arial" w:hAnsi="Arial"/>
                <w:sz w:val="18"/>
                <w:szCs w:val="18"/>
                <w:color w:val="auto"/>
                <w:w w:val="91"/>
              </w:rPr>
              <w:t>(2,748)</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(3,586)</w:t>
            </w:r>
          </w:p>
        </w:tc>
        <w:tc>
          <w:tcPr>
            <w:tcW w:w="0" w:type="dxa"/>
            <w:vAlign w:val="bottom"/>
          </w:tcPr>
          <w:p>
            <w:pPr>
              <w:spacing w:after="0"/>
              <w:rPr>
                <w:sz w:val="1"/>
                <w:szCs w:val="1"/>
                <w:color w:val="auto"/>
              </w:rPr>
            </w:pPr>
          </w:p>
        </w:tc>
      </w:tr>
      <w:tr>
        <w:trPr>
          <w:trHeight w:val="248"/>
        </w:trPr>
        <w:tc>
          <w:tcPr>
            <w:tcW w:w="63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Balance as of March 31, 2021</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28,224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ind w:left="700"/>
              <w:spacing w:after="0"/>
              <w:rPr>
                <w:sz w:val="20"/>
                <w:szCs w:val="20"/>
                <w:color w:val="auto"/>
              </w:rPr>
            </w:pPr>
            <w:r>
              <w:rPr>
                <w:rFonts w:ascii="Arial" w:cs="Arial" w:eastAsia="Arial" w:hAnsi="Arial"/>
                <w:sz w:val="18"/>
                <w:szCs w:val="18"/>
                <w:color w:val="auto"/>
                <w:w w:val="98"/>
              </w:rPr>
              <w:t>71,255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99,479</w:t>
            </w:r>
          </w:p>
        </w:tc>
        <w:tc>
          <w:tcPr>
            <w:tcW w:w="0" w:type="dxa"/>
            <w:vAlign w:val="bottom"/>
          </w:tcPr>
          <w:p>
            <w:pPr>
              <w:spacing w:after="0"/>
              <w:rPr>
                <w:sz w:val="1"/>
                <w:szCs w:val="1"/>
                <w:color w:val="auto"/>
              </w:rPr>
            </w:pPr>
          </w:p>
        </w:tc>
      </w:tr>
      <w:tr>
        <w:trPr>
          <w:trHeight w:val="20"/>
        </w:trPr>
        <w:tc>
          <w:tcPr>
            <w:tcW w:w="6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Intangible assets are tested for impairment when changes in circumstances indicate the carrying value of those assets may not be recoverable. As of March 31, 2021, and December 31, 2020, there were no indicators of impairment.</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Investment in Joint Venture</w:t>
      </w:r>
    </w:p>
    <w:p>
      <w:pPr>
        <w:spacing w:after="0" w:line="121"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We own a 49% investment in Wuxi Weifu Autocam Precision Machinery Company, Ltd. (the “JV”), a joint venture located in Wuxi, China. The JV is jointly controlled and managed, and we account for it under the equity method.</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560" w:type="dxa"/>
            <w:vAlign w:val="bottom"/>
          </w:tcPr>
          <w:p>
            <w:pPr>
              <w:spacing w:after="0"/>
              <w:rPr>
                <w:sz w:val="20"/>
                <w:szCs w:val="20"/>
                <w:color w:val="auto"/>
              </w:rPr>
            </w:pPr>
            <w:r>
              <w:rPr>
                <w:rFonts w:ascii="Arial" w:cs="Arial" w:eastAsia="Arial" w:hAnsi="Arial"/>
                <w:sz w:val="18"/>
                <w:szCs w:val="18"/>
                <w:color w:val="auto"/>
              </w:rPr>
              <w:t>The following table shows changes in our investment in the JV.</w:t>
            </w:r>
          </w:p>
        </w:tc>
        <w:tc>
          <w:tcPr>
            <w:tcW w:w="6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108"/>
        </w:trPr>
        <w:tc>
          <w:tcPr>
            <w:tcW w:w="95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60" w:type="dxa"/>
            <w:vAlign w:val="bottom"/>
          </w:tcPr>
          <w:p>
            <w:pPr>
              <w:spacing w:after="0"/>
              <w:rPr>
                <w:sz w:val="9"/>
                <w:szCs w:val="9"/>
                <w:color w:val="auto"/>
              </w:rPr>
            </w:pPr>
          </w:p>
        </w:tc>
      </w:tr>
      <w:tr>
        <w:trPr>
          <w:trHeight w:val="230"/>
        </w:trPr>
        <w:tc>
          <w:tcPr>
            <w:tcW w:w="9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as of December 31, 2020</w:t>
            </w:r>
          </w:p>
        </w:tc>
        <w:tc>
          <w:tcPr>
            <w:tcW w:w="6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26,983</w:t>
            </w:r>
          </w:p>
        </w:tc>
      </w:tr>
      <w:tr>
        <w:trPr>
          <w:trHeight w:val="229"/>
        </w:trPr>
        <w:tc>
          <w:tcPr>
            <w:tcW w:w="9560" w:type="dxa"/>
            <w:vAlign w:val="bottom"/>
          </w:tcPr>
          <w:p>
            <w:pPr>
              <w:ind w:left="20"/>
              <w:spacing w:after="0"/>
              <w:rPr>
                <w:sz w:val="20"/>
                <w:szCs w:val="20"/>
                <w:color w:val="auto"/>
              </w:rPr>
            </w:pPr>
            <w:r>
              <w:rPr>
                <w:rFonts w:ascii="Arial" w:cs="Arial" w:eastAsia="Arial" w:hAnsi="Arial"/>
                <w:sz w:val="18"/>
                <w:szCs w:val="18"/>
                <w:color w:val="auto"/>
              </w:rPr>
              <w:t>Share of earnings</w:t>
            </w:r>
          </w:p>
        </w:tc>
        <w:tc>
          <w:tcPr>
            <w:tcW w:w="6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1,395</w:t>
            </w:r>
          </w:p>
        </w:tc>
      </w:tr>
      <w:tr>
        <w:trPr>
          <w:trHeight w:val="229"/>
        </w:trPr>
        <w:tc>
          <w:tcPr>
            <w:tcW w:w="9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currency translation loss</w:t>
            </w:r>
          </w:p>
        </w:tc>
        <w:tc>
          <w:tcPr>
            <w:tcW w:w="6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w:t>
            </w:r>
          </w:p>
        </w:tc>
      </w:tr>
      <w:tr>
        <w:trPr>
          <w:trHeight w:val="223"/>
        </w:trPr>
        <w:tc>
          <w:tcPr>
            <w:tcW w:w="9560" w:type="dxa"/>
            <w:vAlign w:val="bottom"/>
          </w:tcPr>
          <w:p>
            <w:pPr>
              <w:ind w:left="20"/>
              <w:spacing w:after="0"/>
              <w:rPr>
                <w:sz w:val="20"/>
                <w:szCs w:val="20"/>
                <w:color w:val="auto"/>
              </w:rPr>
            </w:pPr>
            <w:r>
              <w:rPr>
                <w:rFonts w:ascii="Arial" w:cs="Arial" w:eastAsia="Arial" w:hAnsi="Arial"/>
                <w:sz w:val="18"/>
                <w:szCs w:val="18"/>
                <w:color w:val="auto"/>
              </w:rPr>
              <w:t>Balance as of March 31, 2021</w:t>
            </w:r>
          </w:p>
        </w:tc>
        <w:tc>
          <w:tcPr>
            <w:tcW w:w="6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28,207</w:t>
            </w:r>
          </w:p>
        </w:tc>
      </w:tr>
      <w:tr>
        <w:trPr>
          <w:trHeight w:val="21"/>
        </w:trPr>
        <w:tc>
          <w:tcPr>
            <w:tcW w:w="95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Income Taxes</w:t>
      </w:r>
    </w:p>
    <w:p>
      <w:pPr>
        <w:spacing w:after="0" w:line="121"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color w:val="auto"/>
        </w:rPr>
        <w:t>Our effective tax rate for continuing operations was 10.7% and 1.3% for the three months ended March 31, 2021 and 2020, respectively. The effective tax rate for the three months ended March 31, 2021, differs from the U.S. federal statutory tax rate of 21% primarily due to the accrual of tax on non-permanently reinvested unremitted earnings of foreign subsidiaries and by limitation on the amount of tax benefit recorded for loss carryforwards in certain jurisdictions where we believe it is more likely than not a portion of the future tax benefit may not be realized. In addition, the effective tax rate was unfavorably impacted by U.S. tax on the earnings of foreign subsidiaries under the global intangible low-taxed income (“GILTI”) regime.</w:t>
      </w:r>
    </w:p>
    <w:p>
      <w:pPr>
        <w:spacing w:after="0" w:line="53" w:lineRule="exact"/>
        <w:rPr>
          <w:sz w:val="20"/>
          <w:szCs w:val="20"/>
          <w:color w:val="auto"/>
        </w:rPr>
      </w:pPr>
    </w:p>
    <w:p>
      <w:pPr>
        <w:ind w:right="120"/>
        <w:spacing w:after="0" w:line="275" w:lineRule="auto"/>
        <w:rPr>
          <w:sz w:val="20"/>
          <w:szCs w:val="20"/>
          <w:color w:val="auto"/>
        </w:rPr>
      </w:pPr>
      <w:r>
        <w:rPr>
          <w:rFonts w:ascii="Arial" w:cs="Arial" w:eastAsia="Arial" w:hAnsi="Arial"/>
          <w:sz w:val="17"/>
          <w:szCs w:val="17"/>
          <w:color w:val="auto"/>
        </w:rPr>
        <w:t>On March 27, 2020, the Coronavirus Aid, Relief, and Economic Security Act (the “CARES Act”) was enacted. The provisions of the legislation had a significant impact on the effective tax rate and income tax receivable of the Company for the three months ended March 31, 2020. Under the CARES Act, NOLs arising in tax years beginning after December 31, 2017, were carried back to preceding tax years when the federal tax rate was 35% rather than the currently enacted 21%. The effective tax rate for the three months ended March 31, 2020, was also adversely impacted by the non-deductible goodwill impairment recorded in that period, partially offset by impacts from the CARES Act.</w:t>
      </w: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Debt</w:t>
      </w:r>
    </w:p>
    <w:p>
      <w:pPr>
        <w:spacing w:after="0" w:line="12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On March 22, 2021, we entered into a new $150.0 million term loan facility (the “Term Loan Facility”) and a new $50.0 million asset backed credit facility (the “ABL Facility”). The proceeds from the Term Loan Facility were used to prepay the amounts outstanding on our previous term loans. The previous credit facility was terminated and consisted of a Senior Secured Term Loan, Incremental Term Loan, and Senior Secured Revolver. No amounts were outstanding on the Senior Secured Revolver at the time of termination.</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debt balances as of March 31, 2021, and December 31, 2020.</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40" w:type="dxa"/>
            <w:vAlign w:val="bottom"/>
            <w:gridSpan w:val="2"/>
          </w:tcPr>
          <w:p>
            <w:pPr>
              <w:ind w:left="120"/>
              <w:spacing w:after="0"/>
              <w:rPr>
                <w:sz w:val="20"/>
                <w:szCs w:val="20"/>
                <w:color w:val="auto"/>
              </w:rPr>
            </w:pPr>
            <w:r>
              <w:rPr>
                <w:rFonts w:ascii="Arial" w:cs="Arial" w:eastAsia="Arial" w:hAnsi="Arial"/>
                <w:sz w:val="14"/>
                <w:szCs w:val="14"/>
                <w:b w:val="1"/>
                <w:bCs w:val="1"/>
                <w:color w:val="auto"/>
              </w:rPr>
              <w:t>March 31, 2021</w:t>
            </w:r>
          </w:p>
        </w:tc>
        <w:tc>
          <w:tcPr>
            <w:tcW w:w="160" w:type="dxa"/>
            <w:vAlign w:val="bottom"/>
          </w:tcPr>
          <w:p>
            <w:pPr>
              <w:spacing w:after="0"/>
              <w:rPr>
                <w:sz w:val="16"/>
                <w:szCs w:val="16"/>
                <w:color w:val="auto"/>
              </w:rPr>
            </w:pPr>
          </w:p>
        </w:tc>
        <w:tc>
          <w:tcPr>
            <w:tcW w:w="1480" w:type="dxa"/>
            <w:vAlign w:val="bottom"/>
          </w:tcPr>
          <w:p>
            <w:pPr>
              <w:jc w:val="right"/>
              <w:ind w:right="152"/>
              <w:spacing w:after="0"/>
              <w:rPr>
                <w:sz w:val="20"/>
                <w:szCs w:val="20"/>
                <w:color w:val="auto"/>
              </w:rPr>
            </w:pPr>
            <w:r>
              <w:rPr>
                <w:rFonts w:ascii="Arial" w:cs="Arial" w:eastAsia="Arial" w:hAnsi="Arial"/>
                <w:sz w:val="14"/>
                <w:szCs w:val="14"/>
                <w:b w:val="1"/>
                <w:bCs w:val="1"/>
                <w:color w:val="auto"/>
                <w:w w:val="96"/>
              </w:rPr>
              <w:t>December 31, 2020</w:t>
            </w:r>
          </w:p>
        </w:tc>
      </w:tr>
      <w:tr>
        <w:trPr>
          <w:trHeight w:val="229"/>
        </w:trPr>
        <w:tc>
          <w:tcPr>
            <w:tcW w:w="78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Term Loan Facility</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150,000</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800" w:type="dxa"/>
            <w:vAlign w:val="bottom"/>
          </w:tcPr>
          <w:p>
            <w:pPr>
              <w:ind w:left="20"/>
              <w:spacing w:after="0"/>
              <w:rPr>
                <w:sz w:val="20"/>
                <w:szCs w:val="20"/>
                <w:color w:val="auto"/>
              </w:rPr>
            </w:pPr>
            <w:r>
              <w:rPr>
                <w:rFonts w:ascii="Arial" w:cs="Arial" w:eastAsia="Arial" w:hAnsi="Arial"/>
                <w:sz w:val="18"/>
                <w:szCs w:val="18"/>
                <w:color w:val="auto"/>
              </w:rPr>
              <w:t>Senior Secured Term Loan</w:t>
            </w:r>
          </w:p>
        </w:tc>
        <w:tc>
          <w:tcPr>
            <w:tcW w:w="220" w:type="dxa"/>
            <w:vAlign w:val="bottom"/>
          </w:tcPr>
          <w:p>
            <w:pPr>
              <w:spacing w:after="0"/>
              <w:rPr>
                <w:sz w:val="19"/>
                <w:szCs w:val="19"/>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47,728</w:t>
            </w:r>
          </w:p>
        </w:tc>
      </w:tr>
      <w:tr>
        <w:trPr>
          <w:trHeight w:val="229"/>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Incremental Term Loan</w:t>
            </w:r>
          </w:p>
        </w:tc>
        <w:tc>
          <w:tcPr>
            <w:tcW w:w="22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22,716</w:t>
            </w:r>
          </w:p>
        </w:tc>
      </w:tr>
      <w:tr>
        <w:trPr>
          <w:trHeight w:val="229"/>
        </w:trPr>
        <w:tc>
          <w:tcPr>
            <w:tcW w:w="78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International lines of credit and other loans</w:t>
            </w: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12,547</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14,418</w:t>
            </w:r>
          </w:p>
        </w:tc>
      </w:tr>
      <w:tr>
        <w:trPr>
          <w:trHeight w:val="223"/>
        </w:trPr>
        <w:tc>
          <w:tcPr>
            <w:tcW w:w="7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principal</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162,547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84,862</w:t>
            </w:r>
          </w:p>
        </w:tc>
      </w:tr>
      <w:tr>
        <w:trPr>
          <w:trHeight w:val="229"/>
        </w:trPr>
        <w:tc>
          <w:tcPr>
            <w:tcW w:w="78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Less-current maturities of long-term debt</w:t>
            </w: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4,844</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4,885</w:t>
            </w:r>
          </w:p>
        </w:tc>
      </w:tr>
      <w:tr>
        <w:trPr>
          <w:trHeight w:val="223"/>
        </w:trPr>
        <w:tc>
          <w:tcPr>
            <w:tcW w:w="7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Principal, net of current portion</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157,703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79,977</w:t>
            </w:r>
          </w:p>
        </w:tc>
      </w:tr>
      <w:tr>
        <w:trPr>
          <w:trHeight w:val="229"/>
        </w:trPr>
        <w:tc>
          <w:tcPr>
            <w:tcW w:w="78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Less-unamortized debt issuance costs (1)</w:t>
            </w: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6,152</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952</w:t>
            </w:r>
          </w:p>
        </w:tc>
      </w:tr>
      <w:tr>
        <w:trPr>
          <w:trHeight w:val="248"/>
        </w:trPr>
        <w:tc>
          <w:tcPr>
            <w:tcW w:w="78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Long-term debt, net of current portion</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151,551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79,025</w:t>
            </w: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w:t>
      </w:r>
    </w:p>
    <w:p>
      <w:pPr>
        <w:spacing w:after="0" w:line="59" w:lineRule="exact"/>
        <w:rPr>
          <w:sz w:val="20"/>
          <w:szCs w:val="20"/>
          <w:color w:val="auto"/>
        </w:rPr>
      </w:pPr>
    </w:p>
    <w:p>
      <w:pPr>
        <w:ind w:left="900" w:right="80" w:hanging="244"/>
        <w:spacing w:after="0" w:line="308" w:lineRule="auto"/>
        <w:tabs>
          <w:tab w:leader="none" w:pos="912" w:val="left"/>
        </w:tabs>
        <w:numPr>
          <w:ilvl w:val="0"/>
          <w:numId w:val="7"/>
        </w:numPr>
        <w:rPr>
          <w:rFonts w:ascii="Arial" w:cs="Arial" w:eastAsia="Arial" w:hAnsi="Arial"/>
          <w:sz w:val="17"/>
          <w:szCs w:val="17"/>
          <w:color w:val="auto"/>
        </w:rPr>
      </w:pPr>
      <w:r>
        <w:rPr>
          <w:rFonts w:ascii="Arial" w:cs="Arial" w:eastAsia="Arial" w:hAnsi="Arial"/>
          <w:sz w:val="17"/>
          <w:szCs w:val="17"/>
          <w:color w:val="auto"/>
        </w:rPr>
        <w:t>In addition to this amount, costs of $0.8 million related to the ABL Facility are recorded in other non-current assets as of March 31, 2021, and $1.8 million related to the Senior Secured Revolver are recorded in other non-current assets as of December 31, 2020.</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Term Loan Facility</w:t>
      </w:r>
    </w:p>
    <w:p>
      <w:pPr>
        <w:spacing w:after="0" w:line="117"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Outstanding borrowings under the Term Loan Facility bear interest at either 1) one-month LIBOR (subject to a 1.000% floor) plus an applicable margin of 6.875% or 2) the greater of various benchmark rates plus an applicable margin of 5.875%. At March 31, 2021, the Term Loan Facility bore interest based on one-month LIBOR at 7.875%.</w:t>
      </w:r>
    </w:p>
    <w:p>
      <w:pPr>
        <w:spacing w:after="0" w:line="76"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Term Loan Facility requires quarterly principal payments of $0.4 million with the remaining unpaid principal amount due on the final maturity date of September 22, 2026. The Term Loan Facility is collateralized by all of our assets. The Term Loan Facility has a first lien on all assets other than accounts receivable and inventory and has a second lien on accounts receivable and inventory. We were in compliance with all requirements under the Term Loan Facility as of March 31, 2021.</w:t>
      </w:r>
    </w:p>
    <w:p>
      <w:pPr>
        <w:spacing w:after="0" w:line="79" w:lineRule="exact"/>
        <w:rPr>
          <w:sz w:val="20"/>
          <w:szCs w:val="20"/>
          <w:color w:val="auto"/>
        </w:rPr>
      </w:pPr>
    </w:p>
    <w:p>
      <w:pPr>
        <w:jc w:val="both"/>
        <w:ind w:right="220"/>
        <w:spacing w:after="0" w:line="263" w:lineRule="auto"/>
        <w:rPr>
          <w:sz w:val="20"/>
          <w:szCs w:val="20"/>
          <w:color w:val="auto"/>
        </w:rPr>
      </w:pPr>
      <w:r>
        <w:rPr>
          <w:rFonts w:ascii="Arial" w:cs="Arial" w:eastAsia="Arial" w:hAnsi="Arial"/>
          <w:sz w:val="18"/>
          <w:szCs w:val="18"/>
          <w:color w:val="auto"/>
        </w:rPr>
        <w:t>The Term Loan Facility was issued at a $3.8 million discount. We capitalized a total of $2.4 million in new debt issuance costs related to the Term Loan Facility. Debt issuance costs and original issue discount related to the Term Loan Facility are recorded as a direct reduction to the carrying amount of the associated long-term debt and amortized over the term of the debt.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ABL Facility</w:t>
      </w:r>
    </w:p>
    <w:p>
      <w:pPr>
        <w:spacing w:after="0" w:line="117"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The ABL Facility provides for a senior secured revolving credit facility in the amount of $50.0 million, of which $30.0 million is available in the form of letters of credit and $5.0 million is available for the issuance of short-term swingline loans. The availability of credit under the ABL Facility is limited by a borrowing base calculation derived from accounts receivable and inventory held in the United States. Outstanding borrowings under the ABL Facility bear interest on a variable rate structure plus an interest rate spread that is based on the average amount of aggregate revolving commitment available. The variable borrowing rate is either 1) LIBOR plus an applicable margin of 1.75% or 2.00%, depending on availability, or 2) the greater of the federal funds rate or prime, plus an applicable margin of 0.75% or 1.00%, depending on availability. We may elect whether to use one-month, three-month, or six-month LIBOR, subject to a 0.50% floor. Interest payments are due monthly on borrowings that utilize one-month LIBOR and quarterly on borrowings that utilize three-month or six-month LIBOR. At March 31, 2021, using one-month LIBOR plus a 1.75% spread, the weighted average interest rate on outstanding borrowings under the ABL Facility would have been 2.25% if there had been any balance outstanding. We pay a commitment fee of 0.375% for unused capacity under the ABL Facility and a 0.125% fee on the amount of letters of credit outstanding. The final maturity date of the ABL Facility is March 22, 2026.</w:t>
      </w:r>
    </w:p>
    <w:p>
      <w:pPr>
        <w:spacing w:after="0" w:line="84"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We had no outstanding borrowings under the ABL Facility at March 31, 2021. Total capacity under the ABL Facility was $47.3 million as of March 31, 2021, with $32.9 million available for future borrowings after reductions for outstanding letters of credit as of March 31, 2021. The ABL Facility has a first lien on accounts receivable and inventory. We were in compliance with all requirements under the ABL Facility as of March 31, 2021.</w:t>
      </w:r>
    </w:p>
    <w:p>
      <w:pPr>
        <w:spacing w:after="0" w:line="5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We capitalized a total of $0.8 million in new debt issuance costs related to the ABL Facility. Costs related to the ABL Facility are recorded in other non-current assets and amortized over the term of the agreement.</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Secured Term Loan</w:t>
      </w:r>
    </w:p>
    <w:p>
      <w:pPr>
        <w:spacing w:after="0" w:line="11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Outstanding borrowings under the Senior Secured Term Loan, bore interest at one-month LIBOR (subject to a 0.75% floor) plus an applicable margin of 5.75%. During 2021 until termination, the Senior Secured Term Loan bore interest at 6.50%.</w:t>
      </w:r>
    </w:p>
    <w:p>
      <w:pPr>
        <w:spacing w:after="0" w:line="200" w:lineRule="exact"/>
        <w:rPr>
          <w:sz w:val="20"/>
          <w:szCs w:val="20"/>
          <w:color w:val="auto"/>
        </w:rPr>
      </w:pPr>
    </w:p>
    <w:p>
      <w:pPr>
        <w:spacing w:after="0" w:line="3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Incremental Term Loan</w:t>
      </w:r>
    </w:p>
    <w:p>
      <w:pPr>
        <w:spacing w:after="0" w:line="117"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Outstanding borrowings under the Incremental Term Loan bore interest at one-month LIBOR plus an applicable margin of 5.75%. During 2021 until termination, the Incremental Term Loan bore interest at 5.90%.</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Secured Revolver</w:t>
      </w:r>
    </w:p>
    <w:p>
      <w:pPr>
        <w:spacing w:after="0" w:line="117" w:lineRule="exact"/>
        <w:rPr>
          <w:sz w:val="20"/>
          <w:szCs w:val="20"/>
          <w:color w:val="auto"/>
        </w:rPr>
      </w:pPr>
    </w:p>
    <w:p>
      <w:pPr>
        <w:ind w:right="240"/>
        <w:spacing w:after="0" w:line="311" w:lineRule="auto"/>
        <w:rPr>
          <w:sz w:val="20"/>
          <w:szCs w:val="20"/>
          <w:color w:val="auto"/>
        </w:rPr>
      </w:pPr>
      <w:r>
        <w:rPr>
          <w:rFonts w:ascii="Arial" w:cs="Arial" w:eastAsia="Arial" w:hAnsi="Arial"/>
          <w:sz w:val="16"/>
          <w:szCs w:val="16"/>
          <w:color w:val="auto"/>
        </w:rPr>
        <w:t>Outstanding borrowings under the Senior Secured Revolver bore interest on a variable rate structure at either 1) one-month LIBOR plus an applicable margin of 4.00% or 2) the prime lending rate plus an applicable margin of 3.00%. We had no outstanding borrowings under the Senior Secured Revolver during 2021. We incurred a commitment fee of 0.50% for unused capacity under the Senior Secured Revolver until it was terminated.</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Issuance Costs</w:t>
      </w:r>
    </w:p>
    <w:p>
      <w:pPr>
        <w:spacing w:after="0" w:line="11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We recognized a $2.4 million loss on extinguishment for unamortized debt issuance costs that were written off in the three months ended March 31, 2021, in connection with the termination of our previous credit facility.</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Swap</w:t>
      </w:r>
    </w:p>
    <w:p>
      <w:pPr>
        <w:spacing w:after="0" w:line="11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A portion of the proceeds from the Term Loan Facility was used to settle and terminate our fixed-rate interest rate swap agreement with a cash payment of $13.7 million. Refer to Note 17 for further discussion of the interest rate swap agreement.</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Leases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contains supplemental cash flow information related to leases of continuing operations.</w:t>
      </w:r>
    </w:p>
    <w:p>
      <w:pPr>
        <w:spacing w:after="0" w:line="139" w:lineRule="exact"/>
        <w:rPr>
          <w:sz w:val="20"/>
          <w:szCs w:val="20"/>
          <w:color w:val="auto"/>
        </w:rPr>
      </w:pPr>
    </w:p>
    <w:p>
      <w:pPr>
        <w:jc w:val="center"/>
        <w:ind w:left="8220"/>
        <w:spacing w:after="0"/>
        <w:rPr>
          <w:sz w:val="20"/>
          <w:szCs w:val="20"/>
          <w:color w:val="auto"/>
        </w:rPr>
      </w:pPr>
      <w:r>
        <w:rPr>
          <w:rFonts w:ascii="Arial" w:cs="Arial" w:eastAsia="Arial" w:hAnsi="Arial"/>
          <w:sz w:val="14"/>
          <w:szCs w:val="14"/>
          <w:b w:val="1"/>
          <w:bCs w:val="1"/>
          <w:color w:val="auto"/>
        </w:rPr>
        <w:t>Three Months Ended</w:t>
      </w:r>
    </w:p>
    <w:p>
      <w:pPr>
        <w:jc w:val="center"/>
        <w:ind w:left="8220"/>
        <w:spacing w:after="0"/>
        <w:rPr>
          <w:sz w:val="20"/>
          <w:szCs w:val="20"/>
          <w:color w:val="auto"/>
        </w:rPr>
      </w:pPr>
      <w:r>
        <w:rPr>
          <w:rFonts w:ascii="Arial" w:cs="Arial" w:eastAsia="Arial" w:hAnsi="Arial"/>
          <w:sz w:val="14"/>
          <w:szCs w:val="14"/>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240" w:type="dxa"/>
            <w:vAlign w:val="bottom"/>
            <w:tcBorders>
              <w:bottom w:val="single" w:sz="8" w:color="CCEEFF"/>
            </w:tcBorders>
          </w:tcPr>
          <w:p>
            <w:pPr>
              <w:spacing w:after="0"/>
              <w:rPr>
                <w:sz w:val="16"/>
                <w:szCs w:val="16"/>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40" w:type="dxa"/>
            <w:vAlign w:val="bottom"/>
            <w:tcBorders>
              <w:top w:val="single" w:sz="8" w:color="auto"/>
              <w:bottom w:val="single" w:sz="8" w:color="auto"/>
            </w:tcBorders>
          </w:tcPr>
          <w:p>
            <w:pPr>
              <w:spacing w:after="0"/>
              <w:rPr>
                <w:sz w:val="16"/>
                <w:szCs w:val="16"/>
                <w:color w:val="auto"/>
              </w:rPr>
            </w:pPr>
          </w:p>
        </w:tc>
        <w:tc>
          <w:tcPr>
            <w:tcW w:w="120" w:type="dxa"/>
            <w:vAlign w:val="bottom"/>
            <w:tcBorders>
              <w:top w:val="single" w:sz="8" w:color="auto"/>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2020</w:t>
            </w:r>
          </w:p>
        </w:tc>
      </w:tr>
      <w:tr>
        <w:trPr>
          <w:trHeight w:val="211"/>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9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30"/>
        </w:trPr>
        <w:tc>
          <w:tcPr>
            <w:tcW w:w="8240" w:type="dxa"/>
            <w:vAlign w:val="bottom"/>
          </w:tcPr>
          <w:p>
            <w:pPr>
              <w:ind w:left="220"/>
              <w:spacing w:after="0"/>
              <w:rPr>
                <w:sz w:val="20"/>
                <w:szCs w:val="20"/>
                <w:color w:val="auto"/>
              </w:rPr>
            </w:pPr>
            <w:r>
              <w:rPr>
                <w:rFonts w:ascii="Arial" w:cs="Arial" w:eastAsia="Arial" w:hAnsi="Arial"/>
                <w:sz w:val="18"/>
                <w:szCs w:val="18"/>
                <w:color w:val="auto"/>
              </w:rPr>
              <w:t>Operating cash flows used in finance leases</w:t>
            </w:r>
          </w:p>
        </w:tc>
        <w:tc>
          <w:tcPr>
            <w:tcW w:w="900" w:type="dxa"/>
            <w:vAlign w:val="bottom"/>
          </w:tcPr>
          <w:p>
            <w:pPr>
              <w:jc w:val="right"/>
              <w:ind w:right="699"/>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57</w:t>
            </w:r>
          </w:p>
        </w:tc>
        <w:tc>
          <w:tcPr>
            <w:tcW w:w="12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30"/>
        </w:trPr>
        <w:tc>
          <w:tcPr>
            <w:tcW w:w="8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Operating cash flows used in operating leases</w:t>
            </w:r>
          </w:p>
        </w:tc>
        <w:tc>
          <w:tcPr>
            <w:tcW w:w="9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4,103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3,348</w:t>
            </w:r>
          </w:p>
        </w:tc>
      </w:tr>
      <w:tr>
        <w:trPr>
          <w:trHeight w:val="229"/>
        </w:trPr>
        <w:tc>
          <w:tcPr>
            <w:tcW w:w="8240" w:type="dxa"/>
            <w:vAlign w:val="bottom"/>
          </w:tcPr>
          <w:p>
            <w:pPr>
              <w:ind w:left="220"/>
              <w:spacing w:after="0"/>
              <w:rPr>
                <w:sz w:val="20"/>
                <w:szCs w:val="20"/>
                <w:color w:val="auto"/>
              </w:rPr>
            </w:pPr>
            <w:r>
              <w:rPr>
                <w:rFonts w:ascii="Arial" w:cs="Arial" w:eastAsia="Arial" w:hAnsi="Arial"/>
                <w:sz w:val="18"/>
                <w:szCs w:val="18"/>
                <w:color w:val="auto"/>
              </w:rPr>
              <w:t>Financing cash flows used in finance leases</w:t>
            </w:r>
          </w:p>
        </w:tc>
        <w:tc>
          <w:tcPr>
            <w:tcW w:w="9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846</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580</w:t>
            </w: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Right-of-use assets obtained in exchange for new finance lease liabilities</w:t>
            </w:r>
          </w:p>
        </w:tc>
        <w:tc>
          <w:tcPr>
            <w:tcW w:w="9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w:t>
            </w:r>
          </w:p>
        </w:tc>
      </w:tr>
      <w:tr>
        <w:trPr>
          <w:trHeight w:val="230"/>
        </w:trPr>
        <w:tc>
          <w:tcPr>
            <w:tcW w:w="8240" w:type="dxa"/>
            <w:vAlign w:val="bottom"/>
          </w:tcPr>
          <w:p>
            <w:pPr>
              <w:ind w:left="20"/>
              <w:spacing w:after="0"/>
              <w:rPr>
                <w:sz w:val="20"/>
                <w:szCs w:val="20"/>
                <w:color w:val="auto"/>
              </w:rPr>
            </w:pPr>
            <w:r>
              <w:rPr>
                <w:rFonts w:ascii="Arial" w:cs="Arial" w:eastAsia="Arial" w:hAnsi="Arial"/>
                <w:sz w:val="18"/>
                <w:szCs w:val="18"/>
                <w:color w:val="auto"/>
              </w:rPr>
              <w:t>Right-of-use assets obtained in exchange for new operating lease liabilities (1)</w:t>
            </w:r>
          </w:p>
        </w:tc>
        <w:tc>
          <w:tcPr>
            <w:tcW w:w="900" w:type="dxa"/>
            <w:vAlign w:val="bottom"/>
          </w:tcPr>
          <w:p>
            <w:pPr>
              <w:spacing w:after="0"/>
              <w:rPr>
                <w:sz w:val="20"/>
                <w:szCs w:val="20"/>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13,241</w:t>
            </w:r>
          </w:p>
        </w:tc>
      </w:tr>
    </w:tbl>
    <w:p>
      <w:pPr>
        <w:spacing w:after="0" w:line="75"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w:t>
      </w:r>
    </w:p>
    <w:p>
      <w:pPr>
        <w:spacing w:after="0" w:line="5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 Includes new leases, renewals, and modifications.</w:t>
      </w:r>
    </w:p>
    <w:p>
      <w:pPr>
        <w:spacing w:after="0" w:line="27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As disclosed in our 2020 Annual Report, we amended the lease of our corporate headquarters building in March 2020 to exit over half of the previously leased space and reduce annual base rent payments. The amendment was accounted for as a lease modification, and the remeasurement of the lease resulted in an $8.1 million decrease in the operating lease right-of-use (“ROU”) asset, a $10.5 million decrease in the noncurrent portion of the operating lease liability, and a $0.6 million decrease in the current portion of the operating lease liability. The $3.0 million difference between the change in the operating lease ROU asset and the operating lease liabilities was recognized in “Other operating expense (income), net,” on the Condensed Consolidated Statements of Operations and Comprehensive Income (Loss). In connection with the discontinued use of the previously leased space, we also recognized a $4.4 million termination charge and a $2.9 million impairment charge on the associated leasehold improvements, all of which were also recognized in “Other operating expense (income), net.”</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Commitments and Contingencies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Brazil ICMS Tax Matter</w:t>
      </w:r>
    </w:p>
    <w:p>
      <w:pPr>
        <w:spacing w:after="0" w:line="11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Prior to the acquisition of Autocam Corporation in 2014 (“Autocam”), Autocam’s Brazilian subsidiary (“Autocam Brazil”) received notification from the Brazilian tax authority regarding ICMS (state value added tax or “VAT”) tax credits claimed on intermediary materials (e.g., tooling and perishable items) used in the manufacturing process. The Brazilian tax authority notification disallowed state ICMS tax credits claimed on intermediary materials based on the argument that these items are not intrinsically related to the manufacturing processes. Autocam Brazil filed an administrative defense with the Brazilian tax</w:t>
      </w:r>
    </w:p>
    <w:p>
      <w:pPr>
        <w:sectPr>
          <w:pgSz w:w="11900" w:h="16838" w:orient="portrait"/>
          <w:cols w:equalWidth="0" w:num="1">
            <w:col w:w="11240"/>
          </w:cols>
          <w:pgMar w:left="320" w:top="233" w:right="339" w:bottom="1440" w:gutter="0" w:footer="0" w:header="0"/>
        </w:sect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type w:val="continuous"/>
        </w:sectPr>
      </w:pPr>
    </w:p>
    <w:bookmarkStart w:id="13" w:name="page14"/>
    <w:bookmarkEnd w:id="1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authority arguing, among other matters, that it should qualify for an ICMS tax credit, contending that the intermediary materials are directly related to the manufacturing process.</w:t>
      </w:r>
    </w:p>
    <w:p>
      <w:pPr>
        <w:spacing w:after="0" w:line="62"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We believe that we have substantial legal and factual defenses, and we plan to defend our interests in this matter vigorously. The matter encompasses several lawsuits filed with the Brazilian courts requesting declaratory actions that no tax is due or seeking a stay of execution on the collection of the tax. In 2018, we obtained a favorable decision in one of the declaratory actions for which the period for appeal has expired. We have filed actions in each court requesting dismissal of the matter based on the earlier court action. In May 2020, we received an unfavorable decision in one of the lawsuits, and as a result have recorded a liability to the Brazilian tax authorities and a receivable from the former shareholders of Autocam for the same amount. Although we anticipate a favorable resolution to the remaining matters, we can provide no assurances that we will be successful in achieving dismissal of all pending cases. The U.S. dollar amount that would be owed in the event of an unfavorable decision is subject to interest, penalties, and currency impacts and therefore is dependent on the timing of the decision. For the remaining open lawsuits, we currently believe the cumulative potential liability in the event of unfavorable decisions on all matters will be less than $5.0 million, inclusive of interest and penalties.</w:t>
      </w:r>
    </w:p>
    <w:p>
      <w:pPr>
        <w:spacing w:after="0" w:line="58" w:lineRule="exact"/>
        <w:rPr>
          <w:sz w:val="20"/>
          <w:szCs w:val="20"/>
          <w:color w:val="auto"/>
        </w:rPr>
      </w:pPr>
    </w:p>
    <w:p>
      <w:pPr>
        <w:jc w:val="both"/>
        <w:ind w:right="160"/>
        <w:spacing w:after="0" w:line="259" w:lineRule="auto"/>
        <w:rPr>
          <w:sz w:val="20"/>
          <w:szCs w:val="20"/>
          <w:color w:val="auto"/>
        </w:rPr>
      </w:pPr>
      <w:r>
        <w:rPr>
          <w:rFonts w:ascii="Arial" w:cs="Arial" w:eastAsia="Arial" w:hAnsi="Arial"/>
          <w:sz w:val="18"/>
          <w:szCs w:val="18"/>
          <w:color w:val="auto"/>
        </w:rPr>
        <w:t>We are entitled to indemnification from the former shareholders of Autocam, subject to the limitations and procedures set forth in the agreement and plan of merger relating to the Autocam acquisition. Management believes the indemnification would include amounts owed for the tax, interest, and penalties related to this matter. Accordingly, we don’t expect to incur a loss related to this matter even in the event of an unfavorable decision and, therefore, have not accrued an amount for the remaining matters as of March 31, 2021.</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Securities Offering Matter</w:t>
      </w:r>
    </w:p>
    <w:p>
      <w:pPr>
        <w:spacing w:after="0" w:line="117"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On November 1, 2019, Erie County Employees’ Retirement System, on behalf of a purported class of plaintiffs, filed a complaint in the Supreme Court of the State of New York, County of New York, against the Company, certain of the Company’s current and former officers and directors, and each of the underwriters involved in the Company’s public offering and sale of 14.4 million shares of its common stock pursuant to a preliminary prospectus supplement, dated September 10, 2018, a final prospectus supplement, dated September 13, 2018, and a base prospectus, dated April 19, 2017, relating to the Company’s effective shelf registration statement on Form S-3 (File No. 333-216737) (the “Offering”), which complaint was amended on January 24, 2020. The complaint alleges violations of Sections 11, 12(a)(2), and 15 of the Securities Act of 1933 in connection with the Offering. The plaintiffs seek to represent a class of stockholders who purchased shares of the Company’s common stock in the Offering. The complaint seeks unspecified monetary damages and other relief. The Company believes the complaint and allegations to be without merit and intends to vigorously defend itself against these actions. The Company is unable at this time to determine whether the outcome of the litigation would have a material impact on the Company’s financial position, results of operations, or cash flows.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Legal Matters</w:t>
      </w:r>
    </w:p>
    <w:p>
      <w:pPr>
        <w:spacing w:after="0" w:line="117" w:lineRule="exact"/>
        <w:rPr>
          <w:sz w:val="20"/>
          <w:szCs w:val="20"/>
          <w:color w:val="auto"/>
        </w:rPr>
      </w:pPr>
    </w:p>
    <w:p>
      <w:pPr>
        <w:ind w:right="60"/>
        <w:spacing w:after="0" w:line="279" w:lineRule="auto"/>
        <w:rPr>
          <w:sz w:val="20"/>
          <w:szCs w:val="20"/>
          <w:color w:val="auto"/>
        </w:rPr>
      </w:pPr>
      <w:r>
        <w:rPr>
          <w:rFonts w:ascii="Arial" w:cs="Arial" w:eastAsia="Arial" w:hAnsi="Arial"/>
          <w:sz w:val="16"/>
          <w:szCs w:val="16"/>
          <w:color w:val="auto"/>
        </w:rPr>
        <w:t>On October 26, 2020, Corre Opportunities Qualified Master Fund, LP, and Corre Horizon Fund, LP, filed a complaint in the Chancery Court of the State of Delaware against the Company. The complaint alleges that the Company’s sale of its Life Sciences business without obtaining the prior consent of the plaintiffs was a breach of the terms of the Series B Preferred Stock. The complaint seeks unspecified monetary damages and other relief. The Company believes the complaint and allegations to be without merit and intends to vigorously defend itself against these actions. The Company is unable at this time to determine whether the outcome of the litigation would have a material impact on the Company’s financial position, results of operations, or cash flows.</w:t>
      </w:r>
    </w:p>
    <w:p>
      <w:pPr>
        <w:spacing w:after="0" w:line="51" w:lineRule="exact"/>
        <w:rPr>
          <w:sz w:val="20"/>
          <w:szCs w:val="20"/>
          <w:color w:val="auto"/>
        </w:rPr>
      </w:pPr>
    </w:p>
    <w:p>
      <w:pPr>
        <w:ind w:right="20"/>
        <w:spacing w:after="0" w:line="243" w:lineRule="auto"/>
        <w:rPr>
          <w:sz w:val="20"/>
          <w:szCs w:val="20"/>
          <w:color w:val="auto"/>
        </w:rPr>
      </w:pPr>
      <w:r>
        <w:rPr>
          <w:rFonts w:ascii="Arial" w:cs="Arial" w:eastAsia="Arial" w:hAnsi="Arial"/>
          <w:sz w:val="18"/>
          <w:szCs w:val="18"/>
          <w:color w:val="auto"/>
        </w:rPr>
        <w:t>All other legal proceedings are of an ordinary and routine nature and are incidental to our operations. Management believes that such proceedings should not, individually or in the aggregate, have a material adverse effect on our business, financial condition, results of operations, or cash flows. In making that determination, we analyze the facts and circumstances of each case at least quarterly in consultation with our attorneys and determine a range of reasonably possible outcomes.</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Preferred Stock and Stockholders' Equity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Series D Perpetual Preferred Stock</w:t>
      </w:r>
    </w:p>
    <w:p>
      <w:pPr>
        <w:spacing w:after="0" w:line="117" w:lineRule="exact"/>
        <w:rPr>
          <w:sz w:val="20"/>
          <w:szCs w:val="20"/>
          <w:color w:val="auto"/>
        </w:rPr>
      </w:pPr>
    </w:p>
    <w:p>
      <w:pPr>
        <w:ind w:right="140"/>
        <w:spacing w:after="0" w:line="296" w:lineRule="auto"/>
        <w:rPr>
          <w:sz w:val="20"/>
          <w:szCs w:val="20"/>
          <w:color w:val="auto"/>
        </w:rPr>
      </w:pPr>
      <w:r>
        <w:rPr>
          <w:rFonts w:ascii="Arial" w:cs="Arial" w:eastAsia="Arial" w:hAnsi="Arial"/>
          <w:sz w:val="16"/>
          <w:szCs w:val="16"/>
          <w:color w:val="auto"/>
        </w:rPr>
        <w:t>On March 22, 2021, we completed a private placement of 65 thousand shares of newly designated Series D Perpetual Preferred Stock, with a par value of $0.01 per share (the “Series D Preferred Stock”) at a price of $1,000 per share, together with detachable warrants (the “2021 Warrants”) to purchase up to 1.9 million shares of our common stock at an exercise price of $0.01 per share. The Series D Preferred Stock has a liquidation preference of $1,000 per share and is redeemable at our option in cash, subject to the applicable redemption premium. Series D Preferred Stock shares earn cash dividends at a rate of 10.0% per year, payable quarterly in arrears, accruing whether or not earned or declared. If no cash dividend is paid, then the</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liquidation preference per share effective on the dividend date increases by 12.0% per year. On March 22, 2026, the cash dividend rate and in-kind dividend rate increase by 2.5% per year. Cash dividends are required beginning on September 30, 2027.</w:t>
      </w:r>
    </w:p>
    <w:p>
      <w:pPr>
        <w:spacing w:after="0" w:line="62" w:lineRule="exact"/>
        <w:rPr>
          <w:sz w:val="20"/>
          <w:szCs w:val="20"/>
          <w:color w:val="auto"/>
        </w:rPr>
      </w:pPr>
    </w:p>
    <w:p>
      <w:pPr>
        <w:ind w:right="120"/>
        <w:spacing w:after="0" w:line="296" w:lineRule="auto"/>
        <w:rPr>
          <w:sz w:val="20"/>
          <w:szCs w:val="20"/>
          <w:color w:val="auto"/>
        </w:rPr>
      </w:pPr>
      <w:r>
        <w:rPr>
          <w:rFonts w:ascii="Arial" w:cs="Arial" w:eastAsia="Arial" w:hAnsi="Arial"/>
          <w:sz w:val="16"/>
          <w:szCs w:val="16"/>
          <w:color w:val="auto"/>
        </w:rPr>
        <w:t>The Series D Preferred Stock is classified as mezzanine equity, between liabilities and stockholders’ equity, because certain features of the Series D Preferred Stock could require redemption of the Series D Preferred Stock upon a change of control event that is considered not solely within our control. For initial recognition, the Series D Preferred Stock was recognized at a discounted value, net of issuance costs and allocation to warrants and a bifurcated embedded derivative. The aggregate discount is amortized as a deemed dividend through March 22, 2026, which is the date the dividend rate begins to increase by 2.5% per year. Deemed dividends adjust retained earnings (or in the absence of retained earnings, additional paid-in capital).</w:t>
      </w:r>
    </w:p>
    <w:p>
      <w:pPr>
        <w:spacing w:after="0" w:line="53"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 xml:space="preserve">In accordance with ASC 815-15, </w:t>
      </w:r>
      <w:r>
        <w:rPr>
          <w:rFonts w:ascii="Arial" w:cs="Arial" w:eastAsia="Arial" w:hAnsi="Arial"/>
          <w:sz w:val="18"/>
          <w:szCs w:val="18"/>
          <w:i w:val="1"/>
          <w:iCs w:val="1"/>
          <w:color w:val="auto"/>
        </w:rPr>
        <w:t>Derivatives and Hedging - Embedded Derivatives,</w:t>
      </w:r>
      <w:r>
        <w:rPr>
          <w:rFonts w:ascii="Arial" w:cs="Arial" w:eastAsia="Arial" w:hAnsi="Arial"/>
          <w:sz w:val="18"/>
          <w:szCs w:val="18"/>
          <w:color w:val="auto"/>
        </w:rPr>
        <w:t xml:space="preserve"> certain features of the Series D Preferred Stock were bifurcated and accounted for as derivatives separately. Note 17 discusses the accounting for these features.</w:t>
      </w:r>
    </w:p>
    <w:p>
      <w:pPr>
        <w:spacing w:after="0" w:line="62"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As of March 31, 2021, the carrying value of the Series D Preferred Stock shares was $46.9 million which included $0.2 million of accumulated unpaid and deemed dividends. The following table presents the change in the Series D Preferred Stock carrying value during the three months ended March 31, 2021.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420" w:type="dxa"/>
            <w:vAlign w:val="bottom"/>
          </w:tcPr>
          <w:p>
            <w:pPr>
              <w:spacing w:after="0"/>
              <w:rPr>
                <w:sz w:val="14"/>
                <w:szCs w:val="14"/>
                <w:color w:val="auto"/>
              </w:rPr>
            </w:pPr>
          </w:p>
        </w:tc>
        <w:tc>
          <w:tcPr>
            <w:tcW w:w="1820" w:type="dxa"/>
            <w:vAlign w:val="bottom"/>
            <w:gridSpan w:val="2"/>
          </w:tcPr>
          <w:p>
            <w:pPr>
              <w:ind w:left="40"/>
              <w:spacing w:after="0"/>
              <w:rPr>
                <w:sz w:val="20"/>
                <w:szCs w:val="20"/>
                <w:color w:val="auto"/>
              </w:rPr>
            </w:pPr>
            <w:r>
              <w:rPr>
                <w:rFonts w:ascii="Arial" w:cs="Arial" w:eastAsia="Arial" w:hAnsi="Arial"/>
                <w:sz w:val="14"/>
                <w:szCs w:val="14"/>
                <w:b w:val="1"/>
                <w:bCs w:val="1"/>
                <w:color w:val="auto"/>
                <w:w w:val="95"/>
              </w:rPr>
              <w:t>Three Months Ended March</w:t>
            </w:r>
          </w:p>
        </w:tc>
      </w:tr>
      <w:tr>
        <w:trPr>
          <w:trHeight w:val="188"/>
        </w:trPr>
        <w:tc>
          <w:tcPr>
            <w:tcW w:w="94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31, 2021</w:t>
            </w:r>
          </w:p>
        </w:tc>
      </w:tr>
      <w:tr>
        <w:trPr>
          <w:trHeight w:val="224"/>
        </w:trPr>
        <w:tc>
          <w:tcPr>
            <w:tcW w:w="9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9420" w:type="dxa"/>
            <w:vAlign w:val="bottom"/>
          </w:tcPr>
          <w:p>
            <w:pPr>
              <w:ind w:left="20"/>
              <w:spacing w:after="0"/>
              <w:rPr>
                <w:sz w:val="20"/>
                <w:szCs w:val="20"/>
                <w:color w:val="auto"/>
              </w:rPr>
            </w:pPr>
            <w:r>
              <w:rPr>
                <w:rFonts w:ascii="Arial" w:cs="Arial" w:eastAsia="Arial" w:hAnsi="Arial"/>
                <w:sz w:val="18"/>
                <w:szCs w:val="18"/>
                <w:color w:val="auto"/>
              </w:rPr>
              <w:t>Proceeds from issuance of shares, net of issuance costs</w:t>
            </w:r>
          </w:p>
        </w:tc>
        <w:tc>
          <w:tcPr>
            <w:tcW w:w="3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61,793</w:t>
            </w:r>
          </w:p>
        </w:tc>
      </w:tr>
      <w:tr>
        <w:trPr>
          <w:trHeight w:val="230"/>
        </w:trPr>
        <w:tc>
          <w:tcPr>
            <w:tcW w:w="9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Fair value of 2021 Warrants issued</w:t>
            </w:r>
          </w:p>
        </w:tc>
        <w:tc>
          <w:tcPr>
            <w:tcW w:w="3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(14,839)</w:t>
            </w:r>
          </w:p>
        </w:tc>
      </w:tr>
      <w:tr>
        <w:trPr>
          <w:trHeight w:val="229"/>
        </w:trPr>
        <w:tc>
          <w:tcPr>
            <w:tcW w:w="9420" w:type="dxa"/>
            <w:vAlign w:val="bottom"/>
          </w:tcPr>
          <w:p>
            <w:pPr>
              <w:ind w:left="20"/>
              <w:spacing w:after="0"/>
              <w:rPr>
                <w:sz w:val="20"/>
                <w:szCs w:val="20"/>
                <w:color w:val="auto"/>
              </w:rPr>
            </w:pPr>
            <w:r>
              <w:rPr>
                <w:rFonts w:ascii="Arial" w:cs="Arial" w:eastAsia="Arial" w:hAnsi="Arial"/>
                <w:sz w:val="18"/>
                <w:szCs w:val="18"/>
                <w:color w:val="auto"/>
              </w:rPr>
              <w:t>Recognition of bifurcated embedded derivative</w:t>
            </w:r>
          </w:p>
        </w:tc>
        <w:tc>
          <w:tcPr>
            <w:tcW w:w="3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(282)</w:t>
            </w:r>
          </w:p>
        </w:tc>
      </w:tr>
      <w:tr>
        <w:trPr>
          <w:trHeight w:val="230"/>
        </w:trPr>
        <w:tc>
          <w:tcPr>
            <w:tcW w:w="9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Accrual of in-kind dividends</w:t>
            </w:r>
          </w:p>
        </w:tc>
        <w:tc>
          <w:tcPr>
            <w:tcW w:w="3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w:t>
            </w:r>
          </w:p>
        </w:tc>
      </w:tr>
      <w:tr>
        <w:trPr>
          <w:trHeight w:val="229"/>
        </w:trPr>
        <w:tc>
          <w:tcPr>
            <w:tcW w:w="94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Amortization</w:t>
            </w:r>
          </w:p>
        </w:tc>
        <w:tc>
          <w:tcPr>
            <w:tcW w:w="3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r>
      <w:tr>
        <w:trPr>
          <w:trHeight w:val="248"/>
        </w:trPr>
        <w:tc>
          <w:tcPr>
            <w:tcW w:w="9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Ending balance</w:t>
            </w:r>
          </w:p>
        </w:tc>
        <w:tc>
          <w:tcPr>
            <w:tcW w:w="3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46,858</w:t>
            </w:r>
          </w:p>
        </w:tc>
      </w:tr>
      <w:tr>
        <w:trPr>
          <w:trHeight w:val="20"/>
        </w:trPr>
        <w:tc>
          <w:tcPr>
            <w:tcW w:w="94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color w:val="auto"/>
        </w:rPr>
        <w:t>Net cash proceeds of $61.8 million from the issuance of the Series D Preferred Stock, along with part of the proceeds from the Term Loan Credit Facility, were used to redeem all of the outstanding shares of the Company’s Series B Convertible Preferred Stock (the “Series B Preferred Stock”).</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Series B Convertible Preferred Stock</w:t>
      </w:r>
    </w:p>
    <w:p>
      <w:pPr>
        <w:spacing w:after="0" w:line="117" w:lineRule="exact"/>
        <w:rPr>
          <w:sz w:val="20"/>
          <w:szCs w:val="20"/>
          <w:color w:val="auto"/>
        </w:rPr>
      </w:pPr>
    </w:p>
    <w:p>
      <w:pPr>
        <w:ind w:right="220"/>
        <w:spacing w:after="0" w:line="273" w:lineRule="auto"/>
        <w:rPr>
          <w:sz w:val="20"/>
          <w:szCs w:val="20"/>
          <w:color w:val="auto"/>
        </w:rPr>
      </w:pPr>
      <w:r>
        <w:rPr>
          <w:rFonts w:ascii="Arial" w:cs="Arial" w:eastAsia="Arial" w:hAnsi="Arial"/>
          <w:sz w:val="17"/>
          <w:szCs w:val="17"/>
          <w:color w:val="auto"/>
        </w:rPr>
        <w:t>The Series B Preferred Stock had a liquidation preference of $1,000 per share and was redeemable in cash at our option, subject to the applicable redemption premium. Series B Preferred Stock shares earned cumulative dividends at a rate of 10.625% per year, and accrued whether or not earned or declared. The Series B Preferred Stock was recognized at a discounted value, net of issuance costs and allocation to warrants and bifurcated embedded derivatives. The aggregate discount was amortized as a deemed dividend through December 31, 2023, which is the date the holders had a non-contingent conversion option into a variable number of common shares equal to the liquidation preference plus accrued and unpaid dividends. Deemed dividends adjust retained earnings (or in the absence of retained earnings, additional paid-in capital).</w:t>
      </w:r>
    </w:p>
    <w:p>
      <w:pPr>
        <w:spacing w:after="0" w:line="70" w:lineRule="exact"/>
        <w:rPr>
          <w:sz w:val="20"/>
          <w:szCs w:val="20"/>
          <w:color w:val="auto"/>
        </w:rPr>
      </w:pPr>
    </w:p>
    <w:p>
      <w:pPr>
        <w:ind w:right="340"/>
        <w:spacing w:after="0" w:line="302" w:lineRule="auto"/>
        <w:rPr>
          <w:sz w:val="20"/>
          <w:szCs w:val="20"/>
          <w:color w:val="auto"/>
        </w:rPr>
      </w:pPr>
      <w:r>
        <w:rPr>
          <w:rFonts w:ascii="Arial" w:cs="Arial" w:eastAsia="Arial" w:hAnsi="Arial"/>
          <w:sz w:val="16"/>
          <w:szCs w:val="16"/>
          <w:color w:val="auto"/>
        </w:rPr>
        <w:t>At redemption on March 22, 2021, the carrying value of the Series B Preferred Stock shares included $14.3 million of accumulated unpaid and deemed dividends. The following table presents the change in the Series B Preferred Stock carrying value during the three months ended March 31, 2021.</w:t>
      </w:r>
    </w:p>
    <w:p>
      <w:pPr>
        <w:sectPr>
          <w:pgSz w:w="11900" w:h="16838" w:orient="portrait"/>
          <w:cols w:equalWidth="0" w:num="1">
            <w:col w:w="11240"/>
          </w:cols>
          <w:pgMar w:left="320" w:top="233" w:right="339" w:bottom="1440" w:gutter="0" w:footer="0" w:header="0"/>
        </w:sectPr>
      </w:pPr>
    </w:p>
    <w:p>
      <w:pPr>
        <w:spacing w:after="0" w:line="347" w:lineRule="exact"/>
        <w:rPr>
          <w:sz w:val="20"/>
          <w:szCs w:val="20"/>
          <w:color w:val="auto"/>
        </w:rPr>
      </w:pPr>
    </w:p>
    <w:p>
      <w:pPr>
        <w:ind w:left="20"/>
        <w:spacing w:after="0"/>
        <w:rPr>
          <w:sz w:val="20"/>
          <w:szCs w:val="20"/>
          <w:color w:val="auto"/>
        </w:rPr>
      </w:pPr>
      <w:r>
        <w:rPr>
          <w:rFonts w:ascii="Arial" w:cs="Arial" w:eastAsia="Arial" w:hAnsi="Arial"/>
          <w:sz w:val="18"/>
          <w:szCs w:val="18"/>
          <w:color w:val="auto"/>
        </w:rPr>
        <w:t>Beginning balance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-139065</wp:posOffset>
            </wp:positionV>
            <wp:extent cx="7132320" cy="1543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7"/>
          <w:szCs w:val="17"/>
          <w:color w:val="auto"/>
        </w:rPr>
        <w:t>Accrual of in-kind dividends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132320" cy="1454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14" w:lineRule="exact"/>
        <w:rPr>
          <w:sz w:val="20"/>
          <w:szCs w:val="20"/>
          <w:color w:val="auto"/>
        </w:rPr>
      </w:pPr>
    </w:p>
    <w:p>
      <w:pPr>
        <w:ind w:left="20"/>
        <w:spacing w:after="0"/>
        <w:rPr>
          <w:sz w:val="20"/>
          <w:szCs w:val="20"/>
          <w:color w:val="auto"/>
        </w:rPr>
      </w:pPr>
      <w:r>
        <w:rPr>
          <w:rFonts w:ascii="Arial" w:cs="Arial" w:eastAsia="Arial" w:hAnsi="Arial"/>
          <w:sz w:val="18"/>
          <w:szCs w:val="18"/>
          <w:color w:val="auto"/>
        </w:rPr>
        <w:t>Amortization</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Redemption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2" w:lineRule="exact"/>
        <w:rPr>
          <w:sz w:val="20"/>
          <w:szCs w:val="20"/>
          <w:color w:val="auto"/>
        </w:rPr>
      </w:pPr>
    </w:p>
    <w:p>
      <w:pPr>
        <w:ind w:left="20"/>
        <w:spacing w:after="0"/>
        <w:rPr>
          <w:sz w:val="20"/>
          <w:szCs w:val="20"/>
          <w:color w:val="auto"/>
        </w:rPr>
      </w:pPr>
      <w:r>
        <w:rPr>
          <w:rFonts w:ascii="Arial" w:cs="Arial" w:eastAsia="Arial" w:hAnsi="Arial"/>
          <w:sz w:val="18"/>
          <w:szCs w:val="18"/>
          <w:color w:val="auto"/>
        </w:rPr>
        <w:t>Ending balance</w:t>
      </w:r>
    </w:p>
    <w:p>
      <w:pPr>
        <w:spacing w:after="0" w:line="20" w:lineRule="exact"/>
        <w:rPr>
          <w:sz w:val="20"/>
          <w:szCs w:val="20"/>
          <w:color w:val="auto"/>
        </w:rPr>
      </w:pPr>
      <w:r>
        <w:rPr>
          <w:sz w:val="20"/>
          <w:szCs w:val="20"/>
          <w:color w:val="auto"/>
        </w:rPr>
        <w:br w:type="column"/>
      </w:r>
    </w:p>
    <w:p>
      <w:pPr>
        <w:jc w:val="center"/>
        <w:ind w:right="10"/>
        <w:spacing w:after="0" w:line="226" w:lineRule="auto"/>
        <w:rPr>
          <w:sz w:val="20"/>
          <w:szCs w:val="20"/>
          <w:color w:val="auto"/>
        </w:rPr>
      </w:pPr>
      <w:r>
        <w:rPr>
          <w:rFonts w:ascii="Arial" w:cs="Arial" w:eastAsia="Arial" w:hAnsi="Arial"/>
          <w:sz w:val="14"/>
          <w:szCs w:val="14"/>
          <w:b w:val="1"/>
          <w:bCs w:val="1"/>
          <w:color w:val="auto"/>
        </w:rPr>
        <w:t>Three Months Ended</w:t>
      </w:r>
    </w:p>
    <w:p>
      <w:pPr>
        <w:jc w:val="center"/>
        <w:ind w:right="10"/>
        <w:spacing w:after="0"/>
        <w:rPr>
          <w:sz w:val="20"/>
          <w:szCs w:val="20"/>
          <w:color w:val="auto"/>
        </w:rPr>
      </w:pPr>
      <w:r>
        <w:rPr>
          <w:rFonts w:ascii="Arial" w:cs="Arial" w:eastAsia="Arial" w:hAnsi="Arial"/>
          <w:sz w:val="14"/>
          <w:szCs w:val="14"/>
          <w:b w:val="1"/>
          <w:bCs w:val="1"/>
          <w:color w:val="auto"/>
        </w:rPr>
        <w:t>March 31, 2021</w:t>
      </w:r>
    </w:p>
    <w:p>
      <w:pPr>
        <w:spacing w:after="0" w:line="34" w:lineRule="exact"/>
        <w:rPr>
          <w:sz w:val="20"/>
          <w:szCs w:val="20"/>
          <w:color w:val="auto"/>
        </w:rPr>
      </w:pPr>
    </w:p>
    <w:p>
      <w:pPr>
        <w:ind w:left="1050" w:hanging="1050"/>
        <w:spacing w:after="0"/>
        <w:tabs>
          <w:tab w:leader="none" w:pos="1050" w:val="left"/>
        </w:tabs>
        <w:numPr>
          <w:ilvl w:val="0"/>
          <w:numId w:val="8"/>
        </w:numPr>
        <w:rPr>
          <w:rFonts w:ascii="Arial" w:cs="Arial" w:eastAsia="Arial" w:hAnsi="Arial"/>
          <w:sz w:val="17"/>
          <w:szCs w:val="17"/>
          <w:color w:val="auto"/>
        </w:rPr>
      </w:pPr>
      <w:r>
        <w:rPr>
          <w:rFonts w:ascii="Arial" w:cs="Arial" w:eastAsia="Arial" w:hAnsi="Arial"/>
          <w:sz w:val="17"/>
          <w:szCs w:val="17"/>
          <w:color w:val="auto"/>
        </w:rPr>
        <w:t>105,086</w:t>
      </w:r>
    </w:p>
    <w:p>
      <w:pPr>
        <w:spacing w:after="0" w:line="34" w:lineRule="exact"/>
        <w:rPr>
          <w:rFonts w:ascii="Arial" w:cs="Arial" w:eastAsia="Arial" w:hAnsi="Arial"/>
          <w:sz w:val="17"/>
          <w:szCs w:val="17"/>
          <w:color w:val="auto"/>
        </w:rPr>
      </w:pPr>
    </w:p>
    <w:p>
      <w:pPr>
        <w:ind w:left="1150"/>
        <w:spacing w:after="0"/>
        <w:rPr>
          <w:rFonts w:ascii="Arial" w:cs="Arial" w:eastAsia="Arial" w:hAnsi="Arial"/>
          <w:sz w:val="17"/>
          <w:szCs w:val="17"/>
          <w:color w:val="auto"/>
        </w:rPr>
      </w:pPr>
      <w:r>
        <w:rPr>
          <w:rFonts w:ascii="Arial" w:cs="Arial" w:eastAsia="Arial" w:hAnsi="Arial"/>
          <w:sz w:val="17"/>
          <w:szCs w:val="17"/>
          <w:color w:val="auto"/>
        </w:rPr>
        <w:t>14,008</w:t>
      </w:r>
    </w:p>
    <w:p>
      <w:pPr>
        <w:spacing w:after="0" w:line="34" w:lineRule="exact"/>
        <w:rPr>
          <w:rFonts w:ascii="Arial" w:cs="Arial" w:eastAsia="Arial" w:hAnsi="Arial"/>
          <w:sz w:val="17"/>
          <w:szCs w:val="17"/>
          <w:color w:val="auto"/>
        </w:rPr>
      </w:pPr>
    </w:p>
    <w:p>
      <w:pPr>
        <w:ind w:left="1370"/>
        <w:spacing w:after="0"/>
        <w:rPr>
          <w:rFonts w:ascii="Arial" w:cs="Arial" w:eastAsia="Arial" w:hAnsi="Arial"/>
          <w:sz w:val="17"/>
          <w:szCs w:val="17"/>
          <w:color w:val="auto"/>
        </w:rPr>
      </w:pPr>
      <w:r>
        <w:rPr>
          <w:rFonts w:ascii="Arial" w:cs="Arial" w:eastAsia="Arial" w:hAnsi="Arial"/>
          <w:sz w:val="18"/>
          <w:szCs w:val="18"/>
          <w:color w:val="auto"/>
        </w:rPr>
        <w:t>335</w:t>
      </w:r>
    </w:p>
    <w:p>
      <w:pPr>
        <w:spacing w:after="0" w:line="23" w:lineRule="exact"/>
        <w:rPr>
          <w:sz w:val="20"/>
          <w:szCs w:val="20"/>
          <w:color w:val="auto"/>
        </w:rPr>
      </w:pPr>
    </w:p>
    <w:p>
      <w:pPr>
        <w:ind w:left="990"/>
        <w:spacing w:after="0"/>
        <w:rPr>
          <w:sz w:val="20"/>
          <w:szCs w:val="20"/>
          <w:color w:val="auto"/>
        </w:rPr>
      </w:pPr>
      <w:r>
        <w:rPr>
          <w:rFonts w:ascii="Arial" w:cs="Arial" w:eastAsia="Arial" w:hAnsi="Arial"/>
          <w:sz w:val="16"/>
          <w:szCs w:val="16"/>
          <w:color w:val="auto"/>
        </w:rPr>
        <w:t>(119,429)</w:t>
      </w:r>
    </w:p>
    <w:p>
      <w:pPr>
        <w:spacing w:after="0" w:line="58" w:lineRule="exact"/>
        <w:rPr>
          <w:sz w:val="20"/>
          <w:szCs w:val="20"/>
          <w:color w:val="auto"/>
        </w:rPr>
      </w:pPr>
    </w:p>
    <w:p>
      <w:pPr>
        <w:ind w:left="10"/>
        <w:spacing w:after="0"/>
        <w:tabs>
          <w:tab w:leader="none" w:pos="143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40640</wp:posOffset>
            </wp:positionV>
            <wp:extent cx="109728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097280" cy="8890"/>
                    </a:xfrm>
                    <a:prstGeom prst="rect">
                      <a:avLst/>
                    </a:prstGeom>
                    <a:noFill/>
                  </pic:spPr>
                </pic:pic>
              </a:graphicData>
            </a:graphic>
          </wp:anchor>
        </w:drawing>
      </w:r>
    </w:p>
    <w:p>
      <w:pPr>
        <w:spacing w:after="0" w:line="227" w:lineRule="exact"/>
        <w:rPr>
          <w:sz w:val="20"/>
          <w:szCs w:val="20"/>
          <w:color w:val="auto"/>
        </w:rPr>
      </w:pPr>
    </w:p>
    <w:p>
      <w:pPr>
        <w:sectPr>
          <w:pgSz w:w="11900" w:h="16838" w:orient="portrait"/>
          <w:cols w:equalWidth="0" w:num="2">
            <w:col w:w="8810" w:space="720"/>
            <w:col w:w="1710"/>
          </w:cols>
          <w:pgMar w:left="320" w:top="233" w:right="339" w:bottom="1440" w:gutter="0" w:footer="0" w:header="0"/>
          <w:type w:val="continuous"/>
        </w:sectPr>
      </w:pP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Preferred Share Purchase Rights</w:t>
      </w:r>
    </w:p>
    <w:p>
      <w:pPr>
        <w:spacing w:after="0" w:line="11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On April 15, 2020, our Board of Directors authorized and declared a dividend of one preferred share purchase right for each outstanding share of common stock to shareholders of record on April 27, 2020. The rights expired on March 31,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type w:val="continuous"/>
        </w:sectPr>
      </w:pPr>
    </w:p>
    <w:bookmarkStart w:id="15" w:name="page16"/>
    <w:bookmarkEnd w:id="1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Revenue from Contracts with Customers</w:t>
      </w:r>
    </w:p>
    <w:p>
      <w:pPr>
        <w:spacing w:after="0" w:line="121"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Revenue is recognized when control of the good or service is transferred to the customer either at a point in time or, in limited circumstances, as our services are rendered over time. Revenue is measured as the amount of consideration we expect to receive in exchange for transferring goods or services. The company provides disaggregated revenue by geographical region and customer industry.</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5"/>
          </w:tcPr>
          <w:p>
            <w:pPr>
              <w:ind w:left="140"/>
              <w:spacing w:after="0"/>
              <w:rPr>
                <w:sz w:val="20"/>
                <w:szCs w:val="20"/>
                <w:color w:val="auto"/>
              </w:rPr>
            </w:pPr>
            <w:r>
              <w:rPr>
                <w:rFonts w:ascii="Arial" w:cs="Arial" w:eastAsia="Arial" w:hAnsi="Arial"/>
                <w:sz w:val="14"/>
                <w:szCs w:val="14"/>
                <w:b w:val="1"/>
                <w:bCs w:val="1"/>
                <w:color w:val="auto"/>
              </w:rPr>
              <w:t>Three Months Ended March 31, 2021</w:t>
            </w: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5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9"/>
              </w:rPr>
              <w:t>Mobile</w:t>
            </w:r>
          </w:p>
        </w:tc>
        <w:tc>
          <w:tcPr>
            <w:tcW w:w="260" w:type="dxa"/>
            <w:vAlign w:val="bottom"/>
          </w:tcPr>
          <w:p>
            <w:pPr>
              <w:spacing w:after="0"/>
              <w:rPr>
                <w:sz w:val="11"/>
                <w:szCs w:val="11"/>
                <w:color w:val="auto"/>
              </w:rPr>
            </w:pPr>
          </w:p>
        </w:tc>
        <w:tc>
          <w:tcPr>
            <w:tcW w:w="124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Power</w:t>
            </w:r>
          </w:p>
        </w:tc>
        <w:tc>
          <w:tcPr>
            <w:tcW w:w="200" w:type="dxa"/>
            <w:vAlign w:val="bottom"/>
          </w:tcPr>
          <w:p>
            <w:pPr>
              <w:spacing w:after="0"/>
              <w:rPr>
                <w:sz w:val="11"/>
                <w:szCs w:val="11"/>
                <w:color w:val="auto"/>
              </w:rPr>
            </w:pPr>
          </w:p>
        </w:tc>
        <w:tc>
          <w:tcPr>
            <w:tcW w:w="132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w w:val="93"/>
              </w:rPr>
              <w:t>Intersegment</w:t>
            </w:r>
          </w:p>
        </w:tc>
        <w:tc>
          <w:tcPr>
            <w:tcW w:w="3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vMerge w:val="continue"/>
          </w:tcPr>
          <w:p>
            <w:pPr>
              <w:spacing w:after="0"/>
              <w:rPr>
                <w:sz w:val="11"/>
                <w:szCs w:val="11"/>
                <w:color w:val="auto"/>
              </w:rPr>
            </w:pPr>
          </w:p>
        </w:tc>
        <w:tc>
          <w:tcPr>
            <w:tcW w:w="260" w:type="dxa"/>
            <w:vAlign w:val="bottom"/>
          </w:tcPr>
          <w:p>
            <w:pPr>
              <w:spacing w:after="0"/>
              <w:rPr>
                <w:sz w:val="11"/>
                <w:szCs w:val="11"/>
                <w:color w:val="auto"/>
              </w:rPr>
            </w:pPr>
          </w:p>
        </w:tc>
        <w:tc>
          <w:tcPr>
            <w:tcW w:w="124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320" w:type="dxa"/>
            <w:vAlign w:val="bottom"/>
            <w:gridSpan w:val="2"/>
          </w:tcPr>
          <w:p>
            <w:pPr>
              <w:jc w:val="center"/>
              <w:ind w:right="320"/>
              <w:spacing w:after="0" w:line="135" w:lineRule="exact"/>
              <w:rPr>
                <w:sz w:val="20"/>
                <w:szCs w:val="20"/>
                <w:color w:val="auto"/>
              </w:rPr>
            </w:pPr>
            <w:r>
              <w:rPr>
                <w:rFonts w:ascii="Arial" w:cs="Arial" w:eastAsia="Arial" w:hAnsi="Arial"/>
                <w:sz w:val="14"/>
                <w:szCs w:val="14"/>
                <w:b w:val="1"/>
                <w:bCs w:val="1"/>
                <w:color w:val="auto"/>
                <w:w w:val="87"/>
              </w:rPr>
              <w:t>Sales</w:t>
            </w:r>
          </w:p>
        </w:tc>
        <w:tc>
          <w:tcPr>
            <w:tcW w:w="360" w:type="dxa"/>
            <w:vAlign w:val="bottom"/>
          </w:tcPr>
          <w:p>
            <w:pPr>
              <w:spacing w:after="0"/>
              <w:rPr>
                <w:sz w:val="11"/>
                <w:szCs w:val="11"/>
                <w:color w:val="auto"/>
              </w:rPr>
            </w:pPr>
          </w:p>
        </w:tc>
        <w:tc>
          <w:tcPr>
            <w:tcW w:w="1200" w:type="dxa"/>
            <w:vAlign w:val="bottom"/>
            <w:vMerge w:val="restart"/>
          </w:tcPr>
          <w:p>
            <w:pPr>
              <w:jc w:val="right"/>
              <w:ind w:right="53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5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7"/>
              </w:rPr>
              <w:t>Solutions</w:t>
            </w:r>
          </w:p>
        </w:tc>
        <w:tc>
          <w:tcPr>
            <w:tcW w:w="260" w:type="dxa"/>
            <w:vAlign w:val="bottom"/>
          </w:tcPr>
          <w:p>
            <w:pPr>
              <w:spacing w:after="0"/>
              <w:rPr>
                <w:sz w:val="16"/>
                <w:szCs w:val="16"/>
                <w:color w:val="auto"/>
              </w:rPr>
            </w:pPr>
          </w:p>
        </w:tc>
        <w:tc>
          <w:tcPr>
            <w:tcW w:w="1240" w:type="dxa"/>
            <w:vAlign w:val="bottom"/>
            <w:gridSpan w:val="2"/>
          </w:tcPr>
          <w:p>
            <w:pPr>
              <w:ind w:left="160"/>
              <w:spacing w:after="0"/>
              <w:rPr>
                <w:sz w:val="20"/>
                <w:szCs w:val="20"/>
                <w:color w:val="auto"/>
              </w:rPr>
            </w:pPr>
            <w:r>
              <w:rPr>
                <w:rFonts w:ascii="Arial" w:cs="Arial" w:eastAsia="Arial" w:hAnsi="Arial"/>
                <w:sz w:val="14"/>
                <w:szCs w:val="14"/>
                <w:b w:val="1"/>
                <w:bCs w:val="1"/>
                <w:color w:val="auto"/>
              </w:rPr>
              <w:t>Solutions</w:t>
            </w:r>
          </w:p>
        </w:tc>
        <w:tc>
          <w:tcPr>
            <w:tcW w:w="200" w:type="dxa"/>
            <w:vAlign w:val="bottom"/>
          </w:tcPr>
          <w:p>
            <w:pPr>
              <w:spacing w:after="0"/>
              <w:rPr>
                <w:sz w:val="16"/>
                <w:szCs w:val="16"/>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Eliminations</w:t>
            </w:r>
          </w:p>
        </w:tc>
        <w:tc>
          <w:tcPr>
            <w:tcW w:w="36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5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United States and Puerto Rico</w:t>
            </w: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37,438</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39,806</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shd w:val="clear" w:color="auto" w:fill="CCEEFF"/>
          </w:tcPr>
          <w:p>
            <w:pPr>
              <w:jc w:val="center"/>
              <w:ind w:left="775"/>
              <w:spacing w:after="0"/>
              <w:rPr>
                <w:sz w:val="20"/>
                <w:szCs w:val="20"/>
                <w:color w:val="auto"/>
              </w:rPr>
            </w:pPr>
            <w:r>
              <w:rPr>
                <w:rFonts w:ascii="Arial" w:cs="Arial" w:eastAsia="Arial" w:hAnsi="Arial"/>
                <w:sz w:val="18"/>
                <w:szCs w:val="18"/>
                <w:color w:val="auto"/>
                <w:w w:val="93"/>
              </w:rPr>
              <w:t>(47)</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77,197</w:t>
            </w:r>
          </w:p>
        </w:tc>
        <w:tc>
          <w:tcPr>
            <w:tcW w:w="0" w:type="dxa"/>
            <w:vAlign w:val="bottom"/>
          </w:tcPr>
          <w:p>
            <w:pPr>
              <w:spacing w:after="0"/>
              <w:rPr>
                <w:sz w:val="1"/>
                <w:szCs w:val="1"/>
                <w:color w:val="auto"/>
              </w:rPr>
            </w:pPr>
          </w:p>
        </w:tc>
      </w:tr>
      <w:tr>
        <w:trPr>
          <w:trHeight w:val="230"/>
        </w:trPr>
        <w:tc>
          <w:tcPr>
            <w:tcW w:w="5160" w:type="dxa"/>
            <w:vAlign w:val="bottom"/>
          </w:tcPr>
          <w:p>
            <w:pPr>
              <w:ind w:left="20"/>
              <w:spacing w:after="0"/>
              <w:rPr>
                <w:sz w:val="20"/>
                <w:szCs w:val="20"/>
                <w:color w:val="auto"/>
              </w:rPr>
            </w:pPr>
            <w:r>
              <w:rPr>
                <w:rFonts w:ascii="Arial" w:cs="Arial" w:eastAsia="Arial" w:hAnsi="Arial"/>
                <w:sz w:val="18"/>
                <w:szCs w:val="18"/>
                <w:color w:val="auto"/>
              </w:rPr>
              <w:t>China</w:t>
            </w: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14,414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1,506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gridSpan w:val="2"/>
          </w:tcPr>
          <w:p>
            <w:pPr>
              <w:jc w:val="center"/>
              <w:ind w:left="695"/>
              <w:spacing w:after="0"/>
              <w:rPr>
                <w:sz w:val="20"/>
                <w:szCs w:val="20"/>
                <w:color w:val="auto"/>
              </w:rPr>
            </w:pPr>
            <w:r>
              <w:rPr>
                <w:rFonts w:ascii="Arial" w:cs="Arial" w:eastAsia="Arial" w:hAnsi="Arial"/>
                <w:sz w:val="18"/>
                <w:szCs w:val="18"/>
                <w:color w:val="auto"/>
                <w:w w:val="99"/>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15,920</w:t>
            </w:r>
          </w:p>
        </w:tc>
        <w:tc>
          <w:tcPr>
            <w:tcW w:w="0" w:type="dxa"/>
            <w:vAlign w:val="bottom"/>
          </w:tcPr>
          <w:p>
            <w:pPr>
              <w:spacing w:after="0"/>
              <w:rPr>
                <w:sz w:val="1"/>
                <w:szCs w:val="1"/>
                <w:color w:val="auto"/>
              </w:rPr>
            </w:pPr>
          </w:p>
        </w:tc>
      </w:tr>
      <w:tr>
        <w:trPr>
          <w:trHeight w:val="229"/>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Brazil</w:t>
            </w: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9,668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center"/>
              <w:ind w:left="695"/>
              <w:spacing w:after="0"/>
              <w:rPr>
                <w:sz w:val="20"/>
                <w:szCs w:val="20"/>
                <w:color w:val="auto"/>
              </w:rPr>
            </w:pPr>
            <w:r>
              <w:rPr>
                <w:rFonts w:ascii="Arial" w:cs="Arial" w:eastAsia="Arial" w:hAnsi="Arial"/>
                <w:sz w:val="18"/>
                <w:szCs w:val="18"/>
                <w:color w:val="auto"/>
                <w:w w:val="99"/>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9,860</w:t>
            </w:r>
          </w:p>
        </w:tc>
        <w:tc>
          <w:tcPr>
            <w:tcW w:w="0" w:type="dxa"/>
            <w:vAlign w:val="bottom"/>
          </w:tcPr>
          <w:p>
            <w:pPr>
              <w:spacing w:after="0"/>
              <w:rPr>
                <w:sz w:val="1"/>
                <w:szCs w:val="1"/>
                <w:color w:val="auto"/>
              </w:rPr>
            </w:pPr>
          </w:p>
        </w:tc>
      </w:tr>
      <w:tr>
        <w:trPr>
          <w:trHeight w:val="230"/>
        </w:trPr>
        <w:tc>
          <w:tcPr>
            <w:tcW w:w="5160" w:type="dxa"/>
            <w:vAlign w:val="bottom"/>
          </w:tcPr>
          <w:p>
            <w:pPr>
              <w:ind w:left="20"/>
              <w:spacing w:after="0"/>
              <w:rPr>
                <w:sz w:val="20"/>
                <w:szCs w:val="20"/>
                <w:color w:val="auto"/>
              </w:rPr>
            </w:pPr>
            <w:r>
              <w:rPr>
                <w:rFonts w:ascii="Arial" w:cs="Arial" w:eastAsia="Arial" w:hAnsi="Arial"/>
                <w:sz w:val="18"/>
                <w:szCs w:val="18"/>
                <w:color w:val="auto"/>
              </w:rPr>
              <w:t>Mexico</w:t>
            </w: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5,015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3,397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gridSpan w:val="2"/>
          </w:tcPr>
          <w:p>
            <w:pPr>
              <w:jc w:val="center"/>
              <w:ind w:left="695"/>
              <w:spacing w:after="0"/>
              <w:rPr>
                <w:sz w:val="20"/>
                <w:szCs w:val="20"/>
                <w:color w:val="auto"/>
              </w:rPr>
            </w:pPr>
            <w:r>
              <w:rPr>
                <w:rFonts w:ascii="Arial" w:cs="Arial" w:eastAsia="Arial" w:hAnsi="Arial"/>
                <w:sz w:val="18"/>
                <w:szCs w:val="18"/>
                <w:color w:val="auto"/>
                <w:w w:val="99"/>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8,412</w:t>
            </w:r>
          </w:p>
        </w:tc>
        <w:tc>
          <w:tcPr>
            <w:tcW w:w="0" w:type="dxa"/>
            <w:vAlign w:val="bottom"/>
          </w:tcPr>
          <w:p>
            <w:pPr>
              <w:spacing w:after="0"/>
              <w:rPr>
                <w:sz w:val="1"/>
                <w:szCs w:val="1"/>
                <w:color w:val="auto"/>
              </w:rPr>
            </w:pPr>
          </w:p>
        </w:tc>
      </w:tr>
      <w:tr>
        <w:trPr>
          <w:trHeight w:val="229"/>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Germany</w:t>
            </w: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center"/>
              <w:ind w:left="695"/>
              <w:spacing w:after="0"/>
              <w:rPr>
                <w:sz w:val="20"/>
                <w:szCs w:val="20"/>
                <w:color w:val="auto"/>
              </w:rPr>
            </w:pPr>
            <w:r>
              <w:rPr>
                <w:rFonts w:ascii="Arial" w:cs="Arial" w:eastAsia="Arial" w:hAnsi="Arial"/>
                <w:sz w:val="18"/>
                <w:szCs w:val="18"/>
                <w:color w:val="auto"/>
                <w:w w:val="99"/>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1,931</w:t>
            </w:r>
          </w:p>
        </w:tc>
        <w:tc>
          <w:tcPr>
            <w:tcW w:w="0" w:type="dxa"/>
            <w:vAlign w:val="bottom"/>
          </w:tcPr>
          <w:p>
            <w:pPr>
              <w:spacing w:after="0"/>
              <w:rPr>
                <w:sz w:val="1"/>
                <w:szCs w:val="1"/>
                <w:color w:val="auto"/>
              </w:rPr>
            </w:pPr>
          </w:p>
        </w:tc>
      </w:tr>
      <w:tr>
        <w:trPr>
          <w:trHeight w:val="229"/>
        </w:trPr>
        <w:tc>
          <w:tcPr>
            <w:tcW w:w="5160" w:type="dxa"/>
            <w:vAlign w:val="bottom"/>
          </w:tcPr>
          <w:p>
            <w:pPr>
              <w:ind w:left="20"/>
              <w:spacing w:after="0"/>
              <w:rPr>
                <w:sz w:val="20"/>
                <w:szCs w:val="20"/>
                <w:color w:val="auto"/>
              </w:rPr>
            </w:pPr>
            <w:r>
              <w:rPr>
                <w:rFonts w:ascii="Arial" w:cs="Arial" w:eastAsia="Arial" w:hAnsi="Arial"/>
                <w:sz w:val="18"/>
                <w:szCs w:val="18"/>
                <w:color w:val="auto"/>
              </w:rPr>
              <w:t>Poland</w:t>
            </w: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1,180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gridSpan w:val="2"/>
          </w:tcPr>
          <w:p>
            <w:pPr>
              <w:jc w:val="center"/>
              <w:ind w:left="695"/>
              <w:spacing w:after="0"/>
              <w:rPr>
                <w:sz w:val="20"/>
                <w:szCs w:val="20"/>
                <w:color w:val="auto"/>
              </w:rPr>
            </w:pPr>
            <w:r>
              <w:rPr>
                <w:rFonts w:ascii="Arial" w:cs="Arial" w:eastAsia="Arial" w:hAnsi="Arial"/>
                <w:sz w:val="18"/>
                <w:szCs w:val="18"/>
                <w:color w:val="auto"/>
                <w:w w:val="99"/>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1,184</w:t>
            </w:r>
          </w:p>
        </w:tc>
        <w:tc>
          <w:tcPr>
            <w:tcW w:w="0" w:type="dxa"/>
            <w:vAlign w:val="bottom"/>
          </w:tcPr>
          <w:p>
            <w:pPr>
              <w:spacing w:after="0"/>
              <w:rPr>
                <w:sz w:val="1"/>
                <w:szCs w:val="1"/>
                <w:color w:val="auto"/>
              </w:rPr>
            </w:pPr>
          </w:p>
        </w:tc>
      </w:tr>
      <w:tr>
        <w:trPr>
          <w:trHeight w:val="230"/>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8,294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center"/>
              <w:ind w:left="695"/>
              <w:spacing w:after="0"/>
              <w:rPr>
                <w:sz w:val="20"/>
                <w:szCs w:val="20"/>
                <w:color w:val="auto"/>
              </w:rPr>
            </w:pPr>
            <w:r>
              <w:rPr>
                <w:rFonts w:ascii="Arial" w:cs="Arial" w:eastAsia="Arial" w:hAnsi="Arial"/>
                <w:sz w:val="18"/>
                <w:szCs w:val="18"/>
                <w:color w:val="auto"/>
                <w:w w:val="99"/>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12,300</w:t>
            </w:r>
          </w:p>
        </w:tc>
        <w:tc>
          <w:tcPr>
            <w:tcW w:w="0" w:type="dxa"/>
            <w:vAlign w:val="bottom"/>
          </w:tcPr>
          <w:p>
            <w:pPr>
              <w:spacing w:after="0"/>
              <w:rPr>
                <w:sz w:val="1"/>
                <w:szCs w:val="1"/>
                <w:color w:val="auto"/>
              </w:rPr>
            </w:pPr>
          </w:p>
        </w:tc>
      </w:tr>
      <w:tr>
        <w:trPr>
          <w:trHeight w:val="223"/>
        </w:trPr>
        <w:tc>
          <w:tcPr>
            <w:tcW w:w="5160" w:type="dxa"/>
            <w:vAlign w:val="bottom"/>
          </w:tcPr>
          <w:p>
            <w:pPr>
              <w:ind w:left="20"/>
              <w:spacing w:after="0"/>
              <w:rPr>
                <w:sz w:val="20"/>
                <w:szCs w:val="20"/>
                <w:color w:val="auto"/>
              </w:rPr>
            </w:pPr>
            <w:r>
              <w:rPr>
                <w:rFonts w:ascii="Arial" w:cs="Arial" w:eastAsia="Arial" w:hAnsi="Arial"/>
                <w:sz w:val="18"/>
                <w:szCs w:val="18"/>
                <w:color w:val="auto"/>
              </w:rPr>
              <w:t>Total net sales</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77,776</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49,075</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center"/>
              <w:ind w:left="775"/>
              <w:spacing w:after="0"/>
              <w:rPr>
                <w:sz w:val="20"/>
                <w:szCs w:val="20"/>
                <w:color w:val="auto"/>
              </w:rPr>
            </w:pPr>
            <w:r>
              <w:rPr>
                <w:rFonts w:ascii="Arial" w:cs="Arial" w:eastAsia="Arial" w:hAnsi="Arial"/>
                <w:sz w:val="18"/>
                <w:szCs w:val="18"/>
                <w:color w:val="auto"/>
                <w:w w:val="93"/>
              </w:rPr>
              <w:t>(47)</w:t>
            </w:r>
          </w:p>
        </w:tc>
        <w:tc>
          <w:tcPr>
            <w:tcW w:w="12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126,804</w:t>
            </w:r>
          </w:p>
        </w:tc>
        <w:tc>
          <w:tcPr>
            <w:tcW w:w="0" w:type="dxa"/>
            <w:vAlign w:val="bottom"/>
          </w:tcPr>
          <w:p>
            <w:pPr>
              <w:spacing w:after="0"/>
              <w:rPr>
                <w:sz w:val="1"/>
                <w:szCs w:val="1"/>
                <w:color w:val="auto"/>
              </w:rPr>
            </w:pPr>
          </w:p>
        </w:tc>
      </w:tr>
      <w:tr>
        <w:trPr>
          <w:trHeight w:val="21"/>
        </w:trPr>
        <w:tc>
          <w:tcPr>
            <w:tcW w:w="5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36"/>
        </w:trPr>
        <w:tc>
          <w:tcPr>
            <w:tcW w:w="51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gridSpan w:val="5"/>
          </w:tcPr>
          <w:p>
            <w:pPr>
              <w:ind w:left="140"/>
              <w:spacing w:after="0"/>
              <w:rPr>
                <w:sz w:val="20"/>
                <w:szCs w:val="20"/>
                <w:color w:val="auto"/>
              </w:rPr>
            </w:pPr>
            <w:r>
              <w:rPr>
                <w:rFonts w:ascii="Arial" w:cs="Arial" w:eastAsia="Arial" w:hAnsi="Arial"/>
                <w:sz w:val="14"/>
                <w:szCs w:val="14"/>
                <w:b w:val="1"/>
                <w:bCs w:val="1"/>
                <w:color w:val="auto"/>
              </w:rPr>
              <w:t>Three Months Ended March 31, 2020</w:t>
            </w:r>
          </w:p>
        </w:tc>
        <w:tc>
          <w:tcPr>
            <w:tcW w:w="3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5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9"/>
              </w:rPr>
              <w:t>Mobile</w:t>
            </w:r>
          </w:p>
        </w:tc>
        <w:tc>
          <w:tcPr>
            <w:tcW w:w="260" w:type="dxa"/>
            <w:vAlign w:val="bottom"/>
          </w:tcPr>
          <w:p>
            <w:pPr>
              <w:spacing w:after="0"/>
              <w:rPr>
                <w:sz w:val="11"/>
                <w:szCs w:val="11"/>
                <w:color w:val="auto"/>
              </w:rPr>
            </w:pPr>
          </w:p>
        </w:tc>
        <w:tc>
          <w:tcPr>
            <w:tcW w:w="124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Power</w:t>
            </w:r>
          </w:p>
        </w:tc>
        <w:tc>
          <w:tcPr>
            <w:tcW w:w="200" w:type="dxa"/>
            <w:vAlign w:val="bottom"/>
          </w:tcPr>
          <w:p>
            <w:pPr>
              <w:spacing w:after="0"/>
              <w:rPr>
                <w:sz w:val="11"/>
                <w:szCs w:val="11"/>
                <w:color w:val="auto"/>
              </w:rPr>
            </w:pPr>
          </w:p>
        </w:tc>
        <w:tc>
          <w:tcPr>
            <w:tcW w:w="132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w w:val="93"/>
              </w:rPr>
              <w:t>Intersegment</w:t>
            </w:r>
          </w:p>
        </w:tc>
        <w:tc>
          <w:tcPr>
            <w:tcW w:w="3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vMerge w:val="continue"/>
          </w:tcPr>
          <w:p>
            <w:pPr>
              <w:spacing w:after="0"/>
              <w:rPr>
                <w:sz w:val="11"/>
                <w:szCs w:val="11"/>
                <w:color w:val="auto"/>
              </w:rPr>
            </w:pPr>
          </w:p>
        </w:tc>
        <w:tc>
          <w:tcPr>
            <w:tcW w:w="260" w:type="dxa"/>
            <w:vAlign w:val="bottom"/>
          </w:tcPr>
          <w:p>
            <w:pPr>
              <w:spacing w:after="0"/>
              <w:rPr>
                <w:sz w:val="11"/>
                <w:szCs w:val="11"/>
                <w:color w:val="auto"/>
              </w:rPr>
            </w:pPr>
          </w:p>
        </w:tc>
        <w:tc>
          <w:tcPr>
            <w:tcW w:w="124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320" w:type="dxa"/>
            <w:vAlign w:val="bottom"/>
            <w:gridSpan w:val="2"/>
          </w:tcPr>
          <w:p>
            <w:pPr>
              <w:jc w:val="center"/>
              <w:ind w:right="320"/>
              <w:spacing w:after="0" w:line="135" w:lineRule="exact"/>
              <w:rPr>
                <w:sz w:val="20"/>
                <w:szCs w:val="20"/>
                <w:color w:val="auto"/>
              </w:rPr>
            </w:pPr>
            <w:r>
              <w:rPr>
                <w:rFonts w:ascii="Arial" w:cs="Arial" w:eastAsia="Arial" w:hAnsi="Arial"/>
                <w:sz w:val="14"/>
                <w:szCs w:val="14"/>
                <w:b w:val="1"/>
                <w:bCs w:val="1"/>
                <w:color w:val="auto"/>
                <w:w w:val="87"/>
              </w:rPr>
              <w:t>Sales</w:t>
            </w:r>
          </w:p>
        </w:tc>
        <w:tc>
          <w:tcPr>
            <w:tcW w:w="360" w:type="dxa"/>
            <w:vAlign w:val="bottom"/>
          </w:tcPr>
          <w:p>
            <w:pPr>
              <w:spacing w:after="0"/>
              <w:rPr>
                <w:sz w:val="11"/>
                <w:szCs w:val="11"/>
                <w:color w:val="auto"/>
              </w:rPr>
            </w:pPr>
          </w:p>
        </w:tc>
        <w:tc>
          <w:tcPr>
            <w:tcW w:w="1200" w:type="dxa"/>
            <w:vAlign w:val="bottom"/>
            <w:vMerge w:val="restart"/>
          </w:tcPr>
          <w:p>
            <w:pPr>
              <w:jc w:val="right"/>
              <w:ind w:right="53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5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7"/>
              </w:rPr>
              <w:t>Solutions</w:t>
            </w:r>
          </w:p>
        </w:tc>
        <w:tc>
          <w:tcPr>
            <w:tcW w:w="260" w:type="dxa"/>
            <w:vAlign w:val="bottom"/>
          </w:tcPr>
          <w:p>
            <w:pPr>
              <w:spacing w:after="0"/>
              <w:rPr>
                <w:sz w:val="16"/>
                <w:szCs w:val="16"/>
                <w:color w:val="auto"/>
              </w:rPr>
            </w:pPr>
          </w:p>
        </w:tc>
        <w:tc>
          <w:tcPr>
            <w:tcW w:w="1240" w:type="dxa"/>
            <w:vAlign w:val="bottom"/>
            <w:gridSpan w:val="2"/>
          </w:tcPr>
          <w:p>
            <w:pPr>
              <w:ind w:left="160"/>
              <w:spacing w:after="0"/>
              <w:rPr>
                <w:sz w:val="20"/>
                <w:szCs w:val="20"/>
                <w:color w:val="auto"/>
              </w:rPr>
            </w:pPr>
            <w:r>
              <w:rPr>
                <w:rFonts w:ascii="Arial" w:cs="Arial" w:eastAsia="Arial" w:hAnsi="Arial"/>
                <w:sz w:val="14"/>
                <w:szCs w:val="14"/>
                <w:b w:val="1"/>
                <w:bCs w:val="1"/>
                <w:color w:val="auto"/>
              </w:rPr>
              <w:t>Solutions</w:t>
            </w:r>
          </w:p>
        </w:tc>
        <w:tc>
          <w:tcPr>
            <w:tcW w:w="200" w:type="dxa"/>
            <w:vAlign w:val="bottom"/>
          </w:tcPr>
          <w:p>
            <w:pPr>
              <w:spacing w:after="0"/>
              <w:rPr>
                <w:sz w:val="16"/>
                <w:szCs w:val="16"/>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Eliminations</w:t>
            </w:r>
          </w:p>
        </w:tc>
        <w:tc>
          <w:tcPr>
            <w:tcW w:w="36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5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United States and Puerto Rico</w:t>
            </w: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37,129</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38,297</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shd w:val="clear" w:color="auto" w:fill="CCEEFF"/>
          </w:tcPr>
          <w:p>
            <w:pPr>
              <w:jc w:val="center"/>
              <w:ind w:left="775"/>
              <w:spacing w:after="0"/>
              <w:rPr>
                <w:sz w:val="20"/>
                <w:szCs w:val="20"/>
                <w:color w:val="auto"/>
              </w:rPr>
            </w:pPr>
            <w:r>
              <w:rPr>
                <w:rFonts w:ascii="Arial" w:cs="Arial" w:eastAsia="Arial" w:hAnsi="Arial"/>
                <w:sz w:val="18"/>
                <w:szCs w:val="18"/>
                <w:color w:val="auto"/>
                <w:w w:val="93"/>
              </w:rPr>
              <w:t>(72)</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75,354</w:t>
            </w:r>
          </w:p>
        </w:tc>
        <w:tc>
          <w:tcPr>
            <w:tcW w:w="0" w:type="dxa"/>
            <w:vAlign w:val="bottom"/>
          </w:tcPr>
          <w:p>
            <w:pPr>
              <w:spacing w:after="0"/>
              <w:rPr>
                <w:sz w:val="1"/>
                <w:szCs w:val="1"/>
                <w:color w:val="auto"/>
              </w:rPr>
            </w:pPr>
          </w:p>
        </w:tc>
      </w:tr>
      <w:tr>
        <w:trPr>
          <w:trHeight w:val="230"/>
        </w:trPr>
        <w:tc>
          <w:tcPr>
            <w:tcW w:w="5160" w:type="dxa"/>
            <w:vAlign w:val="bottom"/>
          </w:tcPr>
          <w:p>
            <w:pPr>
              <w:ind w:left="20"/>
              <w:spacing w:after="0"/>
              <w:rPr>
                <w:sz w:val="20"/>
                <w:szCs w:val="20"/>
                <w:color w:val="auto"/>
              </w:rPr>
            </w:pPr>
            <w:r>
              <w:rPr>
                <w:rFonts w:ascii="Arial" w:cs="Arial" w:eastAsia="Arial" w:hAnsi="Arial"/>
                <w:sz w:val="18"/>
                <w:szCs w:val="18"/>
                <w:color w:val="auto"/>
              </w:rPr>
              <w:t>China</w:t>
            </w: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7,692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1,157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gridSpan w:val="2"/>
          </w:tcPr>
          <w:p>
            <w:pPr>
              <w:jc w:val="center"/>
              <w:ind w:left="695"/>
              <w:spacing w:after="0"/>
              <w:rPr>
                <w:sz w:val="20"/>
                <w:szCs w:val="20"/>
                <w:color w:val="auto"/>
              </w:rPr>
            </w:pPr>
            <w:r>
              <w:rPr>
                <w:rFonts w:ascii="Arial" w:cs="Arial" w:eastAsia="Arial" w:hAnsi="Arial"/>
                <w:sz w:val="18"/>
                <w:szCs w:val="18"/>
                <w:color w:val="auto"/>
                <w:w w:val="99"/>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8,849</w:t>
            </w:r>
          </w:p>
        </w:tc>
        <w:tc>
          <w:tcPr>
            <w:tcW w:w="0" w:type="dxa"/>
            <w:vAlign w:val="bottom"/>
          </w:tcPr>
          <w:p>
            <w:pPr>
              <w:spacing w:after="0"/>
              <w:rPr>
                <w:sz w:val="1"/>
                <w:szCs w:val="1"/>
                <w:color w:val="auto"/>
              </w:rPr>
            </w:pPr>
          </w:p>
        </w:tc>
      </w:tr>
      <w:tr>
        <w:trPr>
          <w:trHeight w:val="230"/>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Brazil</w:t>
            </w: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8,583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center"/>
              <w:ind w:left="695"/>
              <w:spacing w:after="0"/>
              <w:rPr>
                <w:sz w:val="20"/>
                <w:szCs w:val="20"/>
                <w:color w:val="auto"/>
              </w:rPr>
            </w:pPr>
            <w:r>
              <w:rPr>
                <w:rFonts w:ascii="Arial" w:cs="Arial" w:eastAsia="Arial" w:hAnsi="Arial"/>
                <w:sz w:val="18"/>
                <w:szCs w:val="18"/>
                <w:color w:val="auto"/>
                <w:w w:val="99"/>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8,713</w:t>
            </w:r>
          </w:p>
        </w:tc>
        <w:tc>
          <w:tcPr>
            <w:tcW w:w="0" w:type="dxa"/>
            <w:vAlign w:val="bottom"/>
          </w:tcPr>
          <w:p>
            <w:pPr>
              <w:spacing w:after="0"/>
              <w:rPr>
                <w:sz w:val="1"/>
                <w:szCs w:val="1"/>
                <w:color w:val="auto"/>
              </w:rPr>
            </w:pPr>
          </w:p>
        </w:tc>
      </w:tr>
      <w:tr>
        <w:trPr>
          <w:trHeight w:val="230"/>
        </w:trPr>
        <w:tc>
          <w:tcPr>
            <w:tcW w:w="5160" w:type="dxa"/>
            <w:vAlign w:val="bottom"/>
          </w:tcPr>
          <w:p>
            <w:pPr>
              <w:ind w:left="20"/>
              <w:spacing w:after="0"/>
              <w:rPr>
                <w:sz w:val="20"/>
                <w:szCs w:val="20"/>
                <w:color w:val="auto"/>
              </w:rPr>
            </w:pPr>
            <w:r>
              <w:rPr>
                <w:rFonts w:ascii="Arial" w:cs="Arial" w:eastAsia="Arial" w:hAnsi="Arial"/>
                <w:sz w:val="18"/>
                <w:szCs w:val="18"/>
                <w:color w:val="auto"/>
              </w:rPr>
              <w:t>Mexico</w:t>
            </w: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4,836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2,143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gridSpan w:val="2"/>
          </w:tcPr>
          <w:p>
            <w:pPr>
              <w:jc w:val="center"/>
              <w:ind w:left="695"/>
              <w:spacing w:after="0"/>
              <w:rPr>
                <w:sz w:val="20"/>
                <w:szCs w:val="20"/>
                <w:color w:val="auto"/>
              </w:rPr>
            </w:pPr>
            <w:r>
              <w:rPr>
                <w:rFonts w:ascii="Arial" w:cs="Arial" w:eastAsia="Arial" w:hAnsi="Arial"/>
                <w:sz w:val="18"/>
                <w:szCs w:val="18"/>
                <w:color w:val="auto"/>
                <w:w w:val="99"/>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6,979</w:t>
            </w:r>
          </w:p>
        </w:tc>
        <w:tc>
          <w:tcPr>
            <w:tcW w:w="0" w:type="dxa"/>
            <w:vAlign w:val="bottom"/>
          </w:tcPr>
          <w:p>
            <w:pPr>
              <w:spacing w:after="0"/>
              <w:rPr>
                <w:sz w:val="1"/>
                <w:szCs w:val="1"/>
                <w:color w:val="auto"/>
              </w:rPr>
            </w:pPr>
          </w:p>
        </w:tc>
      </w:tr>
      <w:tr>
        <w:trPr>
          <w:trHeight w:val="229"/>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Germany</w:t>
            </w: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center"/>
              <w:ind w:left="695"/>
              <w:spacing w:after="0"/>
              <w:rPr>
                <w:sz w:val="20"/>
                <w:szCs w:val="20"/>
                <w:color w:val="auto"/>
              </w:rPr>
            </w:pPr>
            <w:r>
              <w:rPr>
                <w:rFonts w:ascii="Arial" w:cs="Arial" w:eastAsia="Arial" w:hAnsi="Arial"/>
                <w:sz w:val="18"/>
                <w:szCs w:val="18"/>
                <w:color w:val="auto"/>
                <w:w w:val="99"/>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2,189</w:t>
            </w:r>
          </w:p>
        </w:tc>
        <w:tc>
          <w:tcPr>
            <w:tcW w:w="0" w:type="dxa"/>
            <w:vAlign w:val="bottom"/>
          </w:tcPr>
          <w:p>
            <w:pPr>
              <w:spacing w:after="0"/>
              <w:rPr>
                <w:sz w:val="1"/>
                <w:szCs w:val="1"/>
                <w:color w:val="auto"/>
              </w:rPr>
            </w:pPr>
          </w:p>
        </w:tc>
      </w:tr>
      <w:tr>
        <w:trPr>
          <w:trHeight w:val="230"/>
        </w:trPr>
        <w:tc>
          <w:tcPr>
            <w:tcW w:w="5160" w:type="dxa"/>
            <w:vAlign w:val="bottom"/>
          </w:tcPr>
          <w:p>
            <w:pPr>
              <w:ind w:left="20"/>
              <w:spacing w:after="0"/>
              <w:rPr>
                <w:sz w:val="20"/>
                <w:szCs w:val="20"/>
                <w:color w:val="auto"/>
              </w:rPr>
            </w:pPr>
            <w:r>
              <w:rPr>
                <w:rFonts w:ascii="Arial" w:cs="Arial" w:eastAsia="Arial" w:hAnsi="Arial"/>
                <w:sz w:val="18"/>
                <w:szCs w:val="18"/>
                <w:color w:val="auto"/>
              </w:rPr>
              <w:t>Poland</w:t>
            </w: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1,758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gridSpan w:val="2"/>
          </w:tcPr>
          <w:p>
            <w:pPr>
              <w:jc w:val="center"/>
              <w:ind w:left="695"/>
              <w:spacing w:after="0"/>
              <w:rPr>
                <w:sz w:val="20"/>
                <w:szCs w:val="20"/>
                <w:color w:val="auto"/>
              </w:rPr>
            </w:pPr>
            <w:r>
              <w:rPr>
                <w:rFonts w:ascii="Arial" w:cs="Arial" w:eastAsia="Arial" w:hAnsi="Arial"/>
                <w:sz w:val="18"/>
                <w:szCs w:val="18"/>
                <w:color w:val="auto"/>
                <w:w w:val="99"/>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1,763</w:t>
            </w:r>
          </w:p>
        </w:tc>
        <w:tc>
          <w:tcPr>
            <w:tcW w:w="0" w:type="dxa"/>
            <w:vAlign w:val="bottom"/>
          </w:tcPr>
          <w:p>
            <w:pPr>
              <w:spacing w:after="0"/>
              <w:rPr>
                <w:sz w:val="1"/>
                <w:szCs w:val="1"/>
                <w:color w:val="auto"/>
              </w:rPr>
            </w:pPr>
          </w:p>
        </w:tc>
      </w:tr>
      <w:tr>
        <w:trPr>
          <w:trHeight w:val="230"/>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7,736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center"/>
              <w:ind w:left="695"/>
              <w:spacing w:after="0"/>
              <w:rPr>
                <w:sz w:val="20"/>
                <w:szCs w:val="20"/>
                <w:color w:val="auto"/>
              </w:rPr>
            </w:pPr>
            <w:r>
              <w:rPr>
                <w:rFonts w:ascii="Arial" w:cs="Arial" w:eastAsia="Arial" w:hAnsi="Arial"/>
                <w:sz w:val="18"/>
                <w:szCs w:val="18"/>
                <w:color w:val="auto"/>
                <w:w w:val="99"/>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12,366</w:t>
            </w:r>
          </w:p>
        </w:tc>
        <w:tc>
          <w:tcPr>
            <w:tcW w:w="0" w:type="dxa"/>
            <w:vAlign w:val="bottom"/>
          </w:tcPr>
          <w:p>
            <w:pPr>
              <w:spacing w:after="0"/>
              <w:rPr>
                <w:sz w:val="1"/>
                <w:szCs w:val="1"/>
                <w:color w:val="auto"/>
              </w:rPr>
            </w:pPr>
          </w:p>
        </w:tc>
      </w:tr>
      <w:tr>
        <w:trPr>
          <w:trHeight w:val="223"/>
        </w:trPr>
        <w:tc>
          <w:tcPr>
            <w:tcW w:w="5160" w:type="dxa"/>
            <w:vAlign w:val="bottom"/>
          </w:tcPr>
          <w:p>
            <w:pPr>
              <w:ind w:left="20"/>
              <w:spacing w:after="0"/>
              <w:rPr>
                <w:sz w:val="20"/>
                <w:szCs w:val="20"/>
                <w:color w:val="auto"/>
              </w:rPr>
            </w:pPr>
            <w:r>
              <w:rPr>
                <w:rFonts w:ascii="Arial" w:cs="Arial" w:eastAsia="Arial" w:hAnsi="Arial"/>
                <w:sz w:val="18"/>
                <w:szCs w:val="18"/>
                <w:color w:val="auto"/>
              </w:rPr>
              <w:t>Total net sales</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69,884</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46,401</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center"/>
              <w:ind w:left="775"/>
              <w:spacing w:after="0"/>
              <w:rPr>
                <w:sz w:val="20"/>
                <w:szCs w:val="20"/>
                <w:color w:val="auto"/>
              </w:rPr>
            </w:pPr>
            <w:r>
              <w:rPr>
                <w:rFonts w:ascii="Arial" w:cs="Arial" w:eastAsia="Arial" w:hAnsi="Arial"/>
                <w:sz w:val="18"/>
                <w:szCs w:val="18"/>
                <w:color w:val="auto"/>
                <w:w w:val="93"/>
              </w:rPr>
              <w:t>(72)</w:t>
            </w:r>
          </w:p>
        </w:tc>
        <w:tc>
          <w:tcPr>
            <w:tcW w:w="12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116,213</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44"/>
        </w:trPr>
        <w:tc>
          <w:tcPr>
            <w:tcW w:w="5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jc w:val="right"/>
              <w:ind w:right="753"/>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1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5"/>
          </w:tcPr>
          <w:p>
            <w:pPr>
              <w:ind w:left="140"/>
              <w:spacing w:after="0"/>
              <w:rPr>
                <w:sz w:val="20"/>
                <w:szCs w:val="20"/>
                <w:color w:val="auto"/>
              </w:rPr>
            </w:pPr>
            <w:r>
              <w:rPr>
                <w:rFonts w:ascii="Arial" w:cs="Arial" w:eastAsia="Arial" w:hAnsi="Arial"/>
                <w:sz w:val="14"/>
                <w:szCs w:val="14"/>
                <w:b w:val="1"/>
                <w:bCs w:val="1"/>
                <w:color w:val="auto"/>
              </w:rPr>
              <w:t>Three Months Ended March 31, 2021</w:t>
            </w: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5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4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9"/>
              </w:rPr>
              <w:t>Mobile</w:t>
            </w:r>
          </w:p>
        </w:tc>
        <w:tc>
          <w:tcPr>
            <w:tcW w:w="260" w:type="dxa"/>
            <w:vAlign w:val="bottom"/>
          </w:tcPr>
          <w:p>
            <w:pPr>
              <w:spacing w:after="0"/>
              <w:rPr>
                <w:sz w:val="11"/>
                <w:szCs w:val="11"/>
                <w:color w:val="auto"/>
              </w:rPr>
            </w:pPr>
          </w:p>
        </w:tc>
        <w:tc>
          <w:tcPr>
            <w:tcW w:w="124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Power</w:t>
            </w:r>
          </w:p>
        </w:tc>
        <w:tc>
          <w:tcPr>
            <w:tcW w:w="200" w:type="dxa"/>
            <w:vAlign w:val="bottom"/>
          </w:tcPr>
          <w:p>
            <w:pPr>
              <w:spacing w:after="0"/>
              <w:rPr>
                <w:sz w:val="11"/>
                <w:szCs w:val="11"/>
                <w:color w:val="auto"/>
              </w:rPr>
            </w:pPr>
          </w:p>
        </w:tc>
        <w:tc>
          <w:tcPr>
            <w:tcW w:w="132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w w:val="93"/>
              </w:rPr>
              <w:t>Intersegment</w:t>
            </w:r>
          </w:p>
        </w:tc>
        <w:tc>
          <w:tcPr>
            <w:tcW w:w="3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40" w:type="dxa"/>
            <w:vAlign w:val="bottom"/>
            <w:gridSpan w:val="2"/>
            <w:vMerge w:val="continue"/>
          </w:tcPr>
          <w:p>
            <w:pPr>
              <w:spacing w:after="0"/>
              <w:rPr>
                <w:sz w:val="11"/>
                <w:szCs w:val="11"/>
                <w:color w:val="auto"/>
              </w:rPr>
            </w:pPr>
          </w:p>
        </w:tc>
        <w:tc>
          <w:tcPr>
            <w:tcW w:w="260" w:type="dxa"/>
            <w:vAlign w:val="bottom"/>
          </w:tcPr>
          <w:p>
            <w:pPr>
              <w:spacing w:after="0"/>
              <w:rPr>
                <w:sz w:val="11"/>
                <w:szCs w:val="11"/>
                <w:color w:val="auto"/>
              </w:rPr>
            </w:pPr>
          </w:p>
        </w:tc>
        <w:tc>
          <w:tcPr>
            <w:tcW w:w="124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320" w:type="dxa"/>
            <w:vAlign w:val="bottom"/>
            <w:gridSpan w:val="2"/>
          </w:tcPr>
          <w:p>
            <w:pPr>
              <w:jc w:val="center"/>
              <w:ind w:right="320"/>
              <w:spacing w:after="0" w:line="135" w:lineRule="exact"/>
              <w:rPr>
                <w:sz w:val="20"/>
                <w:szCs w:val="20"/>
                <w:color w:val="auto"/>
              </w:rPr>
            </w:pPr>
            <w:r>
              <w:rPr>
                <w:rFonts w:ascii="Arial" w:cs="Arial" w:eastAsia="Arial" w:hAnsi="Arial"/>
                <w:sz w:val="14"/>
                <w:szCs w:val="14"/>
                <w:b w:val="1"/>
                <w:bCs w:val="1"/>
                <w:color w:val="auto"/>
                <w:w w:val="87"/>
              </w:rPr>
              <w:t>Sales</w:t>
            </w:r>
          </w:p>
        </w:tc>
        <w:tc>
          <w:tcPr>
            <w:tcW w:w="360" w:type="dxa"/>
            <w:vAlign w:val="bottom"/>
          </w:tcPr>
          <w:p>
            <w:pPr>
              <w:spacing w:after="0"/>
              <w:rPr>
                <w:sz w:val="11"/>
                <w:szCs w:val="11"/>
                <w:color w:val="auto"/>
              </w:rPr>
            </w:pPr>
          </w:p>
        </w:tc>
        <w:tc>
          <w:tcPr>
            <w:tcW w:w="1200" w:type="dxa"/>
            <w:vAlign w:val="bottom"/>
            <w:vMerge w:val="restart"/>
          </w:tcPr>
          <w:p>
            <w:pPr>
              <w:jc w:val="right"/>
              <w:ind w:right="53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5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7"/>
              </w:rPr>
              <w:t>Solutions</w:t>
            </w:r>
          </w:p>
        </w:tc>
        <w:tc>
          <w:tcPr>
            <w:tcW w:w="260" w:type="dxa"/>
            <w:vAlign w:val="bottom"/>
          </w:tcPr>
          <w:p>
            <w:pPr>
              <w:spacing w:after="0"/>
              <w:rPr>
                <w:sz w:val="16"/>
                <w:szCs w:val="16"/>
                <w:color w:val="auto"/>
              </w:rPr>
            </w:pPr>
          </w:p>
        </w:tc>
        <w:tc>
          <w:tcPr>
            <w:tcW w:w="1240" w:type="dxa"/>
            <w:vAlign w:val="bottom"/>
            <w:gridSpan w:val="2"/>
          </w:tcPr>
          <w:p>
            <w:pPr>
              <w:ind w:left="160"/>
              <w:spacing w:after="0"/>
              <w:rPr>
                <w:sz w:val="20"/>
                <w:szCs w:val="20"/>
                <w:color w:val="auto"/>
              </w:rPr>
            </w:pPr>
            <w:r>
              <w:rPr>
                <w:rFonts w:ascii="Arial" w:cs="Arial" w:eastAsia="Arial" w:hAnsi="Arial"/>
                <w:sz w:val="14"/>
                <w:szCs w:val="14"/>
                <w:b w:val="1"/>
                <w:bCs w:val="1"/>
                <w:color w:val="auto"/>
              </w:rPr>
              <w:t>Solutions</w:t>
            </w:r>
          </w:p>
        </w:tc>
        <w:tc>
          <w:tcPr>
            <w:tcW w:w="200" w:type="dxa"/>
            <w:vAlign w:val="bottom"/>
          </w:tcPr>
          <w:p>
            <w:pPr>
              <w:spacing w:after="0"/>
              <w:rPr>
                <w:sz w:val="16"/>
                <w:szCs w:val="16"/>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Eliminations</w:t>
            </w:r>
          </w:p>
        </w:tc>
        <w:tc>
          <w:tcPr>
            <w:tcW w:w="36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5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Automotive</w:t>
            </w: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50,144</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13,460</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63,604</w:t>
            </w:r>
          </w:p>
        </w:tc>
        <w:tc>
          <w:tcPr>
            <w:tcW w:w="0" w:type="dxa"/>
            <w:vAlign w:val="bottom"/>
          </w:tcPr>
          <w:p>
            <w:pPr>
              <w:spacing w:after="0"/>
              <w:rPr>
                <w:sz w:val="1"/>
                <w:szCs w:val="1"/>
                <w:color w:val="auto"/>
              </w:rPr>
            </w:pPr>
          </w:p>
        </w:tc>
      </w:tr>
      <w:tr>
        <w:trPr>
          <w:trHeight w:val="230"/>
        </w:trPr>
        <w:tc>
          <w:tcPr>
            <w:tcW w:w="5160" w:type="dxa"/>
            <w:vAlign w:val="bottom"/>
          </w:tcPr>
          <w:p>
            <w:pPr>
              <w:ind w:left="20"/>
              <w:spacing w:after="0"/>
              <w:rPr>
                <w:sz w:val="20"/>
                <w:szCs w:val="20"/>
                <w:color w:val="auto"/>
              </w:rPr>
            </w:pPr>
            <w:r>
              <w:rPr>
                <w:rFonts w:ascii="Arial" w:cs="Arial" w:eastAsia="Arial" w:hAnsi="Arial"/>
                <w:sz w:val="18"/>
                <w:szCs w:val="18"/>
                <w:color w:val="auto"/>
              </w:rPr>
              <w:t>General Industrial</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24,310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13,710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38,020</w:t>
            </w:r>
          </w:p>
        </w:tc>
        <w:tc>
          <w:tcPr>
            <w:tcW w:w="0" w:type="dxa"/>
            <w:vAlign w:val="bottom"/>
          </w:tcPr>
          <w:p>
            <w:pPr>
              <w:spacing w:after="0"/>
              <w:rPr>
                <w:sz w:val="1"/>
                <w:szCs w:val="1"/>
                <w:color w:val="auto"/>
              </w:rPr>
            </w:pPr>
          </w:p>
        </w:tc>
      </w:tr>
      <w:tr>
        <w:trPr>
          <w:trHeight w:val="229"/>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Electrical</w:t>
            </w:r>
          </w:p>
        </w:tc>
        <w:tc>
          <w:tcPr>
            <w:tcW w:w="2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15,182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15,182</w:t>
            </w:r>
          </w:p>
        </w:tc>
        <w:tc>
          <w:tcPr>
            <w:tcW w:w="0" w:type="dxa"/>
            <w:vAlign w:val="bottom"/>
          </w:tcPr>
          <w:p>
            <w:pPr>
              <w:spacing w:after="0"/>
              <w:rPr>
                <w:sz w:val="1"/>
                <w:szCs w:val="1"/>
                <w:color w:val="auto"/>
              </w:rPr>
            </w:pPr>
          </w:p>
        </w:tc>
      </w:tr>
      <w:tr>
        <w:trPr>
          <w:trHeight w:val="229"/>
        </w:trPr>
        <w:tc>
          <w:tcPr>
            <w:tcW w:w="51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3,322</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6,723</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9,998</w:t>
            </w:r>
          </w:p>
        </w:tc>
        <w:tc>
          <w:tcPr>
            <w:tcW w:w="0" w:type="dxa"/>
            <w:vAlign w:val="bottom"/>
          </w:tcPr>
          <w:p>
            <w:pPr>
              <w:spacing w:after="0"/>
              <w:rPr>
                <w:sz w:val="1"/>
                <w:szCs w:val="1"/>
                <w:color w:val="auto"/>
              </w:rPr>
            </w:pPr>
          </w:p>
        </w:tc>
      </w:tr>
      <w:tr>
        <w:trPr>
          <w:trHeight w:val="248"/>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net sales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77,776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49,075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126,804</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6"/>
        </w:trPr>
        <w:tc>
          <w:tcPr>
            <w:tcW w:w="51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gridSpan w:val="5"/>
          </w:tcPr>
          <w:p>
            <w:pPr>
              <w:ind w:left="140"/>
              <w:spacing w:after="0"/>
              <w:rPr>
                <w:sz w:val="20"/>
                <w:szCs w:val="20"/>
                <w:color w:val="auto"/>
              </w:rPr>
            </w:pPr>
            <w:r>
              <w:rPr>
                <w:rFonts w:ascii="Arial" w:cs="Arial" w:eastAsia="Arial" w:hAnsi="Arial"/>
                <w:sz w:val="14"/>
                <w:szCs w:val="14"/>
                <w:b w:val="1"/>
                <w:bCs w:val="1"/>
                <w:color w:val="auto"/>
              </w:rPr>
              <w:t>Three Months Ended March 31, 2020</w:t>
            </w:r>
          </w:p>
        </w:tc>
        <w:tc>
          <w:tcPr>
            <w:tcW w:w="3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5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4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9"/>
              </w:rPr>
              <w:t>Mobile</w:t>
            </w:r>
          </w:p>
        </w:tc>
        <w:tc>
          <w:tcPr>
            <w:tcW w:w="260" w:type="dxa"/>
            <w:vAlign w:val="bottom"/>
          </w:tcPr>
          <w:p>
            <w:pPr>
              <w:spacing w:after="0"/>
              <w:rPr>
                <w:sz w:val="11"/>
                <w:szCs w:val="11"/>
                <w:color w:val="auto"/>
              </w:rPr>
            </w:pPr>
          </w:p>
        </w:tc>
        <w:tc>
          <w:tcPr>
            <w:tcW w:w="124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Power</w:t>
            </w:r>
          </w:p>
        </w:tc>
        <w:tc>
          <w:tcPr>
            <w:tcW w:w="200" w:type="dxa"/>
            <w:vAlign w:val="bottom"/>
          </w:tcPr>
          <w:p>
            <w:pPr>
              <w:spacing w:after="0"/>
              <w:rPr>
                <w:sz w:val="11"/>
                <w:szCs w:val="11"/>
                <w:color w:val="auto"/>
              </w:rPr>
            </w:pPr>
          </w:p>
        </w:tc>
        <w:tc>
          <w:tcPr>
            <w:tcW w:w="132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w w:val="93"/>
              </w:rPr>
              <w:t>Intersegment</w:t>
            </w:r>
          </w:p>
        </w:tc>
        <w:tc>
          <w:tcPr>
            <w:tcW w:w="3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40" w:type="dxa"/>
            <w:vAlign w:val="bottom"/>
            <w:gridSpan w:val="2"/>
            <w:vMerge w:val="continue"/>
          </w:tcPr>
          <w:p>
            <w:pPr>
              <w:spacing w:after="0"/>
              <w:rPr>
                <w:sz w:val="11"/>
                <w:szCs w:val="11"/>
                <w:color w:val="auto"/>
              </w:rPr>
            </w:pPr>
          </w:p>
        </w:tc>
        <w:tc>
          <w:tcPr>
            <w:tcW w:w="260" w:type="dxa"/>
            <w:vAlign w:val="bottom"/>
          </w:tcPr>
          <w:p>
            <w:pPr>
              <w:spacing w:after="0"/>
              <w:rPr>
                <w:sz w:val="11"/>
                <w:szCs w:val="11"/>
                <w:color w:val="auto"/>
              </w:rPr>
            </w:pPr>
          </w:p>
        </w:tc>
        <w:tc>
          <w:tcPr>
            <w:tcW w:w="124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320" w:type="dxa"/>
            <w:vAlign w:val="bottom"/>
            <w:gridSpan w:val="2"/>
          </w:tcPr>
          <w:p>
            <w:pPr>
              <w:jc w:val="center"/>
              <w:ind w:right="320"/>
              <w:spacing w:after="0" w:line="135" w:lineRule="exact"/>
              <w:rPr>
                <w:sz w:val="20"/>
                <w:szCs w:val="20"/>
                <w:color w:val="auto"/>
              </w:rPr>
            </w:pPr>
            <w:r>
              <w:rPr>
                <w:rFonts w:ascii="Arial" w:cs="Arial" w:eastAsia="Arial" w:hAnsi="Arial"/>
                <w:sz w:val="14"/>
                <w:szCs w:val="14"/>
                <w:b w:val="1"/>
                <w:bCs w:val="1"/>
                <w:color w:val="auto"/>
                <w:w w:val="87"/>
              </w:rPr>
              <w:t>Sales</w:t>
            </w:r>
          </w:p>
        </w:tc>
        <w:tc>
          <w:tcPr>
            <w:tcW w:w="360" w:type="dxa"/>
            <w:vAlign w:val="bottom"/>
          </w:tcPr>
          <w:p>
            <w:pPr>
              <w:spacing w:after="0"/>
              <w:rPr>
                <w:sz w:val="11"/>
                <w:szCs w:val="11"/>
                <w:color w:val="auto"/>
              </w:rPr>
            </w:pPr>
          </w:p>
        </w:tc>
        <w:tc>
          <w:tcPr>
            <w:tcW w:w="1200" w:type="dxa"/>
            <w:vAlign w:val="bottom"/>
            <w:vMerge w:val="restart"/>
          </w:tcPr>
          <w:p>
            <w:pPr>
              <w:jc w:val="right"/>
              <w:ind w:right="53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5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7"/>
              </w:rPr>
              <w:t>Solutions</w:t>
            </w:r>
          </w:p>
        </w:tc>
        <w:tc>
          <w:tcPr>
            <w:tcW w:w="260" w:type="dxa"/>
            <w:vAlign w:val="bottom"/>
          </w:tcPr>
          <w:p>
            <w:pPr>
              <w:spacing w:after="0"/>
              <w:rPr>
                <w:sz w:val="16"/>
                <w:szCs w:val="16"/>
                <w:color w:val="auto"/>
              </w:rPr>
            </w:pPr>
          </w:p>
        </w:tc>
        <w:tc>
          <w:tcPr>
            <w:tcW w:w="1240" w:type="dxa"/>
            <w:vAlign w:val="bottom"/>
            <w:gridSpan w:val="2"/>
          </w:tcPr>
          <w:p>
            <w:pPr>
              <w:ind w:left="160"/>
              <w:spacing w:after="0"/>
              <w:rPr>
                <w:sz w:val="20"/>
                <w:szCs w:val="20"/>
                <w:color w:val="auto"/>
              </w:rPr>
            </w:pPr>
            <w:r>
              <w:rPr>
                <w:rFonts w:ascii="Arial" w:cs="Arial" w:eastAsia="Arial" w:hAnsi="Arial"/>
                <w:sz w:val="14"/>
                <w:szCs w:val="14"/>
                <w:b w:val="1"/>
                <w:bCs w:val="1"/>
                <w:color w:val="auto"/>
              </w:rPr>
              <w:t>Solutions</w:t>
            </w:r>
          </w:p>
        </w:tc>
        <w:tc>
          <w:tcPr>
            <w:tcW w:w="200" w:type="dxa"/>
            <w:vAlign w:val="bottom"/>
          </w:tcPr>
          <w:p>
            <w:pPr>
              <w:spacing w:after="0"/>
              <w:rPr>
                <w:sz w:val="16"/>
                <w:szCs w:val="16"/>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Eliminations</w:t>
            </w:r>
          </w:p>
        </w:tc>
        <w:tc>
          <w:tcPr>
            <w:tcW w:w="36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5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Automotive</w:t>
            </w: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49,074</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12,364</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61,438</w:t>
            </w:r>
          </w:p>
        </w:tc>
        <w:tc>
          <w:tcPr>
            <w:tcW w:w="0" w:type="dxa"/>
            <w:vAlign w:val="bottom"/>
          </w:tcPr>
          <w:p>
            <w:pPr>
              <w:spacing w:after="0"/>
              <w:rPr>
                <w:sz w:val="1"/>
                <w:szCs w:val="1"/>
                <w:color w:val="auto"/>
              </w:rPr>
            </w:pPr>
          </w:p>
        </w:tc>
      </w:tr>
      <w:tr>
        <w:trPr>
          <w:trHeight w:val="229"/>
        </w:trPr>
        <w:tc>
          <w:tcPr>
            <w:tcW w:w="5160" w:type="dxa"/>
            <w:vAlign w:val="bottom"/>
          </w:tcPr>
          <w:p>
            <w:pPr>
              <w:ind w:left="20"/>
              <w:spacing w:after="0"/>
              <w:rPr>
                <w:sz w:val="20"/>
                <w:szCs w:val="20"/>
                <w:color w:val="auto"/>
              </w:rPr>
            </w:pPr>
            <w:r>
              <w:rPr>
                <w:rFonts w:ascii="Arial" w:cs="Arial" w:eastAsia="Arial" w:hAnsi="Arial"/>
                <w:sz w:val="18"/>
                <w:szCs w:val="18"/>
                <w:color w:val="auto"/>
              </w:rPr>
              <w:t>General Industrial</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17,979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12,543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30,522</w:t>
            </w:r>
          </w:p>
        </w:tc>
        <w:tc>
          <w:tcPr>
            <w:tcW w:w="0" w:type="dxa"/>
            <w:vAlign w:val="bottom"/>
          </w:tcPr>
          <w:p>
            <w:pPr>
              <w:spacing w:after="0"/>
              <w:rPr>
                <w:sz w:val="1"/>
                <w:szCs w:val="1"/>
                <w:color w:val="auto"/>
              </w:rPr>
            </w:pPr>
          </w:p>
        </w:tc>
      </w:tr>
      <w:tr>
        <w:trPr>
          <w:trHeight w:val="229"/>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Electrical</w:t>
            </w:r>
          </w:p>
        </w:tc>
        <w:tc>
          <w:tcPr>
            <w:tcW w:w="2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13,861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13,861</w:t>
            </w:r>
          </w:p>
        </w:tc>
        <w:tc>
          <w:tcPr>
            <w:tcW w:w="0" w:type="dxa"/>
            <w:vAlign w:val="bottom"/>
          </w:tcPr>
          <w:p>
            <w:pPr>
              <w:spacing w:after="0"/>
              <w:rPr>
                <w:sz w:val="1"/>
                <w:szCs w:val="1"/>
                <w:color w:val="auto"/>
              </w:rPr>
            </w:pPr>
          </w:p>
        </w:tc>
      </w:tr>
      <w:tr>
        <w:trPr>
          <w:trHeight w:val="230"/>
        </w:trPr>
        <w:tc>
          <w:tcPr>
            <w:tcW w:w="51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2,831</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7,633</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10,392</w:t>
            </w:r>
          </w:p>
        </w:tc>
        <w:tc>
          <w:tcPr>
            <w:tcW w:w="0" w:type="dxa"/>
            <w:vAlign w:val="bottom"/>
          </w:tcPr>
          <w:p>
            <w:pPr>
              <w:spacing w:after="0"/>
              <w:rPr>
                <w:sz w:val="1"/>
                <w:szCs w:val="1"/>
                <w:color w:val="auto"/>
              </w:rPr>
            </w:pPr>
          </w:p>
        </w:tc>
      </w:tr>
      <w:tr>
        <w:trPr>
          <w:trHeight w:val="248"/>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net sales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69,884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46,401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116,213</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Transaction Price Allocated to Future Performance Obligations</w:t>
      </w:r>
    </w:p>
    <w:p>
      <w:pPr>
        <w:spacing w:after="0" w:line="117" w:lineRule="exact"/>
        <w:rPr>
          <w:sz w:val="20"/>
          <w:szCs w:val="20"/>
          <w:color w:val="auto"/>
        </w:rPr>
      </w:pPr>
    </w:p>
    <w:p>
      <w:pPr>
        <w:ind w:right="300"/>
        <w:spacing w:after="0" w:line="263" w:lineRule="auto"/>
        <w:rPr>
          <w:sz w:val="20"/>
          <w:szCs w:val="20"/>
          <w:color w:val="auto"/>
        </w:rPr>
      </w:pPr>
      <w:r>
        <w:rPr>
          <w:rFonts w:ascii="Arial" w:cs="Arial" w:eastAsia="Arial" w:hAnsi="Arial"/>
          <w:sz w:val="18"/>
          <w:szCs w:val="18"/>
          <w:color w:val="auto"/>
        </w:rPr>
        <w:t>We are required to disclose the aggregate amount of transaction price that is allocated to performance obligations that have not yet been satisfied as of March 31, 2021, unless our contracts meet one of the practical expedients. Our contracts met the practical expedient for a performance obligation that is part of a contract that has an original expected duration of one year or less.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Concentration</w:t>
      </w:r>
    </w:p>
    <w:p>
      <w:pPr>
        <w:spacing w:after="0" w:line="117"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We recognized sales from a single customer of $13.1 million, or 10% of consolidated net sales, during the three months ended March 31, 2021. We recognized sales from another customer of $11.1 million, or 10% of consolidated net sales, during the three months ended March 31, 2020. Revenues from these customers are primarily in our Mobile Solutions segment.</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Share-Based Compensation</w:t>
      </w:r>
    </w:p>
    <w:p>
      <w:pPr>
        <w:spacing w:after="0" w:line="121" w:lineRule="exact"/>
        <w:rPr>
          <w:sz w:val="20"/>
          <w:szCs w:val="20"/>
          <w:color w:val="auto"/>
        </w:rPr>
      </w:pPr>
    </w:p>
    <w:p>
      <w:pPr>
        <w:ind w:right="120"/>
        <w:spacing w:after="0" w:line="308" w:lineRule="auto"/>
        <w:rPr>
          <w:sz w:val="20"/>
          <w:szCs w:val="20"/>
          <w:color w:val="auto"/>
        </w:rPr>
      </w:pPr>
      <w:r>
        <w:rPr>
          <w:rFonts w:ascii="Arial" w:cs="Arial" w:eastAsia="Arial" w:hAnsi="Arial"/>
          <w:sz w:val="16"/>
          <w:szCs w:val="16"/>
          <w:color w:val="auto"/>
        </w:rPr>
        <w:t>Share-based compensation cost is recognized in the “Selling, general, and administrative expense” line in the Condensed Consolidated Statements of Operations and Comprehensive Income (Loss) except for $0.2 million, attributable to discontinued operations for the three months ended March 31, 2020.</w:t>
      </w:r>
    </w:p>
    <w:p>
      <w:pPr>
        <w:spacing w:after="0"/>
        <w:rPr>
          <w:sz w:val="20"/>
          <w:szCs w:val="20"/>
          <w:color w:val="auto"/>
        </w:rPr>
      </w:pPr>
      <w:r>
        <w:rPr>
          <w:rFonts w:ascii="Arial" w:cs="Arial" w:eastAsia="Arial" w:hAnsi="Arial"/>
          <w:sz w:val="18"/>
          <w:szCs w:val="18"/>
          <w:color w:val="auto"/>
        </w:rPr>
        <w:t>The following table lists the components of share-based compensation expense by type of award.</w:t>
      </w:r>
    </w:p>
    <w:p>
      <w:pPr>
        <w:spacing w:after="0" w:line="234" w:lineRule="exact"/>
        <w:rPr>
          <w:sz w:val="20"/>
          <w:szCs w:val="20"/>
          <w:color w:val="auto"/>
        </w:rPr>
      </w:pPr>
    </w:p>
    <w:p>
      <w:pPr>
        <w:jc w:val="center"/>
        <w:ind w:left="8060"/>
        <w:spacing w:after="0"/>
        <w:rPr>
          <w:sz w:val="20"/>
          <w:szCs w:val="20"/>
          <w:color w:val="auto"/>
        </w:rPr>
      </w:pPr>
      <w:r>
        <w:rPr>
          <w:rFonts w:ascii="Arial" w:cs="Arial" w:eastAsia="Arial" w:hAnsi="Arial"/>
          <w:sz w:val="14"/>
          <w:szCs w:val="14"/>
          <w:b w:val="1"/>
          <w:bCs w:val="1"/>
          <w:color w:val="auto"/>
        </w:rPr>
        <w:t>Three Months Ended</w:t>
      </w:r>
    </w:p>
    <w:p>
      <w:pPr>
        <w:jc w:val="center"/>
        <w:ind w:left="8060"/>
        <w:spacing w:after="0"/>
        <w:rPr>
          <w:sz w:val="20"/>
          <w:szCs w:val="20"/>
          <w:color w:val="auto"/>
        </w:rPr>
      </w:pPr>
      <w:r>
        <w:rPr>
          <w:rFonts w:ascii="Arial" w:cs="Arial" w:eastAsia="Arial" w:hAnsi="Arial"/>
          <w:sz w:val="14"/>
          <w:szCs w:val="14"/>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060" w:type="dxa"/>
            <w:vAlign w:val="bottom"/>
            <w:tcBorders>
              <w:bottom w:val="single" w:sz="8" w:color="CCEEFF"/>
            </w:tcBorders>
          </w:tcPr>
          <w:p>
            <w:pPr>
              <w:spacing w:after="0"/>
              <w:rPr>
                <w:sz w:val="16"/>
                <w:szCs w:val="16"/>
                <w:color w:val="auto"/>
              </w:rPr>
            </w:pPr>
          </w:p>
        </w:tc>
        <w:tc>
          <w:tcPr>
            <w:tcW w:w="4020" w:type="dxa"/>
            <w:vAlign w:val="bottom"/>
            <w:tcBorders>
              <w:bottom w:val="single" w:sz="8" w:color="CCEEFF"/>
            </w:tcBorders>
          </w:tcPr>
          <w:p>
            <w:pPr>
              <w:spacing w:after="0"/>
              <w:rPr>
                <w:sz w:val="16"/>
                <w:szCs w:val="16"/>
                <w:color w:val="auto"/>
              </w:rPr>
            </w:pPr>
          </w:p>
        </w:tc>
        <w:tc>
          <w:tcPr>
            <w:tcW w:w="1040" w:type="dxa"/>
            <w:vAlign w:val="bottom"/>
            <w:tcBorders>
              <w:top w:val="single" w:sz="8" w:color="auto"/>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2021</w:t>
            </w:r>
          </w:p>
        </w:tc>
        <w:tc>
          <w:tcPr>
            <w:tcW w:w="480" w:type="dxa"/>
            <w:vAlign w:val="bottom"/>
            <w:tcBorders>
              <w:top w:val="single" w:sz="8" w:color="auto"/>
              <w:bottom w:val="single" w:sz="8" w:color="auto"/>
            </w:tcBorders>
          </w:tcPr>
          <w:p>
            <w:pPr>
              <w:spacing w:after="0"/>
              <w:rPr>
                <w:sz w:val="16"/>
                <w:szCs w:val="16"/>
                <w:color w:val="auto"/>
              </w:rPr>
            </w:pPr>
          </w:p>
        </w:tc>
        <w:tc>
          <w:tcPr>
            <w:tcW w:w="120" w:type="dxa"/>
            <w:vAlign w:val="bottom"/>
            <w:tcBorders>
              <w:top w:val="single" w:sz="8" w:color="auto"/>
              <w:bottom w:val="single" w:sz="8" w:color="CCEEFF"/>
            </w:tcBorders>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1160" w:type="dxa"/>
            <w:vAlign w:val="bottom"/>
            <w:tcBorders>
              <w:top w:val="single" w:sz="8" w:color="auto"/>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24"/>
        </w:trPr>
        <w:tc>
          <w:tcPr>
            <w:tcW w:w="4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 options</w:t>
            </w:r>
          </w:p>
        </w:tc>
        <w:tc>
          <w:tcPr>
            <w:tcW w:w="40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856"/>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30"/>
        </w:trPr>
        <w:tc>
          <w:tcPr>
            <w:tcW w:w="4060" w:type="dxa"/>
            <w:vAlign w:val="bottom"/>
          </w:tcPr>
          <w:p>
            <w:pPr>
              <w:ind w:left="20"/>
              <w:spacing w:after="0"/>
              <w:rPr>
                <w:sz w:val="20"/>
                <w:szCs w:val="20"/>
                <w:color w:val="auto"/>
              </w:rPr>
            </w:pPr>
            <w:r>
              <w:rPr>
                <w:rFonts w:ascii="Arial" w:cs="Arial" w:eastAsia="Arial" w:hAnsi="Arial"/>
                <w:sz w:val="18"/>
                <w:szCs w:val="18"/>
                <w:color w:val="auto"/>
              </w:rPr>
              <w:t>Restricted stock</w:t>
            </w:r>
          </w:p>
        </w:tc>
        <w:tc>
          <w:tcPr>
            <w:tcW w:w="40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548</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892</w:t>
            </w:r>
          </w:p>
        </w:tc>
        <w:tc>
          <w:tcPr>
            <w:tcW w:w="0" w:type="dxa"/>
            <w:vAlign w:val="bottom"/>
          </w:tcPr>
          <w:p>
            <w:pPr>
              <w:spacing w:after="0"/>
              <w:rPr>
                <w:sz w:val="1"/>
                <w:szCs w:val="1"/>
                <w:color w:val="auto"/>
              </w:rPr>
            </w:pPr>
          </w:p>
        </w:tc>
      </w:tr>
      <w:tr>
        <w:trPr>
          <w:trHeight w:val="230"/>
        </w:trPr>
        <w:tc>
          <w:tcPr>
            <w:tcW w:w="4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Performance share units</w:t>
            </w:r>
          </w:p>
        </w:tc>
        <w:tc>
          <w:tcPr>
            <w:tcW w:w="4020" w:type="dxa"/>
            <w:vAlign w:val="bottom"/>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0" w:type="dxa"/>
            <w:vAlign w:val="bottom"/>
          </w:tcPr>
          <w:p>
            <w:pPr>
              <w:spacing w:after="0"/>
              <w:rPr>
                <w:sz w:val="1"/>
                <w:szCs w:val="1"/>
                <w:color w:val="auto"/>
              </w:rPr>
            </w:pPr>
          </w:p>
        </w:tc>
      </w:tr>
      <w:tr>
        <w:trPr>
          <w:trHeight w:val="223"/>
        </w:trPr>
        <w:tc>
          <w:tcPr>
            <w:tcW w:w="4060" w:type="dxa"/>
            <w:vAlign w:val="bottom"/>
          </w:tcPr>
          <w:p>
            <w:pPr>
              <w:ind w:left="20"/>
              <w:spacing w:after="0"/>
              <w:rPr>
                <w:sz w:val="20"/>
                <w:szCs w:val="20"/>
                <w:color w:val="auto"/>
              </w:rPr>
            </w:pPr>
            <w:r>
              <w:rPr>
                <w:rFonts w:ascii="Arial" w:cs="Arial" w:eastAsia="Arial" w:hAnsi="Arial"/>
                <w:sz w:val="18"/>
                <w:szCs w:val="18"/>
                <w:color w:val="auto"/>
              </w:rPr>
              <w:t>Share-based compensation expense</w:t>
            </w:r>
          </w:p>
        </w:tc>
        <w:tc>
          <w:tcPr>
            <w:tcW w:w="4020" w:type="dxa"/>
            <w:vAlign w:val="bottom"/>
          </w:tcPr>
          <w:p>
            <w:pPr>
              <w:spacing w:after="0"/>
              <w:rPr>
                <w:sz w:val="19"/>
                <w:szCs w:val="19"/>
                <w:color w:val="auto"/>
              </w:rPr>
            </w:pPr>
          </w:p>
        </w:tc>
        <w:tc>
          <w:tcPr>
            <w:tcW w:w="1040" w:type="dxa"/>
            <w:vAlign w:val="bottom"/>
            <w:tcBorders>
              <w:bottom w:val="single" w:sz="8" w:color="auto"/>
            </w:tcBorders>
          </w:tcPr>
          <w:p>
            <w:pPr>
              <w:jc w:val="right"/>
              <w:ind w:right="856"/>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886</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1,296</w:t>
            </w: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4020" w:type="dxa"/>
            <w:vAlign w:val="bottom"/>
            <w:vMerge w:val="restart"/>
          </w:tcPr>
          <w:p>
            <w:pPr>
              <w:jc w:val="right"/>
              <w:ind w:right="2270"/>
              <w:spacing w:after="0"/>
              <w:rPr>
                <w:sz w:val="20"/>
                <w:szCs w:val="20"/>
                <w:color w:val="auto"/>
              </w:rPr>
            </w:pPr>
            <w:r>
              <w:rPr>
                <w:rFonts w:ascii="Arial" w:cs="Arial" w:eastAsia="Arial" w:hAnsi="Arial"/>
                <w:sz w:val="18"/>
                <w:szCs w:val="18"/>
                <w:color w:val="auto"/>
              </w:rPr>
              <w:t>17</w:t>
            </w:r>
          </w:p>
        </w:tc>
        <w:tc>
          <w:tcPr>
            <w:tcW w:w="10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44"/>
        </w:trPr>
        <w:tc>
          <w:tcPr>
            <w:tcW w:w="4060" w:type="dxa"/>
            <w:vAlign w:val="bottom"/>
          </w:tcPr>
          <w:p>
            <w:pPr>
              <w:spacing w:after="0"/>
              <w:rPr>
                <w:sz w:val="24"/>
                <w:szCs w:val="24"/>
                <w:color w:val="auto"/>
              </w:rPr>
            </w:pPr>
          </w:p>
        </w:tc>
        <w:tc>
          <w:tcPr>
            <w:tcW w:w="4020" w:type="dxa"/>
            <w:vAlign w:val="bottom"/>
            <w:vMerge w:val="continue"/>
          </w:tcPr>
          <w:p>
            <w:pPr>
              <w:spacing w:after="0"/>
              <w:rPr>
                <w:sz w:val="24"/>
                <w:szCs w:val="24"/>
                <w:color w:val="auto"/>
              </w:rPr>
            </w:pPr>
          </w:p>
        </w:tc>
        <w:tc>
          <w:tcPr>
            <w:tcW w:w="10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060" w:type="dxa"/>
            <w:vAlign w:val="bottom"/>
            <w:tcBorders>
              <w:bottom w:val="single" w:sz="8" w:color="9A9A9A"/>
            </w:tcBorders>
          </w:tcPr>
          <w:p>
            <w:pPr>
              <w:spacing w:after="0"/>
              <w:rPr>
                <w:sz w:val="10"/>
                <w:szCs w:val="10"/>
                <w:color w:val="auto"/>
              </w:rPr>
            </w:pPr>
          </w:p>
        </w:tc>
        <w:tc>
          <w:tcPr>
            <w:tcW w:w="402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7" w:name="page18"/>
    <w:bookmarkEnd w:id="1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stock option activity for the three months ended March 31, 2021.</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tcPr>
          <w:p>
            <w:pPr>
              <w:jc w:val="center"/>
              <w:ind w:right="180"/>
              <w:spacing w:after="0"/>
              <w:rPr>
                <w:sz w:val="20"/>
                <w:szCs w:val="20"/>
                <w:color w:val="auto"/>
              </w:rPr>
            </w:pPr>
            <w:r>
              <w:rPr>
                <w:rFonts w:ascii="Arial" w:cs="Arial" w:eastAsia="Arial" w:hAnsi="Arial"/>
                <w:sz w:val="14"/>
                <w:szCs w:val="14"/>
                <w:b w:val="1"/>
                <w:bCs w:val="1"/>
                <w:color w:val="auto"/>
                <w:w w:val="91"/>
              </w:rPr>
              <w:t>Weighted-</w:t>
            </w:r>
          </w:p>
        </w:tc>
        <w:tc>
          <w:tcPr>
            <w:tcW w:w="100" w:type="dxa"/>
            <w:vAlign w:val="bottom"/>
          </w:tcPr>
          <w:p>
            <w:pPr>
              <w:spacing w:after="0"/>
              <w:rPr>
                <w:sz w:val="14"/>
                <w:szCs w:val="14"/>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Weighted-</w:t>
            </w:r>
          </w:p>
        </w:tc>
        <w:tc>
          <w:tcPr>
            <w:tcW w:w="2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448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tcPr>
          <w:p>
            <w:pPr>
              <w:jc w:val="center"/>
              <w:ind w:right="180"/>
              <w:spacing w:after="0" w:line="135" w:lineRule="exact"/>
              <w:rPr>
                <w:sz w:val="20"/>
                <w:szCs w:val="20"/>
                <w:color w:val="auto"/>
              </w:rPr>
            </w:pPr>
            <w:r>
              <w:rPr>
                <w:rFonts w:ascii="Arial" w:cs="Arial" w:eastAsia="Arial" w:hAnsi="Arial"/>
                <w:sz w:val="14"/>
                <w:szCs w:val="14"/>
                <w:b w:val="1"/>
                <w:bCs w:val="1"/>
                <w:color w:val="auto"/>
                <w:w w:val="90"/>
              </w:rPr>
              <w:t>Average</w:t>
            </w:r>
          </w:p>
        </w:tc>
        <w:tc>
          <w:tcPr>
            <w:tcW w:w="100" w:type="dxa"/>
            <w:vAlign w:val="bottom"/>
          </w:tcPr>
          <w:p>
            <w:pPr>
              <w:spacing w:after="0"/>
              <w:rPr>
                <w:sz w:val="11"/>
                <w:szCs w:val="11"/>
                <w:color w:val="auto"/>
              </w:rPr>
            </w:pPr>
          </w:p>
        </w:tc>
        <w:tc>
          <w:tcPr>
            <w:tcW w:w="158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0"/>
              </w:rPr>
              <w:t>Average</w:t>
            </w:r>
          </w:p>
        </w:tc>
        <w:tc>
          <w:tcPr>
            <w:tcW w:w="240" w:type="dxa"/>
            <w:vAlign w:val="bottom"/>
          </w:tcPr>
          <w:p>
            <w:pPr>
              <w:spacing w:after="0"/>
              <w:rPr>
                <w:sz w:val="11"/>
                <w:szCs w:val="11"/>
                <w:color w:val="auto"/>
              </w:rPr>
            </w:pPr>
          </w:p>
        </w:tc>
        <w:tc>
          <w:tcPr>
            <w:tcW w:w="1180" w:type="dxa"/>
            <w:vAlign w:val="bottom"/>
            <w:vMerge w:val="restart"/>
          </w:tcPr>
          <w:p>
            <w:pPr>
              <w:jc w:val="center"/>
              <w:ind w:right="181"/>
              <w:spacing w:after="0"/>
              <w:rPr>
                <w:sz w:val="20"/>
                <w:szCs w:val="20"/>
                <w:color w:val="auto"/>
              </w:rPr>
            </w:pPr>
            <w:r>
              <w:rPr>
                <w:rFonts w:ascii="Arial" w:cs="Arial" w:eastAsia="Arial" w:hAnsi="Arial"/>
                <w:sz w:val="14"/>
                <w:szCs w:val="14"/>
                <w:b w:val="1"/>
                <w:bCs w:val="1"/>
                <w:color w:val="auto"/>
                <w:w w:val="92"/>
              </w:rPr>
              <w:t>Aggregate</w:t>
            </w:r>
          </w:p>
        </w:tc>
        <w:tc>
          <w:tcPr>
            <w:tcW w:w="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480" w:type="dxa"/>
            <w:vAlign w:val="bottom"/>
          </w:tcPr>
          <w:p>
            <w:pPr>
              <w:spacing w:after="0"/>
              <w:rPr>
                <w:sz w:val="11"/>
                <w:szCs w:val="11"/>
                <w:color w:val="auto"/>
              </w:rPr>
            </w:pPr>
          </w:p>
        </w:tc>
        <w:tc>
          <w:tcPr>
            <w:tcW w:w="160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Number of Options</w:t>
            </w:r>
          </w:p>
        </w:tc>
        <w:tc>
          <w:tcPr>
            <w:tcW w:w="260" w:type="dxa"/>
            <w:vAlign w:val="bottom"/>
          </w:tcPr>
          <w:p>
            <w:pPr>
              <w:spacing w:after="0"/>
              <w:rPr>
                <w:sz w:val="11"/>
                <w:szCs w:val="11"/>
                <w:color w:val="auto"/>
              </w:rPr>
            </w:pPr>
          </w:p>
        </w:tc>
        <w:tc>
          <w:tcPr>
            <w:tcW w:w="1200" w:type="dxa"/>
            <w:vAlign w:val="bottom"/>
          </w:tcPr>
          <w:p>
            <w:pPr>
              <w:jc w:val="center"/>
              <w:ind w:right="160"/>
              <w:spacing w:after="0" w:line="135" w:lineRule="exact"/>
              <w:rPr>
                <w:sz w:val="20"/>
                <w:szCs w:val="20"/>
                <w:color w:val="auto"/>
              </w:rPr>
            </w:pPr>
            <w:r>
              <w:rPr>
                <w:rFonts w:ascii="Arial" w:cs="Arial" w:eastAsia="Arial" w:hAnsi="Arial"/>
                <w:sz w:val="14"/>
                <w:szCs w:val="14"/>
                <w:b w:val="1"/>
                <w:bCs w:val="1"/>
                <w:color w:val="auto"/>
                <w:w w:val="90"/>
              </w:rPr>
              <w:t>Exercise</w:t>
            </w:r>
          </w:p>
        </w:tc>
        <w:tc>
          <w:tcPr>
            <w:tcW w:w="100" w:type="dxa"/>
            <w:vAlign w:val="bottom"/>
          </w:tcPr>
          <w:p>
            <w:pPr>
              <w:spacing w:after="0"/>
              <w:rPr>
                <w:sz w:val="11"/>
                <w:szCs w:val="11"/>
                <w:color w:val="auto"/>
              </w:rPr>
            </w:pPr>
          </w:p>
        </w:tc>
        <w:tc>
          <w:tcPr>
            <w:tcW w:w="158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4"/>
              </w:rPr>
              <w:t>Remaining</w:t>
            </w:r>
          </w:p>
        </w:tc>
        <w:tc>
          <w:tcPr>
            <w:tcW w:w="240" w:type="dxa"/>
            <w:vAlign w:val="bottom"/>
          </w:tcPr>
          <w:p>
            <w:pPr>
              <w:spacing w:after="0"/>
              <w:rPr>
                <w:sz w:val="11"/>
                <w:szCs w:val="11"/>
                <w:color w:val="auto"/>
              </w:rPr>
            </w:pPr>
          </w:p>
        </w:tc>
        <w:tc>
          <w:tcPr>
            <w:tcW w:w="1180" w:type="dxa"/>
            <w:vAlign w:val="bottom"/>
            <w:vMerge w:val="continue"/>
          </w:tcPr>
          <w:p>
            <w:pPr>
              <w:spacing w:after="0"/>
              <w:rPr>
                <w:sz w:val="11"/>
                <w:szCs w:val="11"/>
                <w:color w:val="auto"/>
              </w:rPr>
            </w:pPr>
          </w:p>
        </w:tc>
        <w:tc>
          <w:tcPr>
            <w:tcW w:w="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480" w:type="dxa"/>
            <w:vAlign w:val="bottom"/>
          </w:tcPr>
          <w:p>
            <w:pPr>
              <w:spacing w:after="0"/>
              <w:rPr>
                <w:sz w:val="11"/>
                <w:szCs w:val="11"/>
                <w:color w:val="auto"/>
              </w:rPr>
            </w:pPr>
          </w:p>
        </w:tc>
        <w:tc>
          <w:tcPr>
            <w:tcW w:w="1600" w:type="dxa"/>
            <w:vAlign w:val="bottom"/>
            <w:gridSpan w:val="2"/>
            <w:vMerge w:val="continue"/>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tcPr>
          <w:p>
            <w:pPr>
              <w:jc w:val="center"/>
              <w:ind w:right="160"/>
              <w:spacing w:after="0" w:line="135" w:lineRule="exact"/>
              <w:rPr>
                <w:sz w:val="20"/>
                <w:szCs w:val="20"/>
                <w:color w:val="auto"/>
              </w:rPr>
            </w:pPr>
            <w:r>
              <w:rPr>
                <w:rFonts w:ascii="Arial" w:cs="Arial" w:eastAsia="Arial" w:hAnsi="Arial"/>
                <w:sz w:val="14"/>
                <w:szCs w:val="14"/>
                <w:b w:val="1"/>
                <w:bCs w:val="1"/>
                <w:color w:val="auto"/>
                <w:w w:val="93"/>
              </w:rPr>
              <w:t>Price</w:t>
            </w:r>
          </w:p>
        </w:tc>
        <w:tc>
          <w:tcPr>
            <w:tcW w:w="100" w:type="dxa"/>
            <w:vAlign w:val="bottom"/>
          </w:tcPr>
          <w:p>
            <w:pPr>
              <w:spacing w:after="0"/>
              <w:rPr>
                <w:sz w:val="11"/>
                <w:szCs w:val="11"/>
                <w:color w:val="auto"/>
              </w:rPr>
            </w:pPr>
          </w:p>
        </w:tc>
        <w:tc>
          <w:tcPr>
            <w:tcW w:w="158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5"/>
              </w:rPr>
              <w:t>Contractual</w:t>
            </w:r>
          </w:p>
        </w:tc>
        <w:tc>
          <w:tcPr>
            <w:tcW w:w="240" w:type="dxa"/>
            <w:vAlign w:val="bottom"/>
          </w:tcPr>
          <w:p>
            <w:pPr>
              <w:spacing w:after="0"/>
              <w:rPr>
                <w:sz w:val="11"/>
                <w:szCs w:val="11"/>
                <w:color w:val="auto"/>
              </w:rPr>
            </w:pPr>
          </w:p>
        </w:tc>
        <w:tc>
          <w:tcPr>
            <w:tcW w:w="1180" w:type="dxa"/>
            <w:vAlign w:val="bottom"/>
          </w:tcPr>
          <w:p>
            <w:pPr>
              <w:jc w:val="center"/>
              <w:ind w:right="181"/>
              <w:spacing w:after="0" w:line="135" w:lineRule="exact"/>
              <w:rPr>
                <w:sz w:val="20"/>
                <w:szCs w:val="20"/>
                <w:color w:val="auto"/>
              </w:rPr>
            </w:pPr>
            <w:r>
              <w:rPr>
                <w:rFonts w:ascii="Arial" w:cs="Arial" w:eastAsia="Arial" w:hAnsi="Arial"/>
                <w:sz w:val="14"/>
                <w:szCs w:val="14"/>
                <w:b w:val="1"/>
                <w:bCs w:val="1"/>
                <w:color w:val="auto"/>
                <w:w w:val="95"/>
              </w:rPr>
              <w:t>Intrinsic</w:t>
            </w:r>
          </w:p>
        </w:tc>
        <w:tc>
          <w:tcPr>
            <w:tcW w:w="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4480" w:type="dxa"/>
            <w:vAlign w:val="bottom"/>
          </w:tcPr>
          <w:p>
            <w:pPr>
              <w:spacing w:after="0"/>
              <w:rPr>
                <w:sz w:val="16"/>
                <w:szCs w:val="16"/>
                <w:color w:val="auto"/>
              </w:rPr>
            </w:pPr>
          </w:p>
        </w:tc>
        <w:tc>
          <w:tcPr>
            <w:tcW w:w="1600" w:type="dxa"/>
            <w:vAlign w:val="bottom"/>
            <w:gridSpan w:val="2"/>
          </w:tcPr>
          <w:p>
            <w:pPr>
              <w:ind w:left="320"/>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Pr>
          <w:p>
            <w:pPr>
              <w:spacing w:after="0"/>
              <w:rPr>
                <w:sz w:val="16"/>
                <w:szCs w:val="16"/>
                <w:color w:val="auto"/>
              </w:rPr>
            </w:pPr>
          </w:p>
        </w:tc>
        <w:tc>
          <w:tcPr>
            <w:tcW w:w="1200" w:type="dxa"/>
            <w:vAlign w:val="bottom"/>
          </w:tcPr>
          <w:p>
            <w:pPr>
              <w:jc w:val="center"/>
              <w:ind w:right="180"/>
              <w:spacing w:after="0"/>
              <w:rPr>
                <w:sz w:val="20"/>
                <w:szCs w:val="20"/>
                <w:color w:val="auto"/>
              </w:rPr>
            </w:pPr>
            <w:r>
              <w:rPr>
                <w:rFonts w:ascii="Arial" w:cs="Arial" w:eastAsia="Arial" w:hAnsi="Arial"/>
                <w:sz w:val="14"/>
                <w:szCs w:val="14"/>
                <w:b w:val="1"/>
                <w:bCs w:val="1"/>
                <w:color w:val="auto"/>
                <w:w w:val="91"/>
              </w:rPr>
              <w:t>(per share)</w:t>
            </w:r>
          </w:p>
        </w:tc>
        <w:tc>
          <w:tcPr>
            <w:tcW w:w="100" w:type="dxa"/>
            <w:vAlign w:val="bottom"/>
          </w:tcPr>
          <w:p>
            <w:pPr>
              <w:spacing w:after="0"/>
              <w:rPr>
                <w:sz w:val="16"/>
                <w:szCs w:val="16"/>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Term</w:t>
            </w:r>
          </w:p>
        </w:tc>
        <w:tc>
          <w:tcPr>
            <w:tcW w:w="240" w:type="dxa"/>
            <w:vAlign w:val="bottom"/>
          </w:tcPr>
          <w:p>
            <w:pPr>
              <w:spacing w:after="0"/>
              <w:rPr>
                <w:sz w:val="16"/>
                <w:szCs w:val="16"/>
                <w:color w:val="auto"/>
              </w:rPr>
            </w:pPr>
          </w:p>
        </w:tc>
        <w:tc>
          <w:tcPr>
            <w:tcW w:w="1180" w:type="dxa"/>
            <w:vAlign w:val="bottom"/>
          </w:tcPr>
          <w:p>
            <w:pPr>
              <w:jc w:val="center"/>
              <w:ind w:right="161"/>
              <w:spacing w:after="0"/>
              <w:rPr>
                <w:sz w:val="20"/>
                <w:szCs w:val="20"/>
                <w:color w:val="auto"/>
              </w:rPr>
            </w:pPr>
            <w:r>
              <w:rPr>
                <w:rFonts w:ascii="Arial" w:cs="Arial" w:eastAsia="Arial" w:hAnsi="Arial"/>
                <w:sz w:val="14"/>
                <w:szCs w:val="14"/>
                <w:b w:val="1"/>
                <w:bCs w:val="1"/>
                <w:color w:val="auto"/>
                <w:w w:val="90"/>
              </w:rPr>
              <w:t>Value</w:t>
            </w: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January 1, 2021</w:t>
            </w:r>
          </w:p>
        </w:tc>
        <w:tc>
          <w:tcPr>
            <w:tcW w:w="1500" w:type="dxa"/>
            <w:vAlign w:val="bottom"/>
            <w:tcBorders>
              <w:top w:val="single" w:sz="8" w:color="auto"/>
            </w:tcBorders>
            <w:shd w:val="clear" w:color="auto" w:fill="CCEEFF"/>
          </w:tcPr>
          <w:p>
            <w:pPr>
              <w:ind w:left="1160"/>
              <w:spacing w:after="0"/>
              <w:rPr>
                <w:sz w:val="20"/>
                <w:szCs w:val="20"/>
                <w:color w:val="auto"/>
              </w:rPr>
            </w:pPr>
            <w:r>
              <w:rPr>
                <w:rFonts w:ascii="Arial" w:cs="Arial" w:eastAsia="Arial" w:hAnsi="Arial"/>
                <w:sz w:val="18"/>
                <w:szCs w:val="18"/>
                <w:color w:val="auto"/>
              </w:rPr>
              <w:t>871</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12.41</w:t>
            </w:r>
          </w:p>
        </w:tc>
        <w:tc>
          <w:tcPr>
            <w:tcW w:w="100" w:type="dxa"/>
            <w:vAlign w:val="bottom"/>
            <w:tcBorders>
              <w:top w:val="single" w:sz="8" w:color="CCEEFF"/>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spacing w:after="0"/>
              <w:rPr>
                <w:sz w:val="19"/>
                <w:szCs w:val="19"/>
                <w:color w:val="auto"/>
              </w:rPr>
            </w:pP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Forfeited or expired</w:t>
            </w:r>
          </w:p>
        </w:tc>
        <w:tc>
          <w:tcPr>
            <w:tcW w:w="1500" w:type="dxa"/>
            <w:vAlign w:val="bottom"/>
            <w:tcBorders>
              <w:bottom w:val="single" w:sz="8" w:color="auto"/>
            </w:tcBorders>
          </w:tcPr>
          <w:p>
            <w:pPr>
              <w:ind w:left="1160"/>
              <w:spacing w:after="0"/>
              <w:rPr>
                <w:sz w:val="20"/>
                <w:szCs w:val="20"/>
                <w:color w:val="auto"/>
              </w:rPr>
            </w:pPr>
            <w:r>
              <w:rPr>
                <w:rFonts w:ascii="Arial" w:cs="Arial" w:eastAsia="Arial" w:hAnsi="Arial"/>
                <w:sz w:val="18"/>
                <w:szCs w:val="18"/>
                <w:color w:val="auto"/>
                <w:w w:val="99"/>
              </w:rPr>
              <w:t>(24)</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13.41</w:t>
            </w:r>
          </w:p>
        </w:tc>
        <w:tc>
          <w:tcPr>
            <w:tcW w:w="100" w:type="dxa"/>
            <w:vAlign w:val="bottom"/>
            <w:tcBorders>
              <w:bottom w:val="single" w:sz="8" w:color="CCEEFF"/>
            </w:tcBorders>
          </w:tcPr>
          <w:p>
            <w:pPr>
              <w:spacing w:after="0"/>
              <w:rPr>
                <w:sz w:val="19"/>
                <w:szCs w:val="19"/>
                <w:color w:val="auto"/>
              </w:rPr>
            </w:pPr>
          </w:p>
        </w:tc>
        <w:tc>
          <w:tcPr>
            <w:tcW w:w="14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spacing w:after="0"/>
              <w:rPr>
                <w:sz w:val="19"/>
                <w:szCs w:val="19"/>
                <w:color w:val="auto"/>
              </w:rPr>
            </w:pP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March 31, 2021</w:t>
            </w:r>
          </w:p>
        </w:tc>
        <w:tc>
          <w:tcPr>
            <w:tcW w:w="1500" w:type="dxa"/>
            <w:vAlign w:val="bottom"/>
            <w:tcBorders>
              <w:bottom w:val="single" w:sz="8" w:color="auto"/>
            </w:tcBorders>
            <w:shd w:val="clear" w:color="auto" w:fill="CCEEFF"/>
          </w:tcPr>
          <w:p>
            <w:pPr>
              <w:ind w:left="1160"/>
              <w:spacing w:after="0"/>
              <w:rPr>
                <w:sz w:val="20"/>
                <w:szCs w:val="20"/>
                <w:color w:val="auto"/>
              </w:rPr>
            </w:pPr>
            <w:r>
              <w:rPr>
                <w:rFonts w:ascii="Arial" w:cs="Arial" w:eastAsia="Arial" w:hAnsi="Arial"/>
                <w:sz w:val="18"/>
                <w:szCs w:val="18"/>
                <w:color w:val="auto"/>
              </w:rPr>
              <w:t>847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12.38</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ind w:left="800"/>
              <w:spacing w:after="0"/>
              <w:rPr>
                <w:sz w:val="20"/>
                <w:szCs w:val="20"/>
                <w:color w:val="auto"/>
              </w:rPr>
            </w:pPr>
            <w:r>
              <w:rPr>
                <w:rFonts w:ascii="Arial" w:cs="Arial" w:eastAsia="Arial" w:hAnsi="Arial"/>
                <w:sz w:val="18"/>
                <w:szCs w:val="18"/>
                <w:color w:val="auto"/>
              </w:rPr>
              <w:t>3.7 years</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44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Exercisable at March 31, 2021</w:t>
            </w: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480" w:type="dxa"/>
            <w:vAlign w:val="bottom"/>
            <w:vMerge w:val="continue"/>
          </w:tcPr>
          <w:p>
            <w:pPr>
              <w:spacing w:after="0"/>
              <w:rPr>
                <w:sz w:val="17"/>
                <w:szCs w:val="17"/>
                <w:color w:val="auto"/>
              </w:rPr>
            </w:pPr>
          </w:p>
        </w:tc>
        <w:tc>
          <w:tcPr>
            <w:tcW w:w="1500" w:type="dxa"/>
            <w:vAlign w:val="bottom"/>
            <w:tcBorders>
              <w:bottom w:val="single" w:sz="8" w:color="auto"/>
            </w:tcBorders>
          </w:tcPr>
          <w:p>
            <w:pPr>
              <w:ind w:left="1160"/>
              <w:spacing w:after="0" w:line="203" w:lineRule="exact"/>
              <w:rPr>
                <w:sz w:val="20"/>
                <w:szCs w:val="20"/>
                <w:color w:val="auto"/>
              </w:rPr>
            </w:pPr>
            <w:r>
              <w:rPr>
                <w:rFonts w:ascii="Arial" w:cs="Arial" w:eastAsia="Arial" w:hAnsi="Arial"/>
                <w:sz w:val="18"/>
                <w:szCs w:val="18"/>
                <w:color w:val="auto"/>
              </w:rPr>
              <w:t>751</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50"/>
              <w:spacing w:after="0" w:line="203" w:lineRule="exact"/>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12.83</w:t>
            </w:r>
          </w:p>
        </w:tc>
        <w:tc>
          <w:tcPr>
            <w:tcW w:w="100" w:type="dxa"/>
            <w:vAlign w:val="bottom"/>
          </w:tcPr>
          <w:p>
            <w:pPr>
              <w:spacing w:after="0"/>
              <w:rPr>
                <w:sz w:val="17"/>
                <w:szCs w:val="17"/>
                <w:color w:val="auto"/>
              </w:rPr>
            </w:pPr>
          </w:p>
        </w:tc>
        <w:tc>
          <w:tcPr>
            <w:tcW w:w="1580" w:type="dxa"/>
            <w:vAlign w:val="bottom"/>
            <w:gridSpan w:val="2"/>
          </w:tcPr>
          <w:p>
            <w:pPr>
              <w:ind w:left="800"/>
              <w:spacing w:after="0" w:line="203" w:lineRule="exact"/>
              <w:rPr>
                <w:sz w:val="20"/>
                <w:szCs w:val="20"/>
                <w:color w:val="auto"/>
              </w:rPr>
            </w:pPr>
            <w:r>
              <w:rPr>
                <w:rFonts w:ascii="Arial" w:cs="Arial" w:eastAsia="Arial" w:hAnsi="Arial"/>
                <w:sz w:val="18"/>
                <w:szCs w:val="18"/>
                <w:color w:val="auto"/>
              </w:rPr>
              <w:t>3.0 years</w:t>
            </w:r>
          </w:p>
        </w:tc>
        <w:tc>
          <w:tcPr>
            <w:tcW w:w="240" w:type="dxa"/>
            <w:vAlign w:val="bottom"/>
          </w:tcPr>
          <w:p>
            <w:pPr>
              <w:jc w:val="right"/>
              <w:ind w:right="50"/>
              <w:spacing w:after="0" w:line="203" w:lineRule="exact"/>
              <w:rPr>
                <w:sz w:val="20"/>
                <w:szCs w:val="20"/>
                <w:color w:val="auto"/>
              </w:rPr>
            </w:pPr>
            <w:r>
              <w:rPr>
                <w:rFonts w:ascii="Arial" w:cs="Arial" w:eastAsia="Arial" w:hAnsi="Arial"/>
                <w:sz w:val="18"/>
                <w:szCs w:val="18"/>
                <w:color w:val="auto"/>
                <w:w w:val="79"/>
              </w:rPr>
              <w:t>$</w:t>
            </w:r>
          </w:p>
        </w:tc>
        <w:tc>
          <w:tcPr>
            <w:tcW w:w="1180" w:type="dxa"/>
            <w:vAlign w:val="bottom"/>
          </w:tcPr>
          <w:p>
            <w:pPr>
              <w:ind w:left="920"/>
              <w:spacing w:after="0" w:line="203" w:lineRule="exact"/>
              <w:rPr>
                <w:sz w:val="20"/>
                <w:szCs w:val="20"/>
                <w:color w:val="auto"/>
              </w:rPr>
            </w:pPr>
            <w:r>
              <w:rPr>
                <w:rFonts w:ascii="Arial" w:cs="Arial" w:eastAsia="Arial" w:hAnsi="Arial"/>
                <w:sz w:val="18"/>
                <w:szCs w:val="18"/>
                <w:color w:val="auto"/>
              </w:rPr>
              <w:t>—</w:t>
            </w:r>
          </w:p>
        </w:tc>
        <w:tc>
          <w:tcPr>
            <w:tcW w:w="320" w:type="dxa"/>
            <w:vAlign w:val="bottom"/>
          </w:tcPr>
          <w:p>
            <w:pPr>
              <w:jc w:val="right"/>
              <w:spacing w:after="0" w:line="203"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
        </w:trPr>
        <w:tc>
          <w:tcPr>
            <w:tcW w:w="448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3"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w:t>
      </w:r>
    </w:p>
    <w:p>
      <w:pPr>
        <w:spacing w:after="0" w:line="21" w:lineRule="exact"/>
        <w:rPr>
          <w:sz w:val="20"/>
          <w:szCs w:val="20"/>
          <w:color w:val="auto"/>
        </w:rPr>
      </w:pPr>
    </w:p>
    <w:p>
      <w:pPr>
        <w:ind w:left="660" w:hanging="328"/>
        <w:spacing w:after="0" w:line="305" w:lineRule="auto"/>
        <w:tabs>
          <w:tab w:leader="none" w:pos="654"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aggregate intrinsic value is the sum of intrinsic values for each exercisable individual option grant. The intrinsic value is the amount by which the closing market price of our stock at March 31, 2021, was greater than the exercise price of any individual option grant.</w:t>
      </w: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w:t>
      </w:r>
    </w:p>
    <w:p>
      <w:pPr>
        <w:spacing w:after="0" w:line="117" w:lineRule="exact"/>
        <w:rPr>
          <w:sz w:val="20"/>
          <w:szCs w:val="20"/>
          <w:color w:val="auto"/>
        </w:rPr>
      </w:pPr>
    </w:p>
    <w:p>
      <w:pPr>
        <w:ind w:right="200"/>
        <w:spacing w:after="0" w:line="296" w:lineRule="auto"/>
        <w:rPr>
          <w:sz w:val="20"/>
          <w:szCs w:val="20"/>
          <w:color w:val="auto"/>
        </w:rPr>
      </w:pPr>
      <w:r>
        <w:rPr>
          <w:rFonts w:ascii="Arial" w:cs="Arial" w:eastAsia="Arial" w:hAnsi="Arial"/>
          <w:sz w:val="16"/>
          <w:szCs w:val="16"/>
          <w:color w:val="auto"/>
        </w:rPr>
        <w:t>During the three months ended March 31, 2021, we granted 425 thousand shares of restricted stock to non-executive directors, officers and certain other key employees. The shares of restricted stock granted during the three months ended March 31, 2021, vest pro-rata generally over three years for employees and over one year for non-executive directors. We determined the fair value of the shares awarded by using the closing price of our common stock as of the date of grant. The weighted average grant date fair value of restricted stock granted in the three months ended March 31, 2021, was $6.79 per share. Total grant date fair value of restricted stock that vested in the three months ended March 31, 2021, was $2.7 million.</w:t>
      </w:r>
    </w:p>
    <w:p>
      <w:pPr>
        <w:spacing w:after="0" w:line="53"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the status of unvested restricted stock awards as of March 31, 2021, and changes during the three months then ended.</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00" w:type="dxa"/>
            <w:vAlign w:val="bottom"/>
          </w:tcPr>
          <w:p>
            <w:pPr>
              <w:spacing w:after="0"/>
              <w:rPr>
                <w:sz w:val="14"/>
                <w:szCs w:val="14"/>
                <w:color w:val="auto"/>
              </w:rPr>
            </w:pPr>
          </w:p>
        </w:tc>
        <w:tc>
          <w:tcPr>
            <w:tcW w:w="16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Nonvested</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60" w:type="dxa"/>
            <w:vAlign w:val="bottom"/>
          </w:tcPr>
          <w:p>
            <w:pPr>
              <w:jc w:val="center"/>
              <w:ind w:right="219"/>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35"/>
        </w:trPr>
        <w:tc>
          <w:tcPr>
            <w:tcW w:w="7800" w:type="dxa"/>
            <w:vAlign w:val="bottom"/>
          </w:tcPr>
          <w:p>
            <w:pPr>
              <w:spacing w:after="0"/>
              <w:rPr>
                <w:sz w:val="11"/>
                <w:szCs w:val="11"/>
                <w:color w:val="auto"/>
              </w:rPr>
            </w:pPr>
          </w:p>
        </w:tc>
        <w:tc>
          <w:tcPr>
            <w:tcW w:w="164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60" w:type="dxa"/>
            <w:vAlign w:val="bottom"/>
          </w:tcPr>
          <w:p>
            <w:pPr>
              <w:jc w:val="center"/>
              <w:ind w:right="219"/>
              <w:spacing w:after="0" w:line="135"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35"/>
        </w:trPr>
        <w:tc>
          <w:tcPr>
            <w:tcW w:w="7800" w:type="dxa"/>
            <w:vAlign w:val="bottom"/>
          </w:tcPr>
          <w:p>
            <w:pPr>
              <w:spacing w:after="0"/>
              <w:rPr>
                <w:sz w:val="11"/>
                <w:szCs w:val="11"/>
                <w:color w:val="auto"/>
              </w:rPr>
            </w:pPr>
          </w:p>
        </w:tc>
        <w:tc>
          <w:tcPr>
            <w:tcW w:w="16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3"/>
              </w:rPr>
              <w:t>Restricted</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60" w:type="dxa"/>
            <w:vAlign w:val="bottom"/>
          </w:tcPr>
          <w:p>
            <w:pPr>
              <w:jc w:val="center"/>
              <w:ind w:right="199"/>
              <w:spacing w:after="0" w:line="135" w:lineRule="exact"/>
              <w:rPr>
                <w:sz w:val="20"/>
                <w:szCs w:val="20"/>
                <w:color w:val="auto"/>
              </w:rPr>
            </w:pPr>
            <w:r>
              <w:rPr>
                <w:rFonts w:ascii="Arial" w:cs="Arial" w:eastAsia="Arial" w:hAnsi="Arial"/>
                <w:sz w:val="14"/>
                <w:szCs w:val="14"/>
                <w:b w:val="1"/>
                <w:bCs w:val="1"/>
                <w:color w:val="auto"/>
                <w:w w:val="99"/>
              </w:rPr>
              <w:t>Grant-Date</w:t>
            </w:r>
          </w:p>
        </w:tc>
        <w:tc>
          <w:tcPr>
            <w:tcW w:w="0" w:type="dxa"/>
            <w:vAlign w:val="bottom"/>
          </w:tcPr>
          <w:p>
            <w:pPr>
              <w:spacing w:after="0"/>
              <w:rPr>
                <w:sz w:val="1"/>
                <w:szCs w:val="1"/>
                <w:color w:val="auto"/>
              </w:rPr>
            </w:pPr>
          </w:p>
        </w:tc>
      </w:tr>
      <w:tr>
        <w:trPr>
          <w:trHeight w:val="135"/>
        </w:trPr>
        <w:tc>
          <w:tcPr>
            <w:tcW w:w="7800" w:type="dxa"/>
            <w:vAlign w:val="bottom"/>
          </w:tcPr>
          <w:p>
            <w:pPr>
              <w:spacing w:after="0"/>
              <w:rPr>
                <w:sz w:val="11"/>
                <w:szCs w:val="11"/>
                <w:color w:val="auto"/>
              </w:rPr>
            </w:pPr>
          </w:p>
        </w:tc>
        <w:tc>
          <w:tcPr>
            <w:tcW w:w="16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5"/>
              </w:rPr>
              <w:t>Shares</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60" w:type="dxa"/>
            <w:vAlign w:val="bottom"/>
          </w:tcPr>
          <w:p>
            <w:pPr>
              <w:jc w:val="center"/>
              <w:ind w:right="199"/>
              <w:spacing w:after="0" w:line="135" w:lineRule="exact"/>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88"/>
        </w:trPr>
        <w:tc>
          <w:tcPr>
            <w:tcW w:w="7800" w:type="dxa"/>
            <w:vAlign w:val="bottom"/>
            <w:tcBorders>
              <w:bottom w:val="single" w:sz="8" w:color="CCEEFF"/>
            </w:tcBorders>
          </w:tcPr>
          <w:p>
            <w:pPr>
              <w:spacing w:after="0"/>
              <w:rPr>
                <w:sz w:val="16"/>
                <w:szCs w:val="16"/>
                <w:color w:val="auto"/>
              </w:rPr>
            </w:pP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(in thousands)</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199"/>
              <w:spacing w:after="0"/>
              <w:rPr>
                <w:sz w:val="20"/>
                <w:szCs w:val="20"/>
                <w:color w:val="auto"/>
              </w:rPr>
            </w:pPr>
            <w:r>
              <w:rPr>
                <w:rFonts w:ascii="Arial" w:cs="Arial" w:eastAsia="Arial" w:hAnsi="Arial"/>
                <w:sz w:val="14"/>
                <w:szCs w:val="14"/>
                <w:b w:val="1"/>
                <w:bCs w:val="1"/>
                <w:color w:val="auto"/>
                <w:w w:val="93"/>
              </w:rPr>
              <w:t>(per share)</w:t>
            </w:r>
          </w:p>
        </w:tc>
        <w:tc>
          <w:tcPr>
            <w:tcW w:w="0" w:type="dxa"/>
            <w:vAlign w:val="bottom"/>
          </w:tcPr>
          <w:p>
            <w:pPr>
              <w:spacing w:after="0"/>
              <w:rPr>
                <w:sz w:val="1"/>
                <w:szCs w:val="1"/>
                <w:color w:val="auto"/>
              </w:rPr>
            </w:pPr>
          </w:p>
        </w:tc>
      </w:tr>
      <w:tr>
        <w:trPr>
          <w:trHeight w:val="224"/>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Unvested at January 1, 2021</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9.42</w:t>
            </w:r>
          </w:p>
        </w:tc>
        <w:tc>
          <w:tcPr>
            <w:tcW w:w="0" w:type="dxa"/>
            <w:vAlign w:val="bottom"/>
          </w:tcPr>
          <w:p>
            <w:pPr>
              <w:spacing w:after="0"/>
              <w:rPr>
                <w:sz w:val="1"/>
                <w:szCs w:val="1"/>
                <w:color w:val="auto"/>
              </w:rPr>
            </w:pPr>
          </w:p>
        </w:tc>
      </w:tr>
      <w:tr>
        <w:trPr>
          <w:trHeight w:val="230"/>
        </w:trPr>
        <w:tc>
          <w:tcPr>
            <w:tcW w:w="7800" w:type="dxa"/>
            <w:vAlign w:val="bottom"/>
          </w:tcPr>
          <w:p>
            <w:pPr>
              <w:ind w:left="20"/>
              <w:spacing w:after="0"/>
              <w:rPr>
                <w:sz w:val="20"/>
                <w:szCs w:val="20"/>
                <w:color w:val="auto"/>
              </w:rPr>
            </w:pPr>
            <w:r>
              <w:rPr>
                <w:rFonts w:ascii="Arial" w:cs="Arial" w:eastAsia="Arial" w:hAnsi="Arial"/>
                <w:sz w:val="18"/>
                <w:szCs w:val="18"/>
                <w:color w:val="auto"/>
              </w:rPr>
              <w:t>Granted</w:t>
            </w:r>
          </w:p>
        </w:tc>
        <w:tc>
          <w:tcPr>
            <w:tcW w:w="1640" w:type="dxa"/>
            <w:vAlign w:val="bottom"/>
          </w:tcPr>
          <w:p>
            <w:pPr>
              <w:jc w:val="right"/>
              <w:spacing w:after="0"/>
              <w:rPr>
                <w:sz w:val="20"/>
                <w:szCs w:val="20"/>
                <w:color w:val="auto"/>
              </w:rPr>
            </w:pPr>
            <w:r>
              <w:rPr>
                <w:rFonts w:ascii="Arial" w:cs="Arial" w:eastAsia="Arial" w:hAnsi="Arial"/>
                <w:sz w:val="18"/>
                <w:szCs w:val="18"/>
                <w:color w:val="auto"/>
              </w:rPr>
              <w:t>425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6.79</w:t>
            </w:r>
          </w:p>
        </w:tc>
        <w:tc>
          <w:tcPr>
            <w:tcW w:w="0" w:type="dxa"/>
            <w:vAlign w:val="bottom"/>
          </w:tcPr>
          <w:p>
            <w:pPr>
              <w:spacing w:after="0"/>
              <w:rPr>
                <w:sz w:val="1"/>
                <w:szCs w:val="1"/>
                <w:color w:val="auto"/>
              </w:rPr>
            </w:pPr>
          </w:p>
        </w:tc>
      </w:tr>
      <w:tr>
        <w:trPr>
          <w:trHeight w:val="229"/>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w:t>
            </w:r>
          </w:p>
        </w:tc>
        <w:tc>
          <w:tcPr>
            <w:tcW w:w="0" w:type="dxa"/>
            <w:vAlign w:val="bottom"/>
          </w:tcPr>
          <w:p>
            <w:pPr>
              <w:spacing w:after="0"/>
              <w:rPr>
                <w:sz w:val="1"/>
                <w:szCs w:val="1"/>
                <w:color w:val="auto"/>
              </w:rPr>
            </w:pPr>
          </w:p>
        </w:tc>
      </w:tr>
      <w:tr>
        <w:trPr>
          <w:trHeight w:val="230"/>
        </w:trPr>
        <w:tc>
          <w:tcPr>
            <w:tcW w:w="78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Forfeited</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13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7.76</w:t>
            </w:r>
          </w:p>
        </w:tc>
        <w:tc>
          <w:tcPr>
            <w:tcW w:w="0" w:type="dxa"/>
            <w:vAlign w:val="bottom"/>
          </w:tcPr>
          <w:p>
            <w:pPr>
              <w:spacing w:after="0"/>
              <w:rPr>
                <w:sz w:val="1"/>
                <w:szCs w:val="1"/>
                <w:color w:val="auto"/>
              </w:rPr>
            </w:pPr>
          </w:p>
        </w:tc>
      </w:tr>
      <w:tr>
        <w:trPr>
          <w:trHeight w:val="248"/>
        </w:trPr>
        <w:tc>
          <w:tcPr>
            <w:tcW w:w="7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Unvested at March 31, 2021</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514</w:t>
            </w:r>
          </w:p>
        </w:tc>
        <w:tc>
          <w:tcPr>
            <w:tcW w:w="40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7.24</w:t>
            </w:r>
          </w:p>
        </w:tc>
        <w:tc>
          <w:tcPr>
            <w:tcW w:w="0" w:type="dxa"/>
            <w:vAlign w:val="bottom"/>
          </w:tcPr>
          <w:p>
            <w:pPr>
              <w:spacing w:after="0"/>
              <w:rPr>
                <w:sz w:val="1"/>
                <w:szCs w:val="1"/>
                <w:color w:val="auto"/>
              </w:rPr>
            </w:pP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 Share Units</w:t>
      </w:r>
    </w:p>
    <w:p>
      <w:pPr>
        <w:spacing w:after="0" w:line="117" w:lineRule="exact"/>
        <w:rPr>
          <w:sz w:val="20"/>
          <w:szCs w:val="20"/>
          <w:color w:val="auto"/>
        </w:rPr>
      </w:pPr>
    </w:p>
    <w:p>
      <w:pPr>
        <w:ind w:right="180"/>
        <w:spacing w:after="0" w:line="301" w:lineRule="auto"/>
        <w:rPr>
          <w:sz w:val="20"/>
          <w:szCs w:val="20"/>
          <w:color w:val="auto"/>
        </w:rPr>
      </w:pPr>
      <w:r>
        <w:rPr>
          <w:rFonts w:ascii="Arial" w:cs="Arial" w:eastAsia="Arial" w:hAnsi="Arial"/>
          <w:sz w:val="16"/>
          <w:szCs w:val="16"/>
          <w:color w:val="auto"/>
        </w:rPr>
        <w:t>Performance Share Units (“PSUs”) are a form of long-term incentive compensation awarded to executive officers and certain other key employees designed to directly align the interests of employees to the interests of our stockholders, and to create long-term stockholder value. PSUs granted in 2021 were made pursuant to the NN, Inc. 2019 Omnibus Incentive Plan and a Performance Share Unit Agreement (the “2019 Omnibus Agreement”). Some PSUs are based on total shareholder return (“TSR Awards”), and other PSUs are based on return on invested capital (“ROIC Awards”).</w:t>
      </w:r>
    </w:p>
    <w:p>
      <w:pPr>
        <w:spacing w:after="0" w:line="49"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The TSR Awards vest, if at all, upon our achieving a specified relative total shareholder return, which will be measured against the total shareholder return of the S&amp;P SmallCap 600 Index during specified performance periods as defined in the 2019 Omnibus Agreement. The ROIC Awards vest, if at all, upon our achieving a specified average return on invested capital during the performance periods. Each performance period generally begins on January 1 of the year of grant and ends 36 months later on December 31.</w:t>
      </w:r>
    </w:p>
    <w:p>
      <w:pPr>
        <w:spacing w:after="0" w:line="7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recognize compensation expense over the performance period in which the performance and market conditions are measured. If the PSUs do not vest at the end of the performance periods, then the PSUs will expire automatically. Upon vesting, the PSUs will be settled by the issuance of shares of our common stock, subject to the award recipient’s continued employment. The actual number of shares of common stock to be issued to each award recipient at the end of the performance</w:t>
      </w:r>
    </w:p>
    <w:p>
      <w:pPr>
        <w:spacing w:after="0" w:line="200" w:lineRule="exact"/>
        <w:rPr>
          <w:sz w:val="20"/>
          <w:szCs w:val="20"/>
          <w:color w:val="auto"/>
        </w:rPr>
      </w:pPr>
    </w:p>
    <w:p>
      <w:pPr>
        <w:spacing w:after="0" w:line="3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33" w:right="379" w:bottom="1440" w:gutter="0" w:footer="0" w:header="0"/>
        </w:sectPr>
      </w:pPr>
    </w:p>
    <w:bookmarkStart w:id="18" w:name="page19"/>
    <w:bookmarkEnd w:id="1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360"/>
        <w:spacing w:after="0" w:line="263" w:lineRule="auto"/>
        <w:rPr>
          <w:sz w:val="20"/>
          <w:szCs w:val="20"/>
          <w:color w:val="auto"/>
        </w:rPr>
      </w:pPr>
      <w:r>
        <w:rPr>
          <w:rFonts w:ascii="Arial" w:cs="Arial" w:eastAsia="Arial" w:hAnsi="Arial"/>
          <w:sz w:val="18"/>
          <w:szCs w:val="18"/>
          <w:color w:val="auto"/>
        </w:rPr>
        <w:t>periods will be interpolated between a threshold and maximum payout amount based on actual performance results. No dividends will be paid on outstanding PSUs during the performance period; however, dividend equivalents will be paid based on the number of shares of common stock that are ultimately earned at the end of the performance periods.</w:t>
      </w:r>
    </w:p>
    <w:p>
      <w:pPr>
        <w:spacing w:after="0" w:line="76"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With respect to the TSR and ROIC Awards, a participant will earn 50% of the target number of PSUs for “Threshold Performance,” 100% of the target number of PSUs for “Target Performance,” and 150% of the target number of PSUs for “Maximum Performance.” For performance levels falling between the values shown below, the percentages will be determined by interpolation.</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goals with respect to TSR Awards and ROIC Awards granted or modified in 2021.</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TSR Awards:</w:t>
            </w:r>
          </w:p>
        </w:tc>
        <w:tc>
          <w:tcPr>
            <w:tcW w:w="24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Threshold Performance</w:t>
            </w:r>
          </w:p>
        </w:tc>
        <w:tc>
          <w:tcPr>
            <w:tcW w:w="22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Target Performance</w:t>
            </w:r>
          </w:p>
        </w:tc>
        <w:tc>
          <w:tcPr>
            <w:tcW w:w="2440" w:type="dxa"/>
            <w:vAlign w:val="bottom"/>
          </w:tcPr>
          <w:p>
            <w:pPr>
              <w:jc w:val="center"/>
              <w:spacing w:after="0"/>
              <w:rPr>
                <w:sz w:val="20"/>
                <w:szCs w:val="20"/>
                <w:color w:val="auto"/>
              </w:rPr>
            </w:pPr>
            <w:r>
              <w:rPr>
                <w:rFonts w:ascii="Arial" w:cs="Arial" w:eastAsia="Arial" w:hAnsi="Arial"/>
                <w:sz w:val="14"/>
                <w:szCs w:val="14"/>
                <w:b w:val="1"/>
                <w:bCs w:val="1"/>
                <w:color w:val="auto"/>
                <w:w w:val="96"/>
              </w:rPr>
              <w:t>Maximum Performance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gridSpan w:val="3"/>
            <w:vMerge w:val="continue"/>
          </w:tcPr>
          <w:p>
            <w:pPr>
              <w:spacing w:after="0"/>
              <w:rPr>
                <w:sz w:val="12"/>
                <w:szCs w:val="12"/>
                <w:color w:val="auto"/>
              </w:rPr>
            </w:pPr>
          </w:p>
        </w:tc>
        <w:tc>
          <w:tcPr>
            <w:tcW w:w="24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(50% of Shares)</w:t>
            </w:r>
          </w:p>
        </w:tc>
        <w:tc>
          <w:tcPr>
            <w:tcW w:w="22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3"/>
              </w:rPr>
              <w:t>(100% of Shares)</w:t>
            </w:r>
          </w:p>
        </w:tc>
        <w:tc>
          <w:tcPr>
            <w:tcW w:w="24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(150% of Shares)</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40" w:type="dxa"/>
            <w:vAlign w:val="bottom"/>
            <w:tcBorders>
              <w:top w:val="single" w:sz="8" w:color="auto"/>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120" w:type="dxa"/>
            <w:vAlign w:val="bottom"/>
            <w:tcBorders>
              <w:bottom w:val="single" w:sz="8" w:color="CCEEFF"/>
            </w:tcBorders>
          </w:tcPr>
          <w:p>
            <w:pPr>
              <w:spacing w:after="0" w:line="20" w:lineRule="exact"/>
              <w:rPr>
                <w:sz w:val="1"/>
                <w:szCs w:val="1"/>
                <w:color w:val="auto"/>
              </w:rPr>
            </w:pPr>
          </w:p>
        </w:tc>
        <w:tc>
          <w:tcPr>
            <w:tcW w:w="2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2021 grants</w:t>
            </w:r>
          </w:p>
        </w:tc>
        <w:tc>
          <w:tcPr>
            <w:tcW w:w="2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35th Percentile</w:t>
            </w:r>
          </w:p>
        </w:tc>
        <w:tc>
          <w:tcPr>
            <w:tcW w:w="100" w:type="dxa"/>
            <w:vAlign w:val="bottom"/>
            <w:shd w:val="clear" w:color="auto" w:fill="CCEEFF"/>
          </w:tcPr>
          <w:p>
            <w:pPr>
              <w:spacing w:after="0"/>
              <w:rPr>
                <w:sz w:val="19"/>
                <w:szCs w:val="19"/>
                <w:color w:val="auto"/>
              </w:rPr>
            </w:pPr>
          </w:p>
        </w:tc>
        <w:tc>
          <w:tcPr>
            <w:tcW w:w="2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50th Percentile</w:t>
            </w:r>
          </w:p>
        </w:tc>
        <w:tc>
          <w:tcPr>
            <w:tcW w:w="100" w:type="dxa"/>
            <w:vAlign w:val="bottom"/>
            <w:shd w:val="clear" w:color="auto" w:fill="CCEEFF"/>
          </w:tcPr>
          <w:p>
            <w:pPr>
              <w:spacing w:after="0"/>
              <w:rPr>
                <w:sz w:val="19"/>
                <w:szCs w:val="19"/>
                <w:color w:val="auto"/>
              </w:rPr>
            </w:pPr>
          </w:p>
        </w:tc>
        <w:tc>
          <w:tcPr>
            <w:tcW w:w="2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75th Percentile</w:t>
            </w:r>
          </w:p>
        </w:tc>
        <w:tc>
          <w:tcPr>
            <w:tcW w:w="0" w:type="dxa"/>
            <w:vAlign w:val="bottom"/>
          </w:tcPr>
          <w:p>
            <w:pPr>
              <w:spacing w:after="0"/>
              <w:rPr>
                <w:sz w:val="1"/>
                <w:szCs w:val="1"/>
                <w:color w:val="auto"/>
              </w:rPr>
            </w:pPr>
          </w:p>
        </w:tc>
      </w:tr>
      <w:tr>
        <w:trPr>
          <w:trHeight w:val="351"/>
        </w:trPr>
        <w:tc>
          <w:tcPr>
            <w:tcW w:w="20" w:type="dxa"/>
            <w:vAlign w:val="bottom"/>
          </w:tcPr>
          <w:p>
            <w:pPr>
              <w:spacing w:after="0"/>
              <w:rPr>
                <w:sz w:val="24"/>
                <w:szCs w:val="24"/>
                <w:color w:val="auto"/>
              </w:rPr>
            </w:pPr>
          </w:p>
        </w:tc>
        <w:tc>
          <w:tcPr>
            <w:tcW w:w="40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ROIC Awards:</w:t>
            </w:r>
          </w:p>
        </w:tc>
        <w:tc>
          <w:tcPr>
            <w:tcW w:w="24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Threshold Performance</w:t>
            </w:r>
          </w:p>
        </w:tc>
        <w:tc>
          <w:tcPr>
            <w:tcW w:w="22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Target Performance</w:t>
            </w:r>
          </w:p>
        </w:tc>
        <w:tc>
          <w:tcPr>
            <w:tcW w:w="2440" w:type="dxa"/>
            <w:vAlign w:val="bottom"/>
          </w:tcPr>
          <w:p>
            <w:pPr>
              <w:jc w:val="center"/>
              <w:spacing w:after="0"/>
              <w:rPr>
                <w:sz w:val="20"/>
                <w:szCs w:val="20"/>
                <w:color w:val="auto"/>
              </w:rPr>
            </w:pPr>
            <w:r>
              <w:rPr>
                <w:rFonts w:ascii="Arial" w:cs="Arial" w:eastAsia="Arial" w:hAnsi="Arial"/>
                <w:sz w:val="14"/>
                <w:szCs w:val="14"/>
                <w:b w:val="1"/>
                <w:bCs w:val="1"/>
                <w:color w:val="auto"/>
                <w:w w:val="96"/>
              </w:rPr>
              <w:t>Maximum Performance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060" w:type="dxa"/>
            <w:vAlign w:val="bottom"/>
            <w:gridSpan w:val="3"/>
            <w:vMerge w:val="continue"/>
          </w:tcPr>
          <w:p>
            <w:pPr>
              <w:spacing w:after="0"/>
              <w:rPr>
                <w:sz w:val="12"/>
                <w:szCs w:val="12"/>
                <w:color w:val="auto"/>
              </w:rPr>
            </w:pPr>
          </w:p>
        </w:tc>
        <w:tc>
          <w:tcPr>
            <w:tcW w:w="24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(50% of Shares)</w:t>
            </w:r>
          </w:p>
        </w:tc>
        <w:tc>
          <w:tcPr>
            <w:tcW w:w="22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3"/>
              </w:rPr>
              <w:t>(100% of Shares)</w:t>
            </w:r>
          </w:p>
        </w:tc>
        <w:tc>
          <w:tcPr>
            <w:tcW w:w="24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(150% of Shares)</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840" w:type="dxa"/>
            <w:vAlign w:val="bottom"/>
            <w:tcBorders>
              <w:top w:val="single" w:sz="8" w:color="auto"/>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CCEEFF"/>
            </w:tcBorders>
          </w:tcPr>
          <w:p>
            <w:pPr>
              <w:spacing w:after="0" w:line="20" w:lineRule="exact"/>
              <w:rPr>
                <w:sz w:val="1"/>
                <w:szCs w:val="1"/>
                <w:color w:val="auto"/>
              </w:rPr>
            </w:pPr>
          </w:p>
        </w:tc>
        <w:tc>
          <w:tcPr>
            <w:tcW w:w="3120" w:type="dxa"/>
            <w:vAlign w:val="bottom"/>
            <w:tcBorders>
              <w:bottom w:val="single" w:sz="8" w:color="CCEEFF"/>
            </w:tcBorders>
          </w:tcPr>
          <w:p>
            <w:pPr>
              <w:spacing w:after="0" w:line="20" w:lineRule="exact"/>
              <w:rPr>
                <w:sz w:val="1"/>
                <w:szCs w:val="1"/>
                <w:color w:val="auto"/>
              </w:rPr>
            </w:pPr>
          </w:p>
        </w:tc>
        <w:tc>
          <w:tcPr>
            <w:tcW w:w="2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2021 grants</w:t>
            </w:r>
          </w:p>
        </w:tc>
        <w:tc>
          <w:tcPr>
            <w:tcW w:w="2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6.3%</w:t>
            </w:r>
          </w:p>
        </w:tc>
        <w:tc>
          <w:tcPr>
            <w:tcW w:w="100" w:type="dxa"/>
            <w:vAlign w:val="bottom"/>
            <w:shd w:val="clear" w:color="auto" w:fill="CCEEFF"/>
          </w:tcPr>
          <w:p>
            <w:pPr>
              <w:spacing w:after="0"/>
              <w:rPr>
                <w:sz w:val="19"/>
                <w:szCs w:val="19"/>
                <w:color w:val="auto"/>
              </w:rPr>
            </w:pPr>
          </w:p>
        </w:tc>
        <w:tc>
          <w:tcPr>
            <w:tcW w:w="2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7.0%</w:t>
            </w:r>
          </w:p>
        </w:tc>
        <w:tc>
          <w:tcPr>
            <w:tcW w:w="100" w:type="dxa"/>
            <w:vAlign w:val="bottom"/>
            <w:shd w:val="clear" w:color="auto" w:fill="CCEEFF"/>
          </w:tcPr>
          <w:p>
            <w:pPr>
              <w:spacing w:after="0"/>
              <w:rPr>
                <w:sz w:val="19"/>
                <w:szCs w:val="19"/>
                <w:color w:val="auto"/>
              </w:rPr>
            </w:pPr>
          </w:p>
        </w:tc>
        <w:tc>
          <w:tcPr>
            <w:tcW w:w="2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8.6%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60" w:type="dxa"/>
            <w:vAlign w:val="bottom"/>
            <w:gridSpan w:val="3"/>
          </w:tcPr>
          <w:p>
            <w:pPr>
              <w:spacing w:after="0"/>
              <w:rPr>
                <w:sz w:val="20"/>
                <w:szCs w:val="20"/>
                <w:color w:val="auto"/>
              </w:rPr>
            </w:pPr>
            <w:r>
              <w:rPr>
                <w:rFonts w:ascii="Arial" w:cs="Arial" w:eastAsia="Arial" w:hAnsi="Arial"/>
                <w:sz w:val="18"/>
                <w:szCs w:val="18"/>
                <w:color w:val="auto"/>
              </w:rPr>
              <w:t>2020 grants (1)</w:t>
            </w:r>
          </w:p>
        </w:tc>
        <w:tc>
          <w:tcPr>
            <w:tcW w:w="2340" w:type="dxa"/>
            <w:vAlign w:val="bottom"/>
          </w:tcPr>
          <w:p>
            <w:pPr>
              <w:jc w:val="center"/>
              <w:spacing w:after="0"/>
              <w:rPr>
                <w:sz w:val="20"/>
                <w:szCs w:val="20"/>
                <w:color w:val="auto"/>
              </w:rPr>
            </w:pPr>
            <w:r>
              <w:rPr>
                <w:rFonts w:ascii="Arial" w:cs="Arial" w:eastAsia="Arial" w:hAnsi="Arial"/>
                <w:sz w:val="18"/>
                <w:szCs w:val="18"/>
                <w:color w:val="auto"/>
                <w:w w:val="92"/>
              </w:rPr>
              <w:t>6.7%</w:t>
            </w:r>
          </w:p>
        </w:tc>
        <w:tc>
          <w:tcPr>
            <w:tcW w:w="100" w:type="dxa"/>
            <w:vAlign w:val="bottom"/>
          </w:tcPr>
          <w:p>
            <w:pPr>
              <w:spacing w:after="0"/>
              <w:rPr>
                <w:sz w:val="20"/>
                <w:szCs w:val="20"/>
                <w:color w:val="auto"/>
              </w:rPr>
            </w:pPr>
          </w:p>
        </w:tc>
        <w:tc>
          <w:tcPr>
            <w:tcW w:w="2120" w:type="dxa"/>
            <w:vAlign w:val="bottom"/>
          </w:tcPr>
          <w:p>
            <w:pPr>
              <w:jc w:val="center"/>
              <w:spacing w:after="0"/>
              <w:rPr>
                <w:sz w:val="20"/>
                <w:szCs w:val="20"/>
                <w:color w:val="auto"/>
              </w:rPr>
            </w:pPr>
            <w:r>
              <w:rPr>
                <w:rFonts w:ascii="Arial" w:cs="Arial" w:eastAsia="Arial" w:hAnsi="Arial"/>
                <w:sz w:val="18"/>
                <w:szCs w:val="18"/>
                <w:color w:val="auto"/>
                <w:w w:val="87"/>
              </w:rPr>
              <w:t>7.9%</w:t>
            </w:r>
          </w:p>
        </w:tc>
        <w:tc>
          <w:tcPr>
            <w:tcW w:w="100" w:type="dxa"/>
            <w:vAlign w:val="bottom"/>
          </w:tcPr>
          <w:p>
            <w:pPr>
              <w:spacing w:after="0"/>
              <w:rPr>
                <w:sz w:val="20"/>
                <w:szCs w:val="20"/>
                <w:color w:val="auto"/>
              </w:rPr>
            </w:pPr>
          </w:p>
        </w:tc>
        <w:tc>
          <w:tcPr>
            <w:tcW w:w="2440" w:type="dxa"/>
            <w:vAlign w:val="bottom"/>
          </w:tcPr>
          <w:p>
            <w:pPr>
              <w:jc w:val="center"/>
              <w:spacing w:after="0"/>
              <w:rPr>
                <w:sz w:val="20"/>
                <w:szCs w:val="20"/>
                <w:color w:val="auto"/>
              </w:rPr>
            </w:pPr>
            <w:r>
              <w:rPr>
                <w:rFonts w:ascii="Arial" w:cs="Arial" w:eastAsia="Arial" w:hAnsi="Arial"/>
                <w:sz w:val="18"/>
                <w:szCs w:val="18"/>
                <w:color w:val="auto"/>
                <w:w w:val="92"/>
              </w:rPr>
              <w:t>8.7%</w:t>
            </w:r>
          </w:p>
        </w:tc>
        <w:tc>
          <w:tcPr>
            <w:tcW w:w="0" w:type="dxa"/>
            <w:vAlign w:val="bottom"/>
          </w:tcPr>
          <w:p>
            <w:pPr>
              <w:spacing w:after="0"/>
              <w:rPr>
                <w:sz w:val="1"/>
                <w:szCs w:val="1"/>
                <w:color w:val="auto"/>
              </w:rPr>
            </w:pPr>
          </w:p>
        </w:tc>
      </w:tr>
      <w:tr>
        <w:trPr>
          <w:trHeight w:val="244"/>
        </w:trPr>
        <w:tc>
          <w:tcPr>
            <w:tcW w:w="4080" w:type="dxa"/>
            <w:vAlign w:val="bottom"/>
            <w:gridSpan w:val="4"/>
          </w:tcPr>
          <w:p>
            <w:pPr>
              <w:spacing w:after="0"/>
              <w:rPr>
                <w:sz w:val="20"/>
                <w:szCs w:val="20"/>
                <w:color w:val="auto"/>
              </w:rPr>
            </w:pPr>
            <w:r>
              <w:rPr>
                <w:rFonts w:ascii="Arial" w:cs="Arial" w:eastAsia="Arial" w:hAnsi="Arial"/>
                <w:sz w:val="14"/>
                <w:szCs w:val="14"/>
                <w:color w:val="auto"/>
              </w:rPr>
              <w:t>_______________________________</w:t>
            </w:r>
          </w:p>
        </w:tc>
        <w:tc>
          <w:tcPr>
            <w:tcW w:w="2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38" w:lineRule="exact"/>
        <w:rPr>
          <w:sz w:val="20"/>
          <w:szCs w:val="20"/>
          <w:color w:val="auto"/>
        </w:rPr>
      </w:pPr>
    </w:p>
    <w:p>
      <w:pPr>
        <w:ind w:left="980" w:right="20" w:hanging="324"/>
        <w:spacing w:after="0" w:line="277" w:lineRule="auto"/>
        <w:tabs>
          <w:tab w:leader="none" w:pos="974"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performance levels for 2020 grants were modified by the compensation committee of the board of directors in the first quarter of 2021 to adjust for the sale of the Life Sciences business and the ongoing effects of the COVID-19 pandemic.</w:t>
      </w:r>
    </w:p>
    <w:p>
      <w:pPr>
        <w:spacing w:after="0" w:line="62"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 xml:space="preserve">We estimate the grant date fair value of TSR Awards using the Monte Carlo simulation model, as the total shareholder return metric is considered a market condition under ASC Topic 718, </w:t>
      </w:r>
      <w:r>
        <w:rPr>
          <w:rFonts w:ascii="Arial" w:cs="Arial" w:eastAsia="Arial" w:hAnsi="Arial"/>
          <w:sz w:val="18"/>
          <w:szCs w:val="18"/>
          <w:i w:val="1"/>
          <w:iCs w:val="1"/>
          <w:color w:val="auto"/>
        </w:rPr>
        <w:t>Compensation – stock compensation</w:t>
      </w:r>
      <w:r>
        <w:rPr>
          <w:rFonts w:ascii="Arial" w:cs="Arial" w:eastAsia="Arial" w:hAnsi="Arial"/>
          <w:sz w:val="18"/>
          <w:szCs w:val="18"/>
          <w:color w:val="auto"/>
        </w:rPr>
        <w:t>. The grant date fair value of ROIC Awards is based on the closing price of a share of our common stock on the date of grant.</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number of PSUs granted and the grant date fair value in the period presented.</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320" w:type="dxa"/>
            <w:vAlign w:val="bottom"/>
            <w:gridSpan w:val="4"/>
          </w:tcPr>
          <w:p>
            <w:pPr>
              <w:ind w:left="60"/>
              <w:spacing w:after="0"/>
              <w:rPr>
                <w:sz w:val="20"/>
                <w:szCs w:val="20"/>
                <w:color w:val="auto"/>
              </w:rPr>
            </w:pPr>
            <w:r>
              <w:rPr>
                <w:rFonts w:ascii="Arial" w:cs="Arial" w:eastAsia="Arial" w:hAnsi="Arial"/>
                <w:sz w:val="14"/>
                <w:szCs w:val="14"/>
                <w:b w:val="1"/>
                <w:bCs w:val="1"/>
                <w:color w:val="auto"/>
              </w:rPr>
              <w:t>TSR Awards</w:t>
            </w:r>
          </w:p>
        </w:tc>
        <w:tc>
          <w:tcPr>
            <w:tcW w:w="1300" w:type="dxa"/>
            <w:vAlign w:val="bottom"/>
          </w:tcPr>
          <w:p>
            <w:pPr>
              <w:spacing w:after="0"/>
              <w:rPr>
                <w:sz w:val="16"/>
                <w:szCs w:val="16"/>
                <w:color w:val="auto"/>
              </w:rPr>
            </w:pPr>
          </w:p>
        </w:tc>
        <w:tc>
          <w:tcPr>
            <w:tcW w:w="2240" w:type="dxa"/>
            <w:vAlign w:val="bottom"/>
            <w:gridSpan w:val="3"/>
          </w:tcPr>
          <w:p>
            <w:pPr>
              <w:ind w:left="40"/>
              <w:spacing w:after="0"/>
              <w:rPr>
                <w:sz w:val="20"/>
                <w:szCs w:val="20"/>
                <w:color w:val="auto"/>
              </w:rPr>
            </w:pPr>
            <w:r>
              <w:rPr>
                <w:rFonts w:ascii="Arial" w:cs="Arial" w:eastAsia="Arial" w:hAnsi="Arial"/>
                <w:sz w:val="14"/>
                <w:szCs w:val="14"/>
                <w:b w:val="1"/>
                <w:bCs w:val="1"/>
                <w:color w:val="auto"/>
              </w:rPr>
              <w:t>ROIC Awards</w:t>
            </w:r>
          </w:p>
        </w:tc>
        <w:tc>
          <w:tcPr>
            <w:tcW w:w="0" w:type="dxa"/>
            <w:vAlign w:val="bottom"/>
          </w:tcPr>
          <w:p>
            <w:pPr>
              <w:spacing w:after="0"/>
              <w:rPr>
                <w:sz w:val="1"/>
                <w:szCs w:val="1"/>
                <w:color w:val="auto"/>
              </w:rPr>
            </w:pPr>
          </w:p>
        </w:tc>
      </w:tr>
      <w:tr>
        <w:trPr>
          <w:trHeight w:val="134"/>
        </w:trPr>
        <w:tc>
          <w:tcPr>
            <w:tcW w:w="3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tcBorders>
              <w:top w:val="single" w:sz="8" w:color="auto"/>
            </w:tcBorders>
            <w:vMerge w:val="restart"/>
          </w:tcPr>
          <w:p>
            <w:pPr>
              <w:jc w:val="center"/>
              <w:ind w:left="242"/>
              <w:spacing w:after="0"/>
              <w:rPr>
                <w:sz w:val="20"/>
                <w:szCs w:val="20"/>
                <w:color w:val="auto"/>
              </w:rPr>
            </w:pPr>
            <w:r>
              <w:rPr>
                <w:rFonts w:ascii="Arial" w:cs="Arial" w:eastAsia="Arial" w:hAnsi="Arial"/>
                <w:sz w:val="14"/>
                <w:szCs w:val="14"/>
                <w:b w:val="1"/>
                <w:bCs w:val="1"/>
                <w:color w:val="auto"/>
                <w:w w:val="89"/>
              </w:rPr>
              <w:t>Shares</w:t>
            </w:r>
          </w:p>
        </w:tc>
        <w:tc>
          <w:tcPr>
            <w:tcW w:w="3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780" w:type="dxa"/>
            <w:vAlign w:val="bottom"/>
            <w:tcBorders>
              <w:top w:val="single" w:sz="8" w:color="auto"/>
            </w:tcBorders>
          </w:tcPr>
          <w:p>
            <w:pPr>
              <w:jc w:val="center"/>
              <w:spacing w:after="0" w:line="135" w:lineRule="exact"/>
              <w:rPr>
                <w:sz w:val="20"/>
                <w:szCs w:val="20"/>
                <w:color w:val="auto"/>
              </w:rPr>
            </w:pPr>
            <w:r>
              <w:rPr>
                <w:rFonts w:ascii="Arial" w:cs="Arial" w:eastAsia="Arial" w:hAnsi="Arial"/>
                <w:sz w:val="14"/>
                <w:szCs w:val="14"/>
                <w:b w:val="1"/>
                <w:bCs w:val="1"/>
                <w:color w:val="auto"/>
                <w:w w:val="97"/>
              </w:rPr>
              <w:t>Grant Date</w:t>
            </w:r>
          </w:p>
        </w:tc>
        <w:tc>
          <w:tcPr>
            <w:tcW w:w="100" w:type="dxa"/>
            <w:vAlign w:val="bottom"/>
          </w:tcPr>
          <w:p>
            <w:pPr>
              <w:spacing w:after="0"/>
              <w:rPr>
                <w:sz w:val="11"/>
                <w:szCs w:val="11"/>
                <w:color w:val="auto"/>
              </w:rPr>
            </w:pPr>
          </w:p>
        </w:tc>
        <w:tc>
          <w:tcPr>
            <w:tcW w:w="1300" w:type="dxa"/>
            <w:vAlign w:val="bottom"/>
            <w:tcBorders>
              <w:top w:val="single" w:sz="8" w:color="auto"/>
            </w:tcBorders>
            <w:vMerge w:val="restart"/>
          </w:tcPr>
          <w:p>
            <w:pPr>
              <w:jc w:val="center"/>
              <w:ind w:left="282"/>
              <w:spacing w:after="0"/>
              <w:rPr>
                <w:sz w:val="20"/>
                <w:szCs w:val="20"/>
                <w:color w:val="auto"/>
              </w:rPr>
            </w:pPr>
            <w:r>
              <w:rPr>
                <w:rFonts w:ascii="Arial" w:cs="Arial" w:eastAsia="Arial" w:hAnsi="Arial"/>
                <w:sz w:val="14"/>
                <w:szCs w:val="14"/>
                <w:b w:val="1"/>
                <w:bCs w:val="1"/>
                <w:color w:val="auto"/>
                <w:w w:val="89"/>
              </w:rPr>
              <w:t>Shares</w:t>
            </w:r>
          </w:p>
        </w:tc>
        <w:tc>
          <w:tcPr>
            <w:tcW w:w="34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780" w:type="dxa"/>
            <w:vAlign w:val="bottom"/>
            <w:tcBorders>
              <w:top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8"/>
              </w:rPr>
              <w:t>Grant Date Fair</w:t>
            </w:r>
          </w:p>
        </w:tc>
        <w:tc>
          <w:tcPr>
            <w:tcW w:w="0" w:type="dxa"/>
            <w:vAlign w:val="bottom"/>
          </w:tcPr>
          <w:p>
            <w:pPr>
              <w:spacing w:after="0"/>
              <w:rPr>
                <w:sz w:val="1"/>
                <w:szCs w:val="1"/>
                <w:color w:val="auto"/>
              </w:rPr>
            </w:pPr>
          </w:p>
        </w:tc>
      </w:tr>
      <w:tr>
        <w:trPr>
          <w:trHeight w:val="135"/>
        </w:trPr>
        <w:tc>
          <w:tcPr>
            <w:tcW w:w="40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Award Year</w:t>
            </w:r>
          </w:p>
        </w:tc>
        <w:tc>
          <w:tcPr>
            <w:tcW w:w="1300" w:type="dxa"/>
            <w:vAlign w:val="bottom"/>
            <w:vMerge w:val="continue"/>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8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8"/>
              </w:rPr>
              <w:t>Fair Value</w:t>
            </w:r>
          </w:p>
        </w:tc>
        <w:tc>
          <w:tcPr>
            <w:tcW w:w="1300" w:type="dxa"/>
            <w:vAlign w:val="bottom"/>
            <w:vMerge w:val="continue"/>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4020" w:type="dxa"/>
            <w:vAlign w:val="bottom"/>
            <w:gridSpan w:val="2"/>
            <w:vMerge w:val="continue"/>
          </w:tcPr>
          <w:p>
            <w:pPr>
              <w:spacing w:after="0"/>
              <w:rPr>
                <w:sz w:val="16"/>
                <w:szCs w:val="16"/>
                <w:color w:val="auto"/>
              </w:rPr>
            </w:pPr>
          </w:p>
        </w:tc>
        <w:tc>
          <w:tcPr>
            <w:tcW w:w="1300" w:type="dxa"/>
            <w:vAlign w:val="bottom"/>
          </w:tcPr>
          <w:p>
            <w:pPr>
              <w:jc w:val="center"/>
              <w:ind w:left="262"/>
              <w:spacing w:after="0"/>
              <w:rPr>
                <w:sz w:val="20"/>
                <w:szCs w:val="20"/>
                <w:color w:val="auto"/>
              </w:rPr>
            </w:pPr>
            <w:r>
              <w:rPr>
                <w:rFonts w:ascii="Arial" w:cs="Arial" w:eastAsia="Arial" w:hAnsi="Arial"/>
                <w:sz w:val="14"/>
                <w:szCs w:val="14"/>
                <w:b w:val="1"/>
                <w:bCs w:val="1"/>
                <w:color w:val="auto"/>
                <w:w w:val="91"/>
              </w:rPr>
              <w:t>(in thousands)</w:t>
            </w: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(per share)</w:t>
            </w:r>
          </w:p>
        </w:tc>
        <w:tc>
          <w:tcPr>
            <w:tcW w:w="1300" w:type="dxa"/>
            <w:vAlign w:val="bottom"/>
          </w:tcPr>
          <w:p>
            <w:pPr>
              <w:jc w:val="center"/>
              <w:ind w:left="262"/>
              <w:spacing w:after="0"/>
              <w:rPr>
                <w:sz w:val="20"/>
                <w:szCs w:val="20"/>
                <w:color w:val="auto"/>
              </w:rPr>
            </w:pPr>
            <w:r>
              <w:rPr>
                <w:rFonts w:ascii="Arial" w:cs="Arial" w:eastAsia="Arial" w:hAnsi="Arial"/>
                <w:sz w:val="14"/>
                <w:szCs w:val="14"/>
                <w:b w:val="1"/>
                <w:bCs w:val="1"/>
                <w:color w:val="auto"/>
                <w:w w:val="91"/>
              </w:rPr>
              <w:t>(in thousands)</w:t>
            </w: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80" w:type="dxa"/>
            <w:vAlign w:val="bottom"/>
          </w:tcPr>
          <w:p>
            <w:pPr>
              <w:jc w:val="center"/>
              <w:spacing w:after="0"/>
              <w:rPr>
                <w:sz w:val="20"/>
                <w:szCs w:val="20"/>
                <w:color w:val="auto"/>
              </w:rPr>
            </w:pPr>
            <w:r>
              <w:rPr>
                <w:rFonts w:ascii="Arial" w:cs="Arial" w:eastAsia="Arial" w:hAnsi="Arial"/>
                <w:sz w:val="14"/>
                <w:szCs w:val="14"/>
                <w:b w:val="1"/>
                <w:bCs w:val="1"/>
                <w:color w:val="auto"/>
                <w:w w:val="93"/>
              </w:rPr>
              <w:t>Value (per share)</w:t>
            </w:r>
          </w:p>
        </w:tc>
        <w:tc>
          <w:tcPr>
            <w:tcW w:w="0" w:type="dxa"/>
            <w:vAlign w:val="bottom"/>
          </w:tcPr>
          <w:p>
            <w:pPr>
              <w:spacing w:after="0"/>
              <w:rPr>
                <w:sz w:val="1"/>
                <w:szCs w:val="1"/>
                <w:color w:val="auto"/>
              </w:rPr>
            </w:pPr>
          </w:p>
        </w:tc>
      </w:tr>
      <w:tr>
        <w:trPr>
          <w:trHeight w:val="224"/>
        </w:trPr>
        <w:tc>
          <w:tcPr>
            <w:tcW w:w="39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120" w:type="dxa"/>
            <w:vAlign w:val="bottom"/>
            <w:tcBorders>
              <w:top w:val="single" w:sz="8" w:color="CCEEFF"/>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center"/>
              <w:ind w:left="242"/>
              <w:spacing w:after="0"/>
              <w:rPr>
                <w:sz w:val="20"/>
                <w:szCs w:val="20"/>
                <w:color w:val="auto"/>
              </w:rPr>
            </w:pPr>
            <w:r>
              <w:rPr>
                <w:rFonts w:ascii="Arial" w:cs="Arial" w:eastAsia="Arial" w:hAnsi="Arial"/>
                <w:sz w:val="18"/>
                <w:szCs w:val="18"/>
                <w:color w:val="auto"/>
                <w:w w:val="86"/>
              </w:rPr>
              <w:t>142</w:t>
            </w:r>
          </w:p>
        </w:tc>
        <w:tc>
          <w:tcPr>
            <w:tcW w:w="3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7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$8.58</w:t>
            </w:r>
          </w:p>
        </w:tc>
        <w:tc>
          <w:tcPr>
            <w:tcW w:w="100" w:type="dxa"/>
            <w:vAlign w:val="bottom"/>
            <w:tcBorders>
              <w:top w:val="single" w:sz="8" w:color="CCEEFF"/>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center"/>
              <w:ind w:left="282"/>
              <w:spacing w:after="0"/>
              <w:rPr>
                <w:sz w:val="20"/>
                <w:szCs w:val="20"/>
                <w:color w:val="auto"/>
              </w:rPr>
            </w:pPr>
            <w:r>
              <w:rPr>
                <w:rFonts w:ascii="Arial" w:cs="Arial" w:eastAsia="Arial" w:hAnsi="Arial"/>
                <w:sz w:val="18"/>
                <w:szCs w:val="18"/>
                <w:color w:val="auto"/>
                <w:w w:val="86"/>
              </w:rPr>
              <w:t>172</w:t>
            </w:r>
          </w:p>
        </w:tc>
        <w:tc>
          <w:tcPr>
            <w:tcW w:w="3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7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$7.20</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We recognize expense for ROIC Awards based on the probable outcome of the associated performance condition. We generally recognize an expense for ROIC Awards based on the Target Performance threshold of 100% because, at the date of grant, the Target Performance is the probable level of performance achievement.</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status of unvested PSUs as of March 31, 2021, and changes during the three months then ended.</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320" w:type="dxa"/>
            <w:vAlign w:val="bottom"/>
          </w:tcPr>
          <w:p>
            <w:pPr>
              <w:spacing w:after="0"/>
              <w:rPr>
                <w:sz w:val="16"/>
                <w:szCs w:val="16"/>
                <w:color w:val="auto"/>
              </w:rPr>
            </w:pPr>
          </w:p>
        </w:tc>
        <w:tc>
          <w:tcPr>
            <w:tcW w:w="3500" w:type="dxa"/>
            <w:vAlign w:val="bottom"/>
            <w:gridSpan w:val="6"/>
          </w:tcPr>
          <w:p>
            <w:pPr>
              <w:ind w:left="960"/>
              <w:spacing w:after="0"/>
              <w:rPr>
                <w:sz w:val="20"/>
                <w:szCs w:val="20"/>
                <w:color w:val="auto"/>
              </w:rPr>
            </w:pPr>
            <w:r>
              <w:rPr>
                <w:rFonts w:ascii="Arial" w:cs="Arial" w:eastAsia="Arial" w:hAnsi="Arial"/>
                <w:sz w:val="14"/>
                <w:szCs w:val="14"/>
                <w:b w:val="1"/>
                <w:bCs w:val="1"/>
                <w:color w:val="auto"/>
              </w:rPr>
              <w:t>Nonvested TSR Awards</w:t>
            </w:r>
          </w:p>
        </w:tc>
        <w:tc>
          <w:tcPr>
            <w:tcW w:w="3360" w:type="dxa"/>
            <w:vAlign w:val="bottom"/>
            <w:gridSpan w:val="4"/>
          </w:tcPr>
          <w:p>
            <w:pPr>
              <w:jc w:val="right"/>
              <w:ind w:right="821"/>
              <w:spacing w:after="0"/>
              <w:rPr>
                <w:sz w:val="20"/>
                <w:szCs w:val="20"/>
                <w:color w:val="auto"/>
              </w:rPr>
            </w:pPr>
            <w:r>
              <w:rPr>
                <w:rFonts w:ascii="Arial" w:cs="Arial" w:eastAsia="Arial" w:hAnsi="Arial"/>
                <w:sz w:val="14"/>
                <w:szCs w:val="14"/>
                <w:b w:val="1"/>
                <w:bCs w:val="1"/>
                <w:color w:val="auto"/>
              </w:rPr>
              <w:t>Nonvested ROIC Awards</w:t>
            </w:r>
          </w:p>
        </w:tc>
        <w:tc>
          <w:tcPr>
            <w:tcW w:w="0" w:type="dxa"/>
            <w:vAlign w:val="bottom"/>
          </w:tcPr>
          <w:p>
            <w:pPr>
              <w:spacing w:after="0"/>
              <w:rPr>
                <w:sz w:val="1"/>
                <w:szCs w:val="1"/>
                <w:color w:val="auto"/>
              </w:rPr>
            </w:pPr>
          </w:p>
        </w:tc>
      </w:tr>
      <w:tr>
        <w:trPr>
          <w:trHeight w:val="134"/>
        </w:trPr>
        <w:tc>
          <w:tcPr>
            <w:tcW w:w="4320" w:type="dxa"/>
            <w:vAlign w:val="bottom"/>
          </w:tcPr>
          <w:p>
            <w:pPr>
              <w:spacing w:after="0"/>
              <w:rPr>
                <w:sz w:val="11"/>
                <w:szCs w:val="11"/>
                <w:color w:val="auto"/>
              </w:rPr>
            </w:pPr>
          </w:p>
        </w:tc>
        <w:tc>
          <w:tcPr>
            <w:tcW w:w="128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340" w:type="dxa"/>
            <w:vAlign w:val="bottom"/>
            <w:tcBorders>
              <w:top w:val="single" w:sz="8" w:color="auto"/>
            </w:tcBorders>
          </w:tcPr>
          <w:p>
            <w:pPr>
              <w:jc w:val="center"/>
              <w:ind w:right="201"/>
              <w:spacing w:after="0" w:line="135" w:lineRule="exact"/>
              <w:rPr>
                <w:sz w:val="20"/>
                <w:szCs w:val="20"/>
                <w:color w:val="auto"/>
              </w:rPr>
            </w:pPr>
            <w:r>
              <w:rPr>
                <w:rFonts w:ascii="Arial" w:cs="Arial" w:eastAsia="Arial" w:hAnsi="Arial"/>
                <w:sz w:val="14"/>
                <w:szCs w:val="14"/>
                <w:b w:val="1"/>
                <w:bCs w:val="1"/>
                <w:color w:val="auto"/>
                <w:w w:val="91"/>
              </w:rPr>
              <w:t>Weighted</w:t>
            </w:r>
          </w:p>
        </w:tc>
        <w:tc>
          <w:tcPr>
            <w:tcW w:w="120" w:type="dxa"/>
            <w:vAlign w:val="bottom"/>
          </w:tcPr>
          <w:p>
            <w:pPr>
              <w:spacing w:after="0"/>
              <w:rPr>
                <w:sz w:val="11"/>
                <w:szCs w:val="11"/>
                <w:color w:val="auto"/>
              </w:rPr>
            </w:pPr>
          </w:p>
        </w:tc>
        <w:tc>
          <w:tcPr>
            <w:tcW w:w="16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1340" w:type="dxa"/>
            <w:vAlign w:val="bottom"/>
            <w:tcBorders>
              <w:top w:val="single" w:sz="8" w:color="auto"/>
            </w:tcBorders>
          </w:tcPr>
          <w:p>
            <w:pPr>
              <w:jc w:val="center"/>
              <w:ind w:right="201"/>
              <w:spacing w:after="0" w:line="135" w:lineRule="exact"/>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35"/>
        </w:trPr>
        <w:tc>
          <w:tcPr>
            <w:tcW w:w="43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60" w:type="dxa"/>
            <w:vAlign w:val="bottom"/>
            <w:gridSpan w:val="2"/>
          </w:tcPr>
          <w:p>
            <w:pPr>
              <w:jc w:val="center"/>
              <w:ind w:right="400"/>
              <w:spacing w:after="0" w:line="135" w:lineRule="exact"/>
              <w:rPr>
                <w:sz w:val="20"/>
                <w:szCs w:val="20"/>
                <w:color w:val="auto"/>
              </w:rPr>
            </w:pPr>
            <w:r>
              <w:rPr>
                <w:rFonts w:ascii="Arial" w:cs="Arial" w:eastAsia="Arial" w:hAnsi="Arial"/>
                <w:sz w:val="14"/>
                <w:szCs w:val="14"/>
                <w:b w:val="1"/>
                <w:bCs w:val="1"/>
                <w:color w:val="auto"/>
                <w:w w:val="90"/>
              </w:rPr>
              <w:t>Average</w:t>
            </w:r>
          </w:p>
        </w:tc>
        <w:tc>
          <w:tcPr>
            <w:tcW w:w="1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40" w:type="dxa"/>
            <w:vAlign w:val="bottom"/>
          </w:tcPr>
          <w:p>
            <w:pPr>
              <w:jc w:val="center"/>
              <w:ind w:right="161"/>
              <w:spacing w:after="0" w:line="135"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35"/>
        </w:trPr>
        <w:tc>
          <w:tcPr>
            <w:tcW w:w="4320" w:type="dxa"/>
            <w:vAlign w:val="bottom"/>
          </w:tcPr>
          <w:p>
            <w:pPr>
              <w:spacing w:after="0"/>
              <w:rPr>
                <w:sz w:val="11"/>
                <w:szCs w:val="11"/>
                <w:color w:val="auto"/>
              </w:rPr>
            </w:pPr>
          </w:p>
        </w:tc>
        <w:tc>
          <w:tcPr>
            <w:tcW w:w="1280" w:type="dxa"/>
            <w:vAlign w:val="bottom"/>
            <w:vMerge w:val="restart"/>
          </w:tcPr>
          <w:p>
            <w:pPr>
              <w:jc w:val="center"/>
              <w:ind w:left="308"/>
              <w:spacing w:after="0"/>
              <w:rPr>
                <w:sz w:val="20"/>
                <w:szCs w:val="20"/>
                <w:color w:val="auto"/>
              </w:rPr>
            </w:pPr>
            <w:r>
              <w:rPr>
                <w:rFonts w:ascii="Arial" w:cs="Arial" w:eastAsia="Arial" w:hAnsi="Arial"/>
                <w:sz w:val="14"/>
                <w:szCs w:val="14"/>
                <w:b w:val="1"/>
                <w:bCs w:val="1"/>
                <w:color w:val="auto"/>
                <w:w w:val="89"/>
              </w:rPr>
              <w:t>Shares</w:t>
            </w: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60" w:type="dxa"/>
            <w:vAlign w:val="bottom"/>
            <w:gridSpan w:val="2"/>
          </w:tcPr>
          <w:p>
            <w:pPr>
              <w:jc w:val="center"/>
              <w:ind w:right="400"/>
              <w:spacing w:after="0" w:line="135" w:lineRule="exact"/>
              <w:rPr>
                <w:sz w:val="20"/>
                <w:szCs w:val="20"/>
                <w:color w:val="auto"/>
              </w:rPr>
            </w:pPr>
            <w:r>
              <w:rPr>
                <w:rFonts w:ascii="Arial" w:cs="Arial" w:eastAsia="Arial" w:hAnsi="Arial"/>
                <w:sz w:val="14"/>
                <w:szCs w:val="14"/>
                <w:b w:val="1"/>
                <w:bCs w:val="1"/>
                <w:color w:val="auto"/>
                <w:w w:val="96"/>
              </w:rPr>
              <w:t>Grant-Date</w:t>
            </w:r>
          </w:p>
        </w:tc>
        <w:tc>
          <w:tcPr>
            <w:tcW w:w="1620" w:type="dxa"/>
            <w:vAlign w:val="bottom"/>
            <w:vMerge w:val="restart"/>
          </w:tcPr>
          <w:p>
            <w:pPr>
              <w:jc w:val="right"/>
              <w:ind w:right="519"/>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40" w:type="dxa"/>
            <w:vAlign w:val="bottom"/>
          </w:tcPr>
          <w:p>
            <w:pPr>
              <w:jc w:val="center"/>
              <w:ind w:right="201"/>
              <w:spacing w:after="0" w:line="135" w:lineRule="exact"/>
              <w:rPr>
                <w:sz w:val="20"/>
                <w:szCs w:val="20"/>
                <w:color w:val="auto"/>
              </w:rPr>
            </w:pPr>
            <w:r>
              <w:rPr>
                <w:rFonts w:ascii="Arial" w:cs="Arial" w:eastAsia="Arial" w:hAnsi="Arial"/>
                <w:sz w:val="14"/>
                <w:szCs w:val="14"/>
                <w:b w:val="1"/>
                <w:bCs w:val="1"/>
                <w:color w:val="auto"/>
                <w:w w:val="96"/>
              </w:rPr>
              <w:t>Grant-Date</w:t>
            </w:r>
          </w:p>
        </w:tc>
        <w:tc>
          <w:tcPr>
            <w:tcW w:w="0" w:type="dxa"/>
            <w:vAlign w:val="bottom"/>
          </w:tcPr>
          <w:p>
            <w:pPr>
              <w:spacing w:after="0"/>
              <w:rPr>
                <w:sz w:val="1"/>
                <w:szCs w:val="1"/>
                <w:color w:val="auto"/>
              </w:rPr>
            </w:pPr>
          </w:p>
        </w:tc>
      </w:tr>
      <w:tr>
        <w:trPr>
          <w:trHeight w:val="135"/>
        </w:trPr>
        <w:tc>
          <w:tcPr>
            <w:tcW w:w="4320" w:type="dxa"/>
            <w:vAlign w:val="bottom"/>
          </w:tcPr>
          <w:p>
            <w:pPr>
              <w:spacing w:after="0"/>
              <w:rPr>
                <w:sz w:val="11"/>
                <w:szCs w:val="11"/>
                <w:color w:val="auto"/>
              </w:rPr>
            </w:pPr>
          </w:p>
        </w:tc>
        <w:tc>
          <w:tcPr>
            <w:tcW w:w="1280" w:type="dxa"/>
            <w:vAlign w:val="bottom"/>
            <w:vMerge w:val="continue"/>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60" w:type="dxa"/>
            <w:vAlign w:val="bottom"/>
            <w:gridSpan w:val="2"/>
          </w:tcPr>
          <w:p>
            <w:pPr>
              <w:jc w:val="center"/>
              <w:ind w:right="420"/>
              <w:spacing w:after="0" w:line="135" w:lineRule="exact"/>
              <w:rPr>
                <w:sz w:val="20"/>
                <w:szCs w:val="20"/>
                <w:color w:val="auto"/>
              </w:rPr>
            </w:pPr>
            <w:r>
              <w:rPr>
                <w:rFonts w:ascii="Arial" w:cs="Arial" w:eastAsia="Arial" w:hAnsi="Arial"/>
                <w:sz w:val="14"/>
                <w:szCs w:val="14"/>
                <w:b w:val="1"/>
                <w:bCs w:val="1"/>
                <w:color w:val="auto"/>
                <w:w w:val="95"/>
              </w:rPr>
              <w:t>Fair Value</w:t>
            </w:r>
          </w:p>
        </w:tc>
        <w:tc>
          <w:tcPr>
            <w:tcW w:w="162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40" w:type="dxa"/>
            <w:vAlign w:val="bottom"/>
          </w:tcPr>
          <w:p>
            <w:pPr>
              <w:jc w:val="center"/>
              <w:ind w:right="201"/>
              <w:spacing w:after="0" w:line="135" w:lineRule="exact"/>
              <w:rPr>
                <w:sz w:val="20"/>
                <w:szCs w:val="20"/>
                <w:color w:val="auto"/>
              </w:rPr>
            </w:pPr>
            <w:r>
              <w:rPr>
                <w:rFonts w:ascii="Arial" w:cs="Arial" w:eastAsia="Arial" w:hAnsi="Arial"/>
                <w:sz w:val="14"/>
                <w:szCs w:val="14"/>
                <w:b w:val="1"/>
                <w:bCs w:val="1"/>
                <w:color w:val="auto"/>
                <w:w w:val="98"/>
              </w:rPr>
              <w:t>Fair Value</w:t>
            </w:r>
          </w:p>
        </w:tc>
        <w:tc>
          <w:tcPr>
            <w:tcW w:w="0" w:type="dxa"/>
            <w:vAlign w:val="bottom"/>
          </w:tcPr>
          <w:p>
            <w:pPr>
              <w:spacing w:after="0"/>
              <w:rPr>
                <w:sz w:val="1"/>
                <w:szCs w:val="1"/>
                <w:color w:val="auto"/>
              </w:rPr>
            </w:pPr>
          </w:p>
        </w:tc>
      </w:tr>
      <w:tr>
        <w:trPr>
          <w:trHeight w:val="188"/>
        </w:trPr>
        <w:tc>
          <w:tcPr>
            <w:tcW w:w="4320" w:type="dxa"/>
            <w:vAlign w:val="bottom"/>
          </w:tcPr>
          <w:p>
            <w:pPr>
              <w:spacing w:after="0"/>
              <w:rPr>
                <w:sz w:val="16"/>
                <w:szCs w:val="16"/>
                <w:color w:val="auto"/>
              </w:rPr>
            </w:pPr>
          </w:p>
        </w:tc>
        <w:tc>
          <w:tcPr>
            <w:tcW w:w="1280" w:type="dxa"/>
            <w:vAlign w:val="bottom"/>
          </w:tcPr>
          <w:p>
            <w:pPr>
              <w:jc w:val="center"/>
              <w:ind w:left="288"/>
              <w:spacing w:after="0"/>
              <w:rPr>
                <w:sz w:val="20"/>
                <w:szCs w:val="20"/>
                <w:color w:val="auto"/>
              </w:rPr>
            </w:pPr>
            <w:r>
              <w:rPr>
                <w:rFonts w:ascii="Arial" w:cs="Arial" w:eastAsia="Arial" w:hAnsi="Arial"/>
                <w:sz w:val="14"/>
                <w:szCs w:val="14"/>
                <w:b w:val="1"/>
                <w:bCs w:val="1"/>
                <w:color w:val="auto"/>
                <w:w w:val="91"/>
              </w:rPr>
              <w:t>(in thousands)</w:t>
            </w: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1"/>
              </w:rPr>
              <w:t>(per share)</w:t>
            </w:r>
          </w:p>
        </w:tc>
        <w:tc>
          <w:tcPr>
            <w:tcW w:w="1620" w:type="dxa"/>
            <w:vAlign w:val="bottom"/>
          </w:tcPr>
          <w:p>
            <w:pPr>
              <w:jc w:val="right"/>
              <w:ind w:right="299"/>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40" w:type="dxa"/>
            <w:vAlign w:val="bottom"/>
          </w:tcPr>
          <w:p>
            <w:pPr>
              <w:jc w:val="center"/>
              <w:ind w:right="201"/>
              <w:spacing w:after="0"/>
              <w:rPr>
                <w:sz w:val="20"/>
                <w:szCs w:val="20"/>
                <w:color w:val="auto"/>
              </w:rPr>
            </w:pPr>
            <w:r>
              <w:rPr>
                <w:rFonts w:ascii="Arial" w:cs="Arial" w:eastAsia="Arial" w:hAnsi="Arial"/>
                <w:sz w:val="14"/>
                <w:szCs w:val="14"/>
                <w:b w:val="1"/>
                <w:bCs w:val="1"/>
                <w:color w:val="auto"/>
                <w:w w:val="91"/>
              </w:rPr>
              <w:t>(per share)</w:t>
            </w:r>
          </w:p>
        </w:tc>
        <w:tc>
          <w:tcPr>
            <w:tcW w:w="0" w:type="dxa"/>
            <w:vAlign w:val="bottom"/>
          </w:tcPr>
          <w:p>
            <w:pPr>
              <w:spacing w:after="0"/>
              <w:rPr>
                <w:sz w:val="1"/>
                <w:szCs w:val="1"/>
                <w:color w:val="auto"/>
              </w:rPr>
            </w:pPr>
          </w:p>
        </w:tc>
      </w:tr>
      <w:tr>
        <w:trPr>
          <w:trHeight w:val="224"/>
        </w:trPr>
        <w:tc>
          <w:tcPr>
            <w:tcW w:w="4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Nonvested at January 1, 2021</w:t>
            </w:r>
          </w:p>
        </w:tc>
        <w:tc>
          <w:tcPr>
            <w:tcW w:w="1280" w:type="dxa"/>
            <w:vAlign w:val="bottom"/>
            <w:tcBorders>
              <w:top w:val="single" w:sz="8" w:color="auto"/>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138</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10.58</w:t>
            </w:r>
          </w:p>
        </w:tc>
        <w:tc>
          <w:tcPr>
            <w:tcW w:w="120" w:type="dxa"/>
            <w:vAlign w:val="bottom"/>
            <w:tcBorders>
              <w:top w:val="single" w:sz="8" w:color="CCEEFF"/>
            </w:tcBorders>
            <w:shd w:val="clear" w:color="auto" w:fill="CCEEFF"/>
          </w:tcPr>
          <w:p>
            <w:pPr>
              <w:spacing w:after="0"/>
              <w:rPr>
                <w:sz w:val="19"/>
                <w:szCs w:val="19"/>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9.13</w:t>
            </w:r>
          </w:p>
        </w:tc>
        <w:tc>
          <w:tcPr>
            <w:tcW w:w="0" w:type="dxa"/>
            <w:vAlign w:val="bottom"/>
          </w:tcPr>
          <w:p>
            <w:pPr>
              <w:spacing w:after="0"/>
              <w:rPr>
                <w:sz w:val="1"/>
                <w:szCs w:val="1"/>
                <w:color w:val="auto"/>
              </w:rPr>
            </w:pPr>
          </w:p>
        </w:tc>
      </w:tr>
      <w:tr>
        <w:trPr>
          <w:trHeight w:val="230"/>
        </w:trPr>
        <w:tc>
          <w:tcPr>
            <w:tcW w:w="5600" w:type="dxa"/>
            <w:vAlign w:val="bottom"/>
            <w:gridSpan w:val="2"/>
          </w:tcPr>
          <w:p>
            <w:pPr>
              <w:ind w:left="20"/>
              <w:spacing w:after="0"/>
              <w:rPr>
                <w:sz w:val="20"/>
                <w:szCs w:val="20"/>
                <w:color w:val="auto"/>
              </w:rPr>
            </w:pPr>
            <w:r>
              <w:rPr>
                <w:rFonts w:ascii="Arial" w:cs="Arial" w:eastAsia="Arial" w:hAnsi="Arial"/>
                <w:sz w:val="18"/>
                <w:szCs w:val="18"/>
                <w:color w:val="auto"/>
              </w:rPr>
              <w:t>Granted</w:t>
            </w:r>
          </w:p>
        </w:tc>
        <w:tc>
          <w:tcPr>
            <w:tcW w:w="360" w:type="dxa"/>
            <w:vAlign w:val="bottom"/>
          </w:tcPr>
          <w:p>
            <w:pPr>
              <w:jc w:val="right"/>
              <w:spacing w:after="0"/>
              <w:rPr>
                <w:sz w:val="20"/>
                <w:szCs w:val="20"/>
                <w:color w:val="auto"/>
              </w:rPr>
            </w:pPr>
            <w:r>
              <w:rPr>
                <w:rFonts w:ascii="Arial" w:cs="Arial" w:eastAsia="Arial" w:hAnsi="Arial"/>
                <w:sz w:val="18"/>
                <w:szCs w:val="18"/>
                <w:color w:val="auto"/>
                <w:w w:val="86"/>
              </w:rPr>
              <w:t>142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8.58</w:t>
            </w:r>
          </w:p>
        </w:tc>
        <w:tc>
          <w:tcPr>
            <w:tcW w:w="1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172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7.20</w:t>
            </w:r>
          </w:p>
        </w:tc>
        <w:tc>
          <w:tcPr>
            <w:tcW w:w="0" w:type="dxa"/>
            <w:vAlign w:val="bottom"/>
          </w:tcPr>
          <w:p>
            <w:pPr>
              <w:spacing w:after="0"/>
              <w:rPr>
                <w:sz w:val="1"/>
                <w:szCs w:val="1"/>
                <w:color w:val="auto"/>
              </w:rPr>
            </w:pPr>
          </w:p>
        </w:tc>
      </w:tr>
      <w:tr>
        <w:trPr>
          <w:trHeight w:val="248"/>
        </w:trPr>
        <w:tc>
          <w:tcPr>
            <w:tcW w:w="43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Nonvested at March 31, 2021</w:t>
            </w:r>
          </w:p>
        </w:tc>
        <w:tc>
          <w:tcPr>
            <w:tcW w:w="1280" w:type="dxa"/>
            <w:vAlign w:val="bottom"/>
            <w:tcBorders>
              <w:top w:val="single" w:sz="8" w:color="auto"/>
              <w:bottom w:val="single" w:sz="8" w:color="auto"/>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280</w:t>
            </w:r>
          </w:p>
        </w:tc>
        <w:tc>
          <w:tcPr>
            <w:tcW w:w="400" w:type="dxa"/>
            <w:vAlign w:val="bottom"/>
            <w:tcBorders>
              <w:top w:val="single" w:sz="8" w:color="CCEEFF"/>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3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332</w:t>
            </w:r>
          </w:p>
        </w:tc>
        <w:tc>
          <w:tcPr>
            <w:tcW w:w="400" w:type="dxa"/>
            <w:vAlign w:val="bottom"/>
            <w:tcBorders>
              <w:top w:val="single" w:sz="8" w:color="CCEEFF"/>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3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8.13</w:t>
            </w:r>
          </w:p>
        </w:tc>
        <w:tc>
          <w:tcPr>
            <w:tcW w:w="0" w:type="dxa"/>
            <w:vAlign w:val="bottom"/>
          </w:tcPr>
          <w:p>
            <w:pPr>
              <w:spacing w:after="0"/>
              <w:rPr>
                <w:sz w:val="1"/>
                <w:szCs w:val="1"/>
                <w:color w:val="auto"/>
              </w:rPr>
            </w:pP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233" w:right="399" w:bottom="1440" w:gutter="0" w:footer="0" w:header="0"/>
        </w:sectPr>
      </w:pPr>
    </w:p>
    <w:bookmarkStart w:id="19" w:name="page20"/>
    <w:bookmarkEnd w:id="1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Accumulated Other Comprehensive Income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present the components of accumulated other comprehensive income (“AOCI”).</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60" w:type="dxa"/>
            <w:vAlign w:val="bottom"/>
          </w:tcPr>
          <w:p>
            <w:pPr>
              <w:spacing w:after="0"/>
              <w:rPr>
                <w:sz w:val="14"/>
                <w:szCs w:val="14"/>
                <w:color w:val="auto"/>
              </w:rPr>
            </w:pPr>
          </w:p>
        </w:tc>
        <w:tc>
          <w:tcPr>
            <w:tcW w:w="14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5"/>
              </w:rPr>
              <w:t>Foreign Currency</w:t>
            </w:r>
          </w:p>
        </w:tc>
        <w:tc>
          <w:tcPr>
            <w:tcW w:w="142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Interest rate swap</w:t>
            </w:r>
          </w:p>
        </w:tc>
        <w:tc>
          <w:tcPr>
            <w:tcW w:w="120" w:type="dxa"/>
            <w:vAlign w:val="bottom"/>
          </w:tcPr>
          <w:p>
            <w:pPr>
              <w:spacing w:after="0"/>
              <w:rPr>
                <w:sz w:val="14"/>
                <w:szCs w:val="14"/>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Income taxes (1)</w:t>
            </w:r>
          </w:p>
        </w:tc>
        <w:tc>
          <w:tcPr>
            <w:tcW w:w="300" w:type="dxa"/>
            <w:vAlign w:val="bottom"/>
          </w:tcPr>
          <w:p>
            <w:pPr>
              <w:spacing w:after="0"/>
              <w:rPr>
                <w:sz w:val="14"/>
                <w:szCs w:val="14"/>
                <w:color w:val="auto"/>
              </w:rPr>
            </w:pPr>
          </w:p>
        </w:tc>
        <w:tc>
          <w:tcPr>
            <w:tcW w:w="1020" w:type="dxa"/>
            <w:vAlign w:val="bottom"/>
            <w:vMerge w:val="restart"/>
          </w:tcPr>
          <w:p>
            <w:pPr>
              <w:jc w:val="right"/>
              <w:ind w:right="41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5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Translation</w:t>
            </w:r>
          </w:p>
        </w:tc>
        <w:tc>
          <w:tcPr>
            <w:tcW w:w="142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56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2020</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(30,881)</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jc w:val="right"/>
              <w:ind w:right="194"/>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(3,712)</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861</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(33,732)</w:t>
            </w:r>
          </w:p>
        </w:tc>
        <w:tc>
          <w:tcPr>
            <w:tcW w:w="0" w:type="dxa"/>
            <w:vAlign w:val="bottom"/>
          </w:tcPr>
          <w:p>
            <w:pPr>
              <w:spacing w:after="0"/>
              <w:rPr>
                <w:sz w:val="1"/>
                <w:szCs w:val="1"/>
                <w:color w:val="auto"/>
              </w:rPr>
            </w:pPr>
          </w:p>
        </w:tc>
      </w:tr>
      <w:tr>
        <w:trPr>
          <w:trHeight w:val="223"/>
        </w:trPr>
        <w:tc>
          <w:tcPr>
            <w:tcW w:w="5660" w:type="dxa"/>
            <w:vAlign w:val="bottom"/>
          </w:tcPr>
          <w:p>
            <w:pPr>
              <w:ind w:left="140"/>
              <w:spacing w:after="0"/>
              <w:rPr>
                <w:sz w:val="20"/>
                <w:szCs w:val="20"/>
                <w:color w:val="auto"/>
              </w:rPr>
            </w:pPr>
            <w:r>
              <w:rPr>
                <w:rFonts w:ascii="Arial" w:cs="Arial" w:eastAsia="Arial" w:hAnsi="Arial"/>
                <w:sz w:val="18"/>
                <w:szCs w:val="18"/>
                <w:color w:val="auto"/>
              </w:rPr>
              <w:t>Other comprehensive income (loss) before reclassifications</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(3,347)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(3,347)</w:t>
            </w:r>
          </w:p>
        </w:tc>
        <w:tc>
          <w:tcPr>
            <w:tcW w:w="0" w:type="dxa"/>
            <w:vAlign w:val="bottom"/>
          </w:tcPr>
          <w:p>
            <w:pPr>
              <w:spacing w:after="0"/>
              <w:rPr>
                <w:sz w:val="1"/>
                <w:szCs w:val="1"/>
                <w:color w:val="auto"/>
              </w:rPr>
            </w:pPr>
          </w:p>
        </w:tc>
      </w:tr>
      <w:tr>
        <w:trPr>
          <w:trHeight w:val="229"/>
        </w:trPr>
        <w:tc>
          <w:tcPr>
            <w:tcW w:w="5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Amounts reclassified from AOCI to loss on interest rate swap (3)</w:t>
            </w: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2,851</w:t>
            </w:r>
          </w:p>
        </w:tc>
        <w:tc>
          <w:tcPr>
            <w:tcW w:w="0" w:type="dxa"/>
            <w:vAlign w:val="bottom"/>
          </w:tcPr>
          <w:p>
            <w:pPr>
              <w:spacing w:after="0"/>
              <w:rPr>
                <w:sz w:val="1"/>
                <w:szCs w:val="1"/>
                <w:color w:val="auto"/>
              </w:rPr>
            </w:pPr>
          </w:p>
        </w:tc>
      </w:tr>
      <w:tr>
        <w:trPr>
          <w:trHeight w:val="223"/>
        </w:trPr>
        <w:tc>
          <w:tcPr>
            <w:tcW w:w="5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other comprehensive income (loss)</w:t>
            </w:r>
          </w:p>
        </w:tc>
        <w:tc>
          <w:tcPr>
            <w:tcW w:w="20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(3,347)</w:t>
            </w:r>
          </w:p>
        </w:tc>
        <w:tc>
          <w:tcPr>
            <w:tcW w:w="100" w:type="dxa"/>
            <w:vAlign w:val="bottom"/>
            <w:tcBorders>
              <w:bottom w:val="single" w:sz="8" w:color="CCEEFF"/>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3,712</w:t>
            </w:r>
          </w:p>
        </w:tc>
        <w:tc>
          <w:tcPr>
            <w:tcW w:w="10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(861)</w:t>
            </w:r>
          </w:p>
        </w:tc>
        <w:tc>
          <w:tcPr>
            <w:tcW w:w="12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(496)</w:t>
            </w:r>
          </w:p>
        </w:tc>
        <w:tc>
          <w:tcPr>
            <w:tcW w:w="0" w:type="dxa"/>
            <w:vAlign w:val="bottom"/>
          </w:tcPr>
          <w:p>
            <w:pPr>
              <w:spacing w:after="0"/>
              <w:rPr>
                <w:sz w:val="1"/>
                <w:szCs w:val="1"/>
                <w:color w:val="auto"/>
              </w:rPr>
            </w:pPr>
          </w:p>
        </w:tc>
      </w:tr>
      <w:tr>
        <w:trPr>
          <w:trHeight w:val="248"/>
        </w:trPr>
        <w:tc>
          <w:tcPr>
            <w:tcW w:w="5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March 31, 2021</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(34,228)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4"/>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(34,228)</w:t>
            </w:r>
          </w:p>
        </w:tc>
        <w:tc>
          <w:tcPr>
            <w:tcW w:w="0" w:type="dxa"/>
            <w:vAlign w:val="bottom"/>
          </w:tcPr>
          <w:p>
            <w:pPr>
              <w:spacing w:after="0"/>
              <w:rPr>
                <w:sz w:val="1"/>
                <w:szCs w:val="1"/>
                <w:color w:val="auto"/>
              </w:rPr>
            </w:pP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December 31, 2019</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(35,159)</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194"/>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(12,234)</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2,839</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(44,554)</w:t>
            </w:r>
          </w:p>
        </w:tc>
        <w:tc>
          <w:tcPr>
            <w:tcW w:w="0" w:type="dxa"/>
            <w:vAlign w:val="bottom"/>
          </w:tcPr>
          <w:p>
            <w:pPr>
              <w:spacing w:after="0"/>
              <w:rPr>
                <w:sz w:val="1"/>
                <w:szCs w:val="1"/>
                <w:color w:val="auto"/>
              </w:rPr>
            </w:pPr>
          </w:p>
        </w:tc>
      </w:tr>
      <w:tr>
        <w:trPr>
          <w:trHeight w:val="223"/>
        </w:trPr>
        <w:tc>
          <w:tcPr>
            <w:tcW w:w="5660" w:type="dxa"/>
            <w:vAlign w:val="bottom"/>
          </w:tcPr>
          <w:p>
            <w:pPr>
              <w:ind w:left="140"/>
              <w:spacing w:after="0"/>
              <w:rPr>
                <w:sz w:val="20"/>
                <w:szCs w:val="20"/>
                <w:color w:val="auto"/>
              </w:rPr>
            </w:pPr>
            <w:r>
              <w:rPr>
                <w:rFonts w:ascii="Arial" w:cs="Arial" w:eastAsia="Arial" w:hAnsi="Arial"/>
                <w:sz w:val="18"/>
                <w:szCs w:val="18"/>
                <w:color w:val="auto"/>
              </w:rPr>
              <w:t>Other comprehensive income (loss) before reclassifications</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(14,342)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(14,599)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3,390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(25,551)</w:t>
            </w:r>
          </w:p>
        </w:tc>
        <w:tc>
          <w:tcPr>
            <w:tcW w:w="0" w:type="dxa"/>
            <w:vAlign w:val="bottom"/>
          </w:tcPr>
          <w:p>
            <w:pPr>
              <w:spacing w:after="0"/>
              <w:rPr>
                <w:sz w:val="1"/>
                <w:szCs w:val="1"/>
                <w:color w:val="auto"/>
              </w:rPr>
            </w:pPr>
          </w:p>
        </w:tc>
      </w:tr>
      <w:tr>
        <w:trPr>
          <w:trHeight w:val="229"/>
        </w:trPr>
        <w:tc>
          <w:tcPr>
            <w:tcW w:w="5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Amounts reclassified from AOCI to interest expense (2)</w:t>
            </w: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1,052</w:t>
            </w:r>
          </w:p>
        </w:tc>
        <w:tc>
          <w:tcPr>
            <w:tcW w:w="0" w:type="dxa"/>
            <w:vAlign w:val="bottom"/>
          </w:tcPr>
          <w:p>
            <w:pPr>
              <w:spacing w:after="0"/>
              <w:rPr>
                <w:sz w:val="1"/>
                <w:szCs w:val="1"/>
                <w:color w:val="auto"/>
              </w:rPr>
            </w:pPr>
          </w:p>
        </w:tc>
      </w:tr>
      <w:tr>
        <w:trPr>
          <w:trHeight w:val="223"/>
        </w:trPr>
        <w:tc>
          <w:tcPr>
            <w:tcW w:w="5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other comprehensive income (loss)</w:t>
            </w:r>
          </w:p>
        </w:tc>
        <w:tc>
          <w:tcPr>
            <w:tcW w:w="20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(14,342)</w:t>
            </w:r>
          </w:p>
        </w:tc>
        <w:tc>
          <w:tcPr>
            <w:tcW w:w="100" w:type="dxa"/>
            <w:vAlign w:val="bottom"/>
            <w:tcBorders>
              <w:bottom w:val="single" w:sz="8" w:color="CCEEFF"/>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(13,229)</w:t>
            </w:r>
          </w:p>
        </w:tc>
        <w:tc>
          <w:tcPr>
            <w:tcW w:w="10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3,072</w:t>
            </w:r>
          </w:p>
        </w:tc>
        <w:tc>
          <w:tcPr>
            <w:tcW w:w="12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(24,499)</w:t>
            </w:r>
          </w:p>
        </w:tc>
        <w:tc>
          <w:tcPr>
            <w:tcW w:w="0" w:type="dxa"/>
            <w:vAlign w:val="bottom"/>
          </w:tcPr>
          <w:p>
            <w:pPr>
              <w:spacing w:after="0"/>
              <w:rPr>
                <w:sz w:val="1"/>
                <w:szCs w:val="1"/>
                <w:color w:val="auto"/>
              </w:rPr>
            </w:pPr>
          </w:p>
        </w:tc>
      </w:tr>
      <w:tr>
        <w:trPr>
          <w:trHeight w:val="248"/>
        </w:trPr>
        <w:tc>
          <w:tcPr>
            <w:tcW w:w="5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March 31, 2020</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(49,501)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4"/>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(25,463)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5,911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(69,053)</w:t>
            </w:r>
          </w:p>
        </w:tc>
        <w:tc>
          <w:tcPr>
            <w:tcW w:w="0" w:type="dxa"/>
            <w:vAlign w:val="bottom"/>
          </w:tcPr>
          <w:p>
            <w:pPr>
              <w:spacing w:after="0"/>
              <w:rPr>
                <w:sz w:val="1"/>
                <w:szCs w:val="1"/>
                <w:color w:val="auto"/>
              </w:rPr>
            </w:pP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w:t>
      </w:r>
    </w:p>
    <w:p>
      <w:pPr>
        <w:spacing w:after="0" w:line="63" w:lineRule="exact"/>
        <w:rPr>
          <w:sz w:val="20"/>
          <w:szCs w:val="20"/>
          <w:color w:val="auto"/>
        </w:rPr>
      </w:pPr>
    </w:p>
    <w:p>
      <w:pPr>
        <w:ind w:left="660" w:hanging="247"/>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Income tax effect of changes in interest rate swap.</w:t>
      </w:r>
    </w:p>
    <w:p>
      <w:pPr>
        <w:spacing w:after="0" w:line="63" w:lineRule="exact"/>
        <w:rPr>
          <w:rFonts w:ascii="Arial" w:cs="Arial" w:eastAsia="Arial" w:hAnsi="Arial"/>
          <w:sz w:val="18"/>
          <w:szCs w:val="18"/>
          <w:color w:val="auto"/>
        </w:rPr>
      </w:pPr>
    </w:p>
    <w:p>
      <w:pPr>
        <w:ind w:left="660" w:hanging="247"/>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Represents settlements on the interest rate swap while the hedge was effective.</w:t>
      </w:r>
    </w:p>
    <w:p>
      <w:pPr>
        <w:spacing w:after="0" w:line="63" w:lineRule="exact"/>
        <w:rPr>
          <w:rFonts w:ascii="Arial" w:cs="Arial" w:eastAsia="Arial" w:hAnsi="Arial"/>
          <w:sz w:val="18"/>
          <w:szCs w:val="18"/>
          <w:color w:val="auto"/>
        </w:rPr>
      </w:pPr>
    </w:p>
    <w:p>
      <w:pPr>
        <w:ind w:left="660" w:hanging="247"/>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Represents reclassification of derivative loss and settlements after discontinuation of hedge accounting.</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Net Income (Loss) Per Common Share</w:t>
      </w:r>
    </w:p>
    <w:p>
      <w:pPr>
        <w:spacing w:after="0" w:line="22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 xml:space="preserve">In accordance with ASC 260, </w:t>
      </w:r>
      <w:r>
        <w:rPr>
          <w:rFonts w:ascii="Arial" w:cs="Arial" w:eastAsia="Arial" w:hAnsi="Arial"/>
          <w:sz w:val="18"/>
          <w:szCs w:val="18"/>
          <w:i w:val="1"/>
          <w:iCs w:val="1"/>
          <w:color w:val="auto"/>
        </w:rPr>
        <w:t>Earnings Per Share,</w:t>
      </w:r>
      <w:r>
        <w:rPr>
          <w:rFonts w:ascii="Arial" w:cs="Arial" w:eastAsia="Arial" w:hAnsi="Arial"/>
          <w:sz w:val="18"/>
          <w:szCs w:val="18"/>
          <w:color w:val="auto"/>
        </w:rPr>
        <w:t xml:space="preserve"> a company that has participating securities is required to utilize the two-class method for calculating earnings per share (“EPS”) unless the treasury stock method results in lower EPS. The two-class method is an allocation of earnings between the holders of common stock and a company’s participating securities. Basic EPS is calculated by dividing income or loss attributable to common stockholders by the weighted average number of shares of common stock outstanding. To calculate diluted EPS, basic EPS is further adjusted to include the effect of potentially dilutive stock options, warrants, and convertible preferred stock.</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computation of basic and diluted net loss per common share.</w:t>
      </w:r>
    </w:p>
    <w:p>
      <w:pPr>
        <w:spacing w:after="0" w:line="85" w:lineRule="exact"/>
        <w:rPr>
          <w:sz w:val="20"/>
          <w:szCs w:val="20"/>
          <w:color w:val="auto"/>
        </w:rPr>
      </w:pPr>
    </w:p>
    <w:p>
      <w:pPr>
        <w:jc w:val="center"/>
        <w:ind w:left="8260"/>
        <w:spacing w:after="0"/>
        <w:rPr>
          <w:sz w:val="20"/>
          <w:szCs w:val="20"/>
          <w:color w:val="auto"/>
        </w:rPr>
      </w:pPr>
      <w:r>
        <w:rPr>
          <w:rFonts w:ascii="Arial" w:cs="Arial" w:eastAsia="Arial" w:hAnsi="Arial"/>
          <w:sz w:val="14"/>
          <w:szCs w:val="14"/>
          <w:b w:val="1"/>
          <w:bCs w:val="1"/>
          <w:color w:val="auto"/>
        </w:rPr>
        <w:t>Three Months Ended</w:t>
      </w:r>
    </w:p>
    <w:p>
      <w:pPr>
        <w:jc w:val="center"/>
        <w:ind w:left="8260"/>
        <w:spacing w:after="0"/>
        <w:rPr>
          <w:sz w:val="20"/>
          <w:szCs w:val="20"/>
          <w:color w:val="auto"/>
        </w:rPr>
      </w:pPr>
      <w:r>
        <w:rPr>
          <w:rFonts w:ascii="Arial" w:cs="Arial" w:eastAsia="Arial" w:hAnsi="Arial"/>
          <w:sz w:val="14"/>
          <w:szCs w:val="14"/>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260" w:type="dxa"/>
            <w:vAlign w:val="bottom"/>
            <w:tcBorders>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1"/>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Numerator:</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260" w:type="dxa"/>
            <w:vAlign w:val="bottom"/>
          </w:tcPr>
          <w:p>
            <w:pPr>
              <w:ind w:left="220"/>
              <w:spacing w:after="0"/>
              <w:rPr>
                <w:sz w:val="20"/>
                <w:szCs w:val="20"/>
                <w:color w:val="auto"/>
              </w:rPr>
            </w:pPr>
            <w:r>
              <w:rPr>
                <w:rFonts w:ascii="Arial" w:cs="Arial" w:eastAsia="Arial" w:hAnsi="Arial"/>
                <w:sz w:val="18"/>
                <w:szCs w:val="18"/>
                <w:color w:val="auto"/>
              </w:rPr>
              <w:t>Loss from continuing operations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(4,913)</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(108,077)</w:t>
            </w: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Less: Preferred stock cumulative dividends and deemed dividends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(14,529)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(2,951)</w:t>
            </w:r>
          </w:p>
        </w:tc>
        <w:tc>
          <w:tcPr>
            <w:tcW w:w="0" w:type="dxa"/>
            <w:vAlign w:val="bottom"/>
          </w:tcPr>
          <w:p>
            <w:pPr>
              <w:spacing w:after="0"/>
              <w:rPr>
                <w:sz w:val="1"/>
                <w:szCs w:val="1"/>
                <w:color w:val="auto"/>
              </w:rPr>
            </w:pPr>
          </w:p>
        </w:tc>
      </w:tr>
      <w:tr>
        <w:trPr>
          <w:trHeight w:val="223"/>
        </w:trPr>
        <w:tc>
          <w:tcPr>
            <w:tcW w:w="8260" w:type="dxa"/>
            <w:vAlign w:val="bottom"/>
          </w:tcPr>
          <w:p>
            <w:pPr>
              <w:ind w:left="240"/>
              <w:spacing w:after="0"/>
              <w:rPr>
                <w:sz w:val="20"/>
                <w:szCs w:val="20"/>
                <w:color w:val="auto"/>
              </w:rPr>
            </w:pPr>
            <w:r>
              <w:rPr>
                <w:rFonts w:ascii="Arial" w:cs="Arial" w:eastAsia="Arial" w:hAnsi="Arial"/>
                <w:sz w:val="18"/>
                <w:szCs w:val="18"/>
                <w:color w:val="auto"/>
              </w:rPr>
              <w:t>Numerator for basic and diluted loss from continuing operations per common share (1)</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(19,442)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(111,028)</w:t>
            </w: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Loss from discontinued operations, net of tax (Note 2)</w:t>
            </w: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(140,114)</w:t>
            </w:r>
          </w:p>
        </w:tc>
        <w:tc>
          <w:tcPr>
            <w:tcW w:w="0" w:type="dxa"/>
            <w:vAlign w:val="bottom"/>
          </w:tcPr>
          <w:p>
            <w:pPr>
              <w:spacing w:after="0"/>
              <w:rPr>
                <w:sz w:val="1"/>
                <w:szCs w:val="1"/>
                <w:color w:val="auto"/>
              </w:rPr>
            </w:pPr>
          </w:p>
        </w:tc>
      </w:tr>
      <w:tr>
        <w:trPr>
          <w:trHeight w:val="223"/>
        </w:trPr>
        <w:tc>
          <w:tcPr>
            <w:tcW w:w="8260" w:type="dxa"/>
            <w:vAlign w:val="bottom"/>
          </w:tcPr>
          <w:p>
            <w:pPr>
              <w:ind w:left="220"/>
              <w:spacing w:after="0"/>
              <w:rPr>
                <w:sz w:val="20"/>
                <w:szCs w:val="20"/>
                <w:color w:val="auto"/>
              </w:rPr>
            </w:pPr>
            <w:r>
              <w:rPr>
                <w:rFonts w:ascii="Arial" w:cs="Arial" w:eastAsia="Arial" w:hAnsi="Arial"/>
                <w:sz w:val="18"/>
                <w:szCs w:val="18"/>
                <w:color w:val="auto"/>
              </w:rPr>
              <w:t>Numerator for basic and diluted undistributed net loss per common share (1)</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(19,442)</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(251,142)</w:t>
            </w:r>
          </w:p>
        </w:tc>
        <w:tc>
          <w:tcPr>
            <w:tcW w:w="0" w:type="dxa"/>
            <w:vAlign w:val="bottom"/>
          </w:tcPr>
          <w:p>
            <w:pPr>
              <w:spacing w:after="0"/>
              <w:rPr>
                <w:sz w:val="1"/>
                <w:szCs w:val="1"/>
                <w:color w:val="auto"/>
              </w:rPr>
            </w:pPr>
          </w:p>
        </w:tc>
      </w:tr>
      <w:tr>
        <w:trPr>
          <w:trHeight w:val="20"/>
        </w:trPr>
        <w:tc>
          <w:tcPr>
            <w:tcW w:w="82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2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8260" w:type="dxa"/>
            <w:vAlign w:val="bottom"/>
          </w:tcPr>
          <w:p>
            <w:pPr>
              <w:ind w:left="20"/>
              <w:spacing w:after="0"/>
              <w:rPr>
                <w:sz w:val="20"/>
                <w:szCs w:val="20"/>
                <w:color w:val="auto"/>
              </w:rPr>
            </w:pPr>
            <w:r>
              <w:rPr>
                <w:rFonts w:ascii="Arial" w:cs="Arial" w:eastAsia="Arial" w:hAnsi="Arial"/>
                <w:sz w:val="18"/>
                <w:szCs w:val="18"/>
                <w:color w:val="auto"/>
              </w:rPr>
              <w:t>Denominator:</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Weighted average common shares outstanding, basic and diluted</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42,461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42,111</w:t>
            </w:r>
          </w:p>
        </w:tc>
        <w:tc>
          <w:tcPr>
            <w:tcW w:w="0" w:type="dxa"/>
            <w:vAlign w:val="bottom"/>
          </w:tcPr>
          <w:p>
            <w:pPr>
              <w:spacing w:after="0"/>
              <w:rPr>
                <w:sz w:val="1"/>
                <w:szCs w:val="1"/>
                <w:color w:val="auto"/>
              </w:rPr>
            </w:pPr>
          </w:p>
        </w:tc>
      </w:tr>
      <w:tr>
        <w:trPr>
          <w:trHeight w:val="230"/>
        </w:trPr>
        <w:tc>
          <w:tcPr>
            <w:tcW w:w="8260" w:type="dxa"/>
            <w:vAlign w:val="bottom"/>
            <w:tcBorders>
              <w:bottom w:val="single" w:sz="8" w:color="CCEEFF"/>
            </w:tcBorders>
          </w:tcPr>
          <w:p>
            <w:pPr>
              <w:ind w:left="440"/>
              <w:spacing w:after="0"/>
              <w:rPr>
                <w:sz w:val="20"/>
                <w:szCs w:val="20"/>
                <w:color w:val="auto"/>
              </w:rPr>
            </w:pPr>
            <w:r>
              <w:rPr>
                <w:rFonts w:ascii="Arial" w:cs="Arial" w:eastAsia="Arial" w:hAnsi="Arial"/>
                <w:sz w:val="18"/>
                <w:szCs w:val="18"/>
                <w:color w:val="auto"/>
              </w:rPr>
              <w:t>Weighted average warrants outstanding, basic and diluted (2)</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1"/>
        </w:trPr>
        <w:tc>
          <w:tcPr>
            <w:tcW w:w="8260" w:type="dxa"/>
            <w:vAlign w:val="bottom"/>
            <w:tcBorders>
              <w:bottom w:val="single" w:sz="8" w:color="CCEEFF"/>
            </w:tcBorders>
            <w:shd w:val="clear" w:color="auto" w:fill="CCEEFF"/>
          </w:tcPr>
          <w:p>
            <w:pPr>
              <w:ind w:left="220"/>
              <w:spacing w:after="0" w:line="196" w:lineRule="exact"/>
              <w:rPr>
                <w:sz w:val="20"/>
                <w:szCs w:val="20"/>
                <w:color w:val="auto"/>
              </w:rPr>
            </w:pPr>
            <w:r>
              <w:rPr>
                <w:rFonts w:ascii="Arial" w:cs="Arial" w:eastAsia="Arial" w:hAnsi="Arial"/>
                <w:sz w:val="18"/>
                <w:szCs w:val="18"/>
                <w:color w:val="auto"/>
              </w:rPr>
              <w:t>Shares used to calculate income (loss) per share, basic and diluted</w:t>
            </w: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42,672</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42,111</w:t>
            </w: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Per common share net loss:</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26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Basic loss from continuing operations per common share</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0" w:type="dxa"/>
            <w:vAlign w:val="bottom"/>
          </w:tcPr>
          <w:p>
            <w:pPr>
              <w:spacing w:after="0"/>
              <w:rPr>
                <w:sz w:val="1"/>
                <w:szCs w:val="1"/>
                <w:color w:val="auto"/>
              </w:rPr>
            </w:pPr>
          </w:p>
        </w:tc>
      </w:tr>
      <w:tr>
        <w:trPr>
          <w:trHeight w:val="229"/>
        </w:trPr>
        <w:tc>
          <w:tcPr>
            <w:tcW w:w="8260" w:type="dxa"/>
            <w:vAlign w:val="bottom"/>
          </w:tcPr>
          <w:p>
            <w:pPr>
              <w:ind w:left="220"/>
              <w:spacing w:after="0"/>
              <w:rPr>
                <w:sz w:val="20"/>
                <w:szCs w:val="20"/>
                <w:color w:val="auto"/>
              </w:rPr>
            </w:pPr>
            <w:r>
              <w:rPr>
                <w:rFonts w:ascii="Arial" w:cs="Arial" w:eastAsia="Arial" w:hAnsi="Arial"/>
                <w:sz w:val="18"/>
                <w:szCs w:val="18"/>
                <w:color w:val="auto"/>
              </w:rPr>
              <w:t>Basic loss from discontinued operations per common share</w:t>
            </w:r>
          </w:p>
        </w:tc>
        <w:tc>
          <w:tcPr>
            <w:tcW w:w="3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(3.32)</w:t>
            </w:r>
          </w:p>
        </w:tc>
        <w:tc>
          <w:tcPr>
            <w:tcW w:w="0" w:type="dxa"/>
            <w:vAlign w:val="bottom"/>
          </w:tcPr>
          <w:p>
            <w:pPr>
              <w:spacing w:after="0"/>
              <w:rPr>
                <w:sz w:val="1"/>
                <w:szCs w:val="1"/>
                <w:color w:val="auto"/>
              </w:rPr>
            </w:pPr>
          </w:p>
        </w:tc>
      </w:tr>
      <w:tr>
        <w:trPr>
          <w:trHeight w:val="248"/>
        </w:trPr>
        <w:tc>
          <w:tcPr>
            <w:tcW w:w="826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Basic net loss per common share</w:t>
            </w: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(5.96)</w:t>
            </w: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bottom w:val="single" w:sz="8" w:color="CCEEFF"/>
            </w:tcBorders>
            <w:vMerge w:val="restart"/>
          </w:tcPr>
          <w:p>
            <w:pPr>
              <w:ind w:left="220"/>
              <w:spacing w:after="0"/>
              <w:rPr>
                <w:sz w:val="20"/>
                <w:szCs w:val="20"/>
                <w:color w:val="auto"/>
              </w:rPr>
            </w:pPr>
            <w:r>
              <w:rPr>
                <w:rFonts w:ascii="Arial" w:cs="Arial" w:eastAsia="Arial" w:hAnsi="Arial"/>
                <w:sz w:val="18"/>
                <w:szCs w:val="18"/>
                <w:color w:val="auto"/>
              </w:rPr>
              <w:t>Diluted loss from continuing operations per common share</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260" w:type="dxa"/>
            <w:vAlign w:val="bottom"/>
            <w:vMerge w:val="continue"/>
          </w:tcPr>
          <w:p>
            <w:pPr>
              <w:spacing w:after="0"/>
              <w:rPr>
                <w:sz w:val="17"/>
                <w:szCs w:val="17"/>
                <w:color w:val="auto"/>
              </w:rPr>
            </w:pPr>
          </w:p>
        </w:tc>
        <w:tc>
          <w:tcPr>
            <w:tcW w:w="340" w:type="dxa"/>
            <w:vAlign w:val="bottom"/>
          </w:tcPr>
          <w:p>
            <w:pPr>
              <w:jc w:val="right"/>
              <w:ind w:right="130"/>
              <w:spacing w:after="0" w:line="203" w:lineRule="exact"/>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line="203" w:lineRule="exact"/>
              <w:rPr>
                <w:sz w:val="20"/>
                <w:szCs w:val="20"/>
                <w:color w:val="auto"/>
              </w:rPr>
            </w:pPr>
            <w:r>
              <w:rPr>
                <w:rFonts w:ascii="Arial" w:cs="Arial" w:eastAsia="Arial" w:hAnsi="Arial"/>
                <w:sz w:val="18"/>
                <w:szCs w:val="18"/>
                <w:color w:val="auto"/>
              </w:rPr>
              <w:t>(0.46)</w:t>
            </w:r>
          </w:p>
        </w:tc>
        <w:tc>
          <w:tcPr>
            <w:tcW w:w="100" w:type="dxa"/>
            <w:vAlign w:val="bottom"/>
          </w:tcPr>
          <w:p>
            <w:pPr>
              <w:spacing w:after="0"/>
              <w:rPr>
                <w:sz w:val="17"/>
                <w:szCs w:val="17"/>
                <w:color w:val="auto"/>
              </w:rPr>
            </w:pPr>
          </w:p>
        </w:tc>
        <w:tc>
          <w:tcPr>
            <w:tcW w:w="340" w:type="dxa"/>
            <w:vAlign w:val="bottom"/>
          </w:tcPr>
          <w:p>
            <w:pPr>
              <w:jc w:val="right"/>
              <w:ind w:right="130"/>
              <w:spacing w:after="0" w:line="203" w:lineRule="exact"/>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line="203" w:lineRule="exact"/>
              <w:rPr>
                <w:sz w:val="20"/>
                <w:szCs w:val="20"/>
                <w:color w:val="auto"/>
              </w:rPr>
            </w:pPr>
            <w:r>
              <w:rPr>
                <w:rFonts w:ascii="Arial" w:cs="Arial" w:eastAsia="Arial" w:hAnsi="Arial"/>
                <w:sz w:val="18"/>
                <w:szCs w:val="18"/>
                <w:color w:val="auto"/>
              </w:rPr>
              <w:t>(2.64)</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Diluted loss from discontinued operations per common share</w:t>
            </w: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w:t>
            </w:r>
          </w:p>
        </w:tc>
        <w:tc>
          <w:tcPr>
            <w:tcW w:w="0" w:type="dxa"/>
            <w:vAlign w:val="bottom"/>
          </w:tcPr>
          <w:p>
            <w:pPr>
              <w:spacing w:after="0"/>
              <w:rPr>
                <w:sz w:val="1"/>
                <w:szCs w:val="1"/>
                <w:color w:val="auto"/>
              </w:rPr>
            </w:pPr>
          </w:p>
        </w:tc>
      </w:tr>
      <w:tr>
        <w:trPr>
          <w:trHeight w:val="223"/>
        </w:trPr>
        <w:tc>
          <w:tcPr>
            <w:tcW w:w="8260" w:type="dxa"/>
            <w:vAlign w:val="bottom"/>
          </w:tcPr>
          <w:p>
            <w:pPr>
              <w:ind w:left="220"/>
              <w:spacing w:after="0"/>
              <w:rPr>
                <w:sz w:val="20"/>
                <w:szCs w:val="20"/>
                <w:color w:val="auto"/>
              </w:rPr>
            </w:pPr>
            <w:r>
              <w:rPr>
                <w:rFonts w:ascii="Arial" w:cs="Arial" w:eastAsia="Arial" w:hAnsi="Arial"/>
                <w:sz w:val="18"/>
                <w:szCs w:val="18"/>
                <w:color w:val="auto"/>
              </w:rPr>
              <w:t>Diluted net loss per common share</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(0.46)</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(5.96)</w:t>
            </w:r>
          </w:p>
        </w:tc>
        <w:tc>
          <w:tcPr>
            <w:tcW w:w="0" w:type="dxa"/>
            <w:vAlign w:val="bottom"/>
          </w:tcPr>
          <w:p>
            <w:pPr>
              <w:spacing w:after="0"/>
              <w:rPr>
                <w:sz w:val="1"/>
                <w:szCs w:val="1"/>
                <w:color w:val="auto"/>
              </w:rPr>
            </w:pPr>
          </w:p>
        </w:tc>
      </w:tr>
      <w:tr>
        <w:trPr>
          <w:trHeight w:val="20"/>
        </w:trPr>
        <w:tc>
          <w:tcPr>
            <w:tcW w:w="82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dividends declared per common share</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w:t>
      </w:r>
    </w:p>
    <w:p>
      <w:pPr>
        <w:spacing w:after="0" w:line="59" w:lineRule="exact"/>
        <w:rPr>
          <w:sz w:val="20"/>
          <w:szCs w:val="20"/>
          <w:color w:val="auto"/>
        </w:rPr>
      </w:pPr>
    </w:p>
    <w:p>
      <w:pPr>
        <w:ind w:left="920" w:hanging="264"/>
        <w:spacing w:after="0"/>
        <w:tabs>
          <w:tab w:leader="none" w:pos="9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Preferred Stock does not participate in losses.</w:t>
      </w:r>
    </w:p>
    <w:p>
      <w:pPr>
        <w:spacing w:after="0" w:line="63" w:lineRule="exact"/>
        <w:rPr>
          <w:rFonts w:ascii="Arial" w:cs="Arial" w:eastAsia="Arial" w:hAnsi="Arial"/>
          <w:sz w:val="18"/>
          <w:szCs w:val="18"/>
          <w:color w:val="auto"/>
        </w:rPr>
      </w:pPr>
    </w:p>
    <w:p>
      <w:pPr>
        <w:ind w:left="900" w:right="180" w:hanging="244"/>
        <w:spacing w:after="0" w:line="277" w:lineRule="auto"/>
        <w:tabs>
          <w:tab w:leader="none" w:pos="912"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2021 Warrants are included in shares outstanding for calculation of basic earnings per share because they are exercisable with little to no consideration (see Note 17).</w:t>
      </w:r>
    </w:p>
    <w:p>
      <w:pPr>
        <w:spacing w:after="0" w:line="170"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The following table presents securities that could be potentially dilutive in the future that were excluded from the calculation of diluted net loss per common share because they had an anti-dilutive effect.</w:t>
      </w:r>
    </w:p>
    <w:p>
      <w:pPr>
        <w:spacing w:after="0" w:line="30" w:lineRule="exact"/>
        <w:rPr>
          <w:sz w:val="20"/>
          <w:szCs w:val="20"/>
          <w:color w:val="auto"/>
        </w:rPr>
      </w:pPr>
    </w:p>
    <w:p>
      <w:pPr>
        <w:jc w:val="center"/>
        <w:ind w:left="8260"/>
        <w:spacing w:after="0"/>
        <w:rPr>
          <w:sz w:val="20"/>
          <w:szCs w:val="20"/>
          <w:color w:val="auto"/>
        </w:rPr>
      </w:pPr>
      <w:r>
        <w:rPr>
          <w:rFonts w:ascii="Arial" w:cs="Arial" w:eastAsia="Arial" w:hAnsi="Arial"/>
          <w:sz w:val="14"/>
          <w:szCs w:val="14"/>
          <w:b w:val="1"/>
          <w:bCs w:val="1"/>
          <w:color w:val="auto"/>
        </w:rPr>
        <w:t>Three Months Ended</w:t>
      </w:r>
    </w:p>
    <w:p>
      <w:pPr>
        <w:jc w:val="center"/>
        <w:ind w:left="8260"/>
        <w:spacing w:after="0"/>
        <w:rPr>
          <w:sz w:val="20"/>
          <w:szCs w:val="20"/>
          <w:color w:val="auto"/>
        </w:rPr>
      </w:pPr>
      <w:r>
        <w:rPr>
          <w:rFonts w:ascii="Arial" w:cs="Arial" w:eastAsia="Arial" w:hAnsi="Arial"/>
          <w:sz w:val="14"/>
          <w:szCs w:val="14"/>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260" w:type="dxa"/>
            <w:vAlign w:val="bottom"/>
            <w:tcBorders>
              <w:bottom w:val="single" w:sz="8" w:color="CCEEFF"/>
            </w:tcBorders>
          </w:tcPr>
          <w:p>
            <w:pPr>
              <w:spacing w:after="0"/>
              <w:rPr>
                <w:sz w:val="16"/>
                <w:szCs w:val="16"/>
                <w:color w:val="auto"/>
              </w:rPr>
            </w:pPr>
          </w:p>
        </w:tc>
        <w:tc>
          <w:tcPr>
            <w:tcW w:w="1440" w:type="dxa"/>
            <w:vAlign w:val="bottom"/>
            <w:tcBorders>
              <w:top w:val="single" w:sz="8" w:color="auto"/>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6"/>
                <w:szCs w:val="16"/>
                <w:color w:val="auto"/>
              </w:rPr>
            </w:pPr>
          </w:p>
        </w:tc>
        <w:tc>
          <w:tcPr>
            <w:tcW w:w="1440" w:type="dxa"/>
            <w:vAlign w:val="bottom"/>
            <w:tcBorders>
              <w:top w:val="single" w:sz="8" w:color="auto"/>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2020</w:t>
            </w:r>
          </w:p>
        </w:tc>
      </w:tr>
      <w:tr>
        <w:trPr>
          <w:trHeight w:val="224"/>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Options</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847</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897</w:t>
            </w:r>
          </w:p>
        </w:tc>
      </w:tr>
      <w:tr>
        <w:trPr>
          <w:trHeight w:val="230"/>
        </w:trPr>
        <w:tc>
          <w:tcPr>
            <w:tcW w:w="8260" w:type="dxa"/>
            <w:vAlign w:val="bottom"/>
          </w:tcPr>
          <w:p>
            <w:pPr>
              <w:ind w:left="20"/>
              <w:spacing w:after="0"/>
              <w:rPr>
                <w:sz w:val="20"/>
                <w:szCs w:val="20"/>
                <w:color w:val="auto"/>
              </w:rPr>
            </w:pPr>
            <w:r>
              <w:rPr>
                <w:rFonts w:ascii="Arial" w:cs="Arial" w:eastAsia="Arial" w:hAnsi="Arial"/>
                <w:sz w:val="18"/>
                <w:szCs w:val="18"/>
                <w:color w:val="auto"/>
              </w:rPr>
              <w:t>2019 Warrants</w:t>
            </w:r>
          </w:p>
        </w:tc>
        <w:tc>
          <w:tcPr>
            <w:tcW w:w="1440" w:type="dxa"/>
            <w:vAlign w:val="bottom"/>
          </w:tcPr>
          <w:p>
            <w:pPr>
              <w:jc w:val="right"/>
              <w:spacing w:after="0"/>
              <w:rPr>
                <w:sz w:val="20"/>
                <w:szCs w:val="20"/>
                <w:color w:val="auto"/>
              </w:rPr>
            </w:pPr>
            <w:r>
              <w:rPr>
                <w:rFonts w:ascii="Arial" w:cs="Arial" w:eastAsia="Arial" w:hAnsi="Arial"/>
                <w:sz w:val="18"/>
                <w:szCs w:val="18"/>
                <w:color w:val="auto"/>
              </w:rPr>
              <w:t>1,500</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1,500</w:t>
            </w:r>
          </w:p>
        </w:tc>
      </w:tr>
      <w:tr>
        <w:trPr>
          <w:trHeight w:val="230"/>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Preferred Stock, as-converted</w:t>
            </w: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26,275</w:t>
            </w:r>
          </w:p>
        </w:tc>
      </w:tr>
      <w:tr>
        <w:trPr>
          <w:trHeight w:val="223"/>
        </w:trPr>
        <w:tc>
          <w:tcPr>
            <w:tcW w:w="8260" w:type="dxa"/>
            <w:vAlign w:val="bottom"/>
          </w:tcPr>
          <w:p>
            <w:pPr>
              <w:spacing w:after="0"/>
              <w:rPr>
                <w:sz w:val="19"/>
                <w:szCs w:val="19"/>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2,347</w:t>
            </w:r>
          </w:p>
        </w:tc>
        <w:tc>
          <w:tcPr>
            <w:tcW w:w="100" w:type="dxa"/>
            <w:vAlign w:val="bottom"/>
          </w:tcPr>
          <w:p>
            <w:pPr>
              <w:spacing w:after="0"/>
              <w:rPr>
                <w:sz w:val="19"/>
                <w:szCs w:val="19"/>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28,672</w:t>
            </w:r>
          </w:p>
        </w:tc>
      </w:tr>
      <w:tr>
        <w:trPr>
          <w:trHeight w:val="20"/>
        </w:trPr>
        <w:tc>
          <w:tcPr>
            <w:tcW w:w="826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We have elected to allocate undistributed income to participating securities based on year-to-date results. As there was no undistributed income for the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three months ended March 31, 2021, no such allocation was necessary. In addition, given the undistributed loss from continuing operations in the three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months ended March 31, 2021 and 2020, options and the 2019 Warrants are considered anti-dilutive and were excluded from the calculation of diluted net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income (loss) per share. Stock options excluded from the calculations of diluted net loss per share had a per share exercise price ranging from $7.93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$25.16 for the three months ended March 31, 2021, and $7.93 to $25.16 for three months ended March 31, 2020. Warrants excluded from the calculation of</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diluted net loss per share for the three months ended March 31, 2021, had a per share exercise price of $11.49. Preferred Stock excluded from the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calculation of diluted net loss per share for the three months ended March 31, 2020, was calculated on an as-converted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Fair Value Measurements</w:t>
      </w:r>
    </w:p>
    <w:p>
      <w:pPr>
        <w:spacing w:after="0" w:line="121"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Fair value is an exit price representing the expected amount that an entity would receive to sell an asset or pay to transfer a liability in an orderly transaction with market participants at the measurement date. We followed consistent methods and assumptions to estimate fair values as more fully described in the 2020 Annual Report.</w:t>
      </w:r>
    </w:p>
    <w:p>
      <w:pPr>
        <w:spacing w:after="0" w:line="76"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Fair value principles prioritize valuation inputs across three broad levels. Level 1 inputs are quoted prices (unadjusted) in active markets for identical assets or liabilities. Level 2 inputs are quoted prices for similar assets and liabilities in active markets or inputs that are observable for the asset or liability, either directly or indirectly through market corroboration, for substantially the full term of the financial instrument. Level 3 inputs are unobservable inputs based on the assumptions used to measure assets and liabilities at fair value. An asset or liability’s classification within the various levels is determined based on the lowest level input that is significant to the fair value measurement.</w:t>
      </w:r>
    </w:p>
    <w:p>
      <w:pPr>
        <w:spacing w:after="0" w:line="8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Our financial instruments that are subject to fair value disclosure consist of cash and cash equivalents, accounts receivable, accounts payable, derivatives, and long-term debt. As of March 31, 2021, the carrying values of these financial instruments approximated fair value.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Derivative Financial Instruments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Certain features were bifurcated and accounted for separately from the Series B Preferred Stock. The following features were recorded as derivatives.</w:t>
      </w:r>
    </w:p>
    <w:p>
      <w:pPr>
        <w:spacing w:after="0" w:line="140" w:lineRule="exact"/>
        <w:rPr>
          <w:sz w:val="20"/>
          <w:szCs w:val="20"/>
          <w:color w:val="auto"/>
        </w:rPr>
      </w:pPr>
    </w:p>
    <w:p>
      <w:pPr>
        <w:ind w:left="660" w:right="160" w:hanging="328"/>
        <w:spacing w:after="0" w:line="301" w:lineRule="auto"/>
        <w:tabs>
          <w:tab w:leader="none" w:pos="655" w:val="left"/>
        </w:tabs>
        <w:numPr>
          <w:ilvl w:val="0"/>
          <w:numId w:val="13"/>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Leverage ratio put feature. </w:t>
      </w:r>
      <w:r>
        <w:rPr>
          <w:rFonts w:ascii="Arial" w:cs="Arial" w:eastAsia="Arial" w:hAnsi="Arial"/>
          <w:sz w:val="16"/>
          <w:szCs w:val="16"/>
          <w:color w:val="auto"/>
        </w:rPr>
        <w:t>The Series B Preferred Stock included a redemption option based on a leverage ratio threshold that provided the</w:t>
      </w:r>
      <w:r>
        <w:rPr>
          <w:rFonts w:ascii="Arial" w:cs="Arial" w:eastAsia="Arial" w:hAnsi="Arial"/>
          <w:sz w:val="16"/>
          <w:szCs w:val="16"/>
          <w:i w:val="1"/>
          <w:iCs w:val="1"/>
          <w:color w:val="auto"/>
        </w:rPr>
        <w:t xml:space="preserve"> </w:t>
      </w:r>
      <w:r>
        <w:rPr>
          <w:rFonts w:ascii="Arial" w:cs="Arial" w:eastAsia="Arial" w:hAnsi="Arial"/>
          <w:sz w:val="16"/>
          <w:szCs w:val="16"/>
          <w:color w:val="auto"/>
        </w:rPr>
        <w:t>preferred holder the option to convert the Series B Preferred Stock to a variable number of shares of common stock at a discount to the then fair value of our common stock. The conversion feature was considered a redemption right at a premium which was not clearly and closely related to the debt host. The conversion feature was terminated upon redemption of the Series B Preferred Stock in March 2021.</w:t>
      </w:r>
    </w:p>
    <w:p>
      <w:pPr>
        <w:spacing w:after="0" w:line="49" w:lineRule="exact"/>
        <w:rPr>
          <w:rFonts w:ascii="Arial" w:cs="Arial" w:eastAsia="Arial" w:hAnsi="Arial"/>
          <w:sz w:val="16"/>
          <w:szCs w:val="16"/>
          <w:i w:val="1"/>
          <w:iCs w:val="1"/>
          <w:color w:val="auto"/>
        </w:rPr>
      </w:pPr>
    </w:p>
    <w:p>
      <w:pPr>
        <w:ind w:left="660" w:right="60" w:hanging="328"/>
        <w:spacing w:after="0" w:line="275" w:lineRule="auto"/>
        <w:tabs>
          <w:tab w:leader="none" w:pos="655" w:val="left"/>
        </w:tabs>
        <w:numPr>
          <w:ilvl w:val="0"/>
          <w:numId w:val="13"/>
        </w:numPr>
        <w:rPr>
          <w:rFonts w:ascii="Arial" w:cs="Arial" w:eastAsia="Arial" w:hAnsi="Arial"/>
          <w:sz w:val="17"/>
          <w:szCs w:val="17"/>
          <w:color w:val="auto"/>
        </w:rPr>
      </w:pPr>
      <w:r>
        <w:rPr>
          <w:rFonts w:ascii="Arial" w:cs="Arial" w:eastAsia="Arial" w:hAnsi="Arial"/>
          <w:sz w:val="17"/>
          <w:szCs w:val="17"/>
          <w:i w:val="1"/>
          <w:iCs w:val="1"/>
          <w:color w:val="auto"/>
        </w:rPr>
        <w:t xml:space="preserve">Dividends withholding. </w:t>
      </w:r>
      <w:r>
        <w:rPr>
          <w:rFonts w:ascii="Arial" w:cs="Arial" w:eastAsia="Arial" w:hAnsi="Arial"/>
          <w:sz w:val="17"/>
          <w:szCs w:val="17"/>
          <w:color w:val="auto"/>
        </w:rPr>
        <w:t>The Series B Preferred Stock bore a feature that could require us to make an effective distribution to purchasers which is</w:t>
      </w:r>
      <w:r>
        <w:rPr>
          <w:rFonts w:ascii="Arial" w:cs="Arial" w:eastAsia="Arial" w:hAnsi="Arial"/>
          <w:sz w:val="17"/>
          <w:szCs w:val="17"/>
          <w:i w:val="1"/>
          <w:iCs w:val="1"/>
          <w:color w:val="auto"/>
        </w:rPr>
        <w:t xml:space="preserve"> </w:t>
      </w:r>
      <w:r>
        <w:rPr>
          <w:rFonts w:ascii="Arial" w:cs="Arial" w:eastAsia="Arial" w:hAnsi="Arial"/>
          <w:sz w:val="17"/>
          <w:szCs w:val="17"/>
          <w:color w:val="auto"/>
        </w:rPr>
        <w:t>indexed to the tax rate of the purchasers. This distribution would be partially offset by an adjustment to the redemption price and/or conversion rate. The dividends withholding feature was not clearly and closely related to the debt host. Upon redemption of the Series B Preferred Stock in March 2021, we made a net cash distribution of $3.0 million to settle this withholding feature after effectively receiving a $1.0 million offset from the purchasers upon redemption of the Series B Preferred Stock.</w:t>
      </w:r>
    </w:p>
    <w:p>
      <w:pPr>
        <w:spacing w:after="0" w:line="68" w:lineRule="exact"/>
        <w:rPr>
          <w:rFonts w:ascii="Arial" w:cs="Arial" w:eastAsia="Arial" w:hAnsi="Arial"/>
          <w:sz w:val="17"/>
          <w:szCs w:val="17"/>
          <w:color w:val="auto"/>
        </w:rPr>
      </w:pPr>
    </w:p>
    <w:p>
      <w:pPr>
        <w:ind w:left="660" w:right="200" w:hanging="328"/>
        <w:spacing w:after="0" w:line="301" w:lineRule="auto"/>
        <w:tabs>
          <w:tab w:leader="none" w:pos="655" w:val="left"/>
        </w:tabs>
        <w:numPr>
          <w:ilvl w:val="0"/>
          <w:numId w:val="13"/>
        </w:numPr>
        <w:rPr>
          <w:rFonts w:ascii="Arial" w:cs="Arial" w:eastAsia="Arial" w:hAnsi="Arial"/>
          <w:sz w:val="16"/>
          <w:szCs w:val="16"/>
          <w:color w:val="auto"/>
        </w:rPr>
      </w:pPr>
      <w:r>
        <w:rPr>
          <w:rFonts w:ascii="Arial" w:cs="Arial" w:eastAsia="Arial" w:hAnsi="Arial"/>
          <w:sz w:val="16"/>
          <w:szCs w:val="16"/>
          <w:i w:val="1"/>
          <w:iCs w:val="1"/>
          <w:color w:val="auto"/>
        </w:rPr>
        <w:t xml:space="preserve">Warrants. </w:t>
      </w:r>
      <w:r>
        <w:rPr>
          <w:rFonts w:ascii="Arial" w:cs="Arial" w:eastAsia="Arial" w:hAnsi="Arial"/>
          <w:sz w:val="16"/>
          <w:szCs w:val="16"/>
          <w:color w:val="auto"/>
        </w:rPr>
        <w:t>The warrants issued with the Series B Preferred Stock (the “2019 Warrants”) are exercisable, in full or in part, at any time prior to</w:t>
      </w:r>
      <w:r>
        <w:rPr>
          <w:rFonts w:ascii="Arial" w:cs="Arial" w:eastAsia="Arial" w:hAnsi="Arial"/>
          <w:sz w:val="16"/>
          <w:szCs w:val="16"/>
          <w:i w:val="1"/>
          <w:iCs w:val="1"/>
          <w:color w:val="auto"/>
        </w:rPr>
        <w:t xml:space="preserve"> </w:t>
      </w:r>
      <w:r>
        <w:rPr>
          <w:rFonts w:ascii="Arial" w:cs="Arial" w:eastAsia="Arial" w:hAnsi="Arial"/>
          <w:sz w:val="16"/>
          <w:szCs w:val="16"/>
          <w:color w:val="auto"/>
        </w:rPr>
        <w:t>December 11, 2026. The original exercise price was $12.00 per share, subject to anti-dilution adjustments in the event of future below market issuances, stock splits, stock dividends, combinations or similar events. The issuance of additional warrants with the Series D Preferred Stock in March 2021 resulted in an adjusted exercise price of $11.49 per share because the new warrants have an exercise price below market value.</w:t>
      </w:r>
    </w:p>
    <w:p>
      <w:pPr>
        <w:spacing w:after="0" w:line="4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Certain features were bifurcated and accounted for separately from the Series D Preferred Stock that was issued on March 22, 2021. The following features were recorded as derivatives.</w:t>
      </w:r>
    </w:p>
    <w:p>
      <w:pPr>
        <w:spacing w:after="0" w:line="62" w:lineRule="exact"/>
        <w:rPr>
          <w:sz w:val="20"/>
          <w:szCs w:val="20"/>
          <w:color w:val="auto"/>
        </w:rPr>
      </w:pPr>
    </w:p>
    <w:p>
      <w:pPr>
        <w:ind w:left="660" w:right="200" w:hanging="328"/>
        <w:spacing w:after="0" w:line="311" w:lineRule="auto"/>
        <w:tabs>
          <w:tab w:leader="none" w:pos="655" w:val="left"/>
        </w:tabs>
        <w:numPr>
          <w:ilvl w:val="0"/>
          <w:numId w:val="14"/>
        </w:numPr>
        <w:rPr>
          <w:rFonts w:ascii="Arial" w:cs="Arial" w:eastAsia="Arial" w:hAnsi="Arial"/>
          <w:sz w:val="16"/>
          <w:szCs w:val="16"/>
          <w:color w:val="auto"/>
        </w:rPr>
      </w:pPr>
      <w:r>
        <w:rPr>
          <w:rFonts w:ascii="Arial" w:cs="Arial" w:eastAsia="Arial" w:hAnsi="Arial"/>
          <w:sz w:val="16"/>
          <w:szCs w:val="16"/>
          <w:i w:val="1"/>
          <w:iCs w:val="1"/>
          <w:color w:val="auto"/>
        </w:rPr>
        <w:t xml:space="preserve">Change-in-control put feature. </w:t>
      </w:r>
      <w:r>
        <w:rPr>
          <w:rFonts w:ascii="Arial" w:cs="Arial" w:eastAsia="Arial" w:hAnsi="Arial"/>
          <w:sz w:val="16"/>
          <w:szCs w:val="16"/>
          <w:color w:val="auto"/>
        </w:rPr>
        <w:t>The Series D Preferred Stock includes a put feature that allows the holder to redeem the Series D Preferred Stock</w:t>
      </w:r>
      <w:r>
        <w:rPr>
          <w:rFonts w:ascii="Arial" w:cs="Arial" w:eastAsia="Arial" w:hAnsi="Arial"/>
          <w:sz w:val="16"/>
          <w:szCs w:val="16"/>
          <w:i w:val="1"/>
          <w:iCs w:val="1"/>
          <w:color w:val="auto"/>
        </w:rPr>
        <w:t xml:space="preserve"> </w:t>
      </w:r>
      <w:r>
        <w:rPr>
          <w:rFonts w:ascii="Arial" w:cs="Arial" w:eastAsia="Arial" w:hAnsi="Arial"/>
          <w:sz w:val="16"/>
          <w:szCs w:val="16"/>
          <w:color w:val="auto"/>
        </w:rPr>
        <w:t>upon a change in control at the greater of 1) the liquidation preference plus accrued dividends or 2) 140% of the liquidation preference. The put feature is considered a redemption right at a premium and is not clearly and closely related to the debt host.</w:t>
      </w:r>
    </w:p>
    <w:p>
      <w:pPr>
        <w:spacing w:after="0" w:line="40" w:lineRule="exact"/>
        <w:rPr>
          <w:rFonts w:ascii="Arial" w:cs="Arial" w:eastAsia="Arial" w:hAnsi="Arial"/>
          <w:sz w:val="16"/>
          <w:szCs w:val="16"/>
          <w:color w:val="auto"/>
        </w:rPr>
      </w:pPr>
    </w:p>
    <w:p>
      <w:pPr>
        <w:ind w:left="660" w:right="220" w:hanging="328"/>
        <w:spacing w:after="0" w:line="263"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 xml:space="preserve">Warrants. </w:t>
      </w:r>
      <w:r>
        <w:rPr>
          <w:rFonts w:ascii="Arial" w:cs="Arial" w:eastAsia="Arial" w:hAnsi="Arial"/>
          <w:sz w:val="18"/>
          <w:szCs w:val="18"/>
          <w:color w:val="auto"/>
        </w:rPr>
        <w:t>The warrants issued with the Series D Preferred Stock (the “2021 Warrants”) are exercisable, in full or in part, at any time prior to</w:t>
      </w:r>
      <w:r>
        <w:rPr>
          <w:rFonts w:ascii="Arial" w:cs="Arial" w:eastAsia="Arial" w:hAnsi="Arial"/>
          <w:sz w:val="18"/>
          <w:szCs w:val="18"/>
          <w:i w:val="1"/>
          <w:iCs w:val="1"/>
          <w:color w:val="auto"/>
        </w:rPr>
        <w:t xml:space="preserve"> </w:t>
      </w:r>
      <w:r>
        <w:rPr>
          <w:rFonts w:ascii="Arial" w:cs="Arial" w:eastAsia="Arial" w:hAnsi="Arial"/>
          <w:sz w:val="18"/>
          <w:szCs w:val="18"/>
          <w:color w:val="auto"/>
        </w:rPr>
        <w:t>March 22, 2027, at an exercise price of $0.01 per share, subject to anti-dilution adjustments in the event of certain future equity issuances, stock splits, stock dividends, combinations or similar events.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show the liabilities measured at fair value for the above derivatives as of March 31, 2021, and December 31, 2020.</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4600" w:type="dxa"/>
            <w:vAlign w:val="bottom"/>
            <w:tcBorders>
              <w:bottom w:val="single" w:sz="8" w:color="auto"/>
            </w:tcBorders>
            <w:gridSpan w:val="7"/>
          </w:tcPr>
          <w:p>
            <w:pPr>
              <w:jc w:val="center"/>
              <w:ind w:right="119"/>
              <w:spacing w:after="0"/>
              <w:rPr>
                <w:sz w:val="20"/>
                <w:szCs w:val="20"/>
                <w:color w:val="auto"/>
              </w:rPr>
            </w:pPr>
            <w:r>
              <w:rPr>
                <w:rFonts w:ascii="Arial" w:cs="Arial" w:eastAsia="Arial" w:hAnsi="Arial"/>
                <w:sz w:val="14"/>
                <w:szCs w:val="14"/>
                <w:b w:val="1"/>
                <w:bCs w:val="1"/>
                <w:color w:val="auto"/>
                <w:w w:val="93"/>
              </w:rPr>
              <w:t>Fair Value Measurements as of March 31, 2021</w:t>
            </w:r>
          </w:p>
        </w:tc>
        <w:tc>
          <w:tcPr>
            <w:tcW w:w="0" w:type="dxa"/>
            <w:vAlign w:val="bottom"/>
          </w:tcPr>
          <w:p>
            <w:pPr>
              <w:spacing w:after="0"/>
              <w:rPr>
                <w:sz w:val="1"/>
                <w:szCs w:val="1"/>
                <w:color w:val="auto"/>
              </w:rPr>
            </w:pPr>
          </w:p>
        </w:tc>
      </w:tr>
      <w:tr>
        <w:trPr>
          <w:trHeight w:val="135"/>
        </w:trPr>
        <w:tc>
          <w:tcPr>
            <w:tcW w:w="6440" w:type="dxa"/>
            <w:vAlign w:val="bottom"/>
          </w:tcPr>
          <w:p>
            <w:pPr>
              <w:spacing w:after="0"/>
              <w:rPr>
                <w:sz w:val="11"/>
                <w:szCs w:val="11"/>
                <w:color w:val="auto"/>
              </w:rPr>
            </w:pPr>
          </w:p>
        </w:tc>
        <w:tc>
          <w:tcPr>
            <w:tcW w:w="1620" w:type="dxa"/>
            <w:vAlign w:val="bottom"/>
            <w:gridSpan w:val="3"/>
          </w:tcPr>
          <w:p>
            <w:pPr>
              <w:ind w:left="40"/>
              <w:spacing w:after="0" w:line="135" w:lineRule="exact"/>
              <w:rPr>
                <w:sz w:val="20"/>
                <w:szCs w:val="20"/>
                <w:color w:val="auto"/>
              </w:rPr>
            </w:pPr>
            <w:r>
              <w:rPr>
                <w:rFonts w:ascii="Arial" w:cs="Arial" w:eastAsia="Arial" w:hAnsi="Arial"/>
                <w:sz w:val="14"/>
                <w:szCs w:val="14"/>
                <w:b w:val="1"/>
                <w:bCs w:val="1"/>
                <w:color w:val="auto"/>
                <w:w w:val="99"/>
              </w:rPr>
              <w:t>Quoted Prices in Active</w:t>
            </w:r>
          </w:p>
        </w:tc>
        <w:tc>
          <w:tcPr>
            <w:tcW w:w="160" w:type="dxa"/>
            <w:vAlign w:val="bottom"/>
          </w:tcPr>
          <w:p>
            <w:pPr>
              <w:spacing w:after="0"/>
              <w:rPr>
                <w:sz w:val="11"/>
                <w:szCs w:val="11"/>
                <w:color w:val="auto"/>
              </w:rPr>
            </w:pPr>
          </w:p>
        </w:tc>
        <w:tc>
          <w:tcPr>
            <w:tcW w:w="148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3"/>
              </w:rPr>
              <w:t>Significant Other</w:t>
            </w:r>
          </w:p>
        </w:tc>
        <w:tc>
          <w:tcPr>
            <w:tcW w:w="120" w:type="dxa"/>
            <w:vAlign w:val="bottom"/>
          </w:tcPr>
          <w:p>
            <w:pPr>
              <w:spacing w:after="0"/>
              <w:rPr>
                <w:sz w:val="11"/>
                <w:szCs w:val="11"/>
                <w:color w:val="auto"/>
              </w:rPr>
            </w:pPr>
          </w:p>
        </w:tc>
        <w:tc>
          <w:tcPr>
            <w:tcW w:w="1420" w:type="dxa"/>
            <w:vAlign w:val="bottom"/>
          </w:tcPr>
          <w:p>
            <w:pPr>
              <w:jc w:val="center"/>
              <w:ind w:right="39"/>
              <w:spacing w:after="0" w:line="135" w:lineRule="exact"/>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35"/>
        </w:trPr>
        <w:tc>
          <w:tcPr>
            <w:tcW w:w="64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Description</w:t>
            </w:r>
          </w:p>
        </w:tc>
        <w:tc>
          <w:tcPr>
            <w:tcW w:w="1620" w:type="dxa"/>
            <w:vAlign w:val="bottom"/>
            <w:gridSpan w:val="3"/>
          </w:tcPr>
          <w:p>
            <w:pPr>
              <w:jc w:val="center"/>
              <w:ind w:right="100"/>
              <w:spacing w:after="0" w:line="135" w:lineRule="exact"/>
              <w:rPr>
                <w:sz w:val="20"/>
                <w:szCs w:val="20"/>
                <w:color w:val="auto"/>
              </w:rPr>
            </w:pPr>
            <w:r>
              <w:rPr>
                <w:rFonts w:ascii="Arial" w:cs="Arial" w:eastAsia="Arial" w:hAnsi="Arial"/>
                <w:sz w:val="14"/>
                <w:szCs w:val="14"/>
                <w:b w:val="1"/>
                <w:bCs w:val="1"/>
                <w:color w:val="auto"/>
                <w:w w:val="96"/>
              </w:rPr>
              <w:t>Markets for Identical</w:t>
            </w:r>
          </w:p>
        </w:tc>
        <w:tc>
          <w:tcPr>
            <w:tcW w:w="160" w:type="dxa"/>
            <w:vAlign w:val="bottom"/>
          </w:tcPr>
          <w:p>
            <w:pPr>
              <w:spacing w:after="0"/>
              <w:rPr>
                <w:sz w:val="11"/>
                <w:szCs w:val="11"/>
                <w:color w:val="auto"/>
              </w:rPr>
            </w:pPr>
          </w:p>
        </w:tc>
        <w:tc>
          <w:tcPr>
            <w:tcW w:w="148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3"/>
              </w:rPr>
              <w:t>Observable Inputs</w:t>
            </w:r>
          </w:p>
        </w:tc>
        <w:tc>
          <w:tcPr>
            <w:tcW w:w="120" w:type="dxa"/>
            <w:vAlign w:val="bottom"/>
          </w:tcPr>
          <w:p>
            <w:pPr>
              <w:spacing w:after="0"/>
              <w:rPr>
                <w:sz w:val="11"/>
                <w:szCs w:val="11"/>
                <w:color w:val="auto"/>
              </w:rPr>
            </w:pPr>
          </w:p>
        </w:tc>
        <w:tc>
          <w:tcPr>
            <w:tcW w:w="1420" w:type="dxa"/>
            <w:vAlign w:val="bottom"/>
          </w:tcPr>
          <w:p>
            <w:pPr>
              <w:jc w:val="center"/>
              <w:ind w:right="39"/>
              <w:spacing w:after="0" w:line="135" w:lineRule="exact"/>
              <w:rPr>
                <w:sz w:val="20"/>
                <w:szCs w:val="20"/>
                <w:color w:val="auto"/>
              </w:rPr>
            </w:pPr>
            <w:r>
              <w:rPr>
                <w:rFonts w:ascii="Arial" w:cs="Arial" w:eastAsia="Arial" w:hAnsi="Arial"/>
                <w:sz w:val="14"/>
                <w:szCs w:val="14"/>
                <w:b w:val="1"/>
                <w:bCs w:val="1"/>
                <w:color w:val="auto"/>
                <w:w w:val="93"/>
              </w:rPr>
              <w:t>Unobservable Inputs</w:t>
            </w:r>
          </w:p>
        </w:tc>
        <w:tc>
          <w:tcPr>
            <w:tcW w:w="0" w:type="dxa"/>
            <w:vAlign w:val="bottom"/>
          </w:tcPr>
          <w:p>
            <w:pPr>
              <w:spacing w:after="0"/>
              <w:rPr>
                <w:sz w:val="1"/>
                <w:szCs w:val="1"/>
                <w:color w:val="auto"/>
              </w:rPr>
            </w:pPr>
          </w:p>
        </w:tc>
      </w:tr>
      <w:tr>
        <w:trPr>
          <w:trHeight w:val="188"/>
        </w:trPr>
        <w:tc>
          <w:tcPr>
            <w:tcW w:w="644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4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Assets (Level 1)</w:t>
            </w:r>
          </w:p>
        </w:tc>
        <w:tc>
          <w:tcPr>
            <w:tcW w:w="160" w:type="dxa"/>
            <w:vAlign w:val="bottom"/>
          </w:tcPr>
          <w:p>
            <w:pPr>
              <w:spacing w:after="0"/>
              <w:rPr>
                <w:sz w:val="16"/>
                <w:szCs w:val="16"/>
                <w:color w:val="auto"/>
              </w:rPr>
            </w:pPr>
          </w:p>
        </w:tc>
        <w:tc>
          <w:tcPr>
            <w:tcW w:w="14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(Level 2)</w:t>
            </w:r>
          </w:p>
        </w:tc>
        <w:tc>
          <w:tcPr>
            <w:tcW w:w="120" w:type="dxa"/>
            <w:vAlign w:val="bottom"/>
          </w:tcPr>
          <w:p>
            <w:pPr>
              <w:spacing w:after="0"/>
              <w:rPr>
                <w:sz w:val="16"/>
                <w:szCs w:val="16"/>
                <w:color w:val="auto"/>
              </w:rPr>
            </w:pPr>
          </w:p>
        </w:tc>
        <w:tc>
          <w:tcPr>
            <w:tcW w:w="1420" w:type="dxa"/>
            <w:vAlign w:val="bottom"/>
          </w:tcPr>
          <w:p>
            <w:pPr>
              <w:jc w:val="center"/>
              <w:ind w:right="39"/>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24"/>
        </w:trPr>
        <w:tc>
          <w:tcPr>
            <w:tcW w:w="64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Derivative liability - other current liabilities</w:t>
            </w:r>
          </w:p>
        </w:tc>
        <w:tc>
          <w:tcPr>
            <w:tcW w:w="2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shd w:val="clear" w:color="auto" w:fill="CCEEFF"/>
          </w:tcPr>
          <w:p>
            <w:pPr>
              <w:ind w:left="112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440" w:type="dxa"/>
            <w:vAlign w:val="bottom"/>
          </w:tcPr>
          <w:p>
            <w:pPr>
              <w:ind w:left="20"/>
              <w:spacing w:after="0"/>
              <w:rPr>
                <w:sz w:val="20"/>
                <w:szCs w:val="20"/>
                <w:color w:val="auto"/>
              </w:rPr>
            </w:pPr>
            <w:r>
              <w:rPr>
                <w:rFonts w:ascii="Arial" w:cs="Arial" w:eastAsia="Arial" w:hAnsi="Arial"/>
                <w:sz w:val="18"/>
                <w:szCs w:val="18"/>
                <w:color w:val="auto"/>
              </w:rPr>
              <w:t>Derivative liability - other non-current liabilities</w:t>
            </w: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13,414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gridSpan w:val="2"/>
          </w:tcPr>
          <w:p>
            <w:pPr>
              <w:ind w:left="1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1,370</w:t>
            </w:r>
          </w:p>
        </w:tc>
        <w:tc>
          <w:tcPr>
            <w:tcW w:w="0" w:type="dxa"/>
            <w:vAlign w:val="bottom"/>
          </w:tcPr>
          <w:p>
            <w:pPr>
              <w:spacing w:after="0"/>
              <w:rPr>
                <w:sz w:val="1"/>
                <w:szCs w:val="1"/>
                <w:color w:val="auto"/>
              </w:rPr>
            </w:pPr>
          </w:p>
        </w:tc>
      </w:tr>
      <w:tr>
        <w:trPr>
          <w:trHeight w:val="248"/>
        </w:trPr>
        <w:tc>
          <w:tcPr>
            <w:tcW w:w="64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13,414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shd w:val="clear" w:color="auto" w:fill="CCEEFF"/>
          </w:tcPr>
          <w:p>
            <w:pPr>
              <w:ind w:left="112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1,370</w:t>
            </w:r>
          </w:p>
        </w:tc>
        <w:tc>
          <w:tcPr>
            <w:tcW w:w="0" w:type="dxa"/>
            <w:vAlign w:val="bottom"/>
          </w:tcPr>
          <w:p>
            <w:pPr>
              <w:spacing w:after="0"/>
              <w:rPr>
                <w:sz w:val="1"/>
                <w:szCs w:val="1"/>
                <w:color w:val="auto"/>
              </w:rPr>
            </w:pPr>
          </w:p>
        </w:tc>
      </w:tr>
      <w:tr>
        <w:trPr>
          <w:trHeight w:val="20"/>
        </w:trPr>
        <w:tc>
          <w:tcPr>
            <w:tcW w:w="64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6420" w:type="dxa"/>
            <w:vAlign w:val="bottom"/>
          </w:tcPr>
          <w:p>
            <w:pPr>
              <w:spacing w:after="0"/>
              <w:rPr>
                <w:sz w:val="16"/>
                <w:szCs w:val="16"/>
                <w:color w:val="auto"/>
              </w:rPr>
            </w:pPr>
          </w:p>
        </w:tc>
        <w:tc>
          <w:tcPr>
            <w:tcW w:w="48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2"/>
              </w:rPr>
              <w:t>Fair Value Measurements as of December 31, 2020</w:t>
            </w:r>
          </w:p>
        </w:tc>
        <w:tc>
          <w:tcPr>
            <w:tcW w:w="0" w:type="dxa"/>
            <w:vAlign w:val="bottom"/>
          </w:tcPr>
          <w:p>
            <w:pPr>
              <w:spacing w:after="0"/>
              <w:rPr>
                <w:sz w:val="1"/>
                <w:szCs w:val="1"/>
                <w:color w:val="auto"/>
              </w:rPr>
            </w:pPr>
          </w:p>
        </w:tc>
      </w:tr>
      <w:tr>
        <w:trPr>
          <w:trHeight w:val="135"/>
        </w:trPr>
        <w:tc>
          <w:tcPr>
            <w:tcW w:w="6420" w:type="dxa"/>
            <w:vAlign w:val="bottom"/>
          </w:tcPr>
          <w:p>
            <w:pPr>
              <w:spacing w:after="0"/>
              <w:rPr>
                <w:sz w:val="11"/>
                <w:szCs w:val="11"/>
                <w:color w:val="auto"/>
              </w:rPr>
            </w:pPr>
          </w:p>
        </w:tc>
        <w:tc>
          <w:tcPr>
            <w:tcW w:w="1660" w:type="dxa"/>
            <w:vAlign w:val="bottom"/>
          </w:tcPr>
          <w:p>
            <w:pPr>
              <w:jc w:val="center"/>
              <w:ind w:right="68"/>
              <w:spacing w:after="0" w:line="135" w:lineRule="exact"/>
              <w:rPr>
                <w:sz w:val="20"/>
                <w:szCs w:val="20"/>
                <w:color w:val="auto"/>
              </w:rPr>
            </w:pPr>
            <w:r>
              <w:rPr>
                <w:rFonts w:ascii="Arial" w:cs="Arial" w:eastAsia="Arial" w:hAnsi="Arial"/>
                <w:sz w:val="14"/>
                <w:szCs w:val="14"/>
                <w:b w:val="1"/>
                <w:bCs w:val="1"/>
                <w:color w:val="auto"/>
                <w:w w:val="91"/>
              </w:rPr>
              <w:t>Quoted Prices in Active</w:t>
            </w:r>
          </w:p>
        </w:tc>
        <w:tc>
          <w:tcPr>
            <w:tcW w:w="15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3"/>
              </w:rPr>
              <w:t>Significant Other</w:t>
            </w:r>
          </w:p>
        </w:tc>
        <w:tc>
          <w:tcPr>
            <w:tcW w:w="1620" w:type="dxa"/>
            <w:vAlign w:val="bottom"/>
          </w:tcPr>
          <w:p>
            <w:pPr>
              <w:jc w:val="center"/>
              <w:ind w:left="8"/>
              <w:spacing w:after="0" w:line="135" w:lineRule="exact"/>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35"/>
        </w:trPr>
        <w:tc>
          <w:tcPr>
            <w:tcW w:w="6420" w:type="dxa"/>
            <w:vAlign w:val="bottom"/>
            <w:vMerge w:val="restart"/>
          </w:tcPr>
          <w:p>
            <w:pPr>
              <w:spacing w:after="0"/>
              <w:rPr>
                <w:sz w:val="20"/>
                <w:szCs w:val="20"/>
                <w:color w:val="auto"/>
              </w:rPr>
            </w:pPr>
            <w:r>
              <w:rPr>
                <w:rFonts w:ascii="Arial" w:cs="Arial" w:eastAsia="Arial" w:hAnsi="Arial"/>
                <w:sz w:val="14"/>
                <w:szCs w:val="14"/>
                <w:b w:val="1"/>
                <w:bCs w:val="1"/>
                <w:color w:val="auto"/>
              </w:rPr>
              <w:t>Description</w:t>
            </w:r>
          </w:p>
        </w:tc>
        <w:tc>
          <w:tcPr>
            <w:tcW w:w="1660" w:type="dxa"/>
            <w:vAlign w:val="bottom"/>
          </w:tcPr>
          <w:p>
            <w:pPr>
              <w:jc w:val="center"/>
              <w:ind w:right="68"/>
              <w:spacing w:after="0" w:line="135" w:lineRule="exact"/>
              <w:rPr>
                <w:sz w:val="20"/>
                <w:szCs w:val="20"/>
                <w:color w:val="auto"/>
              </w:rPr>
            </w:pPr>
            <w:r>
              <w:rPr>
                <w:rFonts w:ascii="Arial" w:cs="Arial" w:eastAsia="Arial" w:hAnsi="Arial"/>
                <w:sz w:val="14"/>
                <w:szCs w:val="14"/>
                <w:b w:val="1"/>
                <w:bCs w:val="1"/>
                <w:color w:val="auto"/>
                <w:w w:val="96"/>
              </w:rPr>
              <w:t>Markets for Identical</w:t>
            </w:r>
          </w:p>
        </w:tc>
        <w:tc>
          <w:tcPr>
            <w:tcW w:w="15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3"/>
              </w:rPr>
              <w:t>Observable Inputs</w:t>
            </w:r>
          </w:p>
        </w:tc>
        <w:tc>
          <w:tcPr>
            <w:tcW w:w="1620" w:type="dxa"/>
            <w:vAlign w:val="bottom"/>
          </w:tcPr>
          <w:p>
            <w:pPr>
              <w:jc w:val="center"/>
              <w:ind w:left="8"/>
              <w:spacing w:after="0" w:line="135" w:lineRule="exact"/>
              <w:rPr>
                <w:sz w:val="20"/>
                <w:szCs w:val="20"/>
                <w:color w:val="auto"/>
              </w:rPr>
            </w:pPr>
            <w:r>
              <w:rPr>
                <w:rFonts w:ascii="Arial" w:cs="Arial" w:eastAsia="Arial" w:hAnsi="Arial"/>
                <w:sz w:val="14"/>
                <w:szCs w:val="14"/>
                <w:b w:val="1"/>
                <w:bCs w:val="1"/>
                <w:color w:val="auto"/>
                <w:w w:val="93"/>
              </w:rPr>
              <w:t>Unobservable Inputs</w:t>
            </w:r>
          </w:p>
        </w:tc>
        <w:tc>
          <w:tcPr>
            <w:tcW w:w="0" w:type="dxa"/>
            <w:vAlign w:val="bottom"/>
          </w:tcPr>
          <w:p>
            <w:pPr>
              <w:spacing w:after="0"/>
              <w:rPr>
                <w:sz w:val="1"/>
                <w:szCs w:val="1"/>
                <w:color w:val="auto"/>
              </w:rPr>
            </w:pPr>
          </w:p>
        </w:tc>
      </w:tr>
      <w:tr>
        <w:trPr>
          <w:trHeight w:val="186"/>
        </w:trPr>
        <w:tc>
          <w:tcPr>
            <w:tcW w:w="6420" w:type="dxa"/>
            <w:vAlign w:val="bottom"/>
            <w:vMerge w:val="continue"/>
          </w:tcPr>
          <w:p>
            <w:pPr>
              <w:spacing w:after="0"/>
              <w:rPr>
                <w:sz w:val="16"/>
                <w:szCs w:val="16"/>
                <w:color w:val="auto"/>
              </w:rPr>
            </w:pPr>
          </w:p>
        </w:tc>
        <w:tc>
          <w:tcPr>
            <w:tcW w:w="1660" w:type="dxa"/>
            <w:vAlign w:val="bottom"/>
          </w:tcPr>
          <w:p>
            <w:pPr>
              <w:jc w:val="center"/>
              <w:ind w:right="68"/>
              <w:spacing w:after="0"/>
              <w:rPr>
                <w:sz w:val="20"/>
                <w:szCs w:val="20"/>
                <w:color w:val="auto"/>
              </w:rPr>
            </w:pPr>
            <w:r>
              <w:rPr>
                <w:rFonts w:ascii="Arial" w:cs="Arial" w:eastAsia="Arial" w:hAnsi="Arial"/>
                <w:sz w:val="14"/>
                <w:szCs w:val="14"/>
                <w:b w:val="1"/>
                <w:bCs w:val="1"/>
                <w:color w:val="auto"/>
                <w:w w:val="90"/>
              </w:rPr>
              <w:t>Assets (Level 1)</w:t>
            </w: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w w:val="94"/>
              </w:rPr>
              <w:t>(Level 2)</w:t>
            </w:r>
          </w:p>
        </w:tc>
        <w:tc>
          <w:tcPr>
            <w:tcW w:w="1620" w:type="dxa"/>
            <w:vAlign w:val="bottom"/>
          </w:tcPr>
          <w:p>
            <w:pPr>
              <w:jc w:val="center"/>
              <w:ind w:left="8"/>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64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Derivative liability - other current liabilities</w:t>
            </w:r>
          </w:p>
        </w:tc>
        <w:tc>
          <w:tcPr>
            <w:tcW w:w="700" w:type="dxa"/>
            <w:vAlign w:val="bottom"/>
            <w:tcBorders>
              <w:top w:val="single" w:sz="8" w:color="auto"/>
            </w:tcBorders>
            <w:shd w:val="clear" w:color="auto" w:fill="CCEEFF"/>
          </w:tcPr>
          <w:p>
            <w:pPr>
              <w:jc w:val="right"/>
              <w:ind w:right="49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jc w:val="right"/>
              <w:ind w:right="49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2,453</w:t>
            </w:r>
          </w:p>
        </w:tc>
      </w:tr>
      <w:tr>
        <w:trPr>
          <w:trHeight w:val="230"/>
        </w:trPr>
        <w:tc>
          <w:tcPr>
            <w:tcW w:w="6440" w:type="dxa"/>
            <w:vAlign w:val="bottom"/>
          </w:tcPr>
          <w:p>
            <w:pPr>
              <w:ind w:left="20"/>
              <w:spacing w:after="0"/>
              <w:rPr>
                <w:sz w:val="20"/>
                <w:szCs w:val="20"/>
                <w:color w:val="auto"/>
              </w:rPr>
            </w:pPr>
            <w:r>
              <w:rPr>
                <w:rFonts w:ascii="Arial" w:cs="Arial" w:eastAsia="Arial" w:hAnsi="Arial"/>
                <w:sz w:val="18"/>
                <w:szCs w:val="18"/>
                <w:color w:val="auto"/>
              </w:rPr>
              <w:t>Derivative liability - other non-current liabilities</w:t>
            </w:r>
          </w:p>
        </w:tc>
        <w:tc>
          <w:tcPr>
            <w:tcW w:w="700" w:type="dxa"/>
            <w:vAlign w:val="bottom"/>
          </w:tcPr>
          <w:p>
            <w:pPr>
              <w:spacing w:after="0"/>
              <w:rPr>
                <w:sz w:val="19"/>
                <w:szCs w:val="19"/>
                <w:color w:val="auto"/>
              </w:rPr>
            </w:pPr>
          </w:p>
        </w:tc>
        <w:tc>
          <w:tcPr>
            <w:tcW w:w="92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9"/>
                <w:szCs w:val="19"/>
                <w:color w:val="auto"/>
              </w:rPr>
            </w:pPr>
          </w:p>
        </w:tc>
        <w:tc>
          <w:tcPr>
            <w:tcW w:w="94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664</w:t>
            </w:r>
          </w:p>
        </w:tc>
      </w:tr>
      <w:tr>
        <w:trPr>
          <w:trHeight w:val="248"/>
        </w:trPr>
        <w:tc>
          <w:tcPr>
            <w:tcW w:w="64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700" w:type="dxa"/>
            <w:vAlign w:val="bottom"/>
            <w:tcBorders>
              <w:top w:val="single" w:sz="8" w:color="auto"/>
              <w:bottom w:val="single" w:sz="8" w:color="auto"/>
            </w:tcBorders>
            <w:shd w:val="clear" w:color="auto" w:fill="CCEEFF"/>
          </w:tcPr>
          <w:p>
            <w:pPr>
              <w:jc w:val="right"/>
              <w:ind w:right="49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700" w:type="dxa"/>
            <w:vAlign w:val="bottom"/>
            <w:tcBorders>
              <w:top w:val="single" w:sz="8" w:color="auto"/>
              <w:bottom w:val="single" w:sz="8" w:color="auto"/>
            </w:tcBorders>
            <w:shd w:val="clear" w:color="auto" w:fill="CCEEFF"/>
          </w:tcPr>
          <w:p>
            <w:pPr>
              <w:jc w:val="right"/>
              <w:ind w:right="49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3,117</w:t>
            </w:r>
          </w:p>
        </w:tc>
      </w:tr>
      <w:tr>
        <w:trPr>
          <w:trHeight w:val="20"/>
        </w:trPr>
        <w:tc>
          <w:tcPr>
            <w:tcW w:w="644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r>
        <w:trPr>
          <w:trHeight w:val="649"/>
        </w:trPr>
        <w:tc>
          <w:tcPr>
            <w:tcW w:w="8760" w:type="dxa"/>
            <w:vAlign w:val="bottom"/>
            <w:gridSpan w:val="5"/>
          </w:tcPr>
          <w:p>
            <w:pPr>
              <w:spacing w:after="0"/>
              <w:rPr>
                <w:sz w:val="20"/>
                <w:szCs w:val="20"/>
                <w:color w:val="auto"/>
              </w:rPr>
            </w:pPr>
            <w:r>
              <w:rPr>
                <w:rFonts w:ascii="Arial" w:cs="Arial" w:eastAsia="Arial" w:hAnsi="Arial"/>
                <w:sz w:val="18"/>
                <w:szCs w:val="18"/>
                <w:color w:val="auto"/>
                <w:w w:val="97"/>
              </w:rPr>
              <w:t>The following table presents the change in the above derivatives during the three months ended March 31, 2021.</w:t>
            </w: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351"/>
        </w:trPr>
        <w:tc>
          <w:tcPr>
            <w:tcW w:w="64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20" w:type="dxa"/>
            <w:vAlign w:val="bottom"/>
            <w:gridSpan w:val="4"/>
          </w:tcPr>
          <w:p>
            <w:pPr>
              <w:jc w:val="right"/>
              <w:spacing w:after="0"/>
              <w:rPr>
                <w:sz w:val="20"/>
                <w:szCs w:val="20"/>
                <w:color w:val="auto"/>
              </w:rPr>
            </w:pPr>
            <w:r>
              <w:rPr>
                <w:rFonts w:ascii="Arial" w:cs="Arial" w:eastAsia="Arial" w:hAnsi="Arial"/>
                <w:sz w:val="14"/>
                <w:szCs w:val="14"/>
                <w:b w:val="1"/>
                <w:bCs w:val="1"/>
                <w:color w:val="auto"/>
                <w:w w:val="95"/>
              </w:rPr>
              <w:t>Three Months Ended March</w:t>
            </w:r>
          </w:p>
        </w:tc>
      </w:tr>
      <w:tr>
        <w:trPr>
          <w:trHeight w:val="188"/>
        </w:trPr>
        <w:tc>
          <w:tcPr>
            <w:tcW w:w="6440" w:type="dxa"/>
            <w:vAlign w:val="bottom"/>
            <w:tcBorders>
              <w:bottom w:val="single" w:sz="8" w:color="CCEEFF"/>
            </w:tcBorders>
          </w:tcPr>
          <w:p>
            <w:pPr>
              <w:spacing w:after="0"/>
              <w:rPr>
                <w:sz w:val="16"/>
                <w:szCs w:val="16"/>
                <w:color w:val="auto"/>
              </w:rPr>
            </w:pPr>
          </w:p>
        </w:tc>
        <w:tc>
          <w:tcPr>
            <w:tcW w:w="700" w:type="dxa"/>
            <w:vAlign w:val="bottom"/>
            <w:tcBorders>
              <w:bottom w:val="single" w:sz="8" w:color="CCEEFF"/>
            </w:tcBorders>
          </w:tcPr>
          <w:p>
            <w:pPr>
              <w:spacing w:after="0"/>
              <w:rPr>
                <w:sz w:val="16"/>
                <w:szCs w:val="16"/>
                <w:color w:val="auto"/>
              </w:rPr>
            </w:pPr>
          </w:p>
        </w:tc>
        <w:tc>
          <w:tcPr>
            <w:tcW w:w="8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700" w:type="dxa"/>
            <w:vAlign w:val="bottom"/>
            <w:tcBorders>
              <w:bottom w:val="single" w:sz="8" w:color="CCEEFF"/>
            </w:tcBorders>
          </w:tcPr>
          <w:p>
            <w:pPr>
              <w:spacing w:after="0"/>
              <w:rPr>
                <w:sz w:val="16"/>
                <w:szCs w:val="16"/>
                <w:color w:val="auto"/>
              </w:rPr>
            </w:pPr>
          </w:p>
        </w:tc>
        <w:tc>
          <w:tcPr>
            <w:tcW w:w="66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31, 2021</w:t>
            </w:r>
          </w:p>
        </w:tc>
      </w:tr>
      <w:tr>
        <w:trPr>
          <w:trHeight w:val="224"/>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7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3,117</w:t>
            </w:r>
          </w:p>
        </w:tc>
      </w:tr>
      <w:tr>
        <w:trPr>
          <w:trHeight w:val="229"/>
        </w:trPr>
        <w:tc>
          <w:tcPr>
            <w:tcW w:w="6440" w:type="dxa"/>
            <w:vAlign w:val="bottom"/>
          </w:tcPr>
          <w:p>
            <w:pPr>
              <w:ind w:left="20"/>
              <w:spacing w:after="0"/>
              <w:rPr>
                <w:sz w:val="20"/>
                <w:szCs w:val="20"/>
                <w:color w:val="auto"/>
              </w:rPr>
            </w:pPr>
            <w:r>
              <w:rPr>
                <w:rFonts w:ascii="Arial" w:cs="Arial" w:eastAsia="Arial" w:hAnsi="Arial"/>
                <w:sz w:val="18"/>
                <w:szCs w:val="18"/>
                <w:color w:val="auto"/>
              </w:rPr>
              <w:t>Issuances</w:t>
            </w:r>
          </w:p>
        </w:tc>
        <w:tc>
          <w:tcPr>
            <w:tcW w:w="7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15,121</w:t>
            </w:r>
          </w:p>
        </w:tc>
      </w:tr>
      <w:tr>
        <w:trPr>
          <w:trHeight w:val="229"/>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 in fair value (1)</w:t>
            </w:r>
          </w:p>
        </w:tc>
        <w:tc>
          <w:tcPr>
            <w:tcW w:w="7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w:t>
            </w:r>
          </w:p>
        </w:tc>
      </w:tr>
      <w:tr>
        <w:trPr>
          <w:trHeight w:val="230"/>
        </w:trPr>
        <w:tc>
          <w:tcPr>
            <w:tcW w:w="64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Settlements</w:t>
            </w:r>
          </w:p>
        </w:tc>
        <w:tc>
          <w:tcPr>
            <w:tcW w:w="700" w:type="dxa"/>
            <w:vAlign w:val="bottom"/>
            <w:tcBorders>
              <w:bottom w:val="single" w:sz="8" w:color="CCEEFF"/>
            </w:tcBorders>
          </w:tcPr>
          <w:p>
            <w:pPr>
              <w:spacing w:after="0"/>
              <w:rPr>
                <w:sz w:val="19"/>
                <w:szCs w:val="19"/>
                <w:color w:val="auto"/>
              </w:rPr>
            </w:pPr>
          </w:p>
        </w:tc>
        <w:tc>
          <w:tcPr>
            <w:tcW w:w="8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700" w:type="dxa"/>
            <w:vAlign w:val="bottom"/>
            <w:tcBorders>
              <w:bottom w:val="single" w:sz="8" w:color="CCEEFF"/>
            </w:tcBorders>
          </w:tcPr>
          <w:p>
            <w:pPr>
              <w:spacing w:after="0"/>
              <w:rPr>
                <w:sz w:val="19"/>
                <w:szCs w:val="19"/>
                <w:color w:val="auto"/>
              </w:rPr>
            </w:pPr>
          </w:p>
        </w:tc>
        <w:tc>
          <w:tcPr>
            <w:tcW w:w="6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(3,005)</w:t>
            </w:r>
          </w:p>
        </w:tc>
      </w:tr>
      <w:tr>
        <w:trPr>
          <w:trHeight w:val="248"/>
        </w:trPr>
        <w:tc>
          <w:tcPr>
            <w:tcW w:w="6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Ending balance</w:t>
            </w:r>
          </w:p>
        </w:tc>
        <w:tc>
          <w:tcPr>
            <w:tcW w:w="7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auto"/>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14,784</w:t>
            </w:r>
          </w:p>
        </w:tc>
      </w:tr>
      <w:tr>
        <w:trPr>
          <w:trHeight w:val="20"/>
        </w:trPr>
        <w:tc>
          <w:tcPr>
            <w:tcW w:w="644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w:t>
      </w:r>
    </w:p>
    <w:p>
      <w:pPr>
        <w:spacing w:after="0" w:line="59" w:lineRule="exact"/>
        <w:rPr>
          <w:sz w:val="20"/>
          <w:szCs w:val="20"/>
          <w:color w:val="auto"/>
        </w:rPr>
      </w:pPr>
    </w:p>
    <w:p>
      <w:pPr>
        <w:ind w:left="580" w:right="300" w:hanging="248"/>
        <w:spacing w:after="0" w:line="277" w:lineRule="auto"/>
        <w:tabs>
          <w:tab w:leader="none" w:pos="592"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the fair value are recognized in the “Other expense (income), net” line in the Condensed Consolidated Statements of Operations and Comprehensive Income (Loss).</w:t>
      </w:r>
    </w:p>
    <w:p>
      <w:pPr>
        <w:spacing w:after="0" w:line="224" w:lineRule="exact"/>
        <w:rPr>
          <w:sz w:val="20"/>
          <w:szCs w:val="20"/>
          <w:color w:val="auto"/>
        </w:rPr>
      </w:pPr>
    </w:p>
    <w:p>
      <w:pPr>
        <w:ind w:right="480"/>
        <w:spacing w:after="0" w:line="308" w:lineRule="auto"/>
        <w:rPr>
          <w:sz w:val="20"/>
          <w:szCs w:val="20"/>
          <w:color w:val="auto"/>
        </w:rPr>
      </w:pPr>
      <w:r>
        <w:rPr>
          <w:rFonts w:ascii="Arial" w:cs="Arial" w:eastAsia="Arial" w:hAnsi="Arial"/>
          <w:sz w:val="17"/>
          <w:szCs w:val="17"/>
          <w:color w:val="auto"/>
        </w:rPr>
        <w:t>The fair value of the change-in-control put feature utilizes unobservable inputs based on the Company’s assessment of the probability of a change-in-control event occurring in a future period. The probability of a change-in-control event ranged from 1% to 10% as of March 31, 2021.</w:t>
      </w:r>
    </w:p>
    <w:p>
      <w:pPr>
        <w:spacing w:after="0" w:line="38"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The leverage ratio put feature, the dividends withholding feature, and the contingent dividends feature utilized unobservable inputs based on the best information available to determine the probability of the Series B Preferred Stock remaining outstanding for future periods. These inputs included probability assessments of how long the preferred stock would remain outstanding and whether the leverage ratio threshold would be exceeded. Inputs also included the percentage of Series B Preferred Stock held by non-U.S. resident holders and the applicable tax withholding rates for those holders. The probability of the Series B Preferred Stock remaining in future periods ranged from 3% to 2% as of December 31, 2020. The leverage ratio put feature also utilized unobservable inputs to determine the probability of the leverage ratio put being exercisable as of March 31, 2023, which ranged from 10% to 1% as of December 31, 2020. These probabilities were determined based on management’s assessment of facts and circumstances at each reporting date. An increase in these probabilities would result in an increase in the derivative liability fair value. Given the Series B Preferred Stock value changes by period as a result of dividends and redemption premiums, weighted average values for these assumptions are not meaningful.</w:t>
      </w:r>
    </w:p>
    <w:p>
      <w:pPr>
        <w:spacing w:after="0" w:line="58"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The fair value of the 2019 Warrants is determined using a valuation model, which utilizes unobservable inputs to determine the probability that the 2019 Warrants will remain outstanding for future periods. The probabilities resulted in a weighted average term of 4.3 years as of March 31, 2021, and 2.4 years as of December 31, 2020.</w:t>
      </w:r>
    </w:p>
    <w:p>
      <w:pPr>
        <w:spacing w:after="0" w:line="76"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The fair value of the 2021 Warrants is determined using the observable market price of a share of our common stock, less the $0.01 per share exercise price.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Swap</w:t>
      </w:r>
    </w:p>
    <w:p>
      <w:pPr>
        <w:spacing w:after="0" w:line="11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We manage our exposure to fluctuations in interest rates using a mix of fixed and variable rate debt. We had a fixed-rate interest rate swap agreement that changed the LIBOR-based portion of the interest rate on a portion of our variable rate debt to a fixed rate of 2.4575% (the “interest rate swap”). On March 22, 2021, we terminated the interest rate swap agreement with a $13.7 million cash payment in connection with the extinguishment of our previously outstanding long-term variable-rate debt.</w:t>
      </w:r>
    </w:p>
    <w:p>
      <w:pPr>
        <w:spacing w:after="0" w:line="79"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The interest rate swap was designated as a cash flow hedge at inception. However, in the fourth quarter of 2020, the interest rate swap no longer qualified as an effective hedge, and subsequent changes in fair value of the interest rate swap were recognized in earnings. Amounts recognized in earnings related to the interest rate swap are recorded in the “Loss on interest rate swap” line on the Condensed Consolidated Statements of Operations and Comprehensive Income (Loss) except that cash settlements prior to termination are recognized in “Derivative payments on interest rate swap.” Cash settlements during 2021 are presented in investing activities on the Condensed Consolidated Statements of Cash Flows. The following table presents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color w:val="auto"/>
        </w:rPr>
        <w:t>the effect of the interest rate swap on the Condensed Consolidated Statements of Operations and Comprehensive Income (Loss).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00" w:type="dxa"/>
            <w:vAlign w:val="bottom"/>
          </w:tcPr>
          <w:p>
            <w:pPr>
              <w:spacing w:after="0"/>
              <w:rPr>
                <w:sz w:val="16"/>
                <w:szCs w:val="16"/>
                <w:color w:val="auto"/>
              </w:rPr>
            </w:pPr>
          </w:p>
        </w:tc>
        <w:tc>
          <w:tcPr>
            <w:tcW w:w="2840" w:type="dxa"/>
            <w:vAlign w:val="bottom"/>
            <w:tcBorders>
              <w:bottom w:val="single" w:sz="8" w:color="auto"/>
            </w:tcBorders>
            <w:gridSpan w:val="5"/>
          </w:tcPr>
          <w:p>
            <w:pPr>
              <w:jc w:val="right"/>
              <w:ind w:right="355"/>
              <w:spacing w:after="0"/>
              <w:rPr>
                <w:sz w:val="20"/>
                <w:szCs w:val="20"/>
                <w:color w:val="auto"/>
              </w:rPr>
            </w:pPr>
            <w:r>
              <w:rPr>
                <w:rFonts w:ascii="Arial" w:cs="Arial" w:eastAsia="Arial" w:hAnsi="Arial"/>
                <w:sz w:val="14"/>
                <w:szCs w:val="14"/>
                <w:b w:val="1"/>
                <w:bCs w:val="1"/>
                <w:color w:val="auto"/>
              </w:rPr>
              <w:t>Three Months Ended March 31,</w:t>
            </w:r>
          </w:p>
        </w:tc>
      </w:tr>
      <w:tr>
        <w:trPr>
          <w:trHeight w:val="187"/>
        </w:trPr>
        <w:tc>
          <w:tcPr>
            <w:tcW w:w="840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2020</w:t>
            </w:r>
          </w:p>
        </w:tc>
      </w:tr>
      <w:tr>
        <w:trPr>
          <w:trHeight w:val="224"/>
        </w:trPr>
        <w:tc>
          <w:tcPr>
            <w:tcW w:w="8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860" w:type="dxa"/>
            <w:vAlign w:val="bottom"/>
            <w:shd w:val="clear" w:color="auto" w:fill="CCEEFF"/>
          </w:tcPr>
          <w:p>
            <w:pPr>
              <w:jc w:val="right"/>
              <w:ind w:right="662"/>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1,370</w:t>
            </w:r>
          </w:p>
        </w:tc>
      </w:tr>
      <w:tr>
        <w:trPr>
          <w:trHeight w:val="230"/>
        </w:trPr>
        <w:tc>
          <w:tcPr>
            <w:tcW w:w="8400" w:type="dxa"/>
            <w:vAlign w:val="bottom"/>
          </w:tcPr>
          <w:p>
            <w:pPr>
              <w:ind w:left="20"/>
              <w:spacing w:after="0"/>
              <w:rPr>
                <w:sz w:val="20"/>
                <w:szCs w:val="20"/>
                <w:color w:val="auto"/>
              </w:rPr>
            </w:pPr>
            <w:r>
              <w:rPr>
                <w:rFonts w:ascii="Arial" w:cs="Arial" w:eastAsia="Arial" w:hAnsi="Arial"/>
                <w:sz w:val="18"/>
                <w:szCs w:val="18"/>
                <w:color w:val="auto"/>
              </w:rPr>
              <w:t>Derivative payments on interest rate swap</w:t>
            </w:r>
          </w:p>
        </w:tc>
        <w:tc>
          <w:tcPr>
            <w:tcW w:w="8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93"/>
              </w:rPr>
              <w:t>1,717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on interest rate swap</w:t>
            </w:r>
          </w:p>
        </w:tc>
        <w:tc>
          <w:tcPr>
            <w:tcW w:w="8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2,033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liabilities measured at fair value on a recurring basis for the interest rate swap as of December 31, 2020.</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3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820" w:type="dxa"/>
            <w:vAlign w:val="bottom"/>
            <w:tcBorders>
              <w:bottom w:val="single" w:sz="8" w:color="auto"/>
            </w:tcBorders>
            <w:gridSpan w:val="7"/>
          </w:tcPr>
          <w:p>
            <w:pPr>
              <w:jc w:val="center"/>
              <w:ind w:right="39"/>
              <w:spacing w:after="0"/>
              <w:rPr>
                <w:sz w:val="20"/>
                <w:szCs w:val="20"/>
                <w:color w:val="auto"/>
              </w:rPr>
            </w:pPr>
            <w:r>
              <w:rPr>
                <w:rFonts w:ascii="Arial" w:cs="Arial" w:eastAsia="Arial" w:hAnsi="Arial"/>
                <w:sz w:val="14"/>
                <w:szCs w:val="14"/>
                <w:b w:val="1"/>
                <w:bCs w:val="1"/>
                <w:color w:val="auto"/>
                <w:w w:val="92"/>
              </w:rPr>
              <w:t>Fair Value Measurements as of December 31, 2020</w:t>
            </w:r>
          </w:p>
        </w:tc>
        <w:tc>
          <w:tcPr>
            <w:tcW w:w="0" w:type="dxa"/>
            <w:vAlign w:val="bottom"/>
          </w:tcPr>
          <w:p>
            <w:pPr>
              <w:spacing w:after="0"/>
              <w:rPr>
                <w:sz w:val="1"/>
                <w:szCs w:val="1"/>
                <w:color w:val="auto"/>
              </w:rPr>
            </w:pPr>
          </w:p>
        </w:tc>
      </w:tr>
      <w:tr>
        <w:trPr>
          <w:trHeight w:val="135"/>
        </w:trPr>
        <w:tc>
          <w:tcPr>
            <w:tcW w:w="6300" w:type="dxa"/>
            <w:vAlign w:val="bottom"/>
          </w:tcPr>
          <w:p>
            <w:pPr>
              <w:spacing w:after="0"/>
              <w:rPr>
                <w:sz w:val="11"/>
                <w:szCs w:val="11"/>
                <w:color w:val="auto"/>
              </w:rPr>
            </w:pPr>
          </w:p>
        </w:tc>
        <w:tc>
          <w:tcPr>
            <w:tcW w:w="1680" w:type="dxa"/>
            <w:vAlign w:val="bottom"/>
            <w:gridSpan w:val="3"/>
          </w:tcPr>
          <w:p>
            <w:pPr>
              <w:jc w:val="center"/>
              <w:ind w:right="120"/>
              <w:spacing w:after="0" w:line="135" w:lineRule="exact"/>
              <w:rPr>
                <w:sz w:val="20"/>
                <w:szCs w:val="20"/>
                <w:color w:val="auto"/>
              </w:rPr>
            </w:pPr>
            <w:r>
              <w:rPr>
                <w:rFonts w:ascii="Arial" w:cs="Arial" w:eastAsia="Arial" w:hAnsi="Arial"/>
                <w:sz w:val="14"/>
                <w:szCs w:val="14"/>
                <w:b w:val="1"/>
                <w:bCs w:val="1"/>
                <w:color w:val="auto"/>
                <w:w w:val="91"/>
              </w:rPr>
              <w:t>Quoted Prices in Active</w:t>
            </w:r>
          </w:p>
        </w:tc>
        <w:tc>
          <w:tcPr>
            <w:tcW w:w="160" w:type="dxa"/>
            <w:vAlign w:val="bottom"/>
          </w:tcPr>
          <w:p>
            <w:pPr>
              <w:spacing w:after="0"/>
              <w:rPr>
                <w:sz w:val="11"/>
                <w:szCs w:val="11"/>
                <w:color w:val="auto"/>
              </w:rPr>
            </w:pPr>
          </w:p>
        </w:tc>
        <w:tc>
          <w:tcPr>
            <w:tcW w:w="152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95"/>
              </w:rPr>
              <w:t>Significant Other</w:t>
            </w:r>
          </w:p>
        </w:tc>
        <w:tc>
          <w:tcPr>
            <w:tcW w:w="120" w:type="dxa"/>
            <w:vAlign w:val="bottom"/>
          </w:tcPr>
          <w:p>
            <w:pPr>
              <w:spacing w:after="0"/>
              <w:rPr>
                <w:sz w:val="11"/>
                <w:szCs w:val="11"/>
                <w:color w:val="auto"/>
              </w:rPr>
            </w:pPr>
          </w:p>
        </w:tc>
        <w:tc>
          <w:tcPr>
            <w:tcW w:w="1460" w:type="dxa"/>
            <w:vAlign w:val="bottom"/>
          </w:tcPr>
          <w:p>
            <w:pPr>
              <w:jc w:val="center"/>
              <w:ind w:right="39"/>
              <w:spacing w:after="0" w:line="135" w:lineRule="exact"/>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35"/>
        </w:trPr>
        <w:tc>
          <w:tcPr>
            <w:tcW w:w="63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Description</w:t>
            </w:r>
          </w:p>
        </w:tc>
        <w:tc>
          <w:tcPr>
            <w:tcW w:w="120" w:type="dxa"/>
            <w:vAlign w:val="bottom"/>
          </w:tcPr>
          <w:p>
            <w:pPr>
              <w:spacing w:after="0"/>
              <w:rPr>
                <w:sz w:val="11"/>
                <w:szCs w:val="11"/>
                <w:color w:val="auto"/>
              </w:rPr>
            </w:pPr>
          </w:p>
        </w:tc>
        <w:tc>
          <w:tcPr>
            <w:tcW w:w="156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6"/>
              </w:rPr>
              <w:t>Markets for Identical</w:t>
            </w:r>
          </w:p>
        </w:tc>
        <w:tc>
          <w:tcPr>
            <w:tcW w:w="160" w:type="dxa"/>
            <w:vAlign w:val="bottom"/>
          </w:tcPr>
          <w:p>
            <w:pPr>
              <w:spacing w:after="0"/>
              <w:rPr>
                <w:sz w:val="11"/>
                <w:szCs w:val="11"/>
                <w:color w:val="auto"/>
              </w:rPr>
            </w:pPr>
          </w:p>
        </w:tc>
        <w:tc>
          <w:tcPr>
            <w:tcW w:w="152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3"/>
              </w:rPr>
              <w:t>Observable Inputs</w:t>
            </w:r>
          </w:p>
        </w:tc>
        <w:tc>
          <w:tcPr>
            <w:tcW w:w="120" w:type="dxa"/>
            <w:vAlign w:val="bottom"/>
          </w:tcPr>
          <w:p>
            <w:pPr>
              <w:spacing w:after="0"/>
              <w:rPr>
                <w:sz w:val="11"/>
                <w:szCs w:val="11"/>
                <w:color w:val="auto"/>
              </w:rPr>
            </w:pPr>
          </w:p>
        </w:tc>
        <w:tc>
          <w:tcPr>
            <w:tcW w:w="1460" w:type="dxa"/>
            <w:vAlign w:val="bottom"/>
          </w:tcPr>
          <w:p>
            <w:pPr>
              <w:jc w:val="center"/>
              <w:ind w:right="39"/>
              <w:spacing w:after="0" w:line="135" w:lineRule="exact"/>
              <w:rPr>
                <w:sz w:val="20"/>
                <w:szCs w:val="20"/>
                <w:color w:val="auto"/>
              </w:rPr>
            </w:pPr>
            <w:r>
              <w:rPr>
                <w:rFonts w:ascii="Arial" w:cs="Arial" w:eastAsia="Arial" w:hAnsi="Arial"/>
                <w:sz w:val="14"/>
                <w:szCs w:val="14"/>
                <w:b w:val="1"/>
                <w:bCs w:val="1"/>
                <w:color w:val="auto"/>
                <w:w w:val="93"/>
              </w:rPr>
              <w:t>Unobservable Inputs</w:t>
            </w:r>
          </w:p>
        </w:tc>
        <w:tc>
          <w:tcPr>
            <w:tcW w:w="0" w:type="dxa"/>
            <w:vAlign w:val="bottom"/>
          </w:tcPr>
          <w:p>
            <w:pPr>
              <w:spacing w:after="0"/>
              <w:rPr>
                <w:sz w:val="1"/>
                <w:szCs w:val="1"/>
                <w:color w:val="auto"/>
              </w:rPr>
            </w:pPr>
          </w:p>
        </w:tc>
      </w:tr>
      <w:tr>
        <w:trPr>
          <w:trHeight w:val="188"/>
        </w:trPr>
        <w:tc>
          <w:tcPr>
            <w:tcW w:w="63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Assets (Level 1)</w:t>
            </w:r>
          </w:p>
        </w:tc>
        <w:tc>
          <w:tcPr>
            <w:tcW w:w="160" w:type="dxa"/>
            <w:vAlign w:val="bottom"/>
          </w:tcPr>
          <w:p>
            <w:pPr>
              <w:spacing w:after="0"/>
              <w:rPr>
                <w:sz w:val="16"/>
                <w:szCs w:val="16"/>
                <w:color w:val="auto"/>
              </w:rPr>
            </w:pPr>
          </w:p>
        </w:tc>
        <w:tc>
          <w:tcPr>
            <w:tcW w:w="15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(Level 2)</w:t>
            </w:r>
          </w:p>
        </w:tc>
        <w:tc>
          <w:tcPr>
            <w:tcW w:w="120" w:type="dxa"/>
            <w:vAlign w:val="bottom"/>
          </w:tcPr>
          <w:p>
            <w:pPr>
              <w:spacing w:after="0"/>
              <w:rPr>
                <w:sz w:val="16"/>
                <w:szCs w:val="16"/>
                <w:color w:val="auto"/>
              </w:rPr>
            </w:pPr>
          </w:p>
        </w:tc>
        <w:tc>
          <w:tcPr>
            <w:tcW w:w="1460" w:type="dxa"/>
            <w:vAlign w:val="bottom"/>
          </w:tcPr>
          <w:p>
            <w:pPr>
              <w:jc w:val="center"/>
              <w:ind w:right="39"/>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24"/>
        </w:trPr>
        <w:tc>
          <w:tcPr>
            <w:tcW w:w="63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Derivative liability - other current liabilities</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tcBorders>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11,022</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300" w:type="dxa"/>
            <w:vAlign w:val="bottom"/>
          </w:tcPr>
          <w:p>
            <w:pPr>
              <w:ind w:left="20"/>
              <w:spacing w:after="0"/>
              <w:rPr>
                <w:sz w:val="20"/>
                <w:szCs w:val="20"/>
                <w:color w:val="auto"/>
              </w:rPr>
            </w:pPr>
            <w:r>
              <w:rPr>
                <w:rFonts w:ascii="Arial" w:cs="Arial" w:eastAsia="Arial" w:hAnsi="Arial"/>
                <w:sz w:val="18"/>
                <w:szCs w:val="18"/>
                <w:color w:val="auto"/>
              </w:rPr>
              <w:t>Derivative liability - other non-current liabilities</w:t>
            </w:r>
          </w:p>
        </w:tc>
        <w:tc>
          <w:tcPr>
            <w:tcW w:w="120" w:type="dxa"/>
            <w:vAlign w:val="bottom"/>
          </w:tcPr>
          <w:p>
            <w:pPr>
              <w:spacing w:after="0"/>
              <w:rPr>
                <w:sz w:val="19"/>
                <w:szCs w:val="19"/>
                <w:color w:val="auto"/>
              </w:rPr>
            </w:pPr>
          </w:p>
        </w:tc>
        <w:tc>
          <w:tcPr>
            <w:tcW w:w="1560" w:type="dxa"/>
            <w:vAlign w:val="bottom"/>
            <w:gridSpan w:val="2"/>
          </w:tcPr>
          <w:p>
            <w:pPr>
              <w:ind w:left="1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4,357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ind w:left="1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63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auto"/>
            </w:tcBorders>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15,379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bottom w:val="single" w:sz="8" w:color="auto"/>
            </w:tcBorders>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3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The inputs for determining fair value of the interest rate swap are classified as Level 2 inputs. Level 2 fair value is based on estimates using standard pricing models. These standard pricing models use inputs which are derived from or corroborated by observable market data such as interest rate yield curves, index forward curves, discount curves, and volatility surfaces. Counterparty to this derivative contract is a highly rated financial institution which we believe carries only a minimal risk of nonperformance.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Fixed Rate Debt</w:t>
      </w:r>
    </w:p>
    <w:p>
      <w:pPr>
        <w:spacing w:after="0" w:line="11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fair value of our outstanding fixed-rate debt included in the “International lines of credit and other loans” line item within Note 9 to these Notes to Condensed Consolidated Financial Statements approximated carrying value as of March 31, 2021, and December 31, 2020, respectively. These fair values represent Level 2 under the three-tier hierarchy described above. The carrying value of this fixed-rate debt was $12.5 million and $14.4 million as of March 31, 2021 and December 31, 2020,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4" w:name="page25"/>
    <w:bookmarkEnd w:id="2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NN, Inc. is a global diversified industrial company that combines advanced engineering and production capabilities with in-depth materials science expertise to design and manufacture high-precision components and assemblies primarily for the electrical, automotive, general industrial, aerospace and defense, and medical markets. As used in this Quarterly Report, the terms “NN,” the “Company,” “we,” “our,” or “us” refer to NN, Inc. and its subsidiaries.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This Quarterly Report contains forward-looking statements that are made pursuant to the safe harbor provisions of the Private Securities Litigation Reform Act of 1995. These statements may discuss goals, intentions and expectations as to future trends, plans, events, results of operations or financial condition, or state other information relating to NN, Inc., based on current beliefs of management as well as assumptions made by, and information currently available to, management. Forward-looking statements generally will be accompanied by words such as “anticipate,” “believe,” “could,” “estimate,” “expect,” “forecast,” “guidance,” “intend,” “may,” “possible,” “potential,” “predict,” “project” or other similar words, phrases or expressions. Forward-looking statements involve a number of risks and uncertainties that are outside of management’s control and that may cause actual results to be materially different from such forward-looking statements. Such factors include, among others, general economic conditions and economic conditions in the industrial sector; the impacts of the COVID-19 pandemic on the Company’s financial condition, business operations and liquidity; competitive influences; risks that current customers will commence or increase captive production; risks of capacity underutilization; quality issues; availability of raw materials; currency and other risks associated with international trade; our dependence on certain major customers; the impact of acquisitions and divestitures; the level of our indebtedness; the restrictions contained in our debt agreements; our ability to obtain financing at favorable rates, if at all, and to refinance existing debt as it matures; unanticipated difficulties integrating acquisitions; new laws and governmental regulations; and other risk factors and cautionary statements listed from time-to-time in our periodic reports filed with the Securities and Exchange Commission. We disclaim any obligation to update any such factors or to publicly announce the result of any revisions to any of the forward-looking statements included herein or therein to reflect future events or developments.</w:t>
      </w:r>
    </w:p>
    <w:p>
      <w:pPr>
        <w:spacing w:after="0" w:line="63"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For additional information concerning such risk factors and cautionary statements, please see the sections titled “Item 1A. Risk Factors” in the 2020 Annual Report and this Quarterly Report.</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Factors That May Influence Results of Operations</w:t>
      </w:r>
    </w:p>
    <w:p>
      <w:pPr>
        <w:spacing w:after="0" w:line="117"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color w:val="auto"/>
        </w:rPr>
        <w:t>The following paragraphs describe factors that have influenced results of operations for the three months ended March 31, 2021, that management believes are important to provide an understanding of the business and results of operations or that may influence operations in the future.</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Global COVID-19 Pandemic</w:t>
      </w:r>
    </w:p>
    <w:p>
      <w:pPr>
        <w:spacing w:after="0" w:line="117" w:lineRule="exact"/>
        <w:rPr>
          <w:sz w:val="20"/>
          <w:szCs w:val="20"/>
          <w:color w:val="auto"/>
        </w:rPr>
      </w:pPr>
    </w:p>
    <w:p>
      <w:pPr>
        <w:ind w:right="80"/>
        <w:spacing w:after="0" w:line="269" w:lineRule="auto"/>
        <w:rPr>
          <w:sz w:val="20"/>
          <w:szCs w:val="20"/>
          <w:color w:val="auto"/>
        </w:rPr>
      </w:pPr>
      <w:r>
        <w:rPr>
          <w:rFonts w:ascii="Arial" w:cs="Arial" w:eastAsia="Arial" w:hAnsi="Arial"/>
          <w:sz w:val="16"/>
          <w:szCs w:val="16"/>
          <w:color w:val="auto"/>
        </w:rPr>
        <w:t>The COVID-19 pandemic continues to disrupt the United States and global economy, and we cannot predict when a full economic recovery will occur, but product volumes are beginning to return to more normalized levels. Our operating results in the first quarter reflect momentum in the recovery of our business from the effects of COVID-19. Although vaccinations are in process and economies across the globe have reopened, many public health experts warn there may be additional COVID-19 surges in 2021. Further surges in the COVID-19 infection rates could result in the reinstatement of directives and mandates requiring businesses to again curtail or cease normal operations. Thus, the spread of COVID-19 and the responses thereto have created a disruption in the manufacturing, delivery, and overall supply chain of automobile manufacturers and suppliers, as well as disruption within the power industry. Global vehicle production decreased significantly in 2020, but production has since been ramping back up. Disruptions of normal supply chains have caused challenges in obtaining raw materials we use in the manufacture of some of our products. We have been increasing our inventories in the first quarter to mitigate the risk of supply chain disruption for our customers. A worldwide semiconductor chip shortage is beginning to affect original equipment manufacturers, causing unpredictable volumes. The rapid development and fluidity of the situation precludes any prediction as to the ultimate impact COVID-19 will have on our business, financial condition, results of operations, and cash flows, which will depend largely on future developments directly or indirectly relating to the duration and scope of the COVID-19 pandemic.</w:t>
      </w:r>
    </w:p>
    <w:p>
      <w:pPr>
        <w:spacing w:after="0" w:line="63"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While managing decreased demand in many regions across the globe, we are now operating at all of our business locations. We have implemented training and recruiting programs to address labor shortages. We are focused on the safety of our employees, customers and suppliers. We have developed and implemented processes to ensure a safe environment for our employees and</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25" w:name="page26"/>
    <w:bookmarkEnd w:id="2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60"/>
        <w:spacing w:after="0" w:line="311" w:lineRule="auto"/>
        <w:rPr>
          <w:sz w:val="20"/>
          <w:szCs w:val="20"/>
          <w:color w:val="auto"/>
        </w:rPr>
      </w:pPr>
      <w:r>
        <w:rPr>
          <w:rFonts w:ascii="Arial" w:cs="Arial" w:eastAsia="Arial" w:hAnsi="Arial"/>
          <w:sz w:val="16"/>
          <w:szCs w:val="16"/>
          <w:color w:val="auto"/>
        </w:rPr>
        <w:t>any visitors to our facilities, including providing personal protective equipment to our employees and establishing social distancing protocols and temperature checks. We are actively promoting vaccination among our employees. These processes include recommendations based on guidelines from the Centers for Disease Control and Prevention and the World Health Organization. The health and safety of our employees remains our top priority.</w:t>
      </w:r>
    </w:p>
    <w:p>
      <w:pPr>
        <w:spacing w:after="0" w:line="4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have undertaken a number of permanent and temporary actions to manage the evolving situation, as described in our 2020 Annual Report.. We continue to streamline facilities and implement cost savings initiatives. Capital expenditures and travel costs remain at relatively low levels. We refinanced our credit facility and preferred stock in the first quarter as discussed above.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Credit Facilities</w:t>
      </w:r>
    </w:p>
    <w:p>
      <w:pPr>
        <w:spacing w:after="0" w:line="11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On March 22, 2021, we entered into a new $150.0 million term loan facility (the “Term Loan Facility”) and a new $50.0 million asset backed credit facility (the “ABL Facility”). The proceeds from the Term Loan Facility were used to prepay the amounts outstanding on our previous term loans. The previous credit facility was terminated and consisted of a Senior Secured Term Loan, Incremental Term Loan, and Senior Secured Revolver. No amounts were outstanding on the Senior Secured Revolver at the time of termination.</w:t>
      </w:r>
    </w:p>
    <w:p>
      <w:pPr>
        <w:spacing w:after="0" w:line="79"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Outstanding borrowings under the Term Loan Facility bear interest at either 1) one-month LIBOR (subject to a 1.000% floor) plus an applicable margin of 6.875% or 2) the greater of various benchmark rates plus an applicable margin of 5.875%. At March 31, 2021, the Term Loan Facility bore interest based on one-month LIBOR at 7.875%. The Term Loan Facility requires quarterly principal payments of $0.4 million with the remaining unpaid principal amount due on the final maturity date of September 22, 2026. The Term Loan Facility is collateralized by all of our assets. The Term Loan Facility has a first lien on all assets other than accounts receivable and inventory and has a second lien on accounts receivable and inventory. We were in compliance with all requirements under the Term Loan Facility as of March 31, 2021.</w:t>
      </w:r>
    </w:p>
    <w:p>
      <w:pPr>
        <w:spacing w:after="0" w:line="70"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The ABL Facility provides for a senior secured revolving credit facility in the amount of $50.0 million, of which $30.0 million is available in the form of letters of credit and $5.0 million is available for the issuance of short-term swingline loans. The availability of credit under the ABL Facility is limited by a borrowing base calculation derived from accounts receivable and inventory held in the United States. Outstanding borrowings under the ABL Facility bear interest on a variable rate structure plus an interest rate spread that is based on the average amount of aggregate revolving commitment available. The variable borrowing rate is either 1) LIBOR plus an applicable margin of 1.75% or 2.00%, depending on availability, or 2) the greater of the federal funds rate or prime, plus an applicable margin of 0.75% or 1.00%, depending on availability. We may elect whether to use one-month, three-month, or six-month LIBOR, subject to a 0.50% floor. Interest payments are due monthly on borrowings that utilize one-month LIBOR and quarterly on borrowings that utilize three-month or six-month LIBOR. At March 31, 2021, using one-month LIBOR plus a 1.75% spread, the weighted average interest rate on outstanding borrowings under the ABL Facility would have been 2.25% if there had been any balance outstanding. We pay a commitment fee of 0.375% for unused capacity under the ABL Facility and a 0.125% fee on the amount of letters of credit outstanding. The final maturity date of the ABL Facility is March 22, 2026.</w:t>
      </w:r>
    </w:p>
    <w:p>
      <w:pPr>
        <w:spacing w:after="0" w:line="84"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We had no outstanding borrowings under the ABL Facility at March 31, 2021. Total capacity under the ABL Facility was $47.3 million as of March 31, 2021, with $32.9 million available for future borrowings after reductions for outstanding letters of credit as of March 31, 2021. The ABL Facility has a first lien on accounts receivable and inventory. We were in compliance with all requirements under the ABL Facility as of March 31, 2021.</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Preferred Stock</w:t>
      </w:r>
    </w:p>
    <w:p>
      <w:pPr>
        <w:spacing w:after="0" w:line="117"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On March 22, 2021, we completed a private placement of 65 thousand shares of newly designated Series D Perpetual Preferred Stock, with a par value of $0.01 per share (the “Series D Preferred Stock”) at a price of $1,000 per share, together with detachable warrants (the “2021 Warrants”) to purchase up to 1.9 million shares of our common stock at an exercise price of $0.01 per share. The Series D Preferred Stock has a liquidation preference of $1,000 per share and is redeemable at our option in cash, subject to the applicable redemption premium. Series D Preferred Stock shares earn cash dividends at a rate of 10.0% per year, payable quarterly in arrears, accruing whether or not earned or declared. If no cash dividend is paid, then the liquidation preference per share effective on the dividend date increases by 12.0% per year. On March 22, 2026, the cash dividend rate and in-kind dividend rate increase by 2.5% per year. Cash dividends are required beginning on September 30, 2027.</w:t>
      </w:r>
    </w:p>
    <w:p>
      <w:pPr>
        <w:spacing w:after="0" w:line="69"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Net cash proceeds of $61.8 million from the issuance of the Series D Preferred Stock, along with part of the proceeds from the Term Loan Credit Facility, were used to redeem all of the outstanding shares of the Company’s Series B Convertible Preferred Stock (the “Series B Preferred Stock”). The total redemption cash payment was $118.4 million.</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6" w:name="page27"/>
    <w:bookmarkEnd w:id="2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Sales Concentration</w:t>
      </w:r>
    </w:p>
    <w:p>
      <w:pPr>
        <w:spacing w:after="0" w:line="171"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We recognized sales from a single customer of $13.1 million, or 10% of consolidated net sales, during the three months ended March 31, 2021. We recognized sales from another customer of $11.1 million, or 10% of consolidated net sales, during the three months ended March 31, 2020. Revenues from these customers are primarily in our Mobile Solutions segment.</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Three Months Ended March 31, 2021, compared to the Three Months Ended March 31, 2020</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2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5"/>
          </w:tcPr>
          <w:p>
            <w:pPr>
              <w:jc w:val="right"/>
              <w:ind w:right="780"/>
              <w:spacing w:after="0"/>
              <w:rPr>
                <w:sz w:val="20"/>
                <w:szCs w:val="20"/>
                <w:color w:val="auto"/>
              </w:rPr>
            </w:pPr>
            <w:r>
              <w:rPr>
                <w:rFonts w:ascii="Arial" w:cs="Arial" w:eastAsia="Arial" w:hAnsi="Arial"/>
                <w:sz w:val="14"/>
                <w:szCs w:val="14"/>
                <w:b w:val="1"/>
                <w:bCs w:val="1"/>
                <w:color w:val="auto"/>
                <w:w w:val="97"/>
              </w:rPr>
              <w:t>Three Months Ended March 31,</w:t>
            </w:r>
          </w:p>
        </w:tc>
        <w:tc>
          <w:tcPr>
            <w:tcW w:w="7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62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4"/>
                <w:szCs w:val="14"/>
                <w:b w:val="1"/>
                <w:bCs w:val="1"/>
                <w:color w:val="auto"/>
              </w:rPr>
              <w:t>$ Change</w:t>
            </w:r>
          </w:p>
        </w:tc>
        <w:tc>
          <w:tcPr>
            <w:tcW w:w="7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6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sales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126,804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116,213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10,591</w:t>
            </w:r>
          </w:p>
        </w:tc>
        <w:tc>
          <w:tcPr>
            <w:tcW w:w="4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20" w:type="dxa"/>
            <w:vAlign w:val="bottom"/>
          </w:tcPr>
          <w:p>
            <w:pPr>
              <w:ind w:left="560"/>
              <w:spacing w:after="0"/>
              <w:rPr>
                <w:sz w:val="20"/>
                <w:szCs w:val="20"/>
                <w:color w:val="auto"/>
              </w:rPr>
            </w:pPr>
            <w:r>
              <w:rPr>
                <w:rFonts w:ascii="Arial" w:cs="Arial" w:eastAsia="Arial" w:hAnsi="Arial"/>
                <w:sz w:val="18"/>
                <w:szCs w:val="18"/>
                <w:i w:val="1"/>
                <w:iCs w:val="1"/>
                <w:color w:val="auto"/>
              </w:rPr>
              <w:t>Organic growth</w:t>
            </w: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gridSpan w:val="2"/>
          </w:tcPr>
          <w:p>
            <w:pPr>
              <w:jc w:val="right"/>
              <w:ind w:right="360"/>
              <w:spacing w:after="0"/>
              <w:rPr>
                <w:sz w:val="20"/>
                <w:szCs w:val="20"/>
                <w:color w:val="auto"/>
              </w:rPr>
            </w:pPr>
            <w:r>
              <w:rPr>
                <w:rFonts w:ascii="Arial" w:cs="Arial" w:eastAsia="Arial" w:hAnsi="Arial"/>
                <w:sz w:val="18"/>
                <w:szCs w:val="18"/>
                <w:i w:val="1"/>
                <w:iCs w:val="1"/>
                <w:color w:val="auto"/>
              </w:rPr>
              <w:t>$</w:t>
            </w:r>
          </w:p>
        </w:tc>
        <w:tc>
          <w:tcPr>
            <w:tcW w:w="740" w:type="dxa"/>
            <w:vAlign w:val="bottom"/>
          </w:tcPr>
          <w:p>
            <w:pPr>
              <w:jc w:val="right"/>
              <w:spacing w:after="0"/>
              <w:rPr>
                <w:sz w:val="20"/>
                <w:szCs w:val="20"/>
                <w:color w:val="auto"/>
              </w:rPr>
            </w:pPr>
            <w:r>
              <w:rPr>
                <w:rFonts w:ascii="Arial" w:cs="Arial" w:eastAsia="Arial" w:hAnsi="Arial"/>
                <w:sz w:val="18"/>
                <w:szCs w:val="18"/>
                <w:i w:val="1"/>
                <w:iCs w:val="1"/>
                <w:color w:val="auto"/>
              </w:rPr>
              <w:t>11,248</w:t>
            </w:r>
          </w:p>
        </w:tc>
        <w:tc>
          <w:tcPr>
            <w:tcW w:w="0" w:type="dxa"/>
            <w:vAlign w:val="bottom"/>
          </w:tcPr>
          <w:p>
            <w:pPr>
              <w:spacing w:after="0"/>
              <w:rPr>
                <w:sz w:val="1"/>
                <w:szCs w:val="1"/>
                <w:color w:val="auto"/>
              </w:rPr>
            </w:pPr>
          </w:p>
        </w:tc>
      </w:tr>
      <w:tr>
        <w:trPr>
          <w:trHeight w:val="229"/>
        </w:trPr>
        <w:tc>
          <w:tcPr>
            <w:tcW w:w="6220" w:type="dxa"/>
            <w:vAlign w:val="bottom"/>
            <w:shd w:val="clear" w:color="auto" w:fill="CCEEFF"/>
          </w:tcPr>
          <w:p>
            <w:pPr>
              <w:ind w:left="560"/>
              <w:spacing w:after="0"/>
              <w:rPr>
                <w:sz w:val="20"/>
                <w:szCs w:val="20"/>
                <w:color w:val="auto"/>
              </w:rPr>
            </w:pPr>
            <w:r>
              <w:rPr>
                <w:rFonts w:ascii="Arial" w:cs="Arial" w:eastAsia="Arial" w:hAnsi="Arial"/>
                <w:sz w:val="18"/>
                <w:szCs w:val="18"/>
                <w:i w:val="1"/>
                <w:iCs w:val="1"/>
                <w:color w:val="auto"/>
              </w:rPr>
              <w:t>Foreign exchange effects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(657)</w:t>
            </w:r>
          </w:p>
        </w:tc>
        <w:tc>
          <w:tcPr>
            <w:tcW w:w="0" w:type="dxa"/>
            <w:vAlign w:val="bottom"/>
          </w:tcPr>
          <w:p>
            <w:pPr>
              <w:spacing w:after="0"/>
              <w:rPr>
                <w:sz w:val="1"/>
                <w:szCs w:val="1"/>
                <w:color w:val="auto"/>
              </w:rPr>
            </w:pPr>
          </w:p>
        </w:tc>
      </w:tr>
      <w:tr>
        <w:trPr>
          <w:trHeight w:val="176"/>
        </w:trPr>
        <w:tc>
          <w:tcPr>
            <w:tcW w:w="6220" w:type="dxa"/>
            <w:vAlign w:val="bottom"/>
          </w:tcPr>
          <w:p>
            <w:pPr>
              <w:ind w:left="220"/>
              <w:spacing w:after="0" w:line="176" w:lineRule="exact"/>
              <w:rPr>
                <w:sz w:val="20"/>
                <w:szCs w:val="20"/>
                <w:color w:val="auto"/>
              </w:rPr>
            </w:pPr>
            <w:r>
              <w:rPr>
                <w:rFonts w:ascii="Arial" w:cs="Arial" w:eastAsia="Arial" w:hAnsi="Arial"/>
                <w:sz w:val="18"/>
                <w:szCs w:val="18"/>
                <w:color w:val="auto"/>
              </w:rPr>
              <w:t>Cost of sales (exclusive of depreciation and amortization shown separately</w:t>
            </w:r>
          </w:p>
        </w:tc>
        <w:tc>
          <w:tcPr>
            <w:tcW w:w="28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99,688</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94,478</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5,210</w:t>
            </w: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6220" w:type="dxa"/>
            <w:vAlign w:val="bottom"/>
          </w:tcPr>
          <w:p>
            <w:pPr>
              <w:ind w:left="220"/>
              <w:spacing w:after="0"/>
              <w:rPr>
                <w:sz w:val="20"/>
                <w:szCs w:val="20"/>
                <w:color w:val="auto"/>
              </w:rPr>
            </w:pPr>
            <w:r>
              <w:rPr>
                <w:rFonts w:ascii="Arial" w:cs="Arial" w:eastAsia="Arial" w:hAnsi="Arial"/>
                <w:sz w:val="18"/>
                <w:szCs w:val="18"/>
                <w:color w:val="auto"/>
              </w:rPr>
              <w:t>below)</w:t>
            </w:r>
          </w:p>
        </w:tc>
        <w:tc>
          <w:tcPr>
            <w:tcW w:w="28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Selling, general, and administrative expense</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14,575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16,160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(1,585)</w:t>
            </w:r>
          </w:p>
        </w:tc>
        <w:tc>
          <w:tcPr>
            <w:tcW w:w="4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20" w:type="dxa"/>
            <w:vAlign w:val="bottom"/>
          </w:tcPr>
          <w:p>
            <w:pPr>
              <w:ind w:left="220"/>
              <w:spacing w:after="0"/>
              <w:rPr>
                <w:sz w:val="20"/>
                <w:szCs w:val="20"/>
                <w:color w:val="auto"/>
              </w:rPr>
            </w:pPr>
            <w:r>
              <w:rPr>
                <w:rFonts w:ascii="Arial" w:cs="Arial" w:eastAsia="Arial" w:hAnsi="Arial"/>
                <w:sz w:val="18"/>
                <w:szCs w:val="18"/>
                <w:color w:val="auto"/>
              </w:rPr>
              <w:t>Depreciation and amortization</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11,568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11,357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211</w:t>
            </w: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Goodwill impairment</w:t>
            </w:r>
          </w:p>
        </w:tc>
        <w:tc>
          <w:tcPr>
            <w:tcW w:w="2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92,942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(92,942)</w:t>
            </w:r>
          </w:p>
        </w:tc>
        <w:tc>
          <w:tcPr>
            <w:tcW w:w="4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Other operating expense (income), net</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5,126</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(5,131)</w:t>
            </w:r>
          </w:p>
        </w:tc>
        <w:tc>
          <w:tcPr>
            <w:tcW w:w="460" w:type="dxa"/>
            <w:vAlign w:val="bottom"/>
            <w:tcBorders>
              <w:bottom w:val="single" w:sz="8" w:color="CCEEFF"/>
            </w:tcBorders>
          </w:tcPr>
          <w:p>
            <w:pPr>
              <w:spacing w:after="0"/>
              <w:rPr>
                <w:sz w:val="19"/>
                <w:szCs w:val="19"/>
                <w:color w:val="auto"/>
              </w:rPr>
            </w:pPr>
          </w:p>
        </w:tc>
        <w:tc>
          <w:tcPr>
            <w:tcW w:w="7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2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Income (loss) from operations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(103,850)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104,828</w:t>
            </w:r>
          </w:p>
        </w:tc>
        <w:tc>
          <w:tcPr>
            <w:tcW w:w="4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20" w:type="dxa"/>
            <w:vAlign w:val="bottom"/>
          </w:tcPr>
          <w:p>
            <w:pPr>
              <w:ind w:left="220"/>
              <w:spacing w:after="0"/>
              <w:rPr>
                <w:sz w:val="20"/>
                <w:szCs w:val="20"/>
                <w:color w:val="auto"/>
              </w:rPr>
            </w:pPr>
            <w:r>
              <w:rPr>
                <w:rFonts w:ascii="Arial" w:cs="Arial" w:eastAsia="Arial" w:hAnsi="Arial"/>
                <w:sz w:val="18"/>
                <w:szCs w:val="18"/>
                <w:color w:val="auto"/>
              </w:rPr>
              <w:t>Interest expense</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2,024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3,807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(1,783)</w:t>
            </w: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Loss on extinguishment of debt and write-off of debt issuance costs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2,390</w:t>
            </w:r>
          </w:p>
        </w:tc>
        <w:tc>
          <w:tcPr>
            <w:tcW w:w="4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20" w:type="dxa"/>
            <w:vAlign w:val="bottom"/>
          </w:tcPr>
          <w:p>
            <w:pPr>
              <w:ind w:left="220"/>
              <w:spacing w:after="0"/>
              <w:rPr>
                <w:sz w:val="20"/>
                <w:szCs w:val="20"/>
                <w:color w:val="auto"/>
              </w:rPr>
            </w:pPr>
            <w:r>
              <w:rPr>
                <w:rFonts w:ascii="Arial" w:cs="Arial" w:eastAsia="Arial" w:hAnsi="Arial"/>
                <w:sz w:val="18"/>
                <w:szCs w:val="18"/>
                <w:color w:val="auto"/>
              </w:rPr>
              <w:t>Derivative payments on interest rate swap</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1,717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1,717</w:t>
            </w: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Loss on interest rate swap</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2,033</w:t>
            </w:r>
          </w:p>
        </w:tc>
        <w:tc>
          <w:tcPr>
            <w:tcW w:w="4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Other expense (income), net</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1,544</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(1,666)</w:t>
            </w:r>
          </w:p>
        </w:tc>
        <w:tc>
          <w:tcPr>
            <w:tcW w:w="460" w:type="dxa"/>
            <w:vAlign w:val="bottom"/>
            <w:tcBorders>
              <w:bottom w:val="single" w:sz="8" w:color="CCEEFF"/>
            </w:tcBorders>
          </w:tcPr>
          <w:p>
            <w:pPr>
              <w:spacing w:after="0"/>
              <w:rPr>
                <w:sz w:val="19"/>
                <w:szCs w:val="19"/>
                <w:color w:val="auto"/>
              </w:rPr>
            </w:pPr>
          </w:p>
        </w:tc>
        <w:tc>
          <w:tcPr>
            <w:tcW w:w="7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6220" w:type="dxa"/>
            <w:vAlign w:val="bottom"/>
            <w:shd w:val="clear" w:color="auto" w:fill="CCEEFF"/>
          </w:tcPr>
          <w:p>
            <w:pPr>
              <w:ind w:left="20"/>
              <w:spacing w:after="0" w:line="156" w:lineRule="exact"/>
              <w:rPr>
                <w:sz w:val="20"/>
                <w:szCs w:val="20"/>
                <w:color w:val="auto"/>
              </w:rPr>
            </w:pPr>
            <w:r>
              <w:rPr>
                <w:rFonts w:ascii="Arial" w:cs="Arial" w:eastAsia="Arial" w:hAnsi="Arial"/>
                <w:sz w:val="18"/>
                <w:szCs w:val="18"/>
                <w:color w:val="auto"/>
                <w:w w:val="96"/>
              </w:rPr>
              <w:t>Loss from continuing operations before benefit for income taxes and share of net</w:t>
            </w:r>
          </w:p>
        </w:tc>
        <w:tc>
          <w:tcPr>
            <w:tcW w:w="280" w:type="dxa"/>
            <w:vAlign w:val="bottom"/>
            <w:shd w:val="clear" w:color="auto" w:fill="CCEEFF"/>
          </w:tcPr>
          <w:p>
            <w:pPr>
              <w:spacing w:after="0"/>
              <w:rPr>
                <w:sz w:val="13"/>
                <w:szCs w:val="13"/>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(7,064)</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(109,201)</w:t>
            </w:r>
          </w:p>
        </w:tc>
        <w:tc>
          <w:tcPr>
            <w:tcW w:w="1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102,137</w:t>
            </w:r>
          </w:p>
        </w:tc>
        <w:tc>
          <w:tcPr>
            <w:tcW w:w="46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6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(loss) from joint venture</w:t>
            </w:r>
          </w:p>
        </w:tc>
        <w:tc>
          <w:tcPr>
            <w:tcW w:w="28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20" w:type="dxa"/>
            <w:vAlign w:val="bottom"/>
          </w:tcPr>
          <w:p>
            <w:pPr>
              <w:ind w:left="220"/>
              <w:spacing w:after="0"/>
              <w:rPr>
                <w:sz w:val="20"/>
                <w:szCs w:val="20"/>
                <w:color w:val="auto"/>
              </w:rPr>
            </w:pPr>
            <w:r>
              <w:rPr>
                <w:rFonts w:ascii="Arial" w:cs="Arial" w:eastAsia="Arial" w:hAnsi="Arial"/>
                <w:sz w:val="18"/>
                <w:szCs w:val="18"/>
                <w:color w:val="auto"/>
              </w:rPr>
              <w:t>Benefit for income taxes</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756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1,395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(639)</w:t>
            </w: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Share of net income (loss) from joint venture</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1,395</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1,666</w:t>
            </w:r>
          </w:p>
        </w:tc>
        <w:tc>
          <w:tcPr>
            <w:tcW w:w="4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220" w:type="dxa"/>
            <w:vAlign w:val="bottom"/>
          </w:tcPr>
          <w:p>
            <w:pPr>
              <w:ind w:left="20"/>
              <w:spacing w:after="0"/>
              <w:rPr>
                <w:sz w:val="20"/>
                <w:szCs w:val="20"/>
                <w:color w:val="auto"/>
              </w:rPr>
            </w:pPr>
            <w:r>
              <w:rPr>
                <w:rFonts w:ascii="Arial" w:cs="Arial" w:eastAsia="Arial" w:hAnsi="Arial"/>
                <w:sz w:val="18"/>
                <w:szCs w:val="18"/>
                <w:b w:val="1"/>
                <w:bCs w:val="1"/>
                <w:color w:val="auto"/>
              </w:rPr>
              <w:t>Loss from continuing operations</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(4,913)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(108,077)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103,164</w:t>
            </w: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(loss) from discontinued operations, net of tax</w:t>
            </w:r>
          </w:p>
        </w:tc>
        <w:tc>
          <w:tcPr>
            <w:tcW w:w="2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(140,114)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140,114</w:t>
            </w:r>
          </w:p>
        </w:tc>
        <w:tc>
          <w:tcPr>
            <w:tcW w:w="4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220" w:type="dxa"/>
            <w:vAlign w:val="bottom"/>
          </w:tcPr>
          <w:p>
            <w:pPr>
              <w:ind w:left="20"/>
              <w:spacing w:after="0"/>
              <w:rPr>
                <w:sz w:val="20"/>
                <w:szCs w:val="20"/>
                <w:color w:val="auto"/>
              </w:rPr>
            </w:pPr>
            <w:r>
              <w:rPr>
                <w:rFonts w:ascii="Arial" w:cs="Arial" w:eastAsia="Arial" w:hAnsi="Arial"/>
                <w:sz w:val="18"/>
                <w:szCs w:val="18"/>
                <w:b w:val="1"/>
                <w:bCs w:val="1"/>
                <w:color w:val="auto"/>
              </w:rPr>
              <w:t>Net loss</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(4,913)</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(248,191)</w:t>
            </w:r>
          </w:p>
        </w:tc>
        <w:tc>
          <w:tcPr>
            <w:tcW w:w="12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243,278</w:t>
            </w: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i w:val="1"/>
          <w:iCs w:val="1"/>
          <w:color w:val="auto"/>
        </w:rPr>
        <w:t>Net Sales</w:t>
      </w:r>
      <w:r>
        <w:rPr>
          <w:rFonts w:ascii="Arial" w:cs="Arial" w:eastAsia="Arial" w:hAnsi="Arial"/>
          <w:sz w:val="16"/>
          <w:szCs w:val="16"/>
          <w:color w:val="auto"/>
        </w:rPr>
        <w:t>. Net sales increased by $10.6 million, or 9%, during the three months ended March 31, 2021, compared to the three months ended March 31,</w:t>
      </w:r>
      <w:r>
        <w:rPr>
          <w:rFonts w:ascii="Arial" w:cs="Arial" w:eastAsia="Arial" w:hAnsi="Arial"/>
          <w:sz w:val="16"/>
          <w:szCs w:val="16"/>
          <w:i w:val="1"/>
          <w:iCs w:val="1"/>
          <w:color w:val="auto"/>
        </w:rPr>
        <w:t xml:space="preserve"> </w:t>
      </w:r>
      <w:r>
        <w:rPr>
          <w:rFonts w:ascii="Arial" w:cs="Arial" w:eastAsia="Arial" w:hAnsi="Arial"/>
          <w:sz w:val="16"/>
          <w:szCs w:val="16"/>
          <w:color w:val="auto"/>
        </w:rPr>
        <w:t>2020, primarily due to an increase in organic volume of $11.2 million, as a result of increased demand in the automotive industry as the economy begins to recover from the impact of the COVID-19 pandemic. Sales were positively impacted by increased selling prices for precious metals allowed under customer contracts due to the sharp rise in underlying commodities costs since the second half of 2020. These increases were partially offset by decreased demand for smart meter components due to inventory adjustments at a key customer. Sales of components to the medical industry were also negatively impacted by delays in elective surgeries caused by the COVID-19 pandemic. We also realized unfavorable foreign exchange effects of $0.7 million.</w:t>
      </w:r>
    </w:p>
    <w:p>
      <w:pPr>
        <w:spacing w:after="0" w:line="56" w:lineRule="exact"/>
        <w:rPr>
          <w:sz w:val="20"/>
          <w:szCs w:val="20"/>
          <w:color w:val="auto"/>
        </w:rPr>
      </w:pPr>
    </w:p>
    <w:p>
      <w:pPr>
        <w:jc w:val="both"/>
        <w:ind w:right="200"/>
        <w:spacing w:after="0" w:line="263" w:lineRule="auto"/>
        <w:rPr>
          <w:sz w:val="20"/>
          <w:szCs w:val="20"/>
          <w:color w:val="auto"/>
        </w:rPr>
      </w:pPr>
      <w:r>
        <w:rPr>
          <w:rFonts w:ascii="Arial" w:cs="Arial" w:eastAsia="Arial" w:hAnsi="Arial"/>
          <w:sz w:val="18"/>
          <w:szCs w:val="18"/>
          <w:i w:val="1"/>
          <w:iCs w:val="1"/>
          <w:color w:val="auto"/>
        </w:rPr>
        <w:t xml:space="preserve">Cost of Sales. </w:t>
      </w:r>
      <w:r>
        <w:rPr>
          <w:rFonts w:ascii="Arial" w:cs="Arial" w:eastAsia="Arial" w:hAnsi="Arial"/>
          <w:sz w:val="18"/>
          <w:szCs w:val="18"/>
          <w:color w:val="auto"/>
        </w:rPr>
        <w:t>Cost of sales increased by $5.2 million, or 6%, during the three months ended March 31, 2021, compared to the three months ended March</w:t>
      </w:r>
      <w:r>
        <w:rPr>
          <w:rFonts w:ascii="Arial" w:cs="Arial" w:eastAsia="Arial" w:hAnsi="Arial"/>
          <w:sz w:val="18"/>
          <w:szCs w:val="18"/>
          <w:i w:val="1"/>
          <w:iCs w:val="1"/>
          <w:color w:val="auto"/>
        </w:rPr>
        <w:t xml:space="preserve"> </w:t>
      </w:r>
      <w:r>
        <w:rPr>
          <w:rFonts w:ascii="Arial" w:cs="Arial" w:eastAsia="Arial" w:hAnsi="Arial"/>
          <w:sz w:val="18"/>
          <w:szCs w:val="18"/>
          <w:color w:val="auto"/>
        </w:rPr>
        <w:t>31, 2020, primarily due to variable costs associated with the above-referenced sales volume increase, partially offset by variable and fixed cost reduction initiatives.</w:t>
      </w:r>
    </w:p>
    <w:p>
      <w:pPr>
        <w:spacing w:after="0" w:line="76" w:lineRule="exact"/>
        <w:rPr>
          <w:sz w:val="20"/>
          <w:szCs w:val="20"/>
          <w:color w:val="auto"/>
        </w:rPr>
      </w:pPr>
    </w:p>
    <w:p>
      <w:pPr>
        <w:spacing w:after="0" w:line="342" w:lineRule="auto"/>
        <w:rPr>
          <w:sz w:val="20"/>
          <w:szCs w:val="20"/>
          <w:color w:val="auto"/>
        </w:rPr>
      </w:pPr>
      <w:r>
        <w:rPr>
          <w:rFonts w:ascii="Arial" w:cs="Arial" w:eastAsia="Arial" w:hAnsi="Arial"/>
          <w:sz w:val="16"/>
          <w:szCs w:val="16"/>
          <w:i w:val="1"/>
          <w:iCs w:val="1"/>
          <w:color w:val="auto"/>
        </w:rPr>
        <w:t xml:space="preserve">Selling, General and Administrative Expense. </w:t>
      </w:r>
      <w:r>
        <w:rPr>
          <w:rFonts w:ascii="Arial" w:cs="Arial" w:eastAsia="Arial" w:hAnsi="Arial"/>
          <w:sz w:val="16"/>
          <w:szCs w:val="16"/>
          <w:color w:val="auto"/>
        </w:rPr>
        <w:t>Selling, general and administrative expense decreased by $1.6 million during the three months ended March</w:t>
      </w:r>
      <w:r>
        <w:rPr>
          <w:rFonts w:ascii="Arial" w:cs="Arial" w:eastAsia="Arial" w:hAnsi="Arial"/>
          <w:sz w:val="16"/>
          <w:szCs w:val="16"/>
          <w:i w:val="1"/>
          <w:iCs w:val="1"/>
          <w:color w:val="auto"/>
        </w:rPr>
        <w:t xml:space="preserve"> </w:t>
      </w:r>
      <w:r>
        <w:rPr>
          <w:rFonts w:ascii="Arial" w:cs="Arial" w:eastAsia="Arial" w:hAnsi="Arial"/>
          <w:sz w:val="16"/>
          <w:szCs w:val="16"/>
          <w:color w:val="auto"/>
        </w:rPr>
        <w:t>31, 2021, compared to the three months ended March 31, 2020, primarily due to cost reduction initiatives that drove decreases in personnel and travel costs.</w:t>
      </w:r>
    </w:p>
    <w:p>
      <w:pPr>
        <w:spacing w:after="0" w:line="16"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i w:val="1"/>
          <w:iCs w:val="1"/>
          <w:color w:val="auto"/>
        </w:rPr>
        <w:t xml:space="preserve">Goodwill Impairment. </w:t>
      </w:r>
      <w:r>
        <w:rPr>
          <w:rFonts w:ascii="Arial" w:cs="Arial" w:eastAsia="Arial" w:hAnsi="Arial"/>
          <w:sz w:val="18"/>
          <w:szCs w:val="18"/>
          <w:color w:val="auto"/>
        </w:rPr>
        <w:t>We recognized goodwill impairment of $92.9 million at Power Solutions during the three months ended March 31, 2020, which</w:t>
      </w:r>
      <w:r>
        <w:rPr>
          <w:rFonts w:ascii="Arial" w:cs="Arial" w:eastAsia="Arial" w:hAnsi="Arial"/>
          <w:sz w:val="18"/>
          <w:szCs w:val="18"/>
          <w:i w:val="1"/>
          <w:iCs w:val="1"/>
          <w:color w:val="auto"/>
        </w:rPr>
        <w:t xml:space="preserve"> </w:t>
      </w:r>
      <w:r>
        <w:rPr>
          <w:rFonts w:ascii="Arial" w:cs="Arial" w:eastAsia="Arial" w:hAnsi="Arial"/>
          <w:sz w:val="18"/>
          <w:szCs w:val="18"/>
          <w:color w:val="auto"/>
        </w:rPr>
        <w:t>resulted in no remaining goodwill balance.</w:t>
      </w:r>
    </w:p>
    <w:p>
      <w:pPr>
        <w:spacing w:after="0" w:line="62" w:lineRule="exact"/>
        <w:rPr>
          <w:sz w:val="20"/>
          <w:szCs w:val="20"/>
          <w:color w:val="auto"/>
        </w:rPr>
      </w:pPr>
    </w:p>
    <w:p>
      <w:pPr>
        <w:jc w:val="both"/>
        <w:ind w:right="420"/>
        <w:spacing w:after="0" w:line="263" w:lineRule="auto"/>
        <w:rPr>
          <w:sz w:val="20"/>
          <w:szCs w:val="20"/>
          <w:color w:val="auto"/>
        </w:rPr>
      </w:pPr>
      <w:r>
        <w:rPr>
          <w:rFonts w:ascii="Arial" w:cs="Arial" w:eastAsia="Arial" w:hAnsi="Arial"/>
          <w:sz w:val="18"/>
          <w:szCs w:val="18"/>
          <w:i w:val="1"/>
          <w:iCs w:val="1"/>
          <w:color w:val="auto"/>
        </w:rPr>
        <w:t xml:space="preserve">Other Operating Expense (Income), Net. </w:t>
      </w:r>
      <w:r>
        <w:rPr>
          <w:rFonts w:ascii="Arial" w:cs="Arial" w:eastAsia="Arial" w:hAnsi="Arial"/>
          <w:sz w:val="18"/>
          <w:szCs w:val="18"/>
          <w:color w:val="auto"/>
        </w:rPr>
        <w:t>Other operating expense (income), net, changed favorably by $5.1 million primarily due to charges and costs</w:t>
      </w:r>
      <w:r>
        <w:rPr>
          <w:rFonts w:ascii="Arial" w:cs="Arial" w:eastAsia="Arial" w:hAnsi="Arial"/>
          <w:sz w:val="18"/>
          <w:szCs w:val="18"/>
          <w:i w:val="1"/>
          <w:iCs w:val="1"/>
          <w:color w:val="auto"/>
        </w:rPr>
        <w:t xml:space="preserve"> </w:t>
      </w:r>
      <w:r>
        <w:rPr>
          <w:rFonts w:ascii="Arial" w:cs="Arial" w:eastAsia="Arial" w:hAnsi="Arial"/>
          <w:sz w:val="18"/>
          <w:szCs w:val="18"/>
          <w:color w:val="auto"/>
        </w:rPr>
        <w:t>associated with asset disposals and elimination of a portion of lease obligations as a result of vacating a portion of our corporate headquarters building during the three months ended March 31, 2020.</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7" w:name="page28"/>
    <w:bookmarkEnd w:id="2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60"/>
        <w:spacing w:after="0" w:line="295" w:lineRule="auto"/>
        <w:rPr>
          <w:sz w:val="20"/>
          <w:szCs w:val="20"/>
          <w:color w:val="auto"/>
        </w:rPr>
      </w:pPr>
      <w:r>
        <w:rPr>
          <w:rFonts w:ascii="Arial" w:cs="Arial" w:eastAsia="Arial" w:hAnsi="Arial"/>
          <w:sz w:val="16"/>
          <w:szCs w:val="16"/>
          <w:i w:val="1"/>
          <w:iCs w:val="1"/>
          <w:color w:val="auto"/>
        </w:rPr>
        <w:t xml:space="preserve">Interest Expense. </w:t>
      </w:r>
      <w:r>
        <w:rPr>
          <w:rFonts w:ascii="Arial" w:cs="Arial" w:eastAsia="Arial" w:hAnsi="Arial"/>
          <w:sz w:val="16"/>
          <w:szCs w:val="16"/>
          <w:color w:val="auto"/>
        </w:rPr>
        <w:t>Interest expense decreased by $1.8 million during the three months ended March 31, 2021, compared to the three months ended March</w:t>
      </w:r>
      <w:r>
        <w:rPr>
          <w:rFonts w:ascii="Arial" w:cs="Arial" w:eastAsia="Arial" w:hAnsi="Arial"/>
          <w:sz w:val="16"/>
          <w:szCs w:val="16"/>
          <w:i w:val="1"/>
          <w:iCs w:val="1"/>
          <w:color w:val="auto"/>
        </w:rPr>
        <w:t xml:space="preserve"> </w:t>
      </w:r>
      <w:r>
        <w:rPr>
          <w:rFonts w:ascii="Arial" w:cs="Arial" w:eastAsia="Arial" w:hAnsi="Arial"/>
          <w:sz w:val="16"/>
          <w:szCs w:val="16"/>
          <w:color w:val="auto"/>
        </w:rPr>
        <w:t>31, 2020, primarily due to settlements on the interest rate swap in the prior year that were recognized in interest expense while the hedge was effective. Commitment fees on our Senior Secured Revolver decreased due to a lower available capacity after the sale of our Life Sciences business in October 2020.</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40" w:type="dxa"/>
            <w:vAlign w:val="bottom"/>
          </w:tcPr>
          <w:p>
            <w:pPr>
              <w:spacing w:after="0"/>
              <w:rPr>
                <w:sz w:val="16"/>
                <w:szCs w:val="16"/>
                <w:color w:val="auto"/>
              </w:rPr>
            </w:pPr>
          </w:p>
        </w:tc>
        <w:tc>
          <w:tcPr>
            <w:tcW w:w="2820" w:type="dxa"/>
            <w:vAlign w:val="bottom"/>
            <w:tcBorders>
              <w:bottom w:val="single" w:sz="8" w:color="auto"/>
            </w:tcBorders>
            <w:gridSpan w:val="4"/>
          </w:tcPr>
          <w:p>
            <w:pPr>
              <w:jc w:val="right"/>
              <w:ind w:right="56"/>
              <w:spacing w:after="0"/>
              <w:rPr>
                <w:sz w:val="20"/>
                <w:szCs w:val="20"/>
                <w:color w:val="auto"/>
              </w:rPr>
            </w:pPr>
            <w:r>
              <w:rPr>
                <w:rFonts w:ascii="Arial" w:cs="Arial" w:eastAsia="Arial" w:hAnsi="Arial"/>
                <w:sz w:val="14"/>
                <w:szCs w:val="14"/>
                <w:b w:val="1"/>
                <w:bCs w:val="1"/>
                <w:color w:val="auto"/>
              </w:rPr>
              <w:t>Three Months Ended March 31,</w:t>
            </w:r>
          </w:p>
        </w:tc>
        <w:tc>
          <w:tcPr>
            <w:tcW w:w="580" w:type="dxa"/>
            <w:vAlign w:val="bottom"/>
            <w:tcBorders>
              <w:bottom w:val="single" w:sz="8" w:color="auto"/>
            </w:tcBorders>
          </w:tcPr>
          <w:p>
            <w:pPr>
              <w:spacing w:after="0"/>
              <w:rPr>
                <w:sz w:val="16"/>
                <w:szCs w:val="16"/>
                <w:color w:val="auto"/>
              </w:rPr>
            </w:pPr>
          </w:p>
        </w:tc>
      </w:tr>
      <w:tr>
        <w:trPr>
          <w:trHeight w:val="187"/>
        </w:trPr>
        <w:tc>
          <w:tcPr>
            <w:tcW w:w="784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2021</w:t>
            </w:r>
          </w:p>
        </w:tc>
        <w:tc>
          <w:tcPr>
            <w:tcW w:w="5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2020</w:t>
            </w:r>
          </w:p>
        </w:tc>
        <w:tc>
          <w:tcPr>
            <w:tcW w:w="580" w:type="dxa"/>
            <w:vAlign w:val="bottom"/>
            <w:tcBorders>
              <w:bottom w:val="single" w:sz="8" w:color="auto"/>
            </w:tcBorders>
          </w:tcPr>
          <w:p>
            <w:pPr>
              <w:spacing w:after="0"/>
              <w:rPr>
                <w:sz w:val="16"/>
                <w:szCs w:val="16"/>
                <w:color w:val="auto"/>
              </w:rPr>
            </w:pPr>
          </w:p>
        </w:tc>
      </w:tr>
      <w:tr>
        <w:trPr>
          <w:trHeight w:val="224"/>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on debt</w:t>
            </w:r>
          </w:p>
        </w:tc>
        <w:tc>
          <w:tcPr>
            <w:tcW w:w="1060" w:type="dxa"/>
            <w:vAlign w:val="bottom"/>
            <w:shd w:val="clear" w:color="auto" w:fill="CCEEFF"/>
          </w:tcPr>
          <w:p>
            <w:pPr>
              <w:jc w:val="right"/>
              <w:ind w:right="879"/>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1,439</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876"/>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1,851</w:t>
            </w:r>
          </w:p>
        </w:tc>
      </w:tr>
      <w:tr>
        <w:trPr>
          <w:trHeight w:val="229"/>
        </w:trPr>
        <w:tc>
          <w:tcPr>
            <w:tcW w:w="7840" w:type="dxa"/>
            <w:vAlign w:val="bottom"/>
          </w:tcPr>
          <w:p>
            <w:pPr>
              <w:ind w:left="20"/>
              <w:spacing w:after="0"/>
              <w:rPr>
                <w:sz w:val="20"/>
                <w:szCs w:val="20"/>
                <w:color w:val="auto"/>
              </w:rPr>
            </w:pPr>
            <w:r>
              <w:rPr>
                <w:rFonts w:ascii="Arial" w:cs="Arial" w:eastAsia="Arial" w:hAnsi="Arial"/>
                <w:sz w:val="18"/>
                <w:szCs w:val="18"/>
                <w:color w:val="auto"/>
              </w:rPr>
              <w:t>Interest rate swap settlements</w:t>
            </w:r>
          </w:p>
        </w:tc>
        <w:tc>
          <w:tcPr>
            <w:tcW w:w="1060" w:type="dxa"/>
            <w:vAlign w:val="bottom"/>
          </w:tcPr>
          <w:p>
            <w:pPr>
              <w:spacing w:after="0"/>
              <w:rPr>
                <w:sz w:val="19"/>
                <w:szCs w:val="19"/>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1,370</w:t>
            </w:r>
          </w:p>
        </w:tc>
      </w:tr>
      <w:tr>
        <w:trPr>
          <w:trHeight w:val="229"/>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debt issuance costs</w:t>
            </w:r>
          </w:p>
        </w:tc>
        <w:tc>
          <w:tcPr>
            <w:tcW w:w="10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w:t>
            </w:r>
          </w:p>
        </w:tc>
      </w:tr>
      <w:tr>
        <w:trPr>
          <w:trHeight w:val="230"/>
        </w:trPr>
        <w:tc>
          <w:tcPr>
            <w:tcW w:w="7840" w:type="dxa"/>
            <w:vAlign w:val="bottom"/>
          </w:tcPr>
          <w:p>
            <w:pPr>
              <w:ind w:left="20"/>
              <w:spacing w:after="0"/>
              <w:rPr>
                <w:sz w:val="20"/>
                <w:szCs w:val="20"/>
                <w:color w:val="auto"/>
              </w:rPr>
            </w:pPr>
            <w:r>
              <w:rPr>
                <w:rFonts w:ascii="Arial" w:cs="Arial" w:eastAsia="Arial" w:hAnsi="Arial"/>
                <w:sz w:val="18"/>
                <w:szCs w:val="18"/>
                <w:color w:val="auto"/>
              </w:rPr>
              <w:t>Capitalized interest</w:t>
            </w:r>
          </w:p>
        </w:tc>
        <w:tc>
          <w:tcPr>
            <w:tcW w:w="10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229"/>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06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120" w:type="dxa"/>
            <w:vAlign w:val="bottom"/>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w:t>
            </w:r>
          </w:p>
        </w:tc>
      </w:tr>
      <w:tr>
        <w:trPr>
          <w:trHeight w:val="223"/>
        </w:trPr>
        <w:tc>
          <w:tcPr>
            <w:tcW w:w="7840" w:type="dxa"/>
            <w:vAlign w:val="bottom"/>
          </w:tcPr>
          <w:p>
            <w:pPr>
              <w:ind w:left="220"/>
              <w:spacing w:after="0"/>
              <w:rPr>
                <w:sz w:val="20"/>
                <w:szCs w:val="20"/>
                <w:color w:val="auto"/>
              </w:rPr>
            </w:pPr>
            <w:r>
              <w:rPr>
                <w:rFonts w:ascii="Arial" w:cs="Arial" w:eastAsia="Arial" w:hAnsi="Arial"/>
                <w:sz w:val="18"/>
                <w:szCs w:val="18"/>
                <w:color w:val="auto"/>
              </w:rPr>
              <w:t>Total interest expense</w:t>
            </w:r>
          </w:p>
        </w:tc>
        <w:tc>
          <w:tcPr>
            <w:tcW w:w="1060" w:type="dxa"/>
            <w:vAlign w:val="bottom"/>
            <w:tcBorders>
              <w:bottom w:val="single" w:sz="8" w:color="auto"/>
            </w:tcBorders>
          </w:tcPr>
          <w:p>
            <w:pPr>
              <w:jc w:val="right"/>
              <w:ind w:right="879"/>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2,024</w:t>
            </w:r>
          </w:p>
        </w:tc>
        <w:tc>
          <w:tcPr>
            <w:tcW w:w="120" w:type="dxa"/>
            <w:vAlign w:val="bottom"/>
          </w:tcPr>
          <w:p>
            <w:pPr>
              <w:spacing w:after="0"/>
              <w:rPr>
                <w:sz w:val="19"/>
                <w:szCs w:val="19"/>
                <w:color w:val="auto"/>
              </w:rPr>
            </w:pPr>
          </w:p>
        </w:tc>
        <w:tc>
          <w:tcPr>
            <w:tcW w:w="1060" w:type="dxa"/>
            <w:vAlign w:val="bottom"/>
            <w:tcBorders>
              <w:bottom w:val="single" w:sz="8" w:color="auto"/>
            </w:tcBorders>
          </w:tcPr>
          <w:p>
            <w:pPr>
              <w:jc w:val="right"/>
              <w:ind w:right="876"/>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3,807</w:t>
            </w:r>
          </w:p>
        </w:tc>
      </w:tr>
      <w:tr>
        <w:trPr>
          <w:trHeight w:val="20"/>
        </w:trPr>
        <w:tc>
          <w:tcPr>
            <w:tcW w:w="78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i w:val="1"/>
          <w:iCs w:val="1"/>
          <w:color w:val="auto"/>
        </w:rPr>
        <w:t xml:space="preserve">Loss on Extinguishment of Debt and Write-off of Debt Issuance Costs. </w:t>
      </w:r>
      <w:r>
        <w:rPr>
          <w:rFonts w:ascii="Arial" w:cs="Arial" w:eastAsia="Arial" w:hAnsi="Arial"/>
          <w:sz w:val="18"/>
          <w:szCs w:val="18"/>
          <w:color w:val="auto"/>
        </w:rPr>
        <w:t>Loss on extinguishment of debt and write-off of debt issuance costs represents</w:t>
      </w:r>
      <w:r>
        <w:rPr>
          <w:rFonts w:ascii="Arial" w:cs="Arial" w:eastAsia="Arial" w:hAnsi="Arial"/>
          <w:sz w:val="18"/>
          <w:szCs w:val="18"/>
          <w:i w:val="1"/>
          <w:iCs w:val="1"/>
          <w:color w:val="auto"/>
        </w:rPr>
        <w:t xml:space="preserve"> </w:t>
      </w:r>
      <w:r>
        <w:rPr>
          <w:rFonts w:ascii="Arial" w:cs="Arial" w:eastAsia="Arial" w:hAnsi="Arial"/>
          <w:sz w:val="18"/>
          <w:szCs w:val="18"/>
          <w:color w:val="auto"/>
        </w:rPr>
        <w:t>unamortized debt issuance costs that were associated with the credit facility that was terminated in March 2021.</w:t>
      </w:r>
    </w:p>
    <w:p>
      <w:pPr>
        <w:spacing w:after="0" w:line="62" w:lineRule="exact"/>
        <w:rPr>
          <w:sz w:val="20"/>
          <w:szCs w:val="20"/>
          <w:color w:val="auto"/>
        </w:rPr>
      </w:pPr>
    </w:p>
    <w:p>
      <w:pPr>
        <w:ind w:right="460"/>
        <w:spacing w:after="0" w:line="342" w:lineRule="auto"/>
        <w:rPr>
          <w:sz w:val="20"/>
          <w:szCs w:val="20"/>
          <w:color w:val="auto"/>
        </w:rPr>
      </w:pPr>
      <w:r>
        <w:rPr>
          <w:rFonts w:ascii="Arial" w:cs="Arial" w:eastAsia="Arial" w:hAnsi="Arial"/>
          <w:sz w:val="16"/>
          <w:szCs w:val="16"/>
          <w:i w:val="1"/>
          <w:iCs w:val="1"/>
          <w:color w:val="auto"/>
        </w:rPr>
        <w:t xml:space="preserve">Derivative Payments on Interest Rate Swap. </w:t>
      </w:r>
      <w:r>
        <w:rPr>
          <w:rFonts w:ascii="Arial" w:cs="Arial" w:eastAsia="Arial" w:hAnsi="Arial"/>
          <w:sz w:val="16"/>
          <w:szCs w:val="16"/>
          <w:color w:val="auto"/>
        </w:rPr>
        <w:t>Derivative payments on interest rate swap represent cash settlements of the interest rate swap after hedge</w:t>
      </w:r>
      <w:r>
        <w:rPr>
          <w:rFonts w:ascii="Arial" w:cs="Arial" w:eastAsia="Arial" w:hAnsi="Arial"/>
          <w:sz w:val="16"/>
          <w:szCs w:val="16"/>
          <w:i w:val="1"/>
          <w:iCs w:val="1"/>
          <w:color w:val="auto"/>
        </w:rPr>
        <w:t xml:space="preserve"> </w:t>
      </w:r>
      <w:r>
        <w:rPr>
          <w:rFonts w:ascii="Arial" w:cs="Arial" w:eastAsia="Arial" w:hAnsi="Arial"/>
          <w:sz w:val="16"/>
          <w:szCs w:val="16"/>
          <w:color w:val="auto"/>
        </w:rPr>
        <w:t>accounting was discontinued in October 2020. Prior to October 2020, interest rate swap settlements were recognized in interest expense.</w:t>
      </w:r>
    </w:p>
    <w:p>
      <w:pPr>
        <w:spacing w:after="0" w:line="16" w:lineRule="exact"/>
        <w:rPr>
          <w:sz w:val="20"/>
          <w:szCs w:val="20"/>
          <w:color w:val="auto"/>
        </w:rPr>
      </w:pPr>
    </w:p>
    <w:p>
      <w:pPr>
        <w:spacing w:after="0" w:line="257" w:lineRule="auto"/>
        <w:rPr>
          <w:sz w:val="20"/>
          <w:szCs w:val="20"/>
          <w:color w:val="auto"/>
        </w:rPr>
      </w:pPr>
      <w:r>
        <w:rPr>
          <w:rFonts w:ascii="Arial" w:cs="Arial" w:eastAsia="Arial" w:hAnsi="Arial"/>
          <w:sz w:val="18"/>
          <w:szCs w:val="18"/>
          <w:i w:val="1"/>
          <w:iCs w:val="1"/>
          <w:color w:val="auto"/>
        </w:rPr>
        <w:t>Loss on Interest Rate Swap</w:t>
      </w:r>
      <w:r>
        <w:rPr>
          <w:rFonts w:ascii="Arial" w:cs="Arial" w:eastAsia="Arial" w:hAnsi="Arial"/>
          <w:sz w:val="18"/>
          <w:szCs w:val="18"/>
          <w:color w:val="auto"/>
        </w:rPr>
        <w:t>. Loss on interest rate swap represents mark-to-market adjustments on the interest rate swap after hedge accounting was</w:t>
      </w:r>
      <w:r>
        <w:rPr>
          <w:rFonts w:ascii="Arial" w:cs="Arial" w:eastAsia="Arial" w:hAnsi="Arial"/>
          <w:sz w:val="18"/>
          <w:szCs w:val="18"/>
          <w:i w:val="1"/>
          <w:iCs w:val="1"/>
          <w:color w:val="auto"/>
        </w:rPr>
        <w:t xml:space="preserve"> </w:t>
      </w:r>
      <w:r>
        <w:rPr>
          <w:rFonts w:ascii="Arial" w:cs="Arial" w:eastAsia="Arial" w:hAnsi="Arial"/>
          <w:sz w:val="18"/>
          <w:szCs w:val="18"/>
          <w:color w:val="auto"/>
        </w:rPr>
        <w:t>discontinued in October 2020 as well as amortization of the residual loss in accumulated other comprehensive income as monthly settlements occur. Prior to October 2020, mark-to-market adjustments on the interest rate swap were recognized in accumulated other comprehensive income. Upon termination of the interest rate swap in March 2021, we recognized in earnings the remaining $3.3 million loss that had been deferred in accumulated other comprehensive income.</w:t>
      </w:r>
    </w:p>
    <w:p>
      <w:pPr>
        <w:spacing w:after="0" w:line="80"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i w:val="1"/>
          <w:iCs w:val="1"/>
          <w:color w:val="auto"/>
        </w:rPr>
        <w:t xml:space="preserve">Benefit For Income Taxes. </w:t>
      </w:r>
      <w:r>
        <w:rPr>
          <w:rFonts w:ascii="Arial" w:cs="Arial" w:eastAsia="Arial" w:hAnsi="Arial"/>
          <w:sz w:val="18"/>
          <w:szCs w:val="18"/>
          <w:color w:val="auto"/>
        </w:rPr>
        <w:t>Our effective tax rate was 10.7% for the three months ended March 31, 2021, compared to 1.3% for the three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March 31, 2020. The difference in rates is primarily due to the impact of the impairment of nondeductible goodwill in 2020, and the estimated impacts of GILTI and the CARES Act. Note 8 in the Notes to Condensed Consolidated Financial Statements describes the effective income tax rate for each period presented.</w:t>
      </w:r>
    </w:p>
    <w:p>
      <w:pPr>
        <w:spacing w:after="0" w:line="79"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i w:val="1"/>
          <w:iCs w:val="1"/>
          <w:color w:val="auto"/>
        </w:rPr>
        <w:t xml:space="preserve">Share of Net Income from Joint Venture. </w:t>
      </w:r>
      <w:r>
        <w:rPr>
          <w:rFonts w:ascii="Arial" w:cs="Arial" w:eastAsia="Arial" w:hAnsi="Arial"/>
          <w:sz w:val="17"/>
          <w:szCs w:val="17"/>
          <w:color w:val="auto"/>
        </w:rPr>
        <w:t>Our share of net income from the joint venture increased during the three months ended March 31, 2021,</w:t>
      </w:r>
      <w:r>
        <w:rPr>
          <w:rFonts w:ascii="Arial" w:cs="Arial" w:eastAsia="Arial" w:hAnsi="Arial"/>
          <w:sz w:val="17"/>
          <w:szCs w:val="17"/>
          <w:i w:val="1"/>
          <w:iCs w:val="1"/>
          <w:color w:val="auto"/>
        </w:rPr>
        <w:t xml:space="preserve"> </w:t>
      </w:r>
      <w:r>
        <w:rPr>
          <w:rFonts w:ascii="Arial" w:cs="Arial" w:eastAsia="Arial" w:hAnsi="Arial"/>
          <w:sz w:val="17"/>
          <w:szCs w:val="17"/>
          <w:color w:val="auto"/>
        </w:rPr>
        <w:t>compared to the three months ended March 31, 2020, primarily due to improved profits resulting from higher sales volumes, expanding variable margins as a result of successful process improvement initiatives and improved product mix, and fixed cost reduction actions.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Results by Segment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MOBILE SOLUTIONS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3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11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r>
      <w:tr>
        <w:trPr>
          <w:trHeight w:val="187"/>
        </w:trPr>
        <w:tc>
          <w:tcPr>
            <w:tcW w:w="53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 Change</w:t>
            </w:r>
          </w:p>
        </w:tc>
        <w:tc>
          <w:tcPr>
            <w:tcW w:w="820" w:type="dxa"/>
            <w:vAlign w:val="bottom"/>
            <w:tcBorders>
              <w:bottom w:val="single" w:sz="8" w:color="auto"/>
            </w:tcBorders>
          </w:tcPr>
          <w:p>
            <w:pPr>
              <w:spacing w:after="0"/>
              <w:rPr>
                <w:sz w:val="16"/>
                <w:szCs w:val="16"/>
                <w:color w:val="auto"/>
              </w:rPr>
            </w:pPr>
          </w:p>
        </w:tc>
      </w:tr>
      <w:tr>
        <w:trPr>
          <w:trHeight w:val="224"/>
        </w:trPr>
        <w:tc>
          <w:tcPr>
            <w:tcW w:w="5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77,776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69,884</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615"/>
              <w:spacing w:after="0"/>
              <w:rPr>
                <w:sz w:val="20"/>
                <w:szCs w:val="20"/>
                <w:color w:val="auto"/>
              </w:rPr>
            </w:pPr>
            <w:r>
              <w:rPr>
                <w:rFonts w:ascii="Arial" w:cs="Arial" w:eastAsia="Arial" w:hAnsi="Arial"/>
                <w:sz w:val="18"/>
                <w:szCs w:val="18"/>
                <w:color w:val="auto"/>
                <w:w w:val="93"/>
              </w:rPr>
              <w:t>7,892</w:t>
            </w:r>
          </w:p>
        </w:tc>
        <w:tc>
          <w:tcPr>
            <w:tcW w:w="820" w:type="dxa"/>
            <w:vAlign w:val="bottom"/>
            <w:shd w:val="clear" w:color="auto" w:fill="CCEEFF"/>
          </w:tcPr>
          <w:p>
            <w:pPr>
              <w:spacing w:after="0"/>
              <w:rPr>
                <w:sz w:val="19"/>
                <w:szCs w:val="19"/>
                <w:color w:val="auto"/>
              </w:rPr>
            </w:pPr>
          </w:p>
        </w:tc>
      </w:tr>
      <w:tr>
        <w:trPr>
          <w:trHeight w:val="230"/>
        </w:trPr>
        <w:tc>
          <w:tcPr>
            <w:tcW w:w="5300" w:type="dxa"/>
            <w:vAlign w:val="bottom"/>
          </w:tcPr>
          <w:p>
            <w:pPr>
              <w:ind w:left="360"/>
              <w:spacing w:after="0"/>
              <w:rPr>
                <w:sz w:val="20"/>
                <w:szCs w:val="20"/>
                <w:color w:val="auto"/>
              </w:rPr>
            </w:pPr>
            <w:r>
              <w:rPr>
                <w:rFonts w:ascii="Arial" w:cs="Arial" w:eastAsia="Arial" w:hAnsi="Arial"/>
                <w:sz w:val="18"/>
                <w:szCs w:val="18"/>
                <w:i w:val="1"/>
                <w:iCs w:val="1"/>
                <w:color w:val="auto"/>
              </w:rPr>
              <w:t>Organic growth</w:t>
            </w: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140" w:type="dxa"/>
            <w:vAlign w:val="bottom"/>
          </w:tcPr>
          <w:p>
            <w:pPr>
              <w:jc w:val="right"/>
              <w:ind w:right="435"/>
              <w:spacing w:after="0"/>
              <w:rPr>
                <w:sz w:val="20"/>
                <w:szCs w:val="20"/>
                <w:color w:val="auto"/>
              </w:rPr>
            </w:pPr>
            <w:r>
              <w:rPr>
                <w:rFonts w:ascii="Arial" w:cs="Arial" w:eastAsia="Arial" w:hAnsi="Arial"/>
                <w:sz w:val="18"/>
                <w:szCs w:val="18"/>
                <w:i w:val="1"/>
                <w:iCs w:val="1"/>
                <w:color w:val="auto"/>
              </w:rPr>
              <w:t>$</w:t>
            </w:r>
          </w:p>
        </w:tc>
        <w:tc>
          <w:tcPr>
            <w:tcW w:w="820" w:type="dxa"/>
            <w:vAlign w:val="bottom"/>
          </w:tcPr>
          <w:p>
            <w:pPr>
              <w:jc w:val="right"/>
              <w:spacing w:after="0"/>
              <w:rPr>
                <w:sz w:val="20"/>
                <w:szCs w:val="20"/>
                <w:color w:val="auto"/>
              </w:rPr>
            </w:pPr>
            <w:r>
              <w:rPr>
                <w:rFonts w:ascii="Arial" w:cs="Arial" w:eastAsia="Arial" w:hAnsi="Arial"/>
                <w:sz w:val="18"/>
                <w:szCs w:val="18"/>
                <w:i w:val="1"/>
                <w:iCs w:val="1"/>
                <w:color w:val="auto"/>
              </w:rPr>
              <w:t>8,576</w:t>
            </w:r>
          </w:p>
        </w:tc>
      </w:tr>
      <w:tr>
        <w:trPr>
          <w:trHeight w:val="229"/>
        </w:trPr>
        <w:tc>
          <w:tcPr>
            <w:tcW w:w="5300" w:type="dxa"/>
            <w:vAlign w:val="bottom"/>
            <w:shd w:val="clear" w:color="auto" w:fill="CCEEFF"/>
          </w:tcPr>
          <w:p>
            <w:pPr>
              <w:ind w:left="360"/>
              <w:spacing w:after="0"/>
              <w:rPr>
                <w:sz w:val="20"/>
                <w:szCs w:val="20"/>
                <w:color w:val="auto"/>
              </w:rPr>
            </w:pPr>
            <w:r>
              <w:rPr>
                <w:rFonts w:ascii="Arial" w:cs="Arial" w:eastAsia="Arial" w:hAnsi="Arial"/>
                <w:sz w:val="18"/>
                <w:szCs w:val="18"/>
                <w:i w:val="1"/>
                <w:iCs w:val="1"/>
                <w:color w:val="auto"/>
              </w:rPr>
              <w:t>Foreign exchange effects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(684)</w:t>
            </w:r>
          </w:p>
        </w:tc>
      </w:tr>
      <w:tr>
        <w:trPr>
          <w:trHeight w:val="230"/>
        </w:trPr>
        <w:tc>
          <w:tcPr>
            <w:tcW w:w="5300" w:type="dxa"/>
            <w:vAlign w:val="bottom"/>
          </w:tcPr>
          <w:p>
            <w:pPr>
              <w:ind w:left="20"/>
              <w:spacing w:after="0"/>
              <w:rPr>
                <w:sz w:val="20"/>
                <w:szCs w:val="20"/>
                <w:color w:val="auto"/>
              </w:rPr>
            </w:pPr>
            <w:r>
              <w:rPr>
                <w:rFonts w:ascii="Arial" w:cs="Arial" w:eastAsia="Arial" w:hAnsi="Arial"/>
                <w:sz w:val="18"/>
                <w:szCs w:val="18"/>
                <w:color w:val="auto"/>
              </w:rPr>
              <w:t>Income from operations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6,090</w:t>
            </w:r>
          </w:p>
        </w:tc>
        <w:tc>
          <w:tcPr>
            <w:tcW w:w="10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264</w:t>
            </w:r>
          </w:p>
        </w:tc>
        <w:tc>
          <w:tcPr>
            <w:tcW w:w="100" w:type="dxa"/>
            <w:vAlign w:val="bottom"/>
          </w:tcPr>
          <w:p>
            <w:pPr>
              <w:spacing w:after="0"/>
              <w:rPr>
                <w:sz w:val="20"/>
                <w:szCs w:val="20"/>
                <w:color w:val="auto"/>
              </w:rPr>
            </w:pPr>
          </w:p>
        </w:tc>
        <w:tc>
          <w:tcPr>
            <w:tcW w:w="920" w:type="dxa"/>
            <w:vAlign w:val="bottom"/>
          </w:tcPr>
          <w:p>
            <w:pPr>
              <w:jc w:val="right"/>
              <w:ind w:right="7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615"/>
              <w:spacing w:after="0"/>
              <w:rPr>
                <w:sz w:val="20"/>
                <w:szCs w:val="20"/>
                <w:color w:val="auto"/>
              </w:rPr>
            </w:pPr>
            <w:r>
              <w:rPr>
                <w:rFonts w:ascii="Arial" w:cs="Arial" w:eastAsia="Arial" w:hAnsi="Arial"/>
                <w:sz w:val="18"/>
                <w:szCs w:val="18"/>
                <w:color w:val="auto"/>
                <w:w w:val="93"/>
              </w:rPr>
              <w:t>5,826</w:t>
            </w:r>
          </w:p>
        </w:tc>
        <w:tc>
          <w:tcPr>
            <w:tcW w:w="820" w:type="dxa"/>
            <w:vAlign w:val="bottom"/>
          </w:tcPr>
          <w:p>
            <w:pPr>
              <w:spacing w:after="0"/>
              <w:rPr>
                <w:sz w:val="20"/>
                <w:szCs w:val="20"/>
                <w:color w:val="auto"/>
              </w:rPr>
            </w:pPr>
          </w:p>
        </w:tc>
      </w:tr>
    </w:tbl>
    <w:p>
      <w:pPr>
        <w:spacing w:after="0" w:line="255" w:lineRule="exact"/>
        <w:rPr>
          <w:sz w:val="20"/>
          <w:szCs w:val="20"/>
          <w:color w:val="auto"/>
        </w:rPr>
      </w:pPr>
    </w:p>
    <w:p>
      <w:pPr>
        <w:jc w:val="both"/>
        <w:ind w:right="100"/>
        <w:spacing w:after="0" w:line="286" w:lineRule="auto"/>
        <w:rPr>
          <w:sz w:val="20"/>
          <w:szCs w:val="20"/>
          <w:color w:val="auto"/>
        </w:rPr>
      </w:pPr>
      <w:r>
        <w:rPr>
          <w:rFonts w:ascii="Arial" w:cs="Arial" w:eastAsia="Arial" w:hAnsi="Arial"/>
          <w:sz w:val="17"/>
          <w:szCs w:val="17"/>
          <w:color w:val="auto"/>
        </w:rPr>
        <w:t>Net sales increased by $7.9 million during the three months ended March 31, 2021, compared to the three months ended March 31, 2020, primarily due to higher demand within all markets which were negatively impacted by the COVID-19 pandemic in the prior year and new business in the general industrial market. The increase in volume was partially offset by unfavorable foreign exchange effects of $0.7 million.</w:t>
      </w:r>
    </w:p>
    <w:p>
      <w:pPr>
        <w:spacing w:after="0" w:line="57" w:lineRule="exact"/>
        <w:rPr>
          <w:sz w:val="20"/>
          <w:szCs w:val="20"/>
          <w:color w:val="auto"/>
        </w:rPr>
      </w:pPr>
    </w:p>
    <w:p>
      <w:pPr>
        <w:jc w:val="both"/>
        <w:ind w:right="80"/>
        <w:spacing w:after="0" w:line="263" w:lineRule="auto"/>
        <w:rPr>
          <w:sz w:val="20"/>
          <w:szCs w:val="20"/>
          <w:color w:val="auto"/>
        </w:rPr>
      </w:pPr>
      <w:r>
        <w:rPr>
          <w:rFonts w:ascii="Arial" w:cs="Arial" w:eastAsia="Arial" w:hAnsi="Arial"/>
          <w:sz w:val="18"/>
          <w:szCs w:val="18"/>
          <w:color w:val="auto"/>
        </w:rPr>
        <w:t>Income from operations increased by $5.8 million during the three months ended March 31, 2021, compared to the same period in the prior year primarily due to the above-noted increase in revenue and variable and fixed cost reduction initiatives. Moreover, we built inventory in the three months ended March 31, 2021, which resulted in favorable overhead absorption during the quarter.</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8" w:name="page29"/>
    <w:bookmarkEnd w:id="2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color w:val="auto"/>
        </w:rPr>
        <w:t>POWER SOLUTIONS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42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240" w:type="dxa"/>
            <w:vAlign w:val="bottom"/>
            <w:tcBorders>
              <w:bottom w:val="single" w:sz="8" w:color="auto"/>
            </w:tcBorders>
            <w:gridSpan w:val="4"/>
          </w:tcPr>
          <w:p>
            <w:pPr>
              <w:jc w:val="right"/>
              <w:ind w:right="1054"/>
              <w:spacing w:after="0"/>
              <w:rPr>
                <w:sz w:val="20"/>
                <w:szCs w:val="20"/>
                <w:color w:val="auto"/>
              </w:rPr>
            </w:pPr>
            <w:r>
              <w:rPr>
                <w:rFonts w:ascii="Arial" w:cs="Arial" w:eastAsia="Arial" w:hAnsi="Arial"/>
                <w:sz w:val="14"/>
                <w:szCs w:val="14"/>
                <w:b w:val="1"/>
                <w:bCs w:val="1"/>
                <w:color w:val="auto"/>
              </w:rPr>
              <w:t>Three Months Ended March 31,</w:t>
            </w:r>
          </w:p>
        </w:tc>
        <w:tc>
          <w:tcPr>
            <w:tcW w:w="780" w:type="dxa"/>
            <w:vAlign w:val="bottom"/>
            <w:tcBorders>
              <w:bottom w:val="single" w:sz="8" w:color="auto"/>
            </w:tcBorders>
          </w:tcPr>
          <w:p>
            <w:pPr>
              <w:spacing w:after="0"/>
              <w:rPr>
                <w:sz w:val="16"/>
                <w:szCs w:val="16"/>
                <w:color w:val="auto"/>
              </w:rPr>
            </w:pPr>
          </w:p>
        </w:tc>
      </w:tr>
      <w:tr>
        <w:trPr>
          <w:trHeight w:val="187"/>
        </w:trPr>
        <w:tc>
          <w:tcPr>
            <w:tcW w:w="542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 Change</w:t>
            </w:r>
          </w:p>
        </w:tc>
        <w:tc>
          <w:tcPr>
            <w:tcW w:w="780" w:type="dxa"/>
            <w:vAlign w:val="bottom"/>
            <w:tcBorders>
              <w:bottom w:val="single" w:sz="8" w:color="auto"/>
            </w:tcBorders>
          </w:tcPr>
          <w:p>
            <w:pPr>
              <w:spacing w:after="0"/>
              <w:rPr>
                <w:sz w:val="16"/>
                <w:szCs w:val="16"/>
                <w:color w:val="auto"/>
              </w:rPr>
            </w:pPr>
          </w:p>
        </w:tc>
      </w:tr>
      <w:tr>
        <w:trPr>
          <w:trHeight w:val="224"/>
        </w:trPr>
        <w:tc>
          <w:tcPr>
            <w:tcW w:w="5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880" w:type="dxa"/>
            <w:vAlign w:val="bottom"/>
            <w:shd w:val="clear" w:color="auto" w:fill="CCEEFF"/>
          </w:tcPr>
          <w:p>
            <w:pPr>
              <w:jc w:val="right"/>
              <w:ind w:right="695"/>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49,075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center"/>
              <w:ind w:left="477"/>
              <w:spacing w:after="0"/>
              <w:rPr>
                <w:sz w:val="20"/>
                <w:szCs w:val="20"/>
                <w:color w:val="auto"/>
              </w:rPr>
            </w:pPr>
            <w:r>
              <w:rPr>
                <w:rFonts w:ascii="Arial" w:cs="Arial" w:eastAsia="Arial" w:hAnsi="Arial"/>
                <w:sz w:val="18"/>
                <w:szCs w:val="18"/>
                <w:color w:val="auto"/>
                <w:w w:val="87"/>
              </w:rPr>
              <w:t>46,401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ind w:right="654"/>
              <w:spacing w:after="0"/>
              <w:rPr>
                <w:sz w:val="20"/>
                <w:szCs w:val="20"/>
                <w:color w:val="auto"/>
              </w:rPr>
            </w:pPr>
            <w:r>
              <w:rPr>
                <w:rFonts w:ascii="Arial" w:cs="Arial" w:eastAsia="Arial" w:hAnsi="Arial"/>
                <w:sz w:val="18"/>
                <w:szCs w:val="18"/>
                <w:color w:val="auto"/>
              </w:rPr>
              <w:t>2,674</w:t>
            </w:r>
          </w:p>
        </w:tc>
        <w:tc>
          <w:tcPr>
            <w:tcW w:w="780" w:type="dxa"/>
            <w:vAlign w:val="bottom"/>
            <w:shd w:val="clear" w:color="auto" w:fill="CCEEFF"/>
          </w:tcPr>
          <w:p>
            <w:pPr>
              <w:spacing w:after="0"/>
              <w:rPr>
                <w:sz w:val="19"/>
                <w:szCs w:val="19"/>
                <w:color w:val="auto"/>
              </w:rPr>
            </w:pPr>
          </w:p>
        </w:tc>
      </w:tr>
      <w:tr>
        <w:trPr>
          <w:trHeight w:val="230"/>
        </w:trPr>
        <w:tc>
          <w:tcPr>
            <w:tcW w:w="5420" w:type="dxa"/>
            <w:vAlign w:val="bottom"/>
          </w:tcPr>
          <w:p>
            <w:pPr>
              <w:ind w:left="360"/>
              <w:spacing w:after="0"/>
              <w:rPr>
                <w:sz w:val="20"/>
                <w:szCs w:val="20"/>
                <w:color w:val="auto"/>
              </w:rPr>
            </w:pPr>
            <w:r>
              <w:rPr>
                <w:rFonts w:ascii="Arial" w:cs="Arial" w:eastAsia="Arial" w:hAnsi="Arial"/>
                <w:sz w:val="18"/>
                <w:szCs w:val="18"/>
                <w:i w:val="1"/>
                <w:iCs w:val="1"/>
                <w:color w:val="auto"/>
              </w:rPr>
              <w:t>Organic growth</w:t>
            </w:r>
          </w:p>
        </w:tc>
        <w:tc>
          <w:tcPr>
            <w:tcW w:w="8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520" w:type="dxa"/>
            <w:vAlign w:val="bottom"/>
          </w:tcPr>
          <w:p>
            <w:pPr>
              <w:jc w:val="right"/>
              <w:ind w:right="474"/>
              <w:spacing w:after="0"/>
              <w:rPr>
                <w:sz w:val="20"/>
                <w:szCs w:val="20"/>
                <w:color w:val="auto"/>
              </w:rPr>
            </w:pPr>
            <w:r>
              <w:rPr>
                <w:rFonts w:ascii="Arial" w:cs="Arial" w:eastAsia="Arial" w:hAnsi="Arial"/>
                <w:sz w:val="18"/>
                <w:szCs w:val="18"/>
                <w:i w:val="1"/>
                <w:iCs w:val="1"/>
                <w:color w:val="auto"/>
              </w:rPr>
              <w:t>$</w:t>
            </w:r>
          </w:p>
        </w:tc>
        <w:tc>
          <w:tcPr>
            <w:tcW w:w="780" w:type="dxa"/>
            <w:vAlign w:val="bottom"/>
          </w:tcPr>
          <w:p>
            <w:pPr>
              <w:jc w:val="right"/>
              <w:spacing w:after="0"/>
              <w:rPr>
                <w:sz w:val="20"/>
                <w:szCs w:val="20"/>
                <w:color w:val="auto"/>
              </w:rPr>
            </w:pPr>
            <w:r>
              <w:rPr>
                <w:rFonts w:ascii="Arial" w:cs="Arial" w:eastAsia="Arial" w:hAnsi="Arial"/>
                <w:sz w:val="18"/>
                <w:szCs w:val="18"/>
                <w:i w:val="1"/>
                <w:iCs w:val="1"/>
                <w:color w:val="auto"/>
              </w:rPr>
              <w:t>2,647</w:t>
            </w:r>
          </w:p>
        </w:tc>
      </w:tr>
      <w:tr>
        <w:trPr>
          <w:trHeight w:val="229"/>
        </w:trPr>
        <w:tc>
          <w:tcPr>
            <w:tcW w:w="5420" w:type="dxa"/>
            <w:vAlign w:val="bottom"/>
            <w:shd w:val="clear" w:color="auto" w:fill="CCEEFF"/>
          </w:tcPr>
          <w:p>
            <w:pPr>
              <w:ind w:left="360"/>
              <w:spacing w:after="0"/>
              <w:rPr>
                <w:sz w:val="20"/>
                <w:szCs w:val="20"/>
                <w:color w:val="auto"/>
              </w:rPr>
            </w:pPr>
            <w:r>
              <w:rPr>
                <w:rFonts w:ascii="Arial" w:cs="Arial" w:eastAsia="Arial" w:hAnsi="Arial"/>
                <w:sz w:val="18"/>
                <w:szCs w:val="18"/>
                <w:i w:val="1"/>
                <w:iCs w:val="1"/>
                <w:color w:val="auto"/>
              </w:rPr>
              <w:t>Foreign exchange effects</w:t>
            </w: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27</w:t>
            </w:r>
          </w:p>
        </w:tc>
      </w:tr>
      <w:tr>
        <w:trPr>
          <w:trHeight w:val="230"/>
        </w:trPr>
        <w:tc>
          <w:tcPr>
            <w:tcW w:w="5420" w:type="dxa"/>
            <w:vAlign w:val="bottom"/>
          </w:tcPr>
          <w:p>
            <w:pPr>
              <w:ind w:left="20"/>
              <w:spacing w:after="0"/>
              <w:rPr>
                <w:sz w:val="20"/>
                <w:szCs w:val="20"/>
                <w:color w:val="auto"/>
              </w:rPr>
            </w:pPr>
            <w:r>
              <w:rPr>
                <w:rFonts w:ascii="Arial" w:cs="Arial" w:eastAsia="Arial" w:hAnsi="Arial"/>
                <w:sz w:val="18"/>
                <w:szCs w:val="18"/>
                <w:color w:val="auto"/>
              </w:rPr>
              <w:t>Goodwill impairment</w:t>
            </w:r>
          </w:p>
        </w:tc>
        <w:tc>
          <w:tcPr>
            <w:tcW w:w="880" w:type="dxa"/>
            <w:vAlign w:val="bottom"/>
          </w:tcPr>
          <w:p>
            <w:pPr>
              <w:jc w:val="right"/>
              <w:ind w:right="695"/>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center"/>
              <w:ind w:left="457"/>
              <w:spacing w:after="0"/>
              <w:rPr>
                <w:sz w:val="20"/>
                <w:szCs w:val="20"/>
                <w:color w:val="auto"/>
              </w:rPr>
            </w:pPr>
            <w:r>
              <w:rPr>
                <w:rFonts w:ascii="Arial" w:cs="Arial" w:eastAsia="Arial" w:hAnsi="Arial"/>
                <w:sz w:val="18"/>
                <w:szCs w:val="18"/>
                <w:color w:val="auto"/>
                <w:w w:val="92"/>
              </w:rPr>
              <w:t>(92,942)</w:t>
            </w:r>
          </w:p>
        </w:tc>
        <w:tc>
          <w:tcPr>
            <w:tcW w:w="10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654"/>
              <w:spacing w:after="0"/>
              <w:rPr>
                <w:sz w:val="20"/>
                <w:szCs w:val="20"/>
                <w:color w:val="auto"/>
              </w:rPr>
            </w:pPr>
            <w:r>
              <w:rPr>
                <w:rFonts w:ascii="Arial" w:cs="Arial" w:eastAsia="Arial" w:hAnsi="Arial"/>
                <w:sz w:val="18"/>
                <w:szCs w:val="18"/>
                <w:color w:val="auto"/>
              </w:rPr>
              <w:t>92,942</w:t>
            </w:r>
          </w:p>
        </w:tc>
        <w:tc>
          <w:tcPr>
            <w:tcW w:w="780" w:type="dxa"/>
            <w:vAlign w:val="bottom"/>
          </w:tcPr>
          <w:p>
            <w:pPr>
              <w:spacing w:after="0"/>
              <w:rPr>
                <w:sz w:val="19"/>
                <w:szCs w:val="19"/>
                <w:color w:val="auto"/>
              </w:rPr>
            </w:pPr>
          </w:p>
        </w:tc>
      </w:tr>
      <w:tr>
        <w:trPr>
          <w:trHeight w:val="229"/>
        </w:trPr>
        <w:tc>
          <w:tcPr>
            <w:tcW w:w="5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(loss) from operations</w:t>
            </w:r>
          </w:p>
        </w:tc>
        <w:tc>
          <w:tcPr>
            <w:tcW w:w="880" w:type="dxa"/>
            <w:vAlign w:val="bottom"/>
            <w:shd w:val="clear" w:color="auto" w:fill="CCEEFF"/>
          </w:tcPr>
          <w:p>
            <w:pPr>
              <w:jc w:val="right"/>
              <w:ind w:right="695"/>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center"/>
              <w:ind w:left="457"/>
              <w:spacing w:after="0"/>
              <w:rPr>
                <w:sz w:val="20"/>
                <w:szCs w:val="20"/>
                <w:color w:val="auto"/>
              </w:rPr>
            </w:pPr>
            <w:r>
              <w:rPr>
                <w:rFonts w:ascii="Arial" w:cs="Arial" w:eastAsia="Arial" w:hAnsi="Arial"/>
                <w:sz w:val="18"/>
                <w:szCs w:val="18"/>
                <w:color w:val="auto"/>
                <w:w w:val="92"/>
              </w:rPr>
              <w:t>(90,334)</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ind w:right="654"/>
              <w:spacing w:after="0"/>
              <w:rPr>
                <w:sz w:val="20"/>
                <w:szCs w:val="20"/>
                <w:color w:val="auto"/>
              </w:rPr>
            </w:pPr>
            <w:r>
              <w:rPr>
                <w:rFonts w:ascii="Arial" w:cs="Arial" w:eastAsia="Arial" w:hAnsi="Arial"/>
                <w:sz w:val="18"/>
                <w:szCs w:val="18"/>
                <w:color w:val="auto"/>
              </w:rPr>
              <w:t>92,766</w:t>
            </w:r>
          </w:p>
        </w:tc>
        <w:tc>
          <w:tcPr>
            <w:tcW w:w="780" w:type="dxa"/>
            <w:vAlign w:val="bottom"/>
            <w:shd w:val="clear" w:color="auto" w:fill="CCEEFF"/>
          </w:tcPr>
          <w:p>
            <w:pPr>
              <w:spacing w:after="0"/>
              <w:rPr>
                <w:sz w:val="19"/>
                <w:szCs w:val="19"/>
                <w:color w:val="auto"/>
              </w:rPr>
            </w:pPr>
          </w:p>
        </w:tc>
      </w:tr>
    </w:tbl>
    <w:p>
      <w:pPr>
        <w:spacing w:after="0" w:line="256"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Net sales increased by $2.7 million during the three months ended March 31, 2021, compared to the three months ended March 31, 2020. Sales were positively impacted by increased selling prices for precious metals allowed under customer contracts due to the sharp rise in underlying commodities costs since the second half of 2020. Furthermore, demand in the automotive market rebounded to more normalized levels after COVID-19. These increases were partially offset by decreased demand for smart meter components due to inventory adjustments at a key customer. Sales of components to the medical industry were also negatively impacted by delays in elective surgeries caused by the COVID-19 pandemic. The Power Solutions group generally began experiencing the impact of the COVID-19 pandemic on its operating results during the second quarter of 2020.</w:t>
      </w:r>
    </w:p>
    <w:p>
      <w:pPr>
        <w:spacing w:after="0" w:line="70" w:lineRule="exact"/>
        <w:rPr>
          <w:sz w:val="20"/>
          <w:szCs w:val="20"/>
          <w:color w:val="auto"/>
        </w:rPr>
      </w:pPr>
    </w:p>
    <w:p>
      <w:pPr>
        <w:jc w:val="both"/>
        <w:ind w:right="180"/>
        <w:spacing w:after="0" w:line="263" w:lineRule="auto"/>
        <w:rPr>
          <w:sz w:val="20"/>
          <w:szCs w:val="20"/>
          <w:color w:val="auto"/>
        </w:rPr>
      </w:pPr>
      <w:r>
        <w:rPr>
          <w:rFonts w:ascii="Arial" w:cs="Arial" w:eastAsia="Arial" w:hAnsi="Arial"/>
          <w:sz w:val="18"/>
          <w:szCs w:val="18"/>
          <w:color w:val="auto"/>
        </w:rPr>
        <w:t>Income from operations increased by $92.8 million compared to the same period in the prior year primarily due to the $92.9 million goodwill impairment lost recognized in the first quarter of 2020. Because increased pricing for precious metals was offset by equivalent increased raw materials cost based on commodity pricing, the increase in sales did not have a proportionate effect on income from operations.</w:t>
      </w:r>
    </w:p>
    <w:p>
      <w:pPr>
        <w:spacing w:after="0" w:line="200" w:lineRule="exact"/>
        <w:rPr>
          <w:sz w:val="20"/>
          <w:szCs w:val="20"/>
          <w:color w:val="auto"/>
        </w:rPr>
      </w:pPr>
    </w:p>
    <w:p>
      <w:pPr>
        <w:spacing w:after="0" w:line="331" w:lineRule="exact"/>
        <w:rPr>
          <w:sz w:val="20"/>
          <w:szCs w:val="20"/>
          <w:color w:val="auto"/>
        </w:rPr>
      </w:pPr>
    </w:p>
    <w:p>
      <w:pPr>
        <w:ind w:right="5400"/>
        <w:spacing w:after="0" w:line="409" w:lineRule="auto"/>
        <w:rPr>
          <w:sz w:val="20"/>
          <w:szCs w:val="20"/>
          <w:color w:val="auto"/>
        </w:rPr>
      </w:pPr>
      <w:r>
        <w:rPr>
          <w:rFonts w:ascii="Arial" w:cs="Arial" w:eastAsia="Arial" w:hAnsi="Arial"/>
          <w:sz w:val="18"/>
          <w:szCs w:val="18"/>
          <w:b w:val="1"/>
          <w:bCs w:val="1"/>
          <w:color w:val="auto"/>
        </w:rPr>
        <w:t xml:space="preserve">Changes in Financial Condition from December 31, 2020, to March 31, 2021 </w:t>
      </w:r>
      <w:r>
        <w:rPr>
          <w:rFonts w:ascii="Arial" w:cs="Arial" w:eastAsia="Arial" w:hAnsi="Arial"/>
          <w:sz w:val="18"/>
          <w:szCs w:val="18"/>
          <w:i w:val="1"/>
          <w:iCs w:val="1"/>
          <w:color w:val="auto"/>
        </w:rPr>
        <w:t>Overview</w:t>
      </w:r>
    </w:p>
    <w:p>
      <w:pPr>
        <w:spacing w:after="0" w:line="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From December 31, 2020, to March 31, 2021, total assets decreased by $2.6 million primarily due to normal depreciation and amortization of fixed assets, lease right-of-use assets, and intangible assets. These decreases were offset by increases in accounts receivable and inventories during the three months ended March 31, 2021. Accounts receivable increased as a result of increasing sales, and inventories increased as a result of a strategic decision to mitigate potential supply chain issues for our customers.</w:t>
      </w:r>
    </w:p>
    <w:p>
      <w:pPr>
        <w:spacing w:after="0" w:line="7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From December 31, 2020, to March 31, 2021, total liabilities increased by $75.0 million, primarily due to the refinancing of our credit facilities and Series B Preferred Stock.</w:t>
      </w:r>
    </w:p>
    <w:p>
      <w:pPr>
        <w:spacing w:after="0" w:line="62" w:lineRule="exact"/>
        <w:rPr>
          <w:sz w:val="20"/>
          <w:szCs w:val="20"/>
          <w:color w:val="auto"/>
        </w:rPr>
      </w:pPr>
    </w:p>
    <w:p>
      <w:pPr>
        <w:ind w:right="620"/>
        <w:spacing w:after="0" w:line="342" w:lineRule="auto"/>
        <w:rPr>
          <w:sz w:val="20"/>
          <w:szCs w:val="20"/>
          <w:color w:val="auto"/>
        </w:rPr>
      </w:pPr>
      <w:r>
        <w:rPr>
          <w:rFonts w:ascii="Arial" w:cs="Arial" w:eastAsia="Arial" w:hAnsi="Arial"/>
          <w:sz w:val="16"/>
          <w:szCs w:val="16"/>
          <w:color w:val="auto"/>
        </w:rPr>
        <w:t>Working capital, which consists of current assets less current liabilities, was $124.4 million as of March 31, 2021, compared to $112.0 million as of December 31, 2020. The increase in working capital was primarily due to the increases in accounts receivable and inventories discussed above.</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w:t>
      </w:r>
    </w:p>
    <w:p>
      <w:pPr>
        <w:spacing w:after="0" w:line="117"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Cash provided by operations was $7.9 million for the three months ended March 31, 2021, compared with cash provided by operations of $10.2 million for the three months ended March 31, 2020. The difference was primarily due to building inventory levels during the three months ended March 31, 2021, to mitigate potential supply chain issues for our customers.</w:t>
      </w:r>
    </w:p>
    <w:p>
      <w:pPr>
        <w:spacing w:after="0" w:line="76" w:lineRule="exact"/>
        <w:rPr>
          <w:sz w:val="20"/>
          <w:szCs w:val="20"/>
          <w:color w:val="auto"/>
        </w:rPr>
      </w:pPr>
    </w:p>
    <w:p>
      <w:pPr>
        <w:jc w:val="both"/>
        <w:ind w:right="260"/>
        <w:spacing w:after="0" w:line="263" w:lineRule="auto"/>
        <w:rPr>
          <w:sz w:val="20"/>
          <w:szCs w:val="20"/>
          <w:color w:val="auto"/>
        </w:rPr>
      </w:pPr>
      <w:r>
        <w:rPr>
          <w:rFonts w:ascii="Arial" w:cs="Arial" w:eastAsia="Arial" w:hAnsi="Arial"/>
          <w:sz w:val="18"/>
          <w:szCs w:val="18"/>
          <w:color w:val="auto"/>
        </w:rPr>
        <w:t>Cash used in investing activities was $20.9 million for the three months ended March 31, 2021, compared with cash used in investing activities of $11.2 million for the three months ended March 31, 2020. The decrease was primarily due to cash settlement of the interest rate swap, partially offset by lower capital expenditures in the current year.</w:t>
      </w:r>
    </w:p>
    <w:p>
      <w:pPr>
        <w:spacing w:after="0" w:line="76"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Cash provided by financing activities was $9.6 million for the three months ended March 31, 2021, compared with cash provided by financing activities of $53.9 million for the three months ended March 31, 2020. The difference was primarily due to $11.9 million net inflow from the debt and preferred stock refinancing in the current year compared to the $60.0 million draw on the Senior Secured Revolver in the prior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9" w:name="page30"/>
    <w:bookmarkEnd w:id="2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Facilities</w:t>
      </w:r>
    </w:p>
    <w:p>
      <w:pPr>
        <w:spacing w:after="0" w:line="117" w:lineRule="exact"/>
        <w:rPr>
          <w:sz w:val="20"/>
          <w:szCs w:val="20"/>
          <w:color w:val="auto"/>
        </w:rPr>
      </w:pPr>
    </w:p>
    <w:p>
      <w:pPr>
        <w:jc w:val="both"/>
        <w:ind w:right="280"/>
        <w:spacing w:after="0" w:line="311" w:lineRule="auto"/>
        <w:rPr>
          <w:sz w:val="20"/>
          <w:szCs w:val="20"/>
          <w:color w:val="auto"/>
        </w:rPr>
      </w:pPr>
      <w:r>
        <w:rPr>
          <w:rFonts w:ascii="Arial" w:cs="Arial" w:eastAsia="Arial" w:hAnsi="Arial"/>
          <w:sz w:val="16"/>
          <w:szCs w:val="16"/>
          <w:color w:val="auto"/>
        </w:rPr>
        <w:t>The principal amount outstanding under our Term Loan Facility as of March 31, 2021, was $150.0 million, without regard to unamortized debt issuance costs. As of March 31, 2021, we had unused borrowing capacity of $32.9 million under the ABL Facility, subject to certain limitations. This amount of borrowing capacity is net of $14.5 million of outstanding letters of credit at March 31, 2021, which are considered as usage of the ABL Facility.</w:t>
      </w:r>
    </w:p>
    <w:p>
      <w:pPr>
        <w:spacing w:after="0" w:line="4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Term Loan Facility requires quarterly principal payments of $0.4 million with the remaining unpaid principal amount due on the final maturity date of September 22, 2026. If one-month LIBOR is less than 1.00%, then we pay 7.875% per annum in interest. If one-month LIBOR exceeds 1.000%, then we pay the variable one-month LIBOR plus an applicable margin of 6.875%. Based on the interest rate in effect at March 31, 2021, annual interest payments would be approximately $11.8 million.</w:t>
      </w:r>
    </w:p>
    <w:p>
      <w:pPr>
        <w:spacing w:after="0" w:line="79"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The ABL Facility bears interest on a variable rate structure with borrowings bearing interest at one-month LIBOR plus an applicable margin of 1.75%. The interest rate in effect at March 31, 2021, was 2.25%. We pay a commitment fee of 0.375% for unused capacity under the ABL Facility.</w:t>
      </w:r>
    </w:p>
    <w:p>
      <w:pPr>
        <w:spacing w:after="0" w:line="92"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We were in compliance as of March 31, 2021, with all requirements under our Term Loan Facility and ABL Facility. Both credit facilities allow for optional expansion of available borrowings, subject to certain terms and conditions.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 and Fluctuation in Quarterly Results</w:t>
      </w:r>
    </w:p>
    <w:p>
      <w:pPr>
        <w:spacing w:after="0" w:line="12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General economic conditions impact our business and financial results, and certain businesses experience seasonal and other trends related to the industries and end markets that they serve. For example, European sales are often weaker in the summer months as customers slow production and sales to original equipment manufacturers are often stronger immediately preceding and following the launch of new products. However, as a whole, we are not materially impacted by seasonality.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We are not a party to any off-balance sheet arrangements that have, or are reasonably likely to have, a material current or future effect on our financial condition, revenues or expenses, results of operations, liquidity, capital expenditures, or capital resources.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Our critical accounting policies, including the assumptions and judgments underlying them, are disclosed in the 2020 Annual Report, including those policies as discussed in Note 1 to the Notes to Consolidated Financial Statements included in the 2020 Annual Report. There have been no changes to these policies during the three months ended March 31, 2021, except as discussed in Note 1 to the Notes to Condensed Consolidated Financial Statements included in this Quarterly Report.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See Note 1 in the Notes to Condensed Consolidated Financial Statements included in this Quarterly Report.</w:t>
      </w:r>
    </w:p>
    <w:p>
      <w:pPr>
        <w:spacing w:after="0" w:line="200" w:lineRule="exact"/>
        <w:rPr>
          <w:sz w:val="20"/>
          <w:szCs w:val="20"/>
          <w:color w:val="auto"/>
        </w:rPr>
      </w:pPr>
    </w:p>
    <w:p>
      <w:pPr>
        <w:spacing w:after="0" w:line="372"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21" w:lineRule="exact"/>
        <w:rPr>
          <w:sz w:val="20"/>
          <w:szCs w:val="20"/>
          <w:color w:val="auto"/>
        </w:rPr>
      </w:pPr>
    </w:p>
    <w:p>
      <w:pPr>
        <w:ind w:right="60"/>
        <w:spacing w:after="0" w:line="311" w:lineRule="auto"/>
        <w:rPr>
          <w:sz w:val="20"/>
          <w:szCs w:val="20"/>
          <w:color w:val="auto"/>
        </w:rPr>
      </w:pPr>
      <w:r>
        <w:rPr>
          <w:rFonts w:ascii="Arial" w:cs="Arial" w:eastAsia="Arial" w:hAnsi="Arial"/>
          <w:sz w:val="16"/>
          <w:szCs w:val="16"/>
          <w:color w:val="auto"/>
        </w:rPr>
        <w:t>We are exposed to changes in financial market conditions in the normal course of business due to use of certain financial instruments as well as transacting business in various foreign currencies. To mitigate the exposure to these market risks, we have established policies, procedures, and internal processes governing the management of financial market risks. We are exposed to changes in interest rates primarily as a result of borrowing activities.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121"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Our policy is to manage interest expense using a mixture of fixed and variable rate debt. To manage this mixture of fixed and variable rate debt effectively and mitigate interest rate risk, we may use interest rate swap agreements. The nature and amount of borrowings may vary as a result of future business requirements, market conditions, and other factors.</w:t>
      </w:r>
    </w:p>
    <w:p>
      <w:pPr>
        <w:spacing w:after="0" w:line="76"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In February 2019, we entered into a fixed-rate interest rate swap agreement that changed the LIBOR-based portion of the interest rate on a portion of our variable rate debt to a fixed rate of 2.4575%. On March 22, 2021, we terminated the interest rate swap agreement in connection with the prepayment of our previously outstanding long-term variable-rate debt. Refer to</w:t>
      </w:r>
    </w:p>
    <w:p>
      <w:pPr>
        <w:spacing w:after="0" w:line="200" w:lineRule="exact"/>
        <w:rPr>
          <w:sz w:val="20"/>
          <w:szCs w:val="20"/>
          <w:color w:val="auto"/>
        </w:rPr>
      </w:pPr>
    </w:p>
    <w:p>
      <w:pPr>
        <w:spacing w:after="0" w:line="3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30" w:name="page31"/>
    <w:bookmarkEnd w:id="3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6"/>
          <w:szCs w:val="16"/>
          <w:color w:val="auto"/>
        </w:rPr>
        <w:t>Note 17 in the Notes to Condensed Consolidated Financial Statements included in this Quarterly Report for further discussion about the interest rate swap.</w:t>
      </w:r>
    </w:p>
    <w:p>
      <w:pPr>
        <w:spacing w:after="0" w:line="140" w:lineRule="exact"/>
        <w:rPr>
          <w:sz w:val="20"/>
          <w:szCs w:val="20"/>
          <w:color w:val="auto"/>
        </w:rPr>
      </w:pPr>
    </w:p>
    <w:p>
      <w:pPr>
        <w:jc w:val="both"/>
        <w:ind w:right="80"/>
        <w:spacing w:after="0" w:line="286" w:lineRule="auto"/>
        <w:rPr>
          <w:sz w:val="20"/>
          <w:szCs w:val="20"/>
          <w:color w:val="auto"/>
        </w:rPr>
      </w:pPr>
      <w:r>
        <w:rPr>
          <w:rFonts w:ascii="Arial" w:cs="Arial" w:eastAsia="Arial" w:hAnsi="Arial"/>
          <w:sz w:val="17"/>
          <w:szCs w:val="17"/>
          <w:color w:val="auto"/>
        </w:rPr>
        <w:t>At March 31, 2021, we had $150.0 million of principal outstanding under the Term Loan Facility without regard to capitalized debt issuance costs. A one-percent increase in one-month LIBOR would result in a net increase in interest expense of $0.2 million on an annualized basis due to the fact that the Term Loan Facility is subject to a LIBOR floor of 1.00% and one-month LIBOR was below the floor as of March 31, 2021.</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We had no outstanding borrowings under the ABL Facility at March 31, 2021.</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Risk</w:t>
      </w:r>
    </w:p>
    <w:p>
      <w:pPr>
        <w:spacing w:after="0" w:line="121"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Translation of our operating cash flows denominated in foreign currencies is impacted by changes in foreign exchange rates. We participate in various third party and intercompany loans, payables, and receivables denominated in currencies other than the U.S. dollar. To help reduce exposure to foreign currency fluctuation, we have incurred debt in euros in the past. From time to time, we may use foreign currency derivatives to hedge currency exposures when these exposures meet certain discretionary levels. We did not hold a position in any foreign currency derivatives as of March 31, 2021.</w:t>
      </w:r>
    </w:p>
    <w:p>
      <w:pPr>
        <w:spacing w:after="0" w:line="200" w:lineRule="exact"/>
        <w:rPr>
          <w:sz w:val="20"/>
          <w:szCs w:val="20"/>
          <w:color w:val="auto"/>
        </w:rPr>
      </w:pPr>
    </w:p>
    <w:p>
      <w:pPr>
        <w:spacing w:after="0" w:line="30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121"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Under the supervision and with the participation of management, including our Chief Executive Officer and Chief Financial Officer, we evaluated the effectiveness of disclosure controls and procedures (as defined in Rule 13a-15(e) and 15d-15(e) of the Securities Exchange Act of 1934, as amended (the “Exchange Act”)). Based upon that evaluation, our Chief Executive Officer and Chief Financial Officer concluded that our disclosure controls and procedures were effective as of March 31, 2021, to ensure that information required to be disclosed in the reports that we file or submit under the Exchange Act is recorded, processed, summarized, and reported within the time periods specified in the SEC’s rules and forms, and that such information is accumulated and communicated to management, including the Chief Executive Officer and Chief Financial Officer, as appropriate, to allow for timely decisions regarding required disclosure.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There were no changes in our internal control over financial reporting (as defined in the Exchange Act Rules 13a-15(f) and 15d-15(f)) that occurred during the fiscal quarter ended March 31, 2021, that have materially affected, or are reasonably likely to materially affect, our internal control over financial reporting.</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1" w:name="page32"/>
    <w:bookmarkEnd w:id="3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12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As disclosed in Note 11 in the Notes to Condensed Consolidated Financial Statements included in this Quarterly Report, we are engaged in certain legal proceedings, and the disclosure set forth in Note 11 relating to legal proceedings is incorporated herein by reference.</w:t>
      </w:r>
    </w:p>
    <w:p>
      <w:pPr>
        <w:spacing w:after="0" w:line="200" w:lineRule="exact"/>
        <w:rPr>
          <w:sz w:val="20"/>
          <w:szCs w:val="20"/>
          <w:color w:val="auto"/>
        </w:rPr>
      </w:pP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80" w:type="dxa"/>
            <w:vAlign w:val="bottom"/>
          </w:tcPr>
          <w:p>
            <w:pPr>
              <w:spacing w:after="0"/>
              <w:rPr>
                <w:sz w:val="20"/>
                <w:szCs w:val="20"/>
                <w:color w:val="auto"/>
              </w:rPr>
            </w:pPr>
            <w:r>
              <w:rPr>
                <w:rFonts w:ascii="Arial" w:cs="Arial" w:eastAsia="Arial" w:hAnsi="Arial"/>
                <w:sz w:val="18"/>
                <w:szCs w:val="18"/>
                <w:b w:val="1"/>
                <w:bCs w:val="1"/>
                <w:color w:val="auto"/>
              </w:rPr>
              <w:t>Item 1A.</w:t>
            </w:r>
          </w:p>
        </w:tc>
        <w:tc>
          <w:tcPr>
            <w:tcW w:w="4640" w:type="dxa"/>
            <w:vAlign w:val="bottom"/>
            <w:gridSpan w:val="4"/>
          </w:tcPr>
          <w:p>
            <w:pPr>
              <w:ind w:left="120"/>
              <w:spacing w:after="0"/>
              <w:rPr>
                <w:sz w:val="20"/>
                <w:szCs w:val="20"/>
                <w:color w:val="auto"/>
              </w:rPr>
            </w:pPr>
            <w:r>
              <w:rPr>
                <w:rFonts w:ascii="Arial" w:cs="Arial" w:eastAsia="Arial" w:hAnsi="Arial"/>
                <w:sz w:val="18"/>
                <w:szCs w:val="18"/>
                <w:b w:val="1"/>
                <w:bCs w:val="1"/>
                <w:color w:val="auto"/>
              </w:rPr>
              <w:t>Risk Factors</w:t>
            </w:r>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9120" w:type="dxa"/>
            <w:vAlign w:val="bottom"/>
            <w:gridSpan w:val="10"/>
          </w:tcPr>
          <w:p>
            <w:pPr>
              <w:spacing w:after="0"/>
              <w:rPr>
                <w:sz w:val="20"/>
                <w:szCs w:val="20"/>
                <w:color w:val="auto"/>
              </w:rPr>
            </w:pPr>
            <w:r>
              <w:rPr>
                <w:rFonts w:ascii="Arial" w:cs="Arial" w:eastAsia="Arial" w:hAnsi="Arial"/>
                <w:sz w:val="18"/>
                <w:szCs w:val="18"/>
                <w:color w:val="auto"/>
                <w:w w:val="92"/>
              </w:rPr>
              <w:t>There have been no material changes to the risk factors disclosed in the 2020 Annual Report under Item 1A. “Risk Factors.”</w:t>
            </w:r>
          </w:p>
        </w:tc>
        <w:tc>
          <w:tcPr>
            <w:tcW w:w="2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83"/>
        </w:trPr>
        <w:tc>
          <w:tcPr>
            <w:tcW w:w="1180" w:type="dxa"/>
            <w:vAlign w:val="bottom"/>
          </w:tcPr>
          <w:p>
            <w:pPr>
              <w:spacing w:after="0"/>
              <w:rPr>
                <w:sz w:val="20"/>
                <w:szCs w:val="20"/>
                <w:color w:val="auto"/>
              </w:rPr>
            </w:pPr>
            <w:r>
              <w:rPr>
                <w:rFonts w:ascii="Arial" w:cs="Arial" w:eastAsia="Arial" w:hAnsi="Arial"/>
                <w:sz w:val="18"/>
                <w:szCs w:val="18"/>
                <w:b w:val="1"/>
                <w:bCs w:val="1"/>
                <w:color w:val="auto"/>
              </w:rPr>
              <w:t>Item 2.</w:t>
            </w:r>
          </w:p>
        </w:tc>
        <w:tc>
          <w:tcPr>
            <w:tcW w:w="4820" w:type="dxa"/>
            <w:vAlign w:val="bottom"/>
            <w:gridSpan w:val="5"/>
          </w:tcPr>
          <w:p>
            <w:pPr>
              <w:ind w:left="120"/>
              <w:spacing w:after="0"/>
              <w:rPr>
                <w:sz w:val="20"/>
                <w:szCs w:val="20"/>
                <w:color w:val="auto"/>
              </w:rPr>
            </w:pPr>
            <w:r>
              <w:rPr>
                <w:rFonts w:ascii="Arial" w:cs="Arial" w:eastAsia="Arial" w:hAnsi="Arial"/>
                <w:sz w:val="18"/>
                <w:szCs w:val="18"/>
                <w:b w:val="1"/>
                <w:bCs w:val="1"/>
                <w:color w:val="auto"/>
                <w:w w:val="90"/>
              </w:rPr>
              <w:t>Unregistered Sales of Equity Securities and Use of Proceeds</w:t>
            </w: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180" w:type="dxa"/>
            <w:vAlign w:val="bottom"/>
          </w:tcPr>
          <w:p>
            <w:pPr>
              <w:spacing w:after="0"/>
              <w:rPr>
                <w:sz w:val="23"/>
                <w:szCs w:val="23"/>
                <w:color w:val="auto"/>
              </w:rPr>
            </w:pPr>
          </w:p>
        </w:tc>
        <w:tc>
          <w:tcPr>
            <w:tcW w:w="2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20" w:type="dxa"/>
            <w:vAlign w:val="bottom"/>
            <w:gridSpan w:val="2"/>
          </w:tcPr>
          <w:p>
            <w:pPr>
              <w:jc w:val="center"/>
              <w:ind w:right="100"/>
              <w:spacing w:after="0"/>
              <w:rPr>
                <w:sz w:val="20"/>
                <w:szCs w:val="20"/>
                <w:color w:val="auto"/>
              </w:rPr>
            </w:pPr>
            <w:r>
              <w:rPr>
                <w:rFonts w:ascii="Arial" w:cs="Arial" w:eastAsia="Arial" w:hAnsi="Arial"/>
                <w:sz w:val="14"/>
                <w:szCs w:val="14"/>
                <w:color w:val="auto"/>
                <w:w w:val="95"/>
              </w:rPr>
              <w:t>Total Number of</w:t>
            </w:r>
          </w:p>
        </w:tc>
        <w:tc>
          <w:tcPr>
            <w:tcW w:w="2120" w:type="dxa"/>
            <w:vAlign w:val="bottom"/>
          </w:tcPr>
          <w:p>
            <w:pPr>
              <w:jc w:val="center"/>
              <w:spacing w:after="0"/>
              <w:rPr>
                <w:sz w:val="20"/>
                <w:szCs w:val="20"/>
                <w:color w:val="auto"/>
              </w:rPr>
            </w:pPr>
            <w:r>
              <w:rPr>
                <w:rFonts w:ascii="Arial" w:cs="Arial" w:eastAsia="Arial" w:hAnsi="Arial"/>
                <w:sz w:val="14"/>
                <w:szCs w:val="14"/>
                <w:color w:val="auto"/>
                <w:w w:val="97"/>
              </w:rPr>
              <w:t>Maximum Number (or</w:t>
            </w:r>
          </w:p>
        </w:tc>
        <w:tc>
          <w:tcPr>
            <w:tcW w:w="0" w:type="dxa"/>
            <w:vAlign w:val="bottom"/>
          </w:tcPr>
          <w:p>
            <w:pPr>
              <w:spacing w:after="0"/>
              <w:rPr>
                <w:sz w:val="1"/>
                <w:szCs w:val="1"/>
                <w:color w:val="auto"/>
              </w:rPr>
            </w:pPr>
          </w:p>
        </w:tc>
      </w:tr>
      <w:tr>
        <w:trPr>
          <w:trHeight w:val="135"/>
        </w:trPr>
        <w:tc>
          <w:tcPr>
            <w:tcW w:w="1180" w:type="dxa"/>
            <w:vAlign w:val="bottom"/>
          </w:tcPr>
          <w:p>
            <w:pPr>
              <w:spacing w:after="0"/>
              <w:rPr>
                <w:sz w:val="11"/>
                <w:szCs w:val="11"/>
                <w:color w:val="auto"/>
              </w:rPr>
            </w:pPr>
          </w:p>
        </w:tc>
        <w:tc>
          <w:tcPr>
            <w:tcW w:w="2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20" w:type="dxa"/>
            <w:vAlign w:val="bottom"/>
            <w:gridSpan w:val="2"/>
          </w:tcPr>
          <w:p>
            <w:pPr>
              <w:jc w:val="center"/>
              <w:ind w:right="100"/>
              <w:spacing w:after="0" w:line="135" w:lineRule="exact"/>
              <w:rPr>
                <w:sz w:val="20"/>
                <w:szCs w:val="20"/>
                <w:color w:val="auto"/>
              </w:rPr>
            </w:pPr>
            <w:r>
              <w:rPr>
                <w:rFonts w:ascii="Arial" w:cs="Arial" w:eastAsia="Arial" w:hAnsi="Arial"/>
                <w:sz w:val="14"/>
                <w:szCs w:val="14"/>
                <w:color w:val="auto"/>
                <w:w w:val="86"/>
              </w:rPr>
              <w:t>Shares Purchased</w:t>
            </w:r>
          </w:p>
        </w:tc>
        <w:tc>
          <w:tcPr>
            <w:tcW w:w="2120" w:type="dxa"/>
            <w:vAlign w:val="bottom"/>
          </w:tcPr>
          <w:p>
            <w:pPr>
              <w:jc w:val="center"/>
              <w:spacing w:after="0" w:line="135" w:lineRule="exact"/>
              <w:rPr>
                <w:sz w:val="20"/>
                <w:szCs w:val="20"/>
                <w:color w:val="auto"/>
              </w:rPr>
            </w:pPr>
            <w:r>
              <w:rPr>
                <w:rFonts w:ascii="Arial" w:cs="Arial" w:eastAsia="Arial" w:hAnsi="Arial"/>
                <w:sz w:val="14"/>
                <w:szCs w:val="14"/>
                <w:color w:val="auto"/>
                <w:w w:val="95"/>
              </w:rPr>
              <w:t>Approximate Dollar Value)</w:t>
            </w:r>
          </w:p>
        </w:tc>
        <w:tc>
          <w:tcPr>
            <w:tcW w:w="0" w:type="dxa"/>
            <w:vAlign w:val="bottom"/>
          </w:tcPr>
          <w:p>
            <w:pPr>
              <w:spacing w:after="0"/>
              <w:rPr>
                <w:sz w:val="1"/>
                <w:szCs w:val="1"/>
                <w:color w:val="auto"/>
              </w:rPr>
            </w:pPr>
          </w:p>
        </w:tc>
      </w:tr>
      <w:tr>
        <w:trPr>
          <w:trHeight w:val="135"/>
        </w:trPr>
        <w:tc>
          <w:tcPr>
            <w:tcW w:w="1180" w:type="dxa"/>
            <w:vAlign w:val="bottom"/>
          </w:tcPr>
          <w:p>
            <w:pPr>
              <w:spacing w:after="0"/>
              <w:rPr>
                <w:sz w:val="11"/>
                <w:szCs w:val="11"/>
                <w:color w:val="auto"/>
              </w:rPr>
            </w:pPr>
          </w:p>
        </w:tc>
        <w:tc>
          <w:tcPr>
            <w:tcW w:w="2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40" w:type="dxa"/>
            <w:vAlign w:val="bottom"/>
            <w:gridSpan w:val="2"/>
            <w:vMerge w:val="restart"/>
          </w:tcPr>
          <w:p>
            <w:pPr>
              <w:jc w:val="center"/>
              <w:ind w:right="100"/>
              <w:spacing w:after="0"/>
              <w:rPr>
                <w:sz w:val="20"/>
                <w:szCs w:val="20"/>
                <w:color w:val="auto"/>
              </w:rPr>
            </w:pPr>
            <w:r>
              <w:rPr>
                <w:rFonts w:ascii="Arial" w:cs="Arial" w:eastAsia="Arial" w:hAnsi="Arial"/>
                <w:sz w:val="14"/>
                <w:szCs w:val="14"/>
                <w:color w:val="auto"/>
                <w:w w:val="95"/>
              </w:rPr>
              <w:t>Total Number of</w:t>
            </w:r>
          </w:p>
        </w:tc>
        <w:tc>
          <w:tcPr>
            <w:tcW w:w="180" w:type="dxa"/>
            <w:vAlign w:val="bottom"/>
          </w:tcPr>
          <w:p>
            <w:pPr>
              <w:spacing w:after="0"/>
              <w:rPr>
                <w:sz w:val="11"/>
                <w:szCs w:val="11"/>
                <w:color w:val="auto"/>
              </w:rPr>
            </w:pPr>
          </w:p>
        </w:tc>
        <w:tc>
          <w:tcPr>
            <w:tcW w:w="1500" w:type="dxa"/>
            <w:vAlign w:val="bottom"/>
            <w:gridSpan w:val="2"/>
            <w:vMerge w:val="restart"/>
          </w:tcPr>
          <w:p>
            <w:pPr>
              <w:jc w:val="center"/>
              <w:ind w:right="280"/>
              <w:spacing w:after="0"/>
              <w:rPr>
                <w:sz w:val="20"/>
                <w:szCs w:val="20"/>
                <w:color w:val="auto"/>
              </w:rPr>
            </w:pPr>
            <w:r>
              <w:rPr>
                <w:rFonts w:ascii="Arial" w:cs="Arial" w:eastAsia="Arial" w:hAnsi="Arial"/>
                <w:sz w:val="14"/>
                <w:szCs w:val="14"/>
                <w:color w:val="auto"/>
                <w:w w:val="91"/>
              </w:rPr>
              <w:t>Average Price Paid</w:t>
            </w:r>
          </w:p>
        </w:tc>
        <w:tc>
          <w:tcPr>
            <w:tcW w:w="1620" w:type="dxa"/>
            <w:vAlign w:val="bottom"/>
            <w:gridSpan w:val="2"/>
          </w:tcPr>
          <w:p>
            <w:pPr>
              <w:jc w:val="center"/>
              <w:ind w:right="120"/>
              <w:spacing w:after="0" w:line="135" w:lineRule="exact"/>
              <w:rPr>
                <w:sz w:val="20"/>
                <w:szCs w:val="20"/>
                <w:color w:val="auto"/>
              </w:rPr>
            </w:pPr>
            <w:r>
              <w:rPr>
                <w:rFonts w:ascii="Arial" w:cs="Arial" w:eastAsia="Arial" w:hAnsi="Arial"/>
                <w:sz w:val="14"/>
                <w:szCs w:val="14"/>
                <w:color w:val="auto"/>
                <w:w w:val="94"/>
              </w:rPr>
              <w:t>as Part of Publicly</w:t>
            </w:r>
          </w:p>
        </w:tc>
        <w:tc>
          <w:tcPr>
            <w:tcW w:w="2120" w:type="dxa"/>
            <w:vAlign w:val="bottom"/>
          </w:tcPr>
          <w:p>
            <w:pPr>
              <w:jc w:val="center"/>
              <w:spacing w:after="0" w:line="135" w:lineRule="exact"/>
              <w:rPr>
                <w:sz w:val="20"/>
                <w:szCs w:val="20"/>
                <w:color w:val="auto"/>
              </w:rPr>
            </w:pPr>
            <w:r>
              <w:rPr>
                <w:rFonts w:ascii="Arial" w:cs="Arial" w:eastAsia="Arial" w:hAnsi="Arial"/>
                <w:sz w:val="14"/>
                <w:szCs w:val="14"/>
                <w:color w:val="auto"/>
                <w:w w:val="92"/>
              </w:rPr>
              <w:t>of Shares That May Yet</w:t>
            </w:r>
          </w:p>
        </w:tc>
        <w:tc>
          <w:tcPr>
            <w:tcW w:w="0" w:type="dxa"/>
            <w:vAlign w:val="bottom"/>
          </w:tcPr>
          <w:p>
            <w:pPr>
              <w:spacing w:after="0"/>
              <w:rPr>
                <w:sz w:val="1"/>
                <w:szCs w:val="1"/>
                <w:color w:val="auto"/>
              </w:rPr>
            </w:pPr>
          </w:p>
        </w:tc>
      </w:tr>
      <w:tr>
        <w:trPr>
          <w:trHeight w:val="135"/>
        </w:trPr>
        <w:tc>
          <w:tcPr>
            <w:tcW w:w="1180" w:type="dxa"/>
            <w:vAlign w:val="bottom"/>
            <w:vMerge w:val="restart"/>
          </w:tcPr>
          <w:p>
            <w:pPr>
              <w:ind w:left="20"/>
              <w:spacing w:after="0"/>
              <w:rPr>
                <w:sz w:val="20"/>
                <w:szCs w:val="20"/>
                <w:color w:val="auto"/>
              </w:rPr>
            </w:pPr>
            <w:r>
              <w:rPr>
                <w:rFonts w:ascii="Arial" w:cs="Arial" w:eastAsia="Arial" w:hAnsi="Arial"/>
                <w:sz w:val="14"/>
                <w:szCs w:val="14"/>
                <w:color w:val="auto"/>
              </w:rPr>
              <w:t>Period</w:t>
            </w:r>
          </w:p>
        </w:tc>
        <w:tc>
          <w:tcPr>
            <w:tcW w:w="2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4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500" w:type="dxa"/>
            <w:vAlign w:val="bottom"/>
            <w:gridSpan w:val="2"/>
            <w:vMerge w:val="continue"/>
          </w:tcPr>
          <w:p>
            <w:pPr>
              <w:spacing w:after="0"/>
              <w:rPr>
                <w:sz w:val="11"/>
                <w:szCs w:val="11"/>
                <w:color w:val="auto"/>
              </w:rPr>
            </w:pPr>
          </w:p>
        </w:tc>
        <w:tc>
          <w:tcPr>
            <w:tcW w:w="1620" w:type="dxa"/>
            <w:vAlign w:val="bottom"/>
            <w:gridSpan w:val="2"/>
          </w:tcPr>
          <w:p>
            <w:pPr>
              <w:jc w:val="center"/>
              <w:ind w:right="100"/>
              <w:spacing w:after="0" w:line="135" w:lineRule="exact"/>
              <w:rPr>
                <w:sz w:val="20"/>
                <w:szCs w:val="20"/>
                <w:color w:val="auto"/>
              </w:rPr>
            </w:pPr>
            <w:r>
              <w:rPr>
                <w:rFonts w:ascii="Arial" w:cs="Arial" w:eastAsia="Arial" w:hAnsi="Arial"/>
                <w:sz w:val="14"/>
                <w:szCs w:val="14"/>
                <w:color w:val="auto"/>
                <w:w w:val="91"/>
              </w:rPr>
              <w:t>Announced Plans</w:t>
            </w:r>
          </w:p>
        </w:tc>
        <w:tc>
          <w:tcPr>
            <w:tcW w:w="2120" w:type="dxa"/>
            <w:vAlign w:val="bottom"/>
          </w:tcPr>
          <w:p>
            <w:pPr>
              <w:jc w:val="center"/>
              <w:spacing w:after="0" w:line="135" w:lineRule="exact"/>
              <w:rPr>
                <w:sz w:val="20"/>
                <w:szCs w:val="20"/>
                <w:color w:val="auto"/>
              </w:rPr>
            </w:pPr>
            <w:r>
              <w:rPr>
                <w:rFonts w:ascii="Arial" w:cs="Arial" w:eastAsia="Arial" w:hAnsi="Arial"/>
                <w:sz w:val="14"/>
                <w:szCs w:val="14"/>
                <w:color w:val="auto"/>
                <w:w w:val="91"/>
              </w:rPr>
              <w:t>Be Purchased Under the</w:t>
            </w:r>
          </w:p>
        </w:tc>
        <w:tc>
          <w:tcPr>
            <w:tcW w:w="0" w:type="dxa"/>
            <w:vAlign w:val="bottom"/>
          </w:tcPr>
          <w:p>
            <w:pPr>
              <w:spacing w:after="0"/>
              <w:rPr>
                <w:sz w:val="1"/>
                <w:szCs w:val="1"/>
                <w:color w:val="auto"/>
              </w:rPr>
            </w:pPr>
          </w:p>
        </w:tc>
      </w:tr>
      <w:tr>
        <w:trPr>
          <w:trHeight w:val="189"/>
        </w:trPr>
        <w:tc>
          <w:tcPr>
            <w:tcW w:w="1180" w:type="dxa"/>
            <w:vAlign w:val="bottom"/>
            <w:vMerge w:val="continue"/>
          </w:tcPr>
          <w:p>
            <w:pPr>
              <w:spacing w:after="0"/>
              <w:rPr>
                <w:sz w:val="16"/>
                <w:szCs w:val="16"/>
                <w:color w:val="auto"/>
              </w:rPr>
            </w:pPr>
          </w:p>
        </w:tc>
        <w:tc>
          <w:tcPr>
            <w:tcW w:w="2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40" w:type="dxa"/>
            <w:vAlign w:val="bottom"/>
            <w:gridSpan w:val="2"/>
          </w:tcPr>
          <w:p>
            <w:pPr>
              <w:jc w:val="center"/>
              <w:ind w:right="120"/>
              <w:spacing w:after="0" w:line="189" w:lineRule="exact"/>
              <w:rPr>
                <w:sz w:val="20"/>
                <w:szCs w:val="20"/>
                <w:color w:val="auto"/>
              </w:rPr>
            </w:pPr>
            <w:r>
              <w:rPr>
                <w:rFonts w:ascii="Arial" w:cs="Arial" w:eastAsia="Arial" w:hAnsi="Arial"/>
                <w:sz w:val="14"/>
                <w:szCs w:val="14"/>
                <w:color w:val="auto"/>
                <w:w w:val="85"/>
              </w:rPr>
              <w:t xml:space="preserve">Shares Purchased </w:t>
            </w:r>
            <w:r>
              <w:rPr>
                <w:rFonts w:ascii="Arial" w:cs="Arial" w:eastAsia="Arial" w:hAnsi="Arial"/>
                <w:sz w:val="18"/>
                <w:szCs w:val="18"/>
                <w:color w:val="auto"/>
                <w:w w:val="85"/>
                <w:vertAlign w:val="superscript"/>
              </w:rPr>
              <w:t>(1)</w:t>
            </w:r>
          </w:p>
        </w:tc>
        <w:tc>
          <w:tcPr>
            <w:tcW w:w="180" w:type="dxa"/>
            <w:vAlign w:val="bottom"/>
          </w:tcPr>
          <w:p>
            <w:pPr>
              <w:spacing w:after="0"/>
              <w:rPr>
                <w:sz w:val="16"/>
                <w:szCs w:val="16"/>
                <w:color w:val="auto"/>
              </w:rPr>
            </w:pPr>
          </w:p>
        </w:tc>
        <w:tc>
          <w:tcPr>
            <w:tcW w:w="1500" w:type="dxa"/>
            <w:vAlign w:val="bottom"/>
            <w:gridSpan w:val="2"/>
          </w:tcPr>
          <w:p>
            <w:pPr>
              <w:jc w:val="center"/>
              <w:ind w:right="280"/>
              <w:spacing w:after="0"/>
              <w:rPr>
                <w:sz w:val="20"/>
                <w:szCs w:val="20"/>
                <w:color w:val="auto"/>
              </w:rPr>
            </w:pPr>
            <w:r>
              <w:rPr>
                <w:rFonts w:ascii="Arial" w:cs="Arial" w:eastAsia="Arial" w:hAnsi="Arial"/>
                <w:sz w:val="14"/>
                <w:szCs w:val="14"/>
                <w:color w:val="auto"/>
                <w:w w:val="85"/>
              </w:rPr>
              <w:t>Per Share</w:t>
            </w:r>
          </w:p>
        </w:tc>
        <w:tc>
          <w:tcPr>
            <w:tcW w:w="1620" w:type="dxa"/>
            <w:vAlign w:val="bottom"/>
            <w:gridSpan w:val="2"/>
          </w:tcPr>
          <w:p>
            <w:pPr>
              <w:jc w:val="center"/>
              <w:ind w:right="100"/>
              <w:spacing w:after="0" w:line="189" w:lineRule="exact"/>
              <w:rPr>
                <w:sz w:val="20"/>
                <w:szCs w:val="20"/>
                <w:color w:val="auto"/>
              </w:rPr>
            </w:pPr>
            <w:r>
              <w:rPr>
                <w:rFonts w:ascii="Arial" w:cs="Arial" w:eastAsia="Arial" w:hAnsi="Arial"/>
                <w:sz w:val="14"/>
                <w:szCs w:val="14"/>
                <w:color w:val="auto"/>
                <w:w w:val="87"/>
              </w:rPr>
              <w:t xml:space="preserve">or Programs </w:t>
            </w:r>
            <w:r>
              <w:rPr>
                <w:rFonts w:ascii="Arial" w:cs="Arial" w:eastAsia="Arial" w:hAnsi="Arial"/>
                <w:sz w:val="18"/>
                <w:szCs w:val="18"/>
                <w:color w:val="auto"/>
                <w:w w:val="87"/>
                <w:vertAlign w:val="superscript"/>
              </w:rPr>
              <w:t>(1)</w:t>
            </w:r>
          </w:p>
        </w:tc>
        <w:tc>
          <w:tcPr>
            <w:tcW w:w="2120" w:type="dxa"/>
            <w:vAlign w:val="bottom"/>
          </w:tcPr>
          <w:p>
            <w:pPr>
              <w:jc w:val="center"/>
              <w:spacing w:after="0" w:line="189" w:lineRule="exact"/>
              <w:rPr>
                <w:sz w:val="20"/>
                <w:szCs w:val="20"/>
                <w:color w:val="auto"/>
              </w:rPr>
            </w:pPr>
            <w:r>
              <w:rPr>
                <w:rFonts w:ascii="Arial" w:cs="Arial" w:eastAsia="Arial" w:hAnsi="Arial"/>
                <w:sz w:val="14"/>
                <w:szCs w:val="14"/>
                <w:color w:val="auto"/>
                <w:w w:val="90"/>
              </w:rPr>
              <w:t xml:space="preserve">Plan or Programs </w:t>
            </w:r>
            <w:r>
              <w:rPr>
                <w:rFonts w:ascii="Arial" w:cs="Arial" w:eastAsia="Arial" w:hAnsi="Arial"/>
                <w:sz w:val="18"/>
                <w:szCs w:val="18"/>
                <w:color w:val="auto"/>
                <w:w w:val="90"/>
                <w:vertAlign w:val="superscript"/>
              </w:rPr>
              <w:t>(1)</w:t>
            </w:r>
          </w:p>
        </w:tc>
        <w:tc>
          <w:tcPr>
            <w:tcW w:w="0" w:type="dxa"/>
            <w:vAlign w:val="bottom"/>
          </w:tcPr>
          <w:p>
            <w:pPr>
              <w:spacing w:after="0"/>
              <w:rPr>
                <w:sz w:val="1"/>
                <w:szCs w:val="1"/>
                <w:color w:val="auto"/>
              </w:rPr>
            </w:pPr>
          </w:p>
        </w:tc>
      </w:tr>
      <w:tr>
        <w:trPr>
          <w:trHeight w:val="223"/>
        </w:trPr>
        <w:tc>
          <w:tcPr>
            <w:tcW w:w="11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January 2021</w:t>
            </w:r>
          </w:p>
        </w:tc>
        <w:tc>
          <w:tcPr>
            <w:tcW w:w="27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ind w:left="126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120" w:type="dxa"/>
            <w:vAlign w:val="bottom"/>
            <w:tcBorders>
              <w:top w:val="single" w:sz="8" w:color="auto"/>
            </w:tcBorders>
            <w:shd w:val="clear" w:color="auto" w:fill="CCEEFF"/>
          </w:tcPr>
          <w:p>
            <w:pPr>
              <w:ind w:left="18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1180" w:type="dxa"/>
            <w:vAlign w:val="bottom"/>
          </w:tcPr>
          <w:p>
            <w:pPr>
              <w:ind w:left="20"/>
              <w:spacing w:after="0"/>
              <w:rPr>
                <w:sz w:val="20"/>
                <w:szCs w:val="20"/>
                <w:color w:val="auto"/>
              </w:rPr>
            </w:pPr>
            <w:r>
              <w:rPr>
                <w:rFonts w:ascii="Arial" w:cs="Arial" w:eastAsia="Arial" w:hAnsi="Arial"/>
                <w:sz w:val="18"/>
                <w:szCs w:val="18"/>
                <w:color w:val="auto"/>
                <w:w w:val="97"/>
              </w:rPr>
              <w:t>February 2021</w:t>
            </w:r>
          </w:p>
        </w:tc>
        <w:tc>
          <w:tcPr>
            <w:tcW w:w="4540" w:type="dxa"/>
            <w:vAlign w:val="bottom"/>
            <w:gridSpan w:val="3"/>
          </w:tcPr>
          <w:p>
            <w:pPr>
              <w:jc w:val="right"/>
              <w:spacing w:after="0"/>
              <w:rPr>
                <w:sz w:val="20"/>
                <w:szCs w:val="20"/>
                <w:color w:val="auto"/>
              </w:rPr>
            </w:pPr>
            <w:r>
              <w:rPr>
                <w:rFonts w:ascii="Arial" w:cs="Arial" w:eastAsia="Arial" w:hAnsi="Arial"/>
                <w:sz w:val="18"/>
                <w:szCs w:val="18"/>
                <w:color w:val="auto"/>
              </w:rPr>
              <w:t>43,473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6.81</w:t>
            </w:r>
          </w:p>
        </w:tc>
        <w:tc>
          <w:tcPr>
            <w:tcW w:w="100" w:type="dxa"/>
            <w:vAlign w:val="bottom"/>
          </w:tcPr>
          <w:p>
            <w:pPr>
              <w:spacing w:after="0"/>
              <w:rPr>
                <w:sz w:val="19"/>
                <w:szCs w:val="19"/>
                <w:color w:val="auto"/>
              </w:rPr>
            </w:pPr>
          </w:p>
        </w:tc>
        <w:tc>
          <w:tcPr>
            <w:tcW w:w="1620" w:type="dxa"/>
            <w:vAlign w:val="bottom"/>
            <w:gridSpan w:val="2"/>
          </w:tcPr>
          <w:p>
            <w:pPr>
              <w:ind w:left="1260"/>
              <w:spacing w:after="0"/>
              <w:rPr>
                <w:sz w:val="20"/>
                <w:szCs w:val="20"/>
                <w:color w:val="auto"/>
              </w:rPr>
            </w:pPr>
            <w:r>
              <w:rPr>
                <w:rFonts w:ascii="Arial" w:cs="Arial" w:eastAsia="Arial" w:hAnsi="Arial"/>
                <w:sz w:val="18"/>
                <w:szCs w:val="18"/>
                <w:color w:val="auto"/>
              </w:rPr>
              <w:t>—</w:t>
            </w:r>
          </w:p>
        </w:tc>
        <w:tc>
          <w:tcPr>
            <w:tcW w:w="2120" w:type="dxa"/>
            <w:vAlign w:val="bottom"/>
          </w:tcPr>
          <w:p>
            <w:pPr>
              <w:ind w:left="18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1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March 2021</w:t>
            </w:r>
          </w:p>
        </w:tc>
        <w:tc>
          <w:tcPr>
            <w:tcW w:w="45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6,188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7.82</w:t>
            </w:r>
          </w:p>
        </w:tc>
        <w:tc>
          <w:tcPr>
            <w:tcW w:w="10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ind w:left="1260"/>
              <w:spacing w:after="0"/>
              <w:rPr>
                <w:sz w:val="20"/>
                <w:szCs w:val="20"/>
                <w:color w:val="auto"/>
              </w:rPr>
            </w:pPr>
            <w:r>
              <w:rPr>
                <w:rFonts w:ascii="Arial" w:cs="Arial" w:eastAsia="Arial" w:hAnsi="Arial"/>
                <w:sz w:val="18"/>
                <w:szCs w:val="18"/>
                <w:color w:val="auto"/>
              </w:rPr>
              <w:t>—</w:t>
            </w:r>
          </w:p>
        </w:tc>
        <w:tc>
          <w:tcPr>
            <w:tcW w:w="2120" w:type="dxa"/>
            <w:vAlign w:val="bottom"/>
            <w:shd w:val="clear" w:color="auto" w:fill="CCEEFF"/>
          </w:tcPr>
          <w:p>
            <w:pPr>
              <w:ind w:left="18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1180" w:type="dxa"/>
            <w:vAlign w:val="bottom"/>
          </w:tcPr>
          <w:p>
            <w:pPr>
              <w:ind w:left="20"/>
              <w:spacing w:after="0"/>
              <w:rPr>
                <w:sz w:val="20"/>
                <w:szCs w:val="20"/>
                <w:color w:val="auto"/>
              </w:rPr>
            </w:pPr>
            <w:r>
              <w:rPr>
                <w:rFonts w:ascii="Arial" w:cs="Arial" w:eastAsia="Arial" w:hAnsi="Arial"/>
                <w:sz w:val="18"/>
                <w:szCs w:val="18"/>
                <w:color w:val="auto"/>
              </w:rPr>
              <w:t>Total</w:t>
            </w:r>
          </w:p>
        </w:tc>
        <w:tc>
          <w:tcPr>
            <w:tcW w:w="2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49,661</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6.94</w:t>
            </w:r>
          </w:p>
        </w:tc>
        <w:tc>
          <w:tcPr>
            <w:tcW w:w="100" w:type="dxa"/>
            <w:vAlign w:val="bottom"/>
          </w:tcPr>
          <w:p>
            <w:pPr>
              <w:spacing w:after="0"/>
              <w:rPr>
                <w:sz w:val="19"/>
                <w:szCs w:val="19"/>
                <w:color w:val="auto"/>
              </w:rPr>
            </w:pPr>
          </w:p>
        </w:tc>
        <w:tc>
          <w:tcPr>
            <w:tcW w:w="1520" w:type="dxa"/>
            <w:vAlign w:val="bottom"/>
            <w:tcBorders>
              <w:top w:val="single" w:sz="8" w:color="auto"/>
              <w:bottom w:val="single" w:sz="8" w:color="auto"/>
            </w:tcBorders>
          </w:tcPr>
          <w:p>
            <w:pPr>
              <w:ind w:left="1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120" w:type="dxa"/>
            <w:vAlign w:val="bottom"/>
            <w:tcBorders>
              <w:top w:val="single" w:sz="8" w:color="auto"/>
              <w:bottom w:val="single" w:sz="8" w:color="auto"/>
            </w:tcBorders>
          </w:tcPr>
          <w:p>
            <w:pPr>
              <w:ind w:left="18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
        </w:trPr>
        <w:tc>
          <w:tcPr>
            <w:tcW w:w="118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w:t>
      </w:r>
    </w:p>
    <w:p>
      <w:pPr>
        <w:spacing w:after="0" w:line="113" w:lineRule="exact"/>
        <w:rPr>
          <w:sz w:val="20"/>
          <w:szCs w:val="20"/>
          <w:color w:val="auto"/>
        </w:rPr>
      </w:pPr>
    </w:p>
    <w:p>
      <w:pPr>
        <w:ind w:left="660" w:hanging="328"/>
        <w:spacing w:after="0" w:line="259" w:lineRule="auto"/>
        <w:tabs>
          <w:tab w:leader="none" w:pos="652" w:val="left"/>
        </w:tabs>
        <w:numPr>
          <w:ilvl w:val="0"/>
          <w:numId w:val="16"/>
        </w:numPr>
        <w:rPr>
          <w:rFonts w:ascii="Arial" w:cs="Arial" w:eastAsia="Arial" w:hAnsi="Arial"/>
          <w:sz w:val="14"/>
          <w:szCs w:val="14"/>
          <w:color w:val="auto"/>
        </w:rPr>
      </w:pPr>
      <w:r>
        <w:rPr>
          <w:rFonts w:ascii="Arial" w:cs="Arial" w:eastAsia="Arial" w:hAnsi="Arial"/>
          <w:sz w:val="18"/>
          <w:szCs w:val="18"/>
          <w:color w:val="auto"/>
        </w:rPr>
        <w:t>Shares were withheld to pay for tax obligations due upon the vesting of restricted stock held by certain employees granted under the NN, Inc. 2019 Omnibus Incentive Plan (the “Plan”). The Plan provides for the withholding of shares to satisfy tax obligations. It does not specify a maximum number of shares that can be withheld for this purpose. These shares may be deemed to be “issuer purchases” of shares that are required to be disclosed pursuant to this Item.</w:t>
      </w:r>
    </w:p>
    <w:p>
      <w:pPr>
        <w:spacing w:after="0" w:line="200" w:lineRule="exact"/>
        <w:rPr>
          <w:sz w:val="20"/>
          <w:szCs w:val="20"/>
          <w:color w:val="auto"/>
        </w:rPr>
      </w:pPr>
    </w:p>
    <w:p>
      <w:pPr>
        <w:spacing w:after="0" w:line="33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2" w:name="page33"/>
    <w:bookmarkEnd w:id="3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20" w:type="dxa"/>
            <w:vAlign w:val="bottom"/>
            <w:gridSpan w:val="2"/>
          </w:tcPr>
          <w:p>
            <w:pPr>
              <w:spacing w:after="0"/>
              <w:rPr>
                <w:sz w:val="20"/>
                <w:szCs w:val="20"/>
                <w:color w:val="auto"/>
              </w:rPr>
            </w:pPr>
            <w:r>
              <w:rPr>
                <w:rFonts w:ascii="Arial" w:cs="Arial" w:eastAsia="Arial" w:hAnsi="Arial"/>
                <w:sz w:val="18"/>
                <w:szCs w:val="18"/>
                <w:b w:val="1"/>
                <w:bCs w:val="1"/>
                <w:color w:val="auto"/>
              </w:rPr>
              <w:t>Item 6.</w:t>
            </w:r>
          </w:p>
        </w:tc>
        <w:tc>
          <w:tcPr>
            <w:tcW w:w="20" w:type="dxa"/>
            <w:vAlign w:val="bottom"/>
          </w:tcPr>
          <w:p>
            <w:pPr>
              <w:spacing w:after="0"/>
              <w:rPr>
                <w:sz w:val="20"/>
                <w:szCs w:val="20"/>
                <w:color w:val="auto"/>
              </w:rPr>
            </w:pPr>
          </w:p>
        </w:tc>
        <w:tc>
          <w:tcPr>
            <w:tcW w:w="9920" w:type="dxa"/>
            <w:vAlign w:val="bottom"/>
            <w:gridSpan w:val="15"/>
          </w:tcPr>
          <w:p>
            <w:pPr>
              <w:ind w:left="160"/>
              <w:spacing w:after="0"/>
              <w:rPr>
                <w:sz w:val="20"/>
                <w:szCs w:val="20"/>
                <w:color w:val="auto"/>
              </w:rPr>
            </w:pPr>
            <w:r>
              <w:rPr>
                <w:rFonts w:ascii="Arial" w:cs="Arial" w:eastAsia="Arial" w:hAnsi="Arial"/>
                <w:sz w:val="18"/>
                <w:szCs w:val="18"/>
                <w:b w:val="1"/>
                <w:bCs w:val="1"/>
                <w:color w:val="auto"/>
              </w:rPr>
              <w:t>Exhibits</w:t>
            </w:r>
          </w:p>
        </w:tc>
        <w:tc>
          <w:tcPr>
            <w:tcW w:w="0" w:type="dxa"/>
            <w:vAlign w:val="bottom"/>
          </w:tcPr>
          <w:p>
            <w:pPr>
              <w:spacing w:after="0"/>
              <w:rPr>
                <w:sz w:val="1"/>
                <w:szCs w:val="1"/>
                <w:color w:val="auto"/>
              </w:rPr>
            </w:pPr>
          </w:p>
        </w:tc>
      </w:tr>
      <w:tr>
        <w:trPr>
          <w:trHeight w:val="256"/>
        </w:trPr>
        <w:tc>
          <w:tcPr>
            <w:tcW w:w="1120" w:type="dxa"/>
            <w:vAlign w:val="bottom"/>
            <w:gridSpan w:val="2"/>
          </w:tcPr>
          <w:p>
            <w:pPr>
              <w:ind w:left="280"/>
              <w:spacing w:after="0"/>
              <w:rPr>
                <w:sz w:val="20"/>
                <w:szCs w:val="20"/>
                <w:color w:val="auto"/>
              </w:rPr>
            </w:pPr>
            <w:r>
              <w:rPr>
                <w:rFonts w:ascii="Arial" w:cs="Arial" w:eastAsia="Arial" w:hAnsi="Arial"/>
                <w:sz w:val="14"/>
                <w:szCs w:val="14"/>
                <w:b w:val="1"/>
                <w:bCs w:val="1"/>
                <w:color w:val="auto"/>
              </w:rPr>
              <w:t>Exhibit</w:t>
            </w:r>
          </w:p>
        </w:tc>
        <w:tc>
          <w:tcPr>
            <w:tcW w:w="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7940" w:type="dxa"/>
            <w:vAlign w:val="bottom"/>
            <w:gridSpan w:val="13"/>
            <w:vMerge w:val="restart"/>
          </w:tcPr>
          <w:p>
            <w:pPr>
              <w:ind w:left="262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88"/>
        </w:trPr>
        <w:tc>
          <w:tcPr>
            <w:tcW w:w="1120" w:type="dxa"/>
            <w:vAlign w:val="bottom"/>
            <w:gridSpan w:val="2"/>
          </w:tcPr>
          <w:p>
            <w:pPr>
              <w:ind w:left="180"/>
              <w:spacing w:after="0"/>
              <w:rPr>
                <w:sz w:val="20"/>
                <w:szCs w:val="20"/>
                <w:color w:val="auto"/>
              </w:rPr>
            </w:pPr>
            <w:r>
              <w:rPr>
                <w:rFonts w:ascii="Arial" w:cs="Arial" w:eastAsia="Arial" w:hAnsi="Arial"/>
                <w:sz w:val="14"/>
                <w:szCs w:val="14"/>
                <w:b w:val="1"/>
                <w:bCs w:val="1"/>
                <w:color w:val="auto"/>
              </w:rPr>
              <w:t>Number</w:t>
            </w:r>
          </w:p>
        </w:tc>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7940" w:type="dxa"/>
            <w:vAlign w:val="bottom"/>
            <w:gridSpan w:val="1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32"/>
        </w:trPr>
        <w:tc>
          <w:tcPr>
            <w:tcW w:w="10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9920" w:type="dxa"/>
            <w:vAlign w:val="bottom"/>
            <w:tcBorders>
              <w:top w:val="single" w:sz="8" w:color="auto"/>
            </w:tcBorders>
            <w:gridSpan w:val="15"/>
          </w:tcPr>
          <w:p>
            <w:pPr>
              <w:spacing w:after="0"/>
              <w:rPr>
                <w:rFonts w:ascii="Arial" w:cs="Arial" w:eastAsia="Arial" w:hAnsi="Arial"/>
                <w:sz w:val="18"/>
                <w:szCs w:val="18"/>
                <w:color w:val="0000FF"/>
                <w:w w:val="92"/>
              </w:rPr>
            </w:pPr>
            <w:hyperlink r:id="rId66">
              <w:r>
                <w:rPr>
                  <w:rFonts w:ascii="Arial" w:cs="Arial" w:eastAsia="Arial" w:hAnsi="Arial"/>
                  <w:sz w:val="18"/>
                  <w:szCs w:val="18"/>
                  <w:color w:val="0000FF"/>
                  <w:w w:val="92"/>
                </w:rPr>
                <w:t>Certificate of Designation of Series D Preferred Stock (incorporated by reference to Exhibit 3.1 to NN, Inc.’s Current Report on Form 8-</w:t>
              </w:r>
            </w:hyperlink>
          </w:p>
        </w:tc>
        <w:tc>
          <w:tcPr>
            <w:tcW w:w="0" w:type="dxa"/>
            <w:vAlign w:val="bottom"/>
          </w:tcPr>
          <w:p>
            <w:pPr>
              <w:spacing w:after="0"/>
              <w:rPr>
                <w:sz w:val="1"/>
                <w:szCs w:val="1"/>
                <w:color w:val="auto"/>
              </w:rPr>
            </w:pPr>
          </w:p>
        </w:tc>
      </w:tr>
      <w:tr>
        <w:trPr>
          <w:trHeight w:val="156"/>
        </w:trPr>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98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w w:val="92"/>
              </w:rPr>
            </w:pPr>
            <w:hyperlink r:id="rId66">
              <w:r>
                <w:rPr>
                  <w:rFonts w:ascii="Arial" w:cs="Arial" w:eastAsia="Arial" w:hAnsi="Arial"/>
                  <w:sz w:val="18"/>
                  <w:szCs w:val="18"/>
                  <w:color w:val="0000FF"/>
                  <w:w w:val="92"/>
                </w:rPr>
                <w:t>K filed on March 22, 2021)</w:t>
              </w:r>
            </w:hyperlink>
          </w:p>
        </w:tc>
        <w:tc>
          <w:tcPr>
            <w:tcW w:w="7860" w:type="dxa"/>
            <w:vAlign w:val="bottom"/>
            <w:tcBorders>
              <w:top w:val="single" w:sz="8" w:color="0000FF"/>
            </w:tcBorders>
            <w:gridSpan w:val="12"/>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71"/>
        </w:trPr>
        <w:tc>
          <w:tcPr>
            <w:tcW w:w="1000" w:type="dxa"/>
            <w:vAlign w:val="bottom"/>
          </w:tcPr>
          <w:p>
            <w:pPr>
              <w:ind w:left="20"/>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60" w:type="dxa"/>
            <w:vAlign w:val="bottom"/>
            <w:tcBorders>
              <w:bottom w:val="single" w:sz="8" w:color="0000FF"/>
            </w:tcBorders>
            <w:gridSpan w:val="11"/>
          </w:tcPr>
          <w:p>
            <w:pPr>
              <w:spacing w:after="0"/>
              <w:rPr>
                <w:rFonts w:ascii="Arial" w:cs="Arial" w:eastAsia="Arial" w:hAnsi="Arial"/>
                <w:sz w:val="18"/>
                <w:szCs w:val="18"/>
                <w:color w:val="0000FF"/>
                <w:w w:val="91"/>
              </w:rPr>
            </w:pPr>
            <w:hyperlink r:id="rId67">
              <w:r>
                <w:rPr>
                  <w:rFonts w:ascii="Arial" w:cs="Arial" w:eastAsia="Arial" w:hAnsi="Arial"/>
                  <w:sz w:val="18"/>
                  <w:szCs w:val="18"/>
                  <w:color w:val="0000FF"/>
                  <w:w w:val="91"/>
                </w:rPr>
                <w:t xml:space="preserve">Common Stock Warrant (incorporated by reference to Exhibit </w:t>
              </w:r>
            </w:hyperlink>
            <w:r>
              <w:rPr>
                <w:rFonts w:ascii="Arial" w:cs="Arial" w:eastAsia="Arial" w:hAnsi="Arial"/>
                <w:sz w:val="18"/>
                <w:szCs w:val="18"/>
                <w:color w:val="0000FF"/>
                <w:w w:val="91"/>
              </w:rPr>
              <w:t xml:space="preserve">4.1 </w:t>
            </w:r>
            <w:hyperlink r:id="rId67">
              <w:r>
                <w:rPr>
                  <w:rFonts w:ascii="Arial" w:cs="Arial" w:eastAsia="Arial" w:hAnsi="Arial"/>
                  <w:sz w:val="18"/>
                  <w:szCs w:val="18"/>
                  <w:color w:val="0000FF"/>
                  <w:w w:val="91"/>
                </w:rPr>
                <w:t>to NN, Inc.’s Current Report on Form 8-K filed on March 22, 2021)</w:t>
              </w:r>
            </w:hyperlink>
          </w:p>
        </w:tc>
        <w:tc>
          <w:tcPr>
            <w:tcW w:w="26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1000" w:type="dxa"/>
            <w:vAlign w:val="bottom"/>
          </w:tcPr>
          <w:p>
            <w:pPr>
              <w:ind w:left="20"/>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20" w:type="dxa"/>
            <w:vAlign w:val="bottom"/>
            <w:gridSpan w:val="15"/>
          </w:tcPr>
          <w:p>
            <w:pPr>
              <w:spacing w:after="0"/>
              <w:rPr>
                <w:rFonts w:ascii="Arial" w:cs="Arial" w:eastAsia="Arial" w:hAnsi="Arial"/>
                <w:sz w:val="18"/>
                <w:szCs w:val="18"/>
                <w:color w:val="0000FF"/>
                <w:w w:val="92"/>
              </w:rPr>
            </w:pPr>
            <w:hyperlink r:id="rId68">
              <w:r>
                <w:rPr>
                  <w:rFonts w:ascii="Arial" w:cs="Arial" w:eastAsia="Arial" w:hAnsi="Arial"/>
                  <w:sz w:val="18"/>
                  <w:szCs w:val="18"/>
                  <w:color w:val="0000FF"/>
                  <w:w w:val="92"/>
                </w:rPr>
                <w:t>Securities Purchase Agreement, dated March 22, 2021, by and between the Company and the Purchaser (incorporated by reference to</w:t>
              </w:r>
            </w:hyperlink>
          </w:p>
        </w:tc>
        <w:tc>
          <w:tcPr>
            <w:tcW w:w="0" w:type="dxa"/>
            <w:vAlign w:val="bottom"/>
          </w:tcPr>
          <w:p>
            <w:pPr>
              <w:spacing w:after="0"/>
              <w:rPr>
                <w:sz w:val="1"/>
                <w:szCs w:val="1"/>
                <w:color w:val="auto"/>
              </w:rPr>
            </w:pPr>
          </w:p>
        </w:tc>
      </w:tr>
      <w:tr>
        <w:trPr>
          <w:trHeight w:val="156"/>
        </w:trPr>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40" w:type="dxa"/>
            <w:vAlign w:val="bottom"/>
            <w:tcBorders>
              <w:top w:val="single" w:sz="8" w:color="0000FF"/>
              <w:bottom w:val="single" w:sz="8" w:color="0000FF"/>
            </w:tcBorders>
            <w:gridSpan w:val="4"/>
          </w:tcPr>
          <w:p>
            <w:pPr>
              <w:spacing w:after="0" w:line="156" w:lineRule="exact"/>
              <w:rPr>
                <w:rFonts w:ascii="Arial" w:cs="Arial" w:eastAsia="Arial" w:hAnsi="Arial"/>
                <w:sz w:val="18"/>
                <w:szCs w:val="18"/>
                <w:color w:val="0000FF"/>
                <w:w w:val="93"/>
              </w:rPr>
            </w:pPr>
            <w:hyperlink r:id="rId68">
              <w:r>
                <w:rPr>
                  <w:rFonts w:ascii="Arial" w:cs="Arial" w:eastAsia="Arial" w:hAnsi="Arial"/>
                  <w:sz w:val="18"/>
                  <w:szCs w:val="18"/>
                  <w:color w:val="0000FF"/>
                  <w:w w:val="93"/>
                </w:rPr>
                <w:t>Exhibit 10.1 to NN, Inc.’s Current Report on Form 8-K filed on March 22, 2021)</w:t>
              </w:r>
            </w:hyperlink>
          </w:p>
        </w:tc>
        <w:tc>
          <w:tcPr>
            <w:tcW w:w="3760" w:type="dxa"/>
            <w:vAlign w:val="bottom"/>
            <w:tcBorders>
              <w:top w:val="single" w:sz="8" w:color="0000FF"/>
            </w:tcBorders>
            <w:gridSpan w:val="6"/>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372"/>
        </w:trPr>
        <w:tc>
          <w:tcPr>
            <w:tcW w:w="1000" w:type="dxa"/>
            <w:vAlign w:val="bottom"/>
          </w:tcPr>
          <w:p>
            <w:pPr>
              <w:ind w:left="20"/>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20" w:type="dxa"/>
            <w:vAlign w:val="bottom"/>
            <w:gridSpan w:val="15"/>
          </w:tcPr>
          <w:p>
            <w:pPr>
              <w:spacing w:after="0"/>
              <w:rPr>
                <w:rFonts w:ascii="Arial" w:cs="Arial" w:eastAsia="Arial" w:hAnsi="Arial"/>
                <w:sz w:val="18"/>
                <w:szCs w:val="18"/>
                <w:color w:val="0000FF"/>
                <w:w w:val="94"/>
              </w:rPr>
            </w:pPr>
            <w:hyperlink r:id="rId69">
              <w:r>
                <w:rPr>
                  <w:rFonts w:ascii="Arial" w:cs="Arial" w:eastAsia="Arial" w:hAnsi="Arial"/>
                  <w:sz w:val="18"/>
                  <w:szCs w:val="18"/>
                  <w:color w:val="0000FF"/>
                  <w:w w:val="94"/>
                </w:rPr>
                <w:t>Board Observer Agreement, dated March 22, 2021, by and between the Company and the Purchaser (incorporated by reference to</w:t>
              </w:r>
            </w:hyperlink>
          </w:p>
        </w:tc>
        <w:tc>
          <w:tcPr>
            <w:tcW w:w="0" w:type="dxa"/>
            <w:vAlign w:val="bottom"/>
          </w:tcPr>
          <w:p>
            <w:pPr>
              <w:spacing w:after="0"/>
              <w:rPr>
                <w:sz w:val="1"/>
                <w:szCs w:val="1"/>
                <w:color w:val="auto"/>
              </w:rPr>
            </w:pPr>
          </w:p>
        </w:tc>
      </w:tr>
      <w:tr>
        <w:trPr>
          <w:trHeight w:val="155"/>
        </w:trPr>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20" w:type="dxa"/>
            <w:vAlign w:val="bottom"/>
            <w:tcBorders>
              <w:top w:val="single" w:sz="8" w:color="0000FF"/>
              <w:bottom w:val="single" w:sz="8" w:color="0000FF"/>
            </w:tcBorders>
            <w:gridSpan w:val="3"/>
          </w:tcPr>
          <w:p>
            <w:pPr>
              <w:spacing w:after="0" w:line="156" w:lineRule="exact"/>
              <w:rPr>
                <w:rFonts w:ascii="Arial" w:cs="Arial" w:eastAsia="Arial" w:hAnsi="Arial"/>
                <w:sz w:val="18"/>
                <w:szCs w:val="18"/>
                <w:color w:val="0000FF"/>
                <w:w w:val="92"/>
              </w:rPr>
            </w:pPr>
            <w:hyperlink r:id="rId69">
              <w:r>
                <w:rPr>
                  <w:rFonts w:ascii="Arial" w:cs="Arial" w:eastAsia="Arial" w:hAnsi="Arial"/>
                  <w:sz w:val="18"/>
                  <w:szCs w:val="18"/>
                  <w:color w:val="0000FF"/>
                  <w:w w:val="92"/>
                </w:rPr>
                <w:t>Exhibit 10.2 to NN, Inc.’s Current Report on Form 8-K filed on March 22, 2021)</w:t>
              </w:r>
            </w:hyperlink>
          </w:p>
        </w:tc>
        <w:tc>
          <w:tcPr>
            <w:tcW w:w="3520" w:type="dxa"/>
            <w:vAlign w:val="bottom"/>
            <w:tcBorders>
              <w:top w:val="single" w:sz="8" w:color="0000FF"/>
            </w:tcBorders>
            <w:gridSpan w:val="5"/>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372"/>
        </w:trPr>
        <w:tc>
          <w:tcPr>
            <w:tcW w:w="1000" w:type="dxa"/>
            <w:vAlign w:val="bottom"/>
          </w:tcPr>
          <w:p>
            <w:pPr>
              <w:ind w:left="20"/>
              <w:spacing w:after="0"/>
              <w:rPr>
                <w:sz w:val="20"/>
                <w:szCs w:val="20"/>
                <w:color w:val="auto"/>
              </w:rPr>
            </w:pPr>
            <w:r>
              <w:rPr>
                <w:rFonts w:ascii="Arial" w:cs="Arial" w:eastAsia="Arial" w:hAnsi="Arial"/>
                <w:sz w:val="18"/>
                <w:szCs w:val="18"/>
                <w:color w:val="auto"/>
              </w:rPr>
              <w:t>10.3</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20" w:type="dxa"/>
            <w:vAlign w:val="bottom"/>
            <w:gridSpan w:val="15"/>
          </w:tcPr>
          <w:p>
            <w:pPr>
              <w:spacing w:after="0"/>
              <w:rPr>
                <w:rFonts w:ascii="Arial" w:cs="Arial" w:eastAsia="Arial" w:hAnsi="Arial"/>
                <w:sz w:val="18"/>
                <w:szCs w:val="18"/>
                <w:color w:val="0000FF"/>
                <w:w w:val="91"/>
              </w:rPr>
            </w:pPr>
            <w:hyperlink r:id="rId70">
              <w:r>
                <w:rPr>
                  <w:rFonts w:ascii="Arial" w:cs="Arial" w:eastAsia="Arial" w:hAnsi="Arial"/>
                  <w:sz w:val="18"/>
                  <w:szCs w:val="18"/>
                  <w:color w:val="0000FF"/>
                  <w:w w:val="91"/>
                </w:rPr>
                <w:t>Term Loan Credit Agreement, dated March 22, 2021, by and among the Company, as borrower, and Oaktree Fund Administration, LLC,</w:t>
              </w:r>
            </w:hyperlink>
          </w:p>
        </w:tc>
        <w:tc>
          <w:tcPr>
            <w:tcW w:w="0" w:type="dxa"/>
            <w:vAlign w:val="bottom"/>
          </w:tcPr>
          <w:p>
            <w:pPr>
              <w:spacing w:after="0"/>
              <w:rPr>
                <w:sz w:val="1"/>
                <w:szCs w:val="1"/>
                <w:color w:val="auto"/>
              </w:rPr>
            </w:pPr>
          </w:p>
        </w:tc>
      </w:tr>
      <w:tr>
        <w:trPr>
          <w:trHeight w:val="156"/>
        </w:trPr>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20" w:type="dxa"/>
            <w:vAlign w:val="bottom"/>
            <w:tcBorders>
              <w:top w:val="single" w:sz="8" w:color="0000FF"/>
            </w:tcBorders>
            <w:gridSpan w:val="13"/>
          </w:tcPr>
          <w:p>
            <w:pPr>
              <w:spacing w:after="0" w:line="156" w:lineRule="exact"/>
              <w:rPr>
                <w:rFonts w:ascii="Arial" w:cs="Arial" w:eastAsia="Arial" w:hAnsi="Arial"/>
                <w:sz w:val="18"/>
                <w:szCs w:val="18"/>
                <w:color w:val="0000FF"/>
                <w:w w:val="93"/>
              </w:rPr>
            </w:pPr>
            <w:hyperlink r:id="rId70">
              <w:r>
                <w:rPr>
                  <w:rFonts w:ascii="Arial" w:cs="Arial" w:eastAsia="Arial" w:hAnsi="Arial"/>
                  <w:sz w:val="18"/>
                  <w:szCs w:val="18"/>
                  <w:color w:val="0000FF"/>
                  <w:w w:val="93"/>
                </w:rPr>
                <w:t>as administrative agent (incorporated by reference to Exhibit 10.3 to NN, Inc.’s Current Report on Form 8-K filed on March 22, 2021)</w:t>
              </w:r>
            </w:hyperlink>
          </w:p>
        </w:tc>
        <w:tc>
          <w:tcPr>
            <w:tcW w:w="10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6740" w:type="dxa"/>
            <w:vAlign w:val="bottom"/>
            <w:gridSpan w:val="4"/>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1160" w:type="dxa"/>
            <w:vAlign w:val="bottom"/>
            <w:gridSpan w:val="2"/>
            <w:shd w:val="clear" w:color="auto" w:fill="0000FF"/>
          </w:tcPr>
          <w:p>
            <w:pPr>
              <w:spacing w:after="0" w:line="20" w:lineRule="exact"/>
              <w:rPr>
                <w:sz w:val="1"/>
                <w:szCs w:val="1"/>
                <w:color w:val="auto"/>
              </w:rPr>
            </w:pPr>
          </w:p>
        </w:tc>
        <w:tc>
          <w:tcPr>
            <w:tcW w:w="100" w:type="dxa"/>
            <w:vAlign w:val="bottom"/>
            <w:tcBorders>
              <w:right w:val="single" w:sz="8" w:color="0000FF"/>
            </w:tcBorders>
            <w:gridSpan w:val="2"/>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1000" w:type="dxa"/>
            <w:vAlign w:val="bottom"/>
          </w:tcPr>
          <w:p>
            <w:pPr>
              <w:ind w:left="20"/>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20" w:type="dxa"/>
            <w:vAlign w:val="bottom"/>
            <w:gridSpan w:val="15"/>
          </w:tcPr>
          <w:p>
            <w:pPr>
              <w:spacing w:after="0"/>
              <w:rPr>
                <w:rFonts w:ascii="Arial" w:cs="Arial" w:eastAsia="Arial" w:hAnsi="Arial"/>
                <w:sz w:val="18"/>
                <w:szCs w:val="18"/>
                <w:color w:val="0000FF"/>
                <w:w w:val="91"/>
              </w:rPr>
            </w:pPr>
            <w:hyperlink r:id="rId71">
              <w:r>
                <w:rPr>
                  <w:rFonts w:ascii="Arial" w:cs="Arial" w:eastAsia="Arial" w:hAnsi="Arial"/>
                  <w:sz w:val="18"/>
                  <w:szCs w:val="18"/>
                  <w:color w:val="0000FF"/>
                  <w:w w:val="91"/>
                </w:rPr>
                <w:t>Credit Agreement, dated March 22, 2021, by and among the Company, as borrower, and JPMorgan Chase Bank, N.A., as administrative</w:t>
              </w:r>
            </w:hyperlink>
          </w:p>
        </w:tc>
        <w:tc>
          <w:tcPr>
            <w:tcW w:w="0" w:type="dxa"/>
            <w:vAlign w:val="bottom"/>
          </w:tcPr>
          <w:p>
            <w:pPr>
              <w:spacing w:after="0"/>
              <w:rPr>
                <w:sz w:val="1"/>
                <w:szCs w:val="1"/>
                <w:color w:val="auto"/>
              </w:rPr>
            </w:pPr>
          </w:p>
        </w:tc>
      </w:tr>
      <w:tr>
        <w:trPr>
          <w:trHeight w:val="156"/>
        </w:trPr>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400" w:type="dxa"/>
            <w:vAlign w:val="bottom"/>
            <w:tcBorders>
              <w:top w:val="single" w:sz="8" w:color="0000FF"/>
              <w:bottom w:val="single" w:sz="8" w:color="0000FF"/>
            </w:tcBorders>
            <w:gridSpan w:val="7"/>
          </w:tcPr>
          <w:p>
            <w:pPr>
              <w:spacing w:after="0" w:line="156" w:lineRule="exact"/>
              <w:rPr>
                <w:rFonts w:ascii="Arial" w:cs="Arial" w:eastAsia="Arial" w:hAnsi="Arial"/>
                <w:sz w:val="18"/>
                <w:szCs w:val="18"/>
                <w:color w:val="0000FF"/>
                <w:w w:val="91"/>
              </w:rPr>
            </w:pPr>
            <w:hyperlink r:id="rId71">
              <w:r>
                <w:rPr>
                  <w:rFonts w:ascii="Arial" w:cs="Arial" w:eastAsia="Arial" w:hAnsi="Arial"/>
                  <w:sz w:val="18"/>
                  <w:szCs w:val="18"/>
                  <w:color w:val="0000FF"/>
                  <w:w w:val="91"/>
                </w:rPr>
                <w:t>agent (incorporated by reference to Exhibit 10.4 to NN, Inc.’s Current Report on Form 8-K filed on March 22, 2021)</w:t>
              </w:r>
            </w:hyperlink>
          </w:p>
        </w:tc>
        <w:tc>
          <w:tcPr>
            <w:tcW w:w="1400" w:type="dxa"/>
            <w:vAlign w:val="bottom"/>
            <w:tcBorders>
              <w:top w:val="single" w:sz="8" w:color="0000FF"/>
            </w:tcBorders>
            <w:gridSpan w:val="5"/>
          </w:tcPr>
          <w:p>
            <w:pPr>
              <w:spacing w:after="0"/>
              <w:rPr>
                <w:sz w:val="13"/>
                <w:szCs w:val="13"/>
                <w:color w:val="auto"/>
              </w:rPr>
            </w:pPr>
          </w:p>
        </w:tc>
        <w:tc>
          <w:tcPr>
            <w:tcW w:w="12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371"/>
        </w:trPr>
        <w:tc>
          <w:tcPr>
            <w:tcW w:w="1000" w:type="dxa"/>
            <w:vAlign w:val="bottom"/>
          </w:tcPr>
          <w:p>
            <w:pPr>
              <w:ind w:left="20"/>
              <w:spacing w:after="0"/>
              <w:rPr>
                <w:sz w:val="20"/>
                <w:szCs w:val="20"/>
                <w:color w:val="auto"/>
              </w:rPr>
            </w:pPr>
            <w:r>
              <w:rPr>
                <w:rFonts w:ascii="Arial" w:cs="Arial" w:eastAsia="Arial" w:hAnsi="Arial"/>
                <w:sz w:val="18"/>
                <w:szCs w:val="18"/>
                <w:color w:val="auto"/>
              </w:rPr>
              <w:t>31.1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20" w:type="dxa"/>
            <w:vAlign w:val="bottom"/>
            <w:gridSpan w:val="15"/>
          </w:tcPr>
          <w:p>
            <w:pPr>
              <w:spacing w:after="0"/>
              <w:rPr>
                <w:rFonts w:ascii="Arial" w:cs="Arial" w:eastAsia="Arial" w:hAnsi="Arial"/>
                <w:sz w:val="18"/>
                <w:szCs w:val="18"/>
                <w:color w:val="0000FF"/>
                <w:w w:val="93"/>
              </w:rPr>
            </w:pPr>
            <w:hyperlink w:anchor="page35">
              <w:r>
                <w:rPr>
                  <w:rFonts w:ascii="Arial" w:cs="Arial" w:eastAsia="Arial" w:hAnsi="Arial"/>
                  <w:sz w:val="18"/>
                  <w:szCs w:val="18"/>
                  <w:color w:val="0000FF"/>
                  <w:w w:val="93"/>
                </w:rPr>
                <w:t>Certification of Principal Executive Officer Pursuant to Rules 13a-14(a) and 15d-14(a) under the Securities Exchange Act of 1934, as</w:t>
              </w:r>
            </w:hyperlink>
          </w:p>
        </w:tc>
        <w:tc>
          <w:tcPr>
            <w:tcW w:w="0" w:type="dxa"/>
            <w:vAlign w:val="bottom"/>
          </w:tcPr>
          <w:p>
            <w:pPr>
              <w:spacing w:after="0"/>
              <w:rPr>
                <w:sz w:val="1"/>
                <w:szCs w:val="1"/>
                <w:color w:val="auto"/>
              </w:rPr>
            </w:pPr>
          </w:p>
        </w:tc>
      </w:tr>
      <w:tr>
        <w:trPr>
          <w:trHeight w:val="156"/>
        </w:trPr>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60" w:type="dxa"/>
            <w:vAlign w:val="bottom"/>
            <w:tcBorders>
              <w:top w:val="single" w:sz="8" w:color="0000FF"/>
            </w:tcBorders>
            <w:gridSpan w:val="11"/>
          </w:tcPr>
          <w:p>
            <w:pPr>
              <w:spacing w:after="0" w:line="156" w:lineRule="exact"/>
              <w:rPr>
                <w:rFonts w:ascii="Arial" w:cs="Arial" w:eastAsia="Arial" w:hAnsi="Arial"/>
                <w:sz w:val="18"/>
                <w:szCs w:val="18"/>
                <w:color w:val="0000FF"/>
              </w:rPr>
            </w:pPr>
            <w:hyperlink w:anchor="page35">
              <w:r>
                <w:rPr>
                  <w:rFonts w:ascii="Arial" w:cs="Arial" w:eastAsia="Arial" w:hAnsi="Arial"/>
                  <w:sz w:val="18"/>
                  <w:szCs w:val="18"/>
                  <w:color w:val="0000FF"/>
                </w:rPr>
                <w:t>amended.</w:t>
              </w:r>
            </w:hyperlink>
          </w:p>
        </w:tc>
        <w:tc>
          <w:tcPr>
            <w:tcW w:w="26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674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00" w:type="dxa"/>
            <w:vAlign w:val="bottom"/>
            <w:gridSpan w:val="3"/>
          </w:tcPr>
          <w:p>
            <w:pPr>
              <w:spacing w:after="0" w:line="20" w:lineRule="exact"/>
              <w:rPr>
                <w:sz w:val="1"/>
                <w:szCs w:val="1"/>
                <w:color w:val="auto"/>
              </w:rPr>
            </w:pPr>
          </w:p>
        </w:tc>
        <w:tc>
          <w:tcPr>
            <w:tcW w:w="36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1000" w:type="dxa"/>
            <w:vAlign w:val="bottom"/>
          </w:tcPr>
          <w:p>
            <w:pPr>
              <w:ind w:left="20"/>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20" w:type="dxa"/>
            <w:vAlign w:val="bottom"/>
            <w:gridSpan w:val="15"/>
          </w:tcPr>
          <w:p>
            <w:pPr>
              <w:spacing w:after="0"/>
              <w:rPr>
                <w:rFonts w:ascii="Arial" w:cs="Arial" w:eastAsia="Arial" w:hAnsi="Arial"/>
                <w:sz w:val="18"/>
                <w:szCs w:val="18"/>
                <w:color w:val="0000FF"/>
                <w:w w:val="94"/>
              </w:rPr>
            </w:pPr>
            <w:hyperlink w:anchor="page36">
              <w:r>
                <w:rPr>
                  <w:rFonts w:ascii="Arial" w:cs="Arial" w:eastAsia="Arial" w:hAnsi="Arial"/>
                  <w:sz w:val="18"/>
                  <w:szCs w:val="18"/>
                  <w:color w:val="0000FF"/>
                  <w:w w:val="94"/>
                </w:rPr>
                <w:t>Certification of Principal Financial Officer Pursuant to Rules 13a-14(a) and 15d-14(a) under the Securities Exchange Act of 1934, as</w:t>
              </w:r>
            </w:hyperlink>
          </w:p>
        </w:tc>
        <w:tc>
          <w:tcPr>
            <w:tcW w:w="0" w:type="dxa"/>
            <w:vAlign w:val="bottom"/>
          </w:tcPr>
          <w:p>
            <w:pPr>
              <w:spacing w:after="0"/>
              <w:rPr>
                <w:sz w:val="1"/>
                <w:szCs w:val="1"/>
                <w:color w:val="auto"/>
              </w:rPr>
            </w:pPr>
          </w:p>
        </w:tc>
      </w:tr>
      <w:tr>
        <w:trPr>
          <w:trHeight w:val="156"/>
        </w:trPr>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560" w:type="dxa"/>
            <w:vAlign w:val="bottom"/>
            <w:tcBorders>
              <w:top w:val="single" w:sz="8" w:color="0000FF"/>
            </w:tcBorders>
            <w:gridSpan w:val="9"/>
          </w:tcPr>
          <w:p>
            <w:pPr>
              <w:spacing w:after="0" w:line="156" w:lineRule="exact"/>
              <w:rPr>
                <w:rFonts w:ascii="Arial" w:cs="Arial" w:eastAsia="Arial" w:hAnsi="Arial"/>
                <w:sz w:val="18"/>
                <w:szCs w:val="18"/>
                <w:color w:val="0000FF"/>
              </w:rPr>
            </w:pPr>
            <w:hyperlink w:anchor="page36">
              <w:r>
                <w:rPr>
                  <w:rFonts w:ascii="Arial" w:cs="Arial" w:eastAsia="Arial" w:hAnsi="Arial"/>
                  <w:sz w:val="18"/>
                  <w:szCs w:val="18"/>
                  <w:color w:val="0000FF"/>
                </w:rPr>
                <w:t>amended.</w:t>
              </w:r>
            </w:hyperlink>
          </w:p>
        </w:tc>
        <w:tc>
          <w:tcPr>
            <w:tcW w:w="360" w:type="dxa"/>
            <w:vAlign w:val="bottom"/>
            <w:gridSpan w:val="6"/>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674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60" w:type="dxa"/>
            <w:vAlign w:val="bottom"/>
            <w:gridSpan w:val="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1000" w:type="dxa"/>
            <w:vAlign w:val="bottom"/>
          </w:tcPr>
          <w:p>
            <w:pPr>
              <w:ind w:left="20"/>
              <w:spacing w:after="0"/>
              <w:rPr>
                <w:sz w:val="20"/>
                <w:szCs w:val="20"/>
                <w:color w:val="auto"/>
              </w:rPr>
            </w:pPr>
            <w:r>
              <w:rPr>
                <w:rFonts w:ascii="Arial" w:cs="Arial" w:eastAsia="Arial" w:hAnsi="Arial"/>
                <w:sz w:val="18"/>
                <w:szCs w:val="18"/>
                <w:color w:val="auto"/>
              </w:rPr>
              <w:t>32.1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20" w:type="dxa"/>
            <w:vAlign w:val="bottom"/>
            <w:gridSpan w:val="15"/>
          </w:tcPr>
          <w:p>
            <w:pPr>
              <w:spacing w:after="0"/>
              <w:rPr>
                <w:rFonts w:ascii="Arial" w:cs="Arial" w:eastAsia="Arial" w:hAnsi="Arial"/>
                <w:sz w:val="18"/>
                <w:szCs w:val="18"/>
                <w:color w:val="0000FF"/>
              </w:rPr>
            </w:pPr>
            <w:hyperlink w:anchor="page37">
              <w:r>
                <w:rPr>
                  <w:rFonts w:ascii="Arial" w:cs="Arial" w:eastAsia="Arial" w:hAnsi="Arial"/>
                  <w:sz w:val="18"/>
                  <w:szCs w:val="18"/>
                  <w:color w:val="0000FF"/>
                </w:rPr>
                <w:t>Certification of Principal Executive Officer pursuant to Section 906 of the Sarbanes-Oxley Act of 2002.</w:t>
              </w:r>
            </w:hyperlink>
          </w:p>
        </w:tc>
        <w:tc>
          <w:tcPr>
            <w:tcW w:w="0" w:type="dxa"/>
            <w:vAlign w:val="bottom"/>
          </w:tcPr>
          <w:p>
            <w:pPr>
              <w:spacing w:after="0"/>
              <w:rPr>
                <w:sz w:val="1"/>
                <w:szCs w:val="1"/>
                <w:color w:val="auto"/>
              </w:rPr>
            </w:pPr>
          </w:p>
        </w:tc>
      </w:tr>
      <w:tr>
        <w:trPr>
          <w:trHeight w:val="371"/>
        </w:trPr>
        <w:tc>
          <w:tcPr>
            <w:tcW w:w="1000" w:type="dxa"/>
            <w:vAlign w:val="bottom"/>
          </w:tcPr>
          <w:p>
            <w:pPr>
              <w:ind w:left="20"/>
              <w:spacing w:after="0"/>
              <w:rPr>
                <w:sz w:val="20"/>
                <w:szCs w:val="20"/>
                <w:color w:val="auto"/>
              </w:rPr>
            </w:pPr>
            <w:r>
              <w:rPr>
                <w:rFonts w:ascii="Arial" w:cs="Arial" w:eastAsia="Arial" w:hAnsi="Arial"/>
                <w:sz w:val="18"/>
                <w:szCs w:val="18"/>
                <w:color w:val="auto"/>
              </w:rPr>
              <w:t>32.2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20" w:type="dxa"/>
            <w:vAlign w:val="bottom"/>
            <w:tcBorders>
              <w:top w:val="single" w:sz="8" w:color="0000FF"/>
              <w:bottom w:val="single" w:sz="8" w:color="0000FF"/>
            </w:tcBorders>
            <w:gridSpan w:val="5"/>
          </w:tcPr>
          <w:p>
            <w:pPr>
              <w:spacing w:after="0"/>
              <w:rPr>
                <w:rFonts w:ascii="Arial" w:cs="Arial" w:eastAsia="Arial" w:hAnsi="Arial"/>
                <w:sz w:val="18"/>
                <w:szCs w:val="18"/>
                <w:color w:val="0000FF"/>
                <w:w w:val="91"/>
              </w:rPr>
            </w:pPr>
            <w:hyperlink w:anchor="page38">
              <w:r>
                <w:rPr>
                  <w:rFonts w:ascii="Arial" w:cs="Arial" w:eastAsia="Arial" w:hAnsi="Arial"/>
                  <w:sz w:val="18"/>
                  <w:szCs w:val="18"/>
                  <w:color w:val="0000FF"/>
                  <w:w w:val="91"/>
                </w:rPr>
                <w:t>Certification of Principal Financial Officer pursuant to Section 906 of the Sarbanes-Oxley Act of 2002.</w:t>
              </w:r>
            </w:hyperlink>
          </w:p>
        </w:tc>
        <w:tc>
          <w:tcPr>
            <w:tcW w:w="40" w:type="dxa"/>
            <w:vAlign w:val="bottom"/>
            <w:tcBorders>
              <w:top w:val="single" w:sz="8" w:color="0000FF"/>
            </w:tcBorders>
          </w:tcPr>
          <w:p>
            <w:pPr>
              <w:spacing w:after="0"/>
              <w:rPr>
                <w:sz w:val="24"/>
                <w:szCs w:val="24"/>
                <w:color w:val="auto"/>
              </w:rPr>
            </w:pPr>
          </w:p>
        </w:tc>
        <w:tc>
          <w:tcPr>
            <w:tcW w:w="246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120" w:type="dxa"/>
            <w:vAlign w:val="bottom"/>
            <w:gridSpan w:val="2"/>
          </w:tcPr>
          <w:p>
            <w:pPr>
              <w:ind w:left="20"/>
              <w:spacing w:after="0"/>
              <w:rPr>
                <w:sz w:val="20"/>
                <w:szCs w:val="20"/>
                <w:color w:val="auto"/>
              </w:rPr>
            </w:pPr>
            <w:r>
              <w:rPr>
                <w:rFonts w:ascii="Arial" w:cs="Arial" w:eastAsia="Arial" w:hAnsi="Arial"/>
                <w:sz w:val="18"/>
                <w:szCs w:val="18"/>
                <w:color w:val="auto"/>
              </w:rPr>
              <w:t>101.INS</w:t>
            </w:r>
          </w:p>
        </w:tc>
        <w:tc>
          <w:tcPr>
            <w:tcW w:w="20" w:type="dxa"/>
            <w:vAlign w:val="bottom"/>
          </w:tcPr>
          <w:p>
            <w:pPr>
              <w:spacing w:after="0"/>
              <w:rPr>
                <w:sz w:val="24"/>
                <w:szCs w:val="24"/>
                <w:color w:val="auto"/>
              </w:rPr>
            </w:pPr>
          </w:p>
        </w:tc>
        <w:tc>
          <w:tcPr>
            <w:tcW w:w="9920" w:type="dxa"/>
            <w:vAlign w:val="bottom"/>
            <w:gridSpan w:val="15"/>
          </w:tcPr>
          <w:p>
            <w:pPr>
              <w:spacing w:after="0"/>
              <w:rPr>
                <w:sz w:val="20"/>
                <w:szCs w:val="20"/>
                <w:color w:val="auto"/>
              </w:rPr>
            </w:pPr>
            <w:r>
              <w:rPr>
                <w:rFonts w:ascii="Arial" w:cs="Arial" w:eastAsia="Arial" w:hAnsi="Arial"/>
                <w:sz w:val="18"/>
                <w:szCs w:val="18"/>
                <w:color w:val="auto"/>
              </w:rPr>
              <w:t>XBRL Instance Document</w:t>
            </w:r>
          </w:p>
        </w:tc>
        <w:tc>
          <w:tcPr>
            <w:tcW w:w="0" w:type="dxa"/>
            <w:vAlign w:val="bottom"/>
          </w:tcPr>
          <w:p>
            <w:pPr>
              <w:spacing w:after="0"/>
              <w:rPr>
                <w:sz w:val="1"/>
                <w:szCs w:val="1"/>
                <w:color w:val="auto"/>
              </w:rPr>
            </w:pPr>
          </w:p>
        </w:tc>
      </w:tr>
      <w:tr>
        <w:trPr>
          <w:trHeight w:val="392"/>
        </w:trPr>
        <w:tc>
          <w:tcPr>
            <w:tcW w:w="1120" w:type="dxa"/>
            <w:vAlign w:val="bottom"/>
            <w:gridSpan w:val="2"/>
          </w:tcPr>
          <w:p>
            <w:pPr>
              <w:ind w:left="20"/>
              <w:spacing w:after="0"/>
              <w:rPr>
                <w:sz w:val="20"/>
                <w:szCs w:val="20"/>
                <w:color w:val="auto"/>
              </w:rPr>
            </w:pPr>
            <w:r>
              <w:rPr>
                <w:rFonts w:ascii="Arial" w:cs="Arial" w:eastAsia="Arial" w:hAnsi="Arial"/>
                <w:sz w:val="18"/>
                <w:szCs w:val="18"/>
                <w:color w:val="auto"/>
              </w:rPr>
              <w:t>101.SCH</w:t>
            </w:r>
          </w:p>
        </w:tc>
        <w:tc>
          <w:tcPr>
            <w:tcW w:w="20" w:type="dxa"/>
            <w:vAlign w:val="bottom"/>
          </w:tcPr>
          <w:p>
            <w:pPr>
              <w:spacing w:after="0"/>
              <w:rPr>
                <w:sz w:val="24"/>
                <w:szCs w:val="24"/>
                <w:color w:val="auto"/>
              </w:rPr>
            </w:pPr>
          </w:p>
        </w:tc>
        <w:tc>
          <w:tcPr>
            <w:tcW w:w="9920" w:type="dxa"/>
            <w:vAlign w:val="bottom"/>
            <w:gridSpan w:val="15"/>
          </w:tcPr>
          <w:p>
            <w:pPr>
              <w:spacing w:after="0"/>
              <w:rPr>
                <w:sz w:val="20"/>
                <w:szCs w:val="20"/>
                <w:color w:val="auto"/>
              </w:rPr>
            </w:pPr>
            <w:r>
              <w:rPr>
                <w:rFonts w:ascii="Arial" w:cs="Arial" w:eastAsia="Arial" w:hAnsi="Arial"/>
                <w:sz w:val="18"/>
                <w:szCs w:val="18"/>
                <w:color w:val="auto"/>
              </w:rPr>
              <w:t>XBRL Taxonomy Extension Service</w:t>
            </w:r>
          </w:p>
        </w:tc>
        <w:tc>
          <w:tcPr>
            <w:tcW w:w="0" w:type="dxa"/>
            <w:vAlign w:val="bottom"/>
          </w:tcPr>
          <w:p>
            <w:pPr>
              <w:spacing w:after="0"/>
              <w:rPr>
                <w:sz w:val="1"/>
                <w:szCs w:val="1"/>
                <w:color w:val="auto"/>
              </w:rPr>
            </w:pPr>
          </w:p>
        </w:tc>
      </w:tr>
      <w:tr>
        <w:trPr>
          <w:trHeight w:val="391"/>
        </w:trPr>
        <w:tc>
          <w:tcPr>
            <w:tcW w:w="1120" w:type="dxa"/>
            <w:vAlign w:val="bottom"/>
            <w:gridSpan w:val="2"/>
          </w:tcPr>
          <w:p>
            <w:pPr>
              <w:ind w:left="20"/>
              <w:spacing w:after="0"/>
              <w:rPr>
                <w:sz w:val="20"/>
                <w:szCs w:val="20"/>
                <w:color w:val="auto"/>
              </w:rPr>
            </w:pPr>
            <w:r>
              <w:rPr>
                <w:rFonts w:ascii="Arial" w:cs="Arial" w:eastAsia="Arial" w:hAnsi="Arial"/>
                <w:sz w:val="18"/>
                <w:szCs w:val="18"/>
                <w:color w:val="auto"/>
              </w:rPr>
              <w:t>101.CAL</w:t>
            </w:r>
          </w:p>
        </w:tc>
        <w:tc>
          <w:tcPr>
            <w:tcW w:w="20" w:type="dxa"/>
            <w:vAlign w:val="bottom"/>
          </w:tcPr>
          <w:p>
            <w:pPr>
              <w:spacing w:after="0"/>
              <w:rPr>
                <w:sz w:val="24"/>
                <w:szCs w:val="24"/>
                <w:color w:val="auto"/>
              </w:rPr>
            </w:pPr>
          </w:p>
        </w:tc>
        <w:tc>
          <w:tcPr>
            <w:tcW w:w="9920" w:type="dxa"/>
            <w:vAlign w:val="bottom"/>
            <w:gridSpan w:val="15"/>
          </w:tcPr>
          <w:p>
            <w:pPr>
              <w:spacing w:after="0"/>
              <w:rPr>
                <w:sz w:val="20"/>
                <w:szCs w:val="20"/>
                <w:color w:val="auto"/>
              </w:rPr>
            </w:pPr>
            <w:r>
              <w:rPr>
                <w:rFonts w:ascii="Arial" w:cs="Arial" w:eastAsia="Arial" w:hAnsi="Arial"/>
                <w:sz w:val="18"/>
                <w:szCs w:val="18"/>
                <w:color w:val="auto"/>
              </w:rPr>
              <w:t>Taxonomy Calculation Linkbase</w:t>
            </w:r>
          </w:p>
        </w:tc>
        <w:tc>
          <w:tcPr>
            <w:tcW w:w="0" w:type="dxa"/>
            <w:vAlign w:val="bottom"/>
          </w:tcPr>
          <w:p>
            <w:pPr>
              <w:spacing w:after="0"/>
              <w:rPr>
                <w:sz w:val="1"/>
                <w:szCs w:val="1"/>
                <w:color w:val="auto"/>
              </w:rPr>
            </w:pPr>
          </w:p>
        </w:tc>
      </w:tr>
      <w:tr>
        <w:trPr>
          <w:trHeight w:val="392"/>
        </w:trPr>
        <w:tc>
          <w:tcPr>
            <w:tcW w:w="1120" w:type="dxa"/>
            <w:vAlign w:val="bottom"/>
            <w:gridSpan w:val="2"/>
          </w:tcPr>
          <w:p>
            <w:pPr>
              <w:ind w:left="20"/>
              <w:spacing w:after="0"/>
              <w:rPr>
                <w:sz w:val="20"/>
                <w:szCs w:val="20"/>
                <w:color w:val="auto"/>
              </w:rPr>
            </w:pPr>
            <w:r>
              <w:rPr>
                <w:rFonts w:ascii="Arial" w:cs="Arial" w:eastAsia="Arial" w:hAnsi="Arial"/>
                <w:sz w:val="18"/>
                <w:szCs w:val="18"/>
                <w:color w:val="auto"/>
              </w:rPr>
              <w:t>101.LAB</w:t>
            </w:r>
          </w:p>
        </w:tc>
        <w:tc>
          <w:tcPr>
            <w:tcW w:w="20" w:type="dxa"/>
            <w:vAlign w:val="bottom"/>
          </w:tcPr>
          <w:p>
            <w:pPr>
              <w:spacing w:after="0"/>
              <w:rPr>
                <w:sz w:val="24"/>
                <w:szCs w:val="24"/>
                <w:color w:val="auto"/>
              </w:rPr>
            </w:pPr>
          </w:p>
        </w:tc>
        <w:tc>
          <w:tcPr>
            <w:tcW w:w="9920" w:type="dxa"/>
            <w:vAlign w:val="bottom"/>
            <w:gridSpan w:val="15"/>
          </w:tcPr>
          <w:p>
            <w:pPr>
              <w:spacing w:after="0"/>
              <w:rPr>
                <w:sz w:val="20"/>
                <w:szCs w:val="20"/>
                <w:color w:val="auto"/>
              </w:rPr>
            </w:pPr>
            <w:r>
              <w:rPr>
                <w:rFonts w:ascii="Arial" w:cs="Arial" w:eastAsia="Arial" w:hAnsi="Arial"/>
                <w:sz w:val="18"/>
                <w:szCs w:val="18"/>
                <w:color w:val="auto"/>
              </w:rPr>
              <w:t>XBRL Taxonomy Label Linkbase</w:t>
            </w:r>
          </w:p>
        </w:tc>
        <w:tc>
          <w:tcPr>
            <w:tcW w:w="0" w:type="dxa"/>
            <w:vAlign w:val="bottom"/>
          </w:tcPr>
          <w:p>
            <w:pPr>
              <w:spacing w:after="0"/>
              <w:rPr>
                <w:sz w:val="1"/>
                <w:szCs w:val="1"/>
                <w:color w:val="auto"/>
              </w:rPr>
            </w:pPr>
          </w:p>
        </w:tc>
      </w:tr>
      <w:tr>
        <w:trPr>
          <w:trHeight w:val="391"/>
        </w:trPr>
        <w:tc>
          <w:tcPr>
            <w:tcW w:w="1120" w:type="dxa"/>
            <w:vAlign w:val="bottom"/>
            <w:gridSpan w:val="2"/>
          </w:tcPr>
          <w:p>
            <w:pPr>
              <w:ind w:left="20"/>
              <w:spacing w:after="0"/>
              <w:rPr>
                <w:sz w:val="20"/>
                <w:szCs w:val="20"/>
                <w:color w:val="auto"/>
              </w:rPr>
            </w:pPr>
            <w:r>
              <w:rPr>
                <w:rFonts w:ascii="Arial" w:cs="Arial" w:eastAsia="Arial" w:hAnsi="Arial"/>
                <w:sz w:val="18"/>
                <w:szCs w:val="18"/>
                <w:color w:val="auto"/>
              </w:rPr>
              <w:t>101.PRE</w:t>
            </w:r>
          </w:p>
        </w:tc>
        <w:tc>
          <w:tcPr>
            <w:tcW w:w="20" w:type="dxa"/>
            <w:vAlign w:val="bottom"/>
          </w:tcPr>
          <w:p>
            <w:pPr>
              <w:spacing w:after="0"/>
              <w:rPr>
                <w:sz w:val="24"/>
                <w:szCs w:val="24"/>
                <w:color w:val="auto"/>
              </w:rPr>
            </w:pPr>
          </w:p>
        </w:tc>
        <w:tc>
          <w:tcPr>
            <w:tcW w:w="9920" w:type="dxa"/>
            <w:vAlign w:val="bottom"/>
            <w:gridSpan w:val="15"/>
          </w:tcPr>
          <w:p>
            <w:pPr>
              <w:spacing w:after="0"/>
              <w:rPr>
                <w:sz w:val="20"/>
                <w:szCs w:val="20"/>
                <w:color w:val="auto"/>
              </w:rPr>
            </w:pPr>
            <w:r>
              <w:rPr>
                <w:rFonts w:ascii="Arial" w:cs="Arial" w:eastAsia="Arial" w:hAnsi="Arial"/>
                <w:sz w:val="18"/>
                <w:szCs w:val="18"/>
                <w:color w:val="auto"/>
              </w:rPr>
              <w:t>XBRL Presentation Linkbase Document</w:t>
            </w:r>
          </w:p>
        </w:tc>
        <w:tc>
          <w:tcPr>
            <w:tcW w:w="0" w:type="dxa"/>
            <w:vAlign w:val="bottom"/>
          </w:tcPr>
          <w:p>
            <w:pPr>
              <w:spacing w:after="0"/>
              <w:rPr>
                <w:sz w:val="1"/>
                <w:szCs w:val="1"/>
                <w:color w:val="auto"/>
              </w:rPr>
            </w:pPr>
          </w:p>
        </w:tc>
      </w:tr>
      <w:tr>
        <w:trPr>
          <w:trHeight w:val="392"/>
        </w:trPr>
        <w:tc>
          <w:tcPr>
            <w:tcW w:w="1120" w:type="dxa"/>
            <w:vAlign w:val="bottom"/>
            <w:gridSpan w:val="2"/>
          </w:tcPr>
          <w:p>
            <w:pPr>
              <w:ind w:left="20"/>
              <w:spacing w:after="0"/>
              <w:rPr>
                <w:sz w:val="20"/>
                <w:szCs w:val="20"/>
                <w:color w:val="auto"/>
              </w:rPr>
            </w:pPr>
            <w:r>
              <w:rPr>
                <w:rFonts w:ascii="Arial" w:cs="Arial" w:eastAsia="Arial" w:hAnsi="Arial"/>
                <w:sz w:val="18"/>
                <w:szCs w:val="18"/>
                <w:color w:val="auto"/>
              </w:rPr>
              <w:t>101.DEF</w:t>
            </w:r>
          </w:p>
        </w:tc>
        <w:tc>
          <w:tcPr>
            <w:tcW w:w="20" w:type="dxa"/>
            <w:vAlign w:val="bottom"/>
          </w:tcPr>
          <w:p>
            <w:pPr>
              <w:spacing w:after="0"/>
              <w:rPr>
                <w:sz w:val="24"/>
                <w:szCs w:val="24"/>
                <w:color w:val="auto"/>
              </w:rPr>
            </w:pPr>
          </w:p>
        </w:tc>
        <w:tc>
          <w:tcPr>
            <w:tcW w:w="9920" w:type="dxa"/>
            <w:vAlign w:val="bottom"/>
            <w:gridSpan w:val="15"/>
          </w:tcPr>
          <w:p>
            <w:pPr>
              <w:spacing w:after="0"/>
              <w:rPr>
                <w:sz w:val="20"/>
                <w:szCs w:val="20"/>
                <w:color w:val="auto"/>
              </w:rPr>
            </w:pPr>
            <w:r>
              <w:rPr>
                <w:rFonts w:ascii="Arial" w:cs="Arial" w:eastAsia="Arial" w:hAnsi="Arial"/>
                <w:sz w:val="18"/>
                <w:szCs w:val="18"/>
                <w:color w:val="auto"/>
              </w:rPr>
              <w:t>XBRL Definition Linkbase Document</w:t>
            </w:r>
          </w:p>
        </w:tc>
        <w:tc>
          <w:tcPr>
            <w:tcW w:w="0" w:type="dxa"/>
            <w:vAlign w:val="bottom"/>
          </w:tcPr>
          <w:p>
            <w:pPr>
              <w:spacing w:after="0"/>
              <w:rPr>
                <w:sz w:val="1"/>
                <w:szCs w:val="1"/>
                <w:color w:val="auto"/>
              </w:rPr>
            </w:pPr>
          </w:p>
        </w:tc>
      </w:tr>
    </w:tbl>
    <w:p>
      <w:pPr>
        <w:spacing w:after="0" w:line="269" w:lineRule="exact"/>
        <w:rPr>
          <w:sz w:val="20"/>
          <w:szCs w:val="20"/>
          <w:color w:val="auto"/>
        </w:rPr>
      </w:pPr>
    </w:p>
    <w:p>
      <w:pPr>
        <w:ind w:left="40" w:right="3360" w:hanging="14"/>
        <w:spacing w:after="0" w:line="418" w:lineRule="auto"/>
        <w:tabs>
          <w:tab w:leader="none" w:pos="1134"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 * Management contract or compensatory plan or arrangement</w:t>
      </w:r>
    </w:p>
    <w:p>
      <w:pPr>
        <w:spacing w:after="0" w:line="200" w:lineRule="exact"/>
        <w:rPr>
          <w:sz w:val="20"/>
          <w:szCs w:val="20"/>
          <w:color w:val="auto"/>
        </w:rPr>
      </w:pPr>
    </w:p>
    <w:p>
      <w:pPr>
        <w:spacing w:after="0" w:line="28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233" w:right="519" w:bottom="1440" w:gutter="0" w:footer="0" w:header="0"/>
        </w:sectPr>
      </w:pPr>
    </w:p>
    <w:bookmarkStart w:id="33" w:name="page34"/>
    <w:bookmarkEnd w:id="3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54"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5600" w:type="dxa"/>
            <w:vAlign w:val="bottom"/>
          </w:tcPr>
          <w:p>
            <w:pPr>
              <w:spacing w:after="0"/>
              <w:rPr>
                <w:sz w:val="20"/>
                <w:szCs w:val="20"/>
                <w:color w:val="auto"/>
              </w:rPr>
            </w:pPr>
          </w:p>
        </w:tc>
        <w:tc>
          <w:tcPr>
            <w:tcW w:w="56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NN, Inc.</w:t>
            </w:r>
          </w:p>
        </w:tc>
      </w:tr>
      <w:tr>
        <w:trPr>
          <w:trHeight w:val="224"/>
        </w:trPr>
        <w:tc>
          <w:tcPr>
            <w:tcW w:w="5600" w:type="dxa"/>
            <w:vAlign w:val="bottom"/>
          </w:tcPr>
          <w:p>
            <w:pPr>
              <w:spacing w:after="0"/>
              <w:rPr>
                <w:sz w:val="19"/>
                <w:szCs w:val="19"/>
                <w:color w:val="auto"/>
              </w:rPr>
            </w:pPr>
          </w:p>
        </w:tc>
        <w:tc>
          <w:tcPr>
            <w:tcW w:w="5600" w:type="dxa"/>
            <w:vAlign w:val="bottom"/>
          </w:tcPr>
          <w:p>
            <w:pPr>
              <w:ind w:left="20"/>
              <w:spacing w:after="0"/>
              <w:rPr>
                <w:sz w:val="20"/>
                <w:szCs w:val="20"/>
                <w:color w:val="auto"/>
              </w:rPr>
            </w:pPr>
            <w:r>
              <w:rPr>
                <w:rFonts w:ascii="Arial" w:cs="Arial" w:eastAsia="Arial" w:hAnsi="Arial"/>
                <w:sz w:val="18"/>
                <w:szCs w:val="18"/>
                <w:color w:val="auto"/>
              </w:rPr>
              <w:t>(Registrant)</w:t>
            </w:r>
          </w:p>
        </w:tc>
      </w:tr>
      <w:tr>
        <w:trPr>
          <w:trHeight w:val="499"/>
        </w:trPr>
        <w:tc>
          <w:tcPr>
            <w:tcW w:w="5600" w:type="dxa"/>
            <w:vAlign w:val="bottom"/>
          </w:tcPr>
          <w:p>
            <w:pPr>
              <w:spacing w:after="0"/>
              <w:rPr>
                <w:sz w:val="20"/>
                <w:szCs w:val="20"/>
                <w:color w:val="auto"/>
              </w:rPr>
            </w:pPr>
            <w:r>
              <w:rPr>
                <w:rFonts w:ascii="Arial" w:cs="Arial" w:eastAsia="Arial" w:hAnsi="Arial"/>
                <w:sz w:val="18"/>
                <w:szCs w:val="18"/>
                <w:color w:val="auto"/>
              </w:rPr>
              <w:t>Date: May 7, 2021</w:t>
            </w:r>
          </w:p>
        </w:tc>
        <w:tc>
          <w:tcPr>
            <w:tcW w:w="56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Warren A. Veltman</w:t>
            </w:r>
          </w:p>
        </w:tc>
      </w:tr>
      <w:tr>
        <w:trPr>
          <w:trHeight w:val="222"/>
        </w:trPr>
        <w:tc>
          <w:tcPr>
            <w:tcW w:w="5600" w:type="dxa"/>
            <w:vAlign w:val="bottom"/>
          </w:tcPr>
          <w:p>
            <w:pPr>
              <w:spacing w:after="0"/>
              <w:rPr>
                <w:sz w:val="19"/>
                <w:szCs w:val="19"/>
                <w:color w:val="auto"/>
              </w:rPr>
            </w:pPr>
          </w:p>
        </w:tc>
        <w:tc>
          <w:tcPr>
            <w:tcW w:w="5600" w:type="dxa"/>
            <w:vAlign w:val="bottom"/>
          </w:tcPr>
          <w:p>
            <w:pPr>
              <w:ind w:left="20"/>
              <w:spacing w:after="0"/>
              <w:rPr>
                <w:sz w:val="20"/>
                <w:szCs w:val="20"/>
                <w:color w:val="auto"/>
              </w:rPr>
            </w:pPr>
            <w:r>
              <w:rPr>
                <w:rFonts w:ascii="Arial" w:cs="Arial" w:eastAsia="Arial" w:hAnsi="Arial"/>
                <w:sz w:val="18"/>
                <w:szCs w:val="18"/>
                <w:color w:val="auto"/>
              </w:rPr>
              <w:t>Warren A. Veltman</w:t>
            </w:r>
          </w:p>
        </w:tc>
      </w:tr>
      <w:tr>
        <w:trPr>
          <w:trHeight w:val="229"/>
        </w:trPr>
        <w:tc>
          <w:tcPr>
            <w:tcW w:w="5600" w:type="dxa"/>
            <w:vAlign w:val="bottom"/>
          </w:tcPr>
          <w:p>
            <w:pPr>
              <w:spacing w:after="0"/>
              <w:rPr>
                <w:sz w:val="19"/>
                <w:szCs w:val="19"/>
                <w:color w:val="auto"/>
              </w:rPr>
            </w:pPr>
          </w:p>
        </w:tc>
        <w:tc>
          <w:tcPr>
            <w:tcW w:w="5600" w:type="dxa"/>
            <w:vAlign w:val="bottom"/>
          </w:tcPr>
          <w:p>
            <w:pPr>
              <w:ind w:left="20"/>
              <w:spacing w:after="0"/>
              <w:rPr>
                <w:sz w:val="20"/>
                <w:szCs w:val="20"/>
                <w:color w:val="auto"/>
              </w:rPr>
            </w:pPr>
            <w:r>
              <w:rPr>
                <w:rFonts w:ascii="Arial" w:cs="Arial" w:eastAsia="Arial" w:hAnsi="Arial"/>
                <w:sz w:val="18"/>
                <w:szCs w:val="18"/>
                <w:color w:val="auto"/>
              </w:rPr>
              <w:t>President, Chief Executive Officer and Director</w:t>
            </w:r>
          </w:p>
        </w:tc>
      </w:tr>
      <w:tr>
        <w:trPr>
          <w:trHeight w:val="230"/>
        </w:trPr>
        <w:tc>
          <w:tcPr>
            <w:tcW w:w="5600" w:type="dxa"/>
            <w:vAlign w:val="bottom"/>
          </w:tcPr>
          <w:p>
            <w:pPr>
              <w:spacing w:after="0"/>
              <w:rPr>
                <w:sz w:val="19"/>
                <w:szCs w:val="19"/>
                <w:color w:val="auto"/>
              </w:rPr>
            </w:pPr>
          </w:p>
        </w:tc>
        <w:tc>
          <w:tcPr>
            <w:tcW w:w="560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r>
      <w:tr>
        <w:trPr>
          <w:trHeight w:val="230"/>
        </w:trPr>
        <w:tc>
          <w:tcPr>
            <w:tcW w:w="5600" w:type="dxa"/>
            <w:vAlign w:val="bottom"/>
          </w:tcPr>
          <w:p>
            <w:pPr>
              <w:spacing w:after="0"/>
              <w:rPr>
                <w:sz w:val="20"/>
                <w:szCs w:val="20"/>
                <w:color w:val="auto"/>
              </w:rPr>
            </w:pPr>
          </w:p>
        </w:tc>
        <w:tc>
          <w:tcPr>
            <w:tcW w:w="5600" w:type="dxa"/>
            <w:vAlign w:val="bottom"/>
          </w:tcPr>
          <w:p>
            <w:pPr>
              <w:ind w:left="20"/>
              <w:spacing w:after="0"/>
              <w:rPr>
                <w:sz w:val="20"/>
                <w:szCs w:val="20"/>
                <w:color w:val="auto"/>
              </w:rPr>
            </w:pPr>
            <w:r>
              <w:rPr>
                <w:rFonts w:ascii="Arial" w:cs="Arial" w:eastAsia="Arial" w:hAnsi="Arial"/>
                <w:sz w:val="18"/>
                <w:szCs w:val="18"/>
                <w:color w:val="auto"/>
              </w:rPr>
              <w:t>(Duly Authorized Officer)</w:t>
            </w:r>
          </w:p>
        </w:tc>
      </w:tr>
      <w:tr>
        <w:trPr>
          <w:trHeight w:val="499"/>
        </w:trPr>
        <w:tc>
          <w:tcPr>
            <w:tcW w:w="5600" w:type="dxa"/>
            <w:vAlign w:val="bottom"/>
          </w:tcPr>
          <w:p>
            <w:pPr>
              <w:spacing w:after="0"/>
              <w:rPr>
                <w:sz w:val="20"/>
                <w:szCs w:val="20"/>
                <w:color w:val="auto"/>
              </w:rPr>
            </w:pPr>
            <w:r>
              <w:rPr>
                <w:rFonts w:ascii="Arial" w:cs="Arial" w:eastAsia="Arial" w:hAnsi="Arial"/>
                <w:sz w:val="18"/>
                <w:szCs w:val="18"/>
                <w:color w:val="auto"/>
              </w:rPr>
              <w:t>Date: May 7, 2021</w:t>
            </w:r>
          </w:p>
        </w:tc>
        <w:tc>
          <w:tcPr>
            <w:tcW w:w="56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Thomas D. DeByle</w:t>
            </w:r>
          </w:p>
        </w:tc>
      </w:tr>
      <w:tr>
        <w:trPr>
          <w:trHeight w:val="222"/>
        </w:trPr>
        <w:tc>
          <w:tcPr>
            <w:tcW w:w="5600" w:type="dxa"/>
            <w:vAlign w:val="bottom"/>
          </w:tcPr>
          <w:p>
            <w:pPr>
              <w:spacing w:after="0"/>
              <w:rPr>
                <w:sz w:val="19"/>
                <w:szCs w:val="19"/>
                <w:color w:val="auto"/>
              </w:rPr>
            </w:pPr>
          </w:p>
        </w:tc>
        <w:tc>
          <w:tcPr>
            <w:tcW w:w="5600" w:type="dxa"/>
            <w:vAlign w:val="bottom"/>
          </w:tcPr>
          <w:p>
            <w:pPr>
              <w:ind w:left="20"/>
              <w:spacing w:after="0"/>
              <w:rPr>
                <w:sz w:val="20"/>
                <w:szCs w:val="20"/>
                <w:color w:val="auto"/>
              </w:rPr>
            </w:pPr>
            <w:r>
              <w:rPr>
                <w:rFonts w:ascii="Arial" w:cs="Arial" w:eastAsia="Arial" w:hAnsi="Arial"/>
                <w:sz w:val="18"/>
                <w:szCs w:val="18"/>
                <w:color w:val="auto"/>
              </w:rPr>
              <w:t>Thomas D. DeByle</w:t>
            </w:r>
          </w:p>
        </w:tc>
      </w:tr>
      <w:tr>
        <w:trPr>
          <w:trHeight w:val="229"/>
        </w:trPr>
        <w:tc>
          <w:tcPr>
            <w:tcW w:w="5600" w:type="dxa"/>
            <w:vAlign w:val="bottom"/>
          </w:tcPr>
          <w:p>
            <w:pPr>
              <w:spacing w:after="0"/>
              <w:rPr>
                <w:sz w:val="19"/>
                <w:szCs w:val="19"/>
                <w:color w:val="auto"/>
              </w:rPr>
            </w:pPr>
          </w:p>
        </w:tc>
        <w:tc>
          <w:tcPr>
            <w:tcW w:w="5600" w:type="dxa"/>
            <w:vAlign w:val="bottom"/>
          </w:tcPr>
          <w:p>
            <w:pPr>
              <w:ind w:left="20"/>
              <w:spacing w:after="0"/>
              <w:rPr>
                <w:sz w:val="20"/>
                <w:szCs w:val="20"/>
                <w:color w:val="auto"/>
              </w:rPr>
            </w:pPr>
            <w:r>
              <w:rPr>
                <w:rFonts w:ascii="Arial" w:cs="Arial" w:eastAsia="Arial" w:hAnsi="Arial"/>
                <w:sz w:val="18"/>
                <w:szCs w:val="18"/>
                <w:color w:val="auto"/>
              </w:rPr>
              <w:t>Senior Vice President—Chief Financial Officer</w:t>
            </w:r>
          </w:p>
        </w:tc>
      </w:tr>
      <w:tr>
        <w:trPr>
          <w:trHeight w:val="230"/>
        </w:trPr>
        <w:tc>
          <w:tcPr>
            <w:tcW w:w="5600" w:type="dxa"/>
            <w:vAlign w:val="bottom"/>
          </w:tcPr>
          <w:p>
            <w:pPr>
              <w:spacing w:after="0"/>
              <w:rPr>
                <w:sz w:val="19"/>
                <w:szCs w:val="19"/>
                <w:color w:val="auto"/>
              </w:rPr>
            </w:pPr>
          </w:p>
        </w:tc>
        <w:tc>
          <w:tcPr>
            <w:tcW w:w="5600" w:type="dxa"/>
            <w:vAlign w:val="bottom"/>
          </w:tcPr>
          <w:p>
            <w:pPr>
              <w:ind w:left="20"/>
              <w:spacing w:after="0"/>
              <w:rPr>
                <w:sz w:val="20"/>
                <w:szCs w:val="20"/>
                <w:color w:val="auto"/>
              </w:rPr>
            </w:pPr>
            <w:r>
              <w:rPr>
                <w:rFonts w:ascii="Arial" w:cs="Arial" w:eastAsia="Arial" w:hAnsi="Arial"/>
                <w:sz w:val="18"/>
                <w:szCs w:val="18"/>
                <w:color w:val="auto"/>
              </w:rPr>
              <w:t>(Principal Financial Officer)</w:t>
            </w:r>
          </w:p>
        </w:tc>
      </w:tr>
      <w:tr>
        <w:trPr>
          <w:trHeight w:val="230"/>
        </w:trPr>
        <w:tc>
          <w:tcPr>
            <w:tcW w:w="5600" w:type="dxa"/>
            <w:vAlign w:val="bottom"/>
          </w:tcPr>
          <w:p>
            <w:pPr>
              <w:spacing w:after="0"/>
              <w:rPr>
                <w:sz w:val="20"/>
                <w:szCs w:val="20"/>
                <w:color w:val="auto"/>
              </w:rPr>
            </w:pPr>
          </w:p>
        </w:tc>
        <w:tc>
          <w:tcPr>
            <w:tcW w:w="5600" w:type="dxa"/>
            <w:vAlign w:val="bottom"/>
          </w:tcPr>
          <w:p>
            <w:pPr>
              <w:ind w:left="20"/>
              <w:spacing w:after="0"/>
              <w:rPr>
                <w:sz w:val="20"/>
                <w:szCs w:val="20"/>
                <w:color w:val="auto"/>
              </w:rPr>
            </w:pPr>
            <w:r>
              <w:rPr>
                <w:rFonts w:ascii="Arial" w:cs="Arial" w:eastAsia="Arial" w:hAnsi="Arial"/>
                <w:sz w:val="18"/>
                <w:szCs w:val="18"/>
                <w:color w:val="auto"/>
              </w:rPr>
              <w:t>(Duly Authorized Officer)</w:t>
            </w:r>
          </w:p>
        </w:tc>
      </w:tr>
      <w:tr>
        <w:trPr>
          <w:trHeight w:val="486"/>
        </w:trPr>
        <w:tc>
          <w:tcPr>
            <w:tcW w:w="5600" w:type="dxa"/>
            <w:vAlign w:val="bottom"/>
          </w:tcPr>
          <w:p>
            <w:pPr>
              <w:spacing w:after="0"/>
              <w:rPr>
                <w:sz w:val="20"/>
                <w:szCs w:val="20"/>
                <w:color w:val="auto"/>
              </w:rPr>
            </w:pPr>
            <w:r>
              <w:rPr>
                <w:rFonts w:ascii="Arial" w:cs="Arial" w:eastAsia="Arial" w:hAnsi="Arial"/>
                <w:sz w:val="18"/>
                <w:szCs w:val="18"/>
                <w:color w:val="auto"/>
              </w:rPr>
              <w:t>Date: May 7, 2021</w:t>
            </w:r>
          </w:p>
        </w:tc>
        <w:tc>
          <w:tcPr>
            <w:tcW w:w="56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Michael C. Felcher</w:t>
            </w:r>
          </w:p>
        </w:tc>
      </w:tr>
      <w:tr>
        <w:trPr>
          <w:trHeight w:val="222"/>
        </w:trPr>
        <w:tc>
          <w:tcPr>
            <w:tcW w:w="5600" w:type="dxa"/>
            <w:vAlign w:val="bottom"/>
          </w:tcPr>
          <w:p>
            <w:pPr>
              <w:spacing w:after="0"/>
              <w:rPr>
                <w:sz w:val="19"/>
                <w:szCs w:val="19"/>
                <w:color w:val="auto"/>
              </w:rPr>
            </w:pPr>
          </w:p>
        </w:tc>
        <w:tc>
          <w:tcPr>
            <w:tcW w:w="5600" w:type="dxa"/>
            <w:vAlign w:val="bottom"/>
          </w:tcPr>
          <w:p>
            <w:pPr>
              <w:ind w:left="20"/>
              <w:spacing w:after="0"/>
              <w:rPr>
                <w:sz w:val="20"/>
                <w:szCs w:val="20"/>
                <w:color w:val="auto"/>
              </w:rPr>
            </w:pPr>
            <w:r>
              <w:rPr>
                <w:rFonts w:ascii="Arial" w:cs="Arial" w:eastAsia="Arial" w:hAnsi="Arial"/>
                <w:sz w:val="18"/>
                <w:szCs w:val="18"/>
                <w:color w:val="auto"/>
              </w:rPr>
              <w:t>Michael C. Felcher</w:t>
            </w:r>
          </w:p>
        </w:tc>
      </w:tr>
      <w:tr>
        <w:trPr>
          <w:trHeight w:val="230"/>
        </w:trPr>
        <w:tc>
          <w:tcPr>
            <w:tcW w:w="5600" w:type="dxa"/>
            <w:vAlign w:val="bottom"/>
          </w:tcPr>
          <w:p>
            <w:pPr>
              <w:spacing w:after="0"/>
              <w:rPr>
                <w:sz w:val="19"/>
                <w:szCs w:val="19"/>
                <w:color w:val="auto"/>
              </w:rPr>
            </w:pPr>
          </w:p>
        </w:tc>
        <w:tc>
          <w:tcPr>
            <w:tcW w:w="5600" w:type="dxa"/>
            <w:vAlign w:val="bottom"/>
          </w:tcPr>
          <w:p>
            <w:pPr>
              <w:ind w:left="20"/>
              <w:spacing w:after="0"/>
              <w:rPr>
                <w:sz w:val="20"/>
                <w:szCs w:val="20"/>
                <w:color w:val="auto"/>
              </w:rPr>
            </w:pPr>
            <w:r>
              <w:rPr>
                <w:rFonts w:ascii="Arial" w:cs="Arial" w:eastAsia="Arial" w:hAnsi="Arial"/>
                <w:sz w:val="18"/>
                <w:szCs w:val="18"/>
                <w:color w:val="auto"/>
              </w:rPr>
              <w:t>Vice President—Chief Accounting Officer</w:t>
            </w:r>
          </w:p>
        </w:tc>
      </w:tr>
      <w:tr>
        <w:trPr>
          <w:trHeight w:val="230"/>
        </w:trPr>
        <w:tc>
          <w:tcPr>
            <w:tcW w:w="5600" w:type="dxa"/>
            <w:vAlign w:val="bottom"/>
          </w:tcPr>
          <w:p>
            <w:pPr>
              <w:spacing w:after="0"/>
              <w:rPr>
                <w:sz w:val="20"/>
                <w:szCs w:val="20"/>
                <w:color w:val="auto"/>
              </w:rPr>
            </w:pPr>
          </w:p>
        </w:tc>
        <w:tc>
          <w:tcPr>
            <w:tcW w:w="5600" w:type="dxa"/>
            <w:vAlign w:val="bottom"/>
          </w:tcPr>
          <w:p>
            <w:pPr>
              <w:ind w:left="20"/>
              <w:spacing w:after="0"/>
              <w:rPr>
                <w:sz w:val="20"/>
                <w:szCs w:val="20"/>
                <w:color w:val="auto"/>
              </w:rPr>
            </w:pPr>
            <w:r>
              <w:rPr>
                <w:rFonts w:ascii="Arial" w:cs="Arial" w:eastAsia="Arial" w:hAnsi="Arial"/>
                <w:sz w:val="18"/>
                <w:szCs w:val="18"/>
                <w:color w:val="auto"/>
              </w:rPr>
              <w:t>(Principal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20"/>
          </w:cols>
          <w:pgMar w:left="320" w:top="233" w:right="35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31.1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PRINCIPAL EXECUTIVE OFFICER PURSUANT TO RULES 13a-14(a) AND 15d-14(a)</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UNDER THE SECURITIES EXCHANGE ACT OF 1934, AS AMENDED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Warren A. Veltman, certify that:</w:t>
      </w:r>
    </w:p>
    <w:p>
      <w:pPr>
        <w:spacing w:after="0" w:line="171" w:lineRule="exact"/>
        <w:rPr>
          <w:sz w:val="20"/>
          <w:szCs w:val="20"/>
          <w:color w:val="auto"/>
        </w:rPr>
      </w:pPr>
    </w:p>
    <w:p>
      <w:pPr>
        <w:ind w:left="320" w:hanging="312"/>
        <w:spacing w:after="0"/>
        <w:tabs>
          <w:tab w:leader="none" w:pos="3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NN, Inc.;</w:t>
      </w:r>
    </w:p>
    <w:p>
      <w:pPr>
        <w:spacing w:after="0" w:line="117" w:lineRule="exact"/>
        <w:rPr>
          <w:rFonts w:ascii="Arial" w:cs="Arial" w:eastAsia="Arial" w:hAnsi="Arial"/>
          <w:sz w:val="18"/>
          <w:szCs w:val="18"/>
          <w:color w:val="auto"/>
        </w:rPr>
      </w:pPr>
    </w:p>
    <w:p>
      <w:pPr>
        <w:jc w:val="both"/>
        <w:ind w:left="340" w:right="460" w:hanging="332"/>
        <w:spacing w:after="0" w:line="263" w:lineRule="auto"/>
        <w:tabs>
          <w:tab w:leader="none" w:pos="328"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340" w:right="420" w:hanging="332"/>
        <w:spacing w:after="0" w:line="308" w:lineRule="auto"/>
        <w:tabs>
          <w:tab w:leader="none" w:pos="328" w:val="left"/>
        </w:tabs>
        <w:numPr>
          <w:ilvl w:val="0"/>
          <w:numId w:val="1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340" w:right="20" w:hanging="332"/>
        <w:spacing w:after="0" w:line="263" w:lineRule="auto"/>
        <w:tabs>
          <w:tab w:leader="none" w:pos="328"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980" w:right="60" w:hanging="324"/>
        <w:spacing w:after="0" w:line="263" w:lineRule="auto"/>
        <w:tabs>
          <w:tab w:leader="none" w:pos="971"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980" w:right="360" w:hanging="324"/>
        <w:spacing w:after="0" w:line="263" w:lineRule="auto"/>
        <w:tabs>
          <w:tab w:leader="none" w:pos="968"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980" w:right="540" w:hanging="324"/>
        <w:spacing w:after="0" w:line="342" w:lineRule="auto"/>
        <w:tabs>
          <w:tab w:leader="none" w:pos="971" w:val="left"/>
        </w:tabs>
        <w:numPr>
          <w:ilvl w:val="1"/>
          <w:numId w:val="1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980" w:right="60" w:hanging="324"/>
        <w:spacing w:after="0" w:line="263" w:lineRule="auto"/>
        <w:tabs>
          <w:tab w:leader="none" w:pos="968" w:val="left"/>
        </w:tabs>
        <w:numPr>
          <w:ilvl w:val="1"/>
          <w:numId w:val="1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the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340" w:right="340" w:hanging="332"/>
        <w:spacing w:after="0" w:line="308" w:lineRule="auto"/>
        <w:tabs>
          <w:tab w:leader="none" w:pos="328"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980" w:right="780" w:hanging="324"/>
        <w:spacing w:after="0" w:line="342" w:lineRule="auto"/>
        <w:tabs>
          <w:tab w:leader="none" w:pos="971" w:val="left"/>
        </w:tabs>
        <w:numPr>
          <w:ilvl w:val="1"/>
          <w:numId w:val="1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980" w:right="480" w:hanging="324"/>
        <w:spacing w:after="0" w:line="277" w:lineRule="auto"/>
        <w:tabs>
          <w:tab w:leader="none" w:pos="968" w:val="left"/>
        </w:tabs>
        <w:numPr>
          <w:ilvl w:val="1"/>
          <w:numId w:val="1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67"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6180" w:type="dxa"/>
            <w:vAlign w:val="bottom"/>
          </w:tcPr>
          <w:p>
            <w:pPr>
              <w:spacing w:after="0"/>
              <w:rPr>
                <w:sz w:val="20"/>
                <w:szCs w:val="20"/>
                <w:color w:val="auto"/>
              </w:rPr>
            </w:pPr>
            <w:r>
              <w:rPr>
                <w:rFonts w:ascii="Arial" w:cs="Arial" w:eastAsia="Arial" w:hAnsi="Arial"/>
                <w:sz w:val="18"/>
                <w:szCs w:val="18"/>
                <w:color w:val="auto"/>
              </w:rPr>
              <w:t>May 7, 2021</w:t>
            </w:r>
          </w:p>
        </w:tc>
        <w:tc>
          <w:tcPr>
            <w:tcW w:w="50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Warren A. Veltman</w:t>
            </w:r>
          </w:p>
        </w:tc>
      </w:tr>
      <w:tr>
        <w:trPr>
          <w:trHeight w:val="222"/>
        </w:trPr>
        <w:tc>
          <w:tcPr>
            <w:tcW w:w="6180" w:type="dxa"/>
            <w:vAlign w:val="bottom"/>
          </w:tcPr>
          <w:p>
            <w:pPr>
              <w:spacing w:after="0"/>
              <w:rPr>
                <w:sz w:val="19"/>
                <w:szCs w:val="19"/>
                <w:color w:val="auto"/>
              </w:rPr>
            </w:pPr>
          </w:p>
        </w:tc>
        <w:tc>
          <w:tcPr>
            <w:tcW w:w="5000" w:type="dxa"/>
            <w:vAlign w:val="bottom"/>
          </w:tcPr>
          <w:p>
            <w:pPr>
              <w:ind w:left="20"/>
              <w:spacing w:after="0"/>
              <w:rPr>
                <w:sz w:val="20"/>
                <w:szCs w:val="20"/>
                <w:color w:val="auto"/>
              </w:rPr>
            </w:pPr>
            <w:r>
              <w:rPr>
                <w:rFonts w:ascii="Arial" w:cs="Arial" w:eastAsia="Arial" w:hAnsi="Arial"/>
                <w:sz w:val="18"/>
                <w:szCs w:val="18"/>
                <w:color w:val="auto"/>
              </w:rPr>
              <w:t>Warren A. Veltman</w:t>
            </w:r>
          </w:p>
        </w:tc>
      </w:tr>
      <w:tr>
        <w:trPr>
          <w:trHeight w:val="230"/>
        </w:trPr>
        <w:tc>
          <w:tcPr>
            <w:tcW w:w="6180" w:type="dxa"/>
            <w:vAlign w:val="bottom"/>
          </w:tcPr>
          <w:p>
            <w:pPr>
              <w:spacing w:after="0"/>
              <w:rPr>
                <w:sz w:val="19"/>
                <w:szCs w:val="19"/>
                <w:color w:val="auto"/>
              </w:rPr>
            </w:pPr>
          </w:p>
        </w:tc>
        <w:tc>
          <w:tcPr>
            <w:tcW w:w="5000" w:type="dxa"/>
            <w:vAlign w:val="bottom"/>
          </w:tcPr>
          <w:p>
            <w:pPr>
              <w:ind w:left="20"/>
              <w:spacing w:after="0"/>
              <w:rPr>
                <w:sz w:val="20"/>
                <w:szCs w:val="20"/>
                <w:color w:val="auto"/>
              </w:rPr>
            </w:pPr>
            <w:r>
              <w:rPr>
                <w:rFonts w:ascii="Arial" w:cs="Arial" w:eastAsia="Arial" w:hAnsi="Arial"/>
                <w:sz w:val="18"/>
                <w:szCs w:val="18"/>
                <w:color w:val="auto"/>
              </w:rPr>
              <w:t>President, Chief Executive Officer and Director</w:t>
            </w:r>
          </w:p>
        </w:tc>
      </w:tr>
      <w:tr>
        <w:trPr>
          <w:trHeight w:val="230"/>
        </w:trPr>
        <w:tc>
          <w:tcPr>
            <w:tcW w:w="6180" w:type="dxa"/>
            <w:vAlign w:val="bottom"/>
          </w:tcPr>
          <w:p>
            <w:pPr>
              <w:spacing w:after="0"/>
              <w:rPr>
                <w:sz w:val="20"/>
                <w:szCs w:val="20"/>
                <w:color w:val="auto"/>
              </w:rPr>
            </w:pPr>
          </w:p>
        </w:tc>
        <w:tc>
          <w:tcPr>
            <w:tcW w:w="500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240"/>
          </w:cols>
          <w:pgMar w:left="320" w:top="891" w:right="33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31.2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PRINCIPAL FINANCIAL OFFICER PURSUANT TO RULES 13a-14(a) AND 15d-14(a)</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UNDER THE SECURITIES EXCHANGE ACT OF 1934, AS AMENDED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Thomas D. DeByle, certify that:</w:t>
      </w:r>
    </w:p>
    <w:p>
      <w:pPr>
        <w:spacing w:after="0" w:line="171" w:lineRule="exact"/>
        <w:rPr>
          <w:sz w:val="20"/>
          <w:szCs w:val="20"/>
          <w:color w:val="auto"/>
        </w:rPr>
      </w:pPr>
    </w:p>
    <w:p>
      <w:pPr>
        <w:ind w:left="320" w:hanging="312"/>
        <w:spacing w:after="0"/>
        <w:tabs>
          <w:tab w:leader="none" w:pos="3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NN, Inc.;</w:t>
      </w:r>
    </w:p>
    <w:p>
      <w:pPr>
        <w:spacing w:after="0" w:line="117" w:lineRule="exact"/>
        <w:rPr>
          <w:rFonts w:ascii="Arial" w:cs="Arial" w:eastAsia="Arial" w:hAnsi="Arial"/>
          <w:sz w:val="18"/>
          <w:szCs w:val="18"/>
          <w:color w:val="auto"/>
        </w:rPr>
      </w:pPr>
    </w:p>
    <w:p>
      <w:pPr>
        <w:jc w:val="both"/>
        <w:ind w:left="340" w:right="460" w:hanging="332"/>
        <w:spacing w:after="0" w:line="263" w:lineRule="auto"/>
        <w:tabs>
          <w:tab w:leader="none" w:pos="328"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340" w:right="420" w:hanging="332"/>
        <w:spacing w:after="0" w:line="308" w:lineRule="auto"/>
        <w:tabs>
          <w:tab w:leader="none" w:pos="328" w:val="left"/>
        </w:tabs>
        <w:numPr>
          <w:ilvl w:val="0"/>
          <w:numId w:val="1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340" w:right="20" w:hanging="332"/>
        <w:spacing w:after="0" w:line="263" w:lineRule="auto"/>
        <w:tabs>
          <w:tab w:leader="none" w:pos="328"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980" w:right="60" w:hanging="324"/>
        <w:spacing w:after="0" w:line="263" w:lineRule="auto"/>
        <w:tabs>
          <w:tab w:leader="none" w:pos="971"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980" w:right="360" w:hanging="324"/>
        <w:spacing w:after="0" w:line="263" w:lineRule="auto"/>
        <w:tabs>
          <w:tab w:leader="none" w:pos="968"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980" w:right="540" w:hanging="324"/>
        <w:spacing w:after="0" w:line="342" w:lineRule="auto"/>
        <w:tabs>
          <w:tab w:leader="none" w:pos="971" w:val="left"/>
        </w:tabs>
        <w:numPr>
          <w:ilvl w:val="1"/>
          <w:numId w:val="1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980" w:right="60" w:hanging="324"/>
        <w:spacing w:after="0" w:line="263" w:lineRule="auto"/>
        <w:tabs>
          <w:tab w:leader="none" w:pos="968" w:val="left"/>
        </w:tabs>
        <w:numPr>
          <w:ilvl w:val="1"/>
          <w:numId w:val="1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the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340" w:right="340" w:hanging="332"/>
        <w:spacing w:after="0" w:line="308" w:lineRule="auto"/>
        <w:tabs>
          <w:tab w:leader="none" w:pos="328"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980" w:right="780" w:hanging="324"/>
        <w:spacing w:after="0" w:line="342" w:lineRule="auto"/>
        <w:tabs>
          <w:tab w:leader="none" w:pos="971" w:val="left"/>
        </w:tabs>
        <w:numPr>
          <w:ilvl w:val="1"/>
          <w:numId w:val="1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980" w:right="480" w:hanging="324"/>
        <w:spacing w:after="0" w:line="277" w:lineRule="auto"/>
        <w:tabs>
          <w:tab w:leader="none" w:pos="968" w:val="left"/>
        </w:tabs>
        <w:numPr>
          <w:ilvl w:val="1"/>
          <w:numId w:val="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6180" w:type="dxa"/>
            <w:vAlign w:val="bottom"/>
          </w:tcPr>
          <w:p>
            <w:pPr>
              <w:spacing w:after="0"/>
              <w:rPr>
                <w:sz w:val="20"/>
                <w:szCs w:val="20"/>
                <w:color w:val="auto"/>
              </w:rPr>
            </w:pPr>
            <w:r>
              <w:rPr>
                <w:rFonts w:ascii="Arial" w:cs="Arial" w:eastAsia="Arial" w:hAnsi="Arial"/>
                <w:sz w:val="18"/>
                <w:szCs w:val="18"/>
                <w:color w:val="auto"/>
              </w:rPr>
              <w:t>May 7, 2021</w:t>
            </w:r>
          </w:p>
        </w:tc>
        <w:tc>
          <w:tcPr>
            <w:tcW w:w="50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Warren A. Veltman</w:t>
            </w:r>
          </w:p>
        </w:tc>
      </w:tr>
      <w:tr>
        <w:trPr>
          <w:trHeight w:val="224"/>
        </w:trPr>
        <w:tc>
          <w:tcPr>
            <w:tcW w:w="6180" w:type="dxa"/>
            <w:vAlign w:val="bottom"/>
          </w:tcPr>
          <w:p>
            <w:pPr>
              <w:spacing w:after="0"/>
              <w:rPr>
                <w:sz w:val="19"/>
                <w:szCs w:val="19"/>
                <w:color w:val="auto"/>
              </w:rPr>
            </w:pPr>
          </w:p>
        </w:tc>
        <w:tc>
          <w:tcPr>
            <w:tcW w:w="5000" w:type="dxa"/>
            <w:vAlign w:val="bottom"/>
          </w:tcPr>
          <w:p>
            <w:pPr>
              <w:ind w:left="20"/>
              <w:spacing w:after="0"/>
              <w:rPr>
                <w:sz w:val="20"/>
                <w:szCs w:val="20"/>
                <w:color w:val="auto"/>
              </w:rPr>
            </w:pPr>
            <w:r>
              <w:rPr>
                <w:rFonts w:ascii="Arial" w:cs="Arial" w:eastAsia="Arial" w:hAnsi="Arial"/>
                <w:sz w:val="18"/>
                <w:szCs w:val="18"/>
                <w:color w:val="auto"/>
              </w:rPr>
              <w:t>Thomas D. DeByle</w:t>
            </w:r>
          </w:p>
        </w:tc>
      </w:tr>
    </w:tbl>
    <w:p>
      <w:pPr>
        <w:ind w:left="6220"/>
        <w:spacing w:after="0"/>
        <w:rPr>
          <w:sz w:val="20"/>
          <w:szCs w:val="20"/>
          <w:color w:val="auto"/>
        </w:rPr>
      </w:pPr>
      <w:r>
        <w:rPr>
          <w:rFonts w:ascii="Arial" w:cs="Arial" w:eastAsia="Arial" w:hAnsi="Arial"/>
          <w:sz w:val="18"/>
          <w:szCs w:val="18"/>
          <w:color w:val="auto"/>
        </w:rPr>
        <w:t>Senior Vice President – Chief Financial Officer</w:t>
      </w:r>
    </w:p>
    <w:p>
      <w:pPr>
        <w:spacing w:after="0" w:line="22" w:lineRule="exact"/>
        <w:rPr>
          <w:sz w:val="20"/>
          <w:szCs w:val="20"/>
          <w:color w:val="auto"/>
        </w:rPr>
      </w:pPr>
    </w:p>
    <w:p>
      <w:pPr>
        <w:ind w:left="622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240"/>
          </w:cols>
          <w:pgMar w:left="320" w:top="891" w:right="33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32.1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PRINCIPAL EXECUTIVE OFFICER PURSUANT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 SECTION 906 OF THE SARBANES-OXLEY ACT OF 2002</w:t>
      </w:r>
    </w:p>
    <w:p>
      <w:pPr>
        <w:spacing w:after="0" w:line="211"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In connection with the Quarterly Report of NN, Inc. (the “Company”) on Form 10-Q for the quarterly period ended March 31, 2021, as filed with the Securities and Exchange Commission on the date hereof (the “Report”), the undersigned, in the capacity and date indicated below, hereby certifies pursuant to 18 U.S.C. §1350, as adopted pursuant to §906 of the Sarbanes-Oxley Act of 2002, that, to my knowledge: (1) the Report fully complies with the requirements of Section 13(a) or 15(d) of the Securities Exchange Act of 1934, and (2) the information contained in the Report fairly presents, in all material respects, the financial condition and results of operations of the Company as of the dates and for the periods indicated.</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6180" w:type="dxa"/>
            <w:vAlign w:val="bottom"/>
          </w:tcPr>
          <w:p>
            <w:pPr>
              <w:spacing w:after="0"/>
              <w:rPr>
                <w:sz w:val="20"/>
                <w:szCs w:val="20"/>
                <w:color w:val="auto"/>
              </w:rPr>
            </w:pPr>
            <w:r>
              <w:rPr>
                <w:rFonts w:ascii="Arial" w:cs="Arial" w:eastAsia="Arial" w:hAnsi="Arial"/>
                <w:sz w:val="18"/>
                <w:szCs w:val="18"/>
                <w:color w:val="auto"/>
              </w:rPr>
              <w:t>May 7, 2021</w:t>
            </w:r>
          </w:p>
        </w:tc>
        <w:tc>
          <w:tcPr>
            <w:tcW w:w="50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Warren A. Veltman</w:t>
            </w:r>
          </w:p>
        </w:tc>
      </w:tr>
      <w:tr>
        <w:trPr>
          <w:trHeight w:val="222"/>
        </w:trPr>
        <w:tc>
          <w:tcPr>
            <w:tcW w:w="6180" w:type="dxa"/>
            <w:vAlign w:val="bottom"/>
          </w:tcPr>
          <w:p>
            <w:pPr>
              <w:spacing w:after="0"/>
              <w:rPr>
                <w:sz w:val="19"/>
                <w:szCs w:val="19"/>
                <w:color w:val="auto"/>
              </w:rPr>
            </w:pPr>
          </w:p>
        </w:tc>
        <w:tc>
          <w:tcPr>
            <w:tcW w:w="5000" w:type="dxa"/>
            <w:vAlign w:val="bottom"/>
          </w:tcPr>
          <w:p>
            <w:pPr>
              <w:ind w:left="20"/>
              <w:spacing w:after="0"/>
              <w:rPr>
                <w:sz w:val="20"/>
                <w:szCs w:val="20"/>
                <w:color w:val="auto"/>
              </w:rPr>
            </w:pPr>
            <w:r>
              <w:rPr>
                <w:rFonts w:ascii="Arial" w:cs="Arial" w:eastAsia="Arial" w:hAnsi="Arial"/>
                <w:sz w:val="18"/>
                <w:szCs w:val="18"/>
                <w:color w:val="auto"/>
              </w:rPr>
              <w:t>Warren A. Veltman</w:t>
            </w:r>
          </w:p>
        </w:tc>
      </w:tr>
      <w:tr>
        <w:trPr>
          <w:trHeight w:val="229"/>
        </w:trPr>
        <w:tc>
          <w:tcPr>
            <w:tcW w:w="6180" w:type="dxa"/>
            <w:vAlign w:val="bottom"/>
          </w:tcPr>
          <w:p>
            <w:pPr>
              <w:spacing w:after="0"/>
              <w:rPr>
                <w:sz w:val="19"/>
                <w:szCs w:val="19"/>
                <w:color w:val="auto"/>
              </w:rPr>
            </w:pPr>
          </w:p>
        </w:tc>
        <w:tc>
          <w:tcPr>
            <w:tcW w:w="5000" w:type="dxa"/>
            <w:vAlign w:val="bottom"/>
          </w:tcPr>
          <w:p>
            <w:pPr>
              <w:ind w:left="20"/>
              <w:spacing w:after="0"/>
              <w:rPr>
                <w:sz w:val="20"/>
                <w:szCs w:val="20"/>
                <w:color w:val="auto"/>
              </w:rPr>
            </w:pPr>
            <w:r>
              <w:rPr>
                <w:rFonts w:ascii="Arial" w:cs="Arial" w:eastAsia="Arial" w:hAnsi="Arial"/>
                <w:sz w:val="18"/>
                <w:szCs w:val="18"/>
                <w:color w:val="auto"/>
              </w:rPr>
              <w:t>President, Chief Executive Officer and Director</w:t>
            </w:r>
          </w:p>
        </w:tc>
      </w:tr>
      <w:tr>
        <w:trPr>
          <w:trHeight w:val="230"/>
        </w:trPr>
        <w:tc>
          <w:tcPr>
            <w:tcW w:w="6180" w:type="dxa"/>
            <w:vAlign w:val="bottom"/>
          </w:tcPr>
          <w:p>
            <w:pPr>
              <w:spacing w:after="0"/>
              <w:rPr>
                <w:sz w:val="20"/>
                <w:szCs w:val="20"/>
                <w:color w:val="auto"/>
              </w:rPr>
            </w:pPr>
          </w:p>
        </w:tc>
        <w:tc>
          <w:tcPr>
            <w:tcW w:w="500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240"/>
          </w:cols>
          <w:pgMar w:left="320" w:top="891" w:right="33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32.2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PRINCIPAL FINANCIAL OFFICER PURSUANT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 SECTION 906 OF THE SARBANES-OXLEY ACT OF 2002</w:t>
      </w:r>
    </w:p>
    <w:p>
      <w:pPr>
        <w:spacing w:after="0" w:line="211"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In connection with the Quarterly Report of NN, Inc. (the “Company”) on Form 10-Q for the quarterly period ended March 31, 2021, as filed with the Securities and Exchange Commission on the date hereof (the “Report”), the undersigned, in the capacity and date indicated below, hereby certifies pursuant to 18 U.S.C. §1350, as adopted pursuant to §906 of the Sarbanes-Oxley Act of 2002, that, to my knowledge: (1) the Report fully complies with the requirements of Section 13(a) or 15(d) of the Securities Exchange Act of 1934, and (2) the information contained in the Report fairly presents, in all material respects, the financial condition and results of operations of the Company as of the dates and for the periods indicated.</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6160" w:type="dxa"/>
            <w:vAlign w:val="bottom"/>
          </w:tcPr>
          <w:p>
            <w:pPr>
              <w:spacing w:after="0"/>
              <w:rPr>
                <w:sz w:val="20"/>
                <w:szCs w:val="20"/>
                <w:color w:val="auto"/>
              </w:rPr>
            </w:pPr>
            <w:r>
              <w:rPr>
                <w:rFonts w:ascii="Arial" w:cs="Arial" w:eastAsia="Arial" w:hAnsi="Arial"/>
                <w:sz w:val="18"/>
                <w:szCs w:val="18"/>
                <w:color w:val="auto"/>
              </w:rPr>
              <w:t>May 7, 2021</w:t>
            </w:r>
          </w:p>
        </w:tc>
        <w:tc>
          <w:tcPr>
            <w:tcW w:w="50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Thomas D. DeByle</w:t>
            </w:r>
          </w:p>
        </w:tc>
      </w:tr>
      <w:tr>
        <w:trPr>
          <w:trHeight w:val="222"/>
        </w:trPr>
        <w:tc>
          <w:tcPr>
            <w:tcW w:w="6160" w:type="dxa"/>
            <w:vAlign w:val="bottom"/>
          </w:tcPr>
          <w:p>
            <w:pPr>
              <w:spacing w:after="0"/>
              <w:rPr>
                <w:sz w:val="19"/>
                <w:szCs w:val="19"/>
                <w:color w:val="auto"/>
              </w:rPr>
            </w:pPr>
          </w:p>
        </w:tc>
        <w:tc>
          <w:tcPr>
            <w:tcW w:w="5020" w:type="dxa"/>
            <w:vAlign w:val="bottom"/>
          </w:tcPr>
          <w:p>
            <w:pPr>
              <w:ind w:left="20"/>
              <w:spacing w:after="0"/>
              <w:rPr>
                <w:sz w:val="20"/>
                <w:szCs w:val="20"/>
                <w:color w:val="auto"/>
              </w:rPr>
            </w:pPr>
            <w:r>
              <w:rPr>
                <w:rFonts w:ascii="Arial" w:cs="Arial" w:eastAsia="Arial" w:hAnsi="Arial"/>
                <w:sz w:val="18"/>
                <w:szCs w:val="18"/>
                <w:color w:val="auto"/>
              </w:rPr>
              <w:t>Thomas D. DeByle</w:t>
            </w:r>
          </w:p>
        </w:tc>
      </w:tr>
      <w:tr>
        <w:trPr>
          <w:trHeight w:val="229"/>
        </w:trPr>
        <w:tc>
          <w:tcPr>
            <w:tcW w:w="6160" w:type="dxa"/>
            <w:vAlign w:val="bottom"/>
          </w:tcPr>
          <w:p>
            <w:pPr>
              <w:spacing w:after="0"/>
              <w:rPr>
                <w:sz w:val="19"/>
                <w:szCs w:val="19"/>
                <w:color w:val="auto"/>
              </w:rPr>
            </w:pPr>
          </w:p>
        </w:tc>
        <w:tc>
          <w:tcPr>
            <w:tcW w:w="5020" w:type="dxa"/>
            <w:vAlign w:val="bottom"/>
          </w:tcPr>
          <w:p>
            <w:pPr>
              <w:ind w:left="20"/>
              <w:spacing w:after="0"/>
              <w:rPr>
                <w:sz w:val="20"/>
                <w:szCs w:val="20"/>
                <w:color w:val="auto"/>
              </w:rPr>
            </w:pPr>
            <w:r>
              <w:rPr>
                <w:rFonts w:ascii="Arial" w:cs="Arial" w:eastAsia="Arial" w:hAnsi="Arial"/>
                <w:sz w:val="18"/>
                <w:szCs w:val="18"/>
                <w:color w:val="auto"/>
              </w:rPr>
              <w:t>Senior Vice President – Chief Financial Officer</w:t>
            </w:r>
          </w:p>
        </w:tc>
      </w:tr>
      <w:tr>
        <w:trPr>
          <w:trHeight w:val="230"/>
        </w:trPr>
        <w:tc>
          <w:tcPr>
            <w:tcW w:w="6160" w:type="dxa"/>
            <w:vAlign w:val="bottom"/>
          </w:tcPr>
          <w:p>
            <w:pPr>
              <w:spacing w:after="0"/>
              <w:rPr>
                <w:sz w:val="20"/>
                <w:szCs w:val="20"/>
                <w:color w:val="auto"/>
              </w:rPr>
            </w:pPr>
          </w:p>
        </w:tc>
        <w:tc>
          <w:tcPr>
            <w:tcW w:w="5020" w:type="dxa"/>
            <w:vAlign w:val="bottom"/>
          </w:tcPr>
          <w:p>
            <w:pPr>
              <w:ind w:left="20"/>
              <w:spacing w:after="0"/>
              <w:rPr>
                <w:sz w:val="20"/>
                <w:szCs w:val="20"/>
                <w:color w:val="auto"/>
              </w:rPr>
            </w:pPr>
            <w:r>
              <w:rPr>
                <w:rFonts w:ascii="Arial" w:cs="Arial" w:eastAsia="Arial" w:hAnsi="Arial"/>
                <w:sz w:val="18"/>
                <w:szCs w:val="18"/>
                <w:color w:val="auto"/>
              </w:rPr>
              <w:t>(Principal Financial Officer)</w:t>
            </w:r>
          </w:p>
        </w:tc>
      </w:tr>
    </w:tbl>
    <w:p>
      <w:pPr>
        <w:spacing w:after="0" w:line="1" w:lineRule="exact"/>
        <w:rPr>
          <w:sz w:val="20"/>
          <w:szCs w:val="20"/>
          <w:color w:val="auto"/>
        </w:rPr>
      </w:pP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
      <w:numFmt w:val="bullet"/>
      <w:start w:val="1"/>
    </w:lvl>
  </w:abstractNum>
  <w:abstractNum w:abstractNumId="2">
    <w:nsid w:val="1F16E9E8"/>
    <w:multiLevelType w:val="hybridMultilevel"/>
    <w:lvl w:ilvl="0">
      <w:lvlJc w:val="left"/>
      <w:lvlText w:val="(%1)"/>
      <w:numFmt w:val="decimal"/>
      <w:start w:val="1"/>
    </w:lvl>
  </w:abstractNum>
  <w:abstractNum w:abstractNumId="3">
    <w:nsid w:val="1190CDE7"/>
    <w:multiLevelType w:val="hybridMultilevel"/>
    <w:lvl w:ilvl="0">
      <w:lvlJc w:val="left"/>
      <w:lvlText w:val="$"/>
      <w:numFmt w:val="bullet"/>
      <w:start w:val="1"/>
    </w:lvl>
  </w:abstractNum>
  <w:abstractNum w:abstractNumId="4">
    <w:nsid w:val="66EF438D"/>
    <w:multiLevelType w:val="hybridMultilevel"/>
    <w:lvl w:ilvl="0">
      <w:lvlJc w:val="left"/>
      <w:lvlText w:val="$"/>
      <w:numFmt w:val="bullet"/>
      <w:start w:val="1"/>
    </w:lvl>
  </w:abstractNum>
  <w:abstractNum w:abstractNumId="5">
    <w:nsid w:val="140E0F76"/>
    <w:multiLevelType w:val="hybridMultilevel"/>
    <w:lvl w:ilvl="0">
      <w:lvlJc w:val="left"/>
      <w:lvlText w:val="•"/>
      <w:numFmt w:val="bullet"/>
      <w:start w:val="1"/>
    </w:lvl>
  </w:abstractNum>
  <w:abstractNum w:abstractNumId="6">
    <w:nsid w:val="3352255A"/>
    <w:multiLevelType w:val="hybridMultilevel"/>
    <w:lvl w:ilvl="0">
      <w:lvlJc w:val="left"/>
      <w:lvlText w:val="(%1)"/>
      <w:numFmt w:val="decimal"/>
      <w:start w:val="1"/>
    </w:lvl>
  </w:abstractNum>
  <w:abstractNum w:abstractNumId="7">
    <w:nsid w:val="109CF92E"/>
    <w:multiLevelType w:val="hybridMultilevel"/>
    <w:lvl w:ilvl="0">
      <w:lvlJc w:val="left"/>
      <w:lvlText w:val="$"/>
      <w:numFmt w:val="bullet"/>
      <w:start w:val="1"/>
    </w:lvl>
  </w:abstractNum>
  <w:abstractNum w:abstractNumId="8">
    <w:nsid w:val="DED7263"/>
    <w:multiLevelType w:val="hybridMultilevel"/>
    <w:lvl w:ilvl="0">
      <w:lvlJc w:val="left"/>
      <w:lvlText w:val="(%1)"/>
      <w:numFmt w:val="decimal"/>
      <w:start w:val="1"/>
    </w:lvl>
  </w:abstractNum>
  <w:abstractNum w:abstractNumId="9">
    <w:nsid w:val="7FDCC233"/>
    <w:multiLevelType w:val="hybridMultilevel"/>
    <w:lvl w:ilvl="0">
      <w:lvlJc w:val="left"/>
      <w:lvlText w:val="(%1)"/>
      <w:numFmt w:val="decimal"/>
      <w:start w:val="1"/>
    </w:lvl>
  </w:abstractNum>
  <w:abstractNum w:abstractNumId="10">
    <w:nsid w:val="1BEFD79F"/>
    <w:multiLevelType w:val="hybridMultilevel"/>
    <w:lvl w:ilvl="0">
      <w:lvlJc w:val="left"/>
      <w:lvlText w:val="(%1)"/>
      <w:numFmt w:val="decimal"/>
      <w:start w:val="1"/>
    </w:lvl>
  </w:abstractNum>
  <w:abstractNum w:abstractNumId="11">
    <w:nsid w:val="41A7C4C9"/>
    <w:multiLevelType w:val="hybridMultilevel"/>
    <w:lvl w:ilvl="0">
      <w:lvlJc w:val="left"/>
      <w:lvlText w:val="(%1)"/>
      <w:numFmt w:val="decimal"/>
      <w:start w:val="1"/>
    </w:lvl>
  </w:abstractNum>
  <w:abstractNum w:abstractNumId="12">
    <w:nsid w:val="6B68079A"/>
    <w:multiLevelType w:val="hybridMultilevel"/>
    <w:lvl w:ilvl="0">
      <w:lvlJc w:val="left"/>
      <w:lvlText w:val="•"/>
      <w:numFmt w:val="bullet"/>
      <w:start w:val="1"/>
    </w:lvl>
  </w:abstractNum>
  <w:abstractNum w:abstractNumId="13">
    <w:nsid w:val="4E6AFB66"/>
    <w:multiLevelType w:val="hybridMultilevel"/>
    <w:lvl w:ilvl="0">
      <w:lvlJc w:val="left"/>
      <w:lvlText w:val="•"/>
      <w:numFmt w:val="bullet"/>
      <w:start w:val="1"/>
    </w:lvl>
  </w:abstractNum>
  <w:abstractNum w:abstractNumId="14">
    <w:nsid w:val="25E45D32"/>
    <w:multiLevelType w:val="hybridMultilevel"/>
    <w:lvl w:ilvl="0">
      <w:lvlJc w:val="left"/>
      <w:lvlText w:val="(%1)"/>
      <w:numFmt w:val="decimal"/>
      <w:start w:val="1"/>
    </w:lvl>
  </w:abstractNum>
  <w:abstractNum w:abstractNumId="15">
    <w:nsid w:val="519B500D"/>
    <w:multiLevelType w:val="hybridMultilevel"/>
    <w:lvl w:ilvl="0">
      <w:lvlJc w:val="left"/>
      <w:lvlText w:val="(%1)"/>
      <w:numFmt w:val="decimal"/>
      <w:start w:val="1"/>
    </w:lvl>
  </w:abstractNum>
  <w:abstractNum w:abstractNumId="16">
    <w:nsid w:val="431BD7B7"/>
    <w:multiLevelType w:val="hybridMultilevel"/>
    <w:lvl w:ilvl="0">
      <w:lvlJc w:val="left"/>
      <w:lvlText w:val="%1"/>
      <w:numFmt w:val="decimal"/>
      <w:start w:val="104"/>
    </w:lvl>
  </w:abstractNum>
  <w:abstractNum w:abstractNumId="17">
    <w:nsid w:val="3F2DBA31"/>
    <w:multiLevelType w:val="hybridMultilevel"/>
    <w:lvl w:ilvl="0">
      <w:lvlJc w:val="left"/>
      <w:lvlText w:val="%1)"/>
      <w:numFmt w:val="decimal"/>
      <w:start w:val="1"/>
    </w:lvl>
    <w:lvl w:ilvl="1">
      <w:lvlJc w:val="left"/>
      <w:lvlText w:val="%2)"/>
      <w:numFmt w:val="lowerLetter"/>
      <w:start w:val="1"/>
    </w:lvl>
  </w:abstractNum>
  <w:abstractNum w:abstractNumId="18">
    <w:nsid w:val="7C83E458"/>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72" Type="http://schemas.openxmlformats.org/officeDocument/2006/relationships/image" Target="media/image59.png"/><Relationship Id="rId66" Type="http://schemas.openxmlformats.org/officeDocument/2006/relationships/hyperlink" Target="http://www.sec.gov/Archives/edgar/data/0000918541/000119312521089609/d162543dex31.htm" TargetMode="External"/><Relationship Id="rId67" Type="http://schemas.openxmlformats.org/officeDocument/2006/relationships/hyperlink" Target="http://www.sec.gov/Archives/edgar/data/0000918541/000119312521089609/d162543dex41.htm" TargetMode="External"/><Relationship Id="rId68" Type="http://schemas.openxmlformats.org/officeDocument/2006/relationships/hyperlink" Target="http://www.sec.gov/Archives/edgar/data/0000918541/000119312521089609/d162543dex101.htm" TargetMode="External"/><Relationship Id="rId69" Type="http://schemas.openxmlformats.org/officeDocument/2006/relationships/hyperlink" Target="http://www.sec.gov/Archives/edgar/data/0000918541/000119312521089609/d162543dex102.htm" TargetMode="External"/><Relationship Id="rId70" Type="http://schemas.openxmlformats.org/officeDocument/2006/relationships/hyperlink" Target="http://www.sec.gov/Archives/edgar/data/0000918541/000119312521089609/d162543dex103.htm" TargetMode="External"/><Relationship Id="rId71" Type="http://schemas.openxmlformats.org/officeDocument/2006/relationships/hyperlink" Target="http://www.sec.gov/Archives/edgar/data/0000918541/000119312521089609/d162543dex10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2021-05-07T09:44:40Z</dcterms:created>
  <dcterms:modified xsi:type="dcterms:W3CDTF">2021-05-07T09:44:40Z</dcterms:modified>
</cp:coreProperties>
</file>