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378"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10-K/A</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REPORT PURSUANT TO SECTION 13 OR 15(d) OF THE</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EXCHANGE ACT OF 1934</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For the fiscal year ended December 31, 2000</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OR</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TRANSITION REPORT PURSUANT TO SECTION 13 OR 15(d) OF THE</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EXCHANGE ACT OF 1934</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For the transition period from to</w:t>
      </w:r>
    </w:p>
    <w:p>
      <w:pPr>
        <w:spacing w:after="0" w:line="191"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Commission file number 0-23486</w:t>
      </w:r>
    </w:p>
    <w:p>
      <w:pPr>
        <w:spacing w:after="0" w:line="200" w:lineRule="exact"/>
        <w:rPr>
          <w:sz w:val="24"/>
          <w:szCs w:val="24"/>
          <w:color w:val="auto"/>
        </w:rPr>
      </w:pPr>
    </w:p>
    <w:p>
      <w:pPr>
        <w:spacing w:after="0" w:line="364"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4"/>
          <w:szCs w:val="24"/>
          <w:color w:val="auto"/>
        </w:rPr>
      </w:pPr>
    </w:p>
    <w:tbl>
      <w:tblPr>
        <w:tblLayout w:type="fixed"/>
        <w:tblInd w:w="880" w:type="dxa"/>
        <w:tblCellMar>
          <w:top w:w="0" w:type="dxa"/>
          <w:left w:w="0" w:type="dxa"/>
          <w:bottom w:w="0" w:type="dxa"/>
          <w:right w:w="0" w:type="dxa"/>
        </w:tblCellMar>
      </w:tblPr>
      <w:tr>
        <w:trPr>
          <w:trHeight w:val="183"/>
        </w:trPr>
        <w:tc>
          <w:tcPr>
            <w:tcW w:w="41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Delaware</w:t>
            </w:r>
          </w:p>
        </w:tc>
        <w:tc>
          <w:tcPr>
            <w:tcW w:w="2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62-1096725</w:t>
            </w:r>
          </w:p>
        </w:tc>
      </w:tr>
      <w:tr>
        <w:trPr>
          <w:trHeight w:val="186"/>
        </w:trPr>
        <w:tc>
          <w:tcPr>
            <w:tcW w:w="41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(State or other jurisdiction of</w:t>
            </w:r>
          </w:p>
        </w:tc>
        <w:tc>
          <w:tcPr>
            <w:tcW w:w="21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(I.R.S. Employer</w:t>
            </w:r>
          </w:p>
        </w:tc>
      </w:tr>
      <w:tr>
        <w:trPr>
          <w:trHeight w:val="186"/>
        </w:trPr>
        <w:tc>
          <w:tcPr>
            <w:tcW w:w="41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incorporation or organization)</w:t>
            </w:r>
          </w:p>
        </w:tc>
        <w:tc>
          <w:tcPr>
            <w:tcW w:w="21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Identification No.)</w:t>
            </w:r>
          </w:p>
        </w:tc>
      </w:tr>
      <w:tr>
        <w:trPr>
          <w:trHeight w:val="373"/>
        </w:trPr>
        <w:tc>
          <w:tcPr>
            <w:tcW w:w="41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2000 Waters Edge Drive</w:t>
            </w:r>
          </w:p>
        </w:tc>
        <w:tc>
          <w:tcPr>
            <w:tcW w:w="2100" w:type="dxa"/>
            <w:vAlign w:val="bottom"/>
          </w:tcPr>
          <w:p>
            <w:pPr>
              <w:spacing w:after="0"/>
              <w:rPr>
                <w:sz w:val="24"/>
                <w:szCs w:val="24"/>
                <w:color w:val="auto"/>
              </w:rPr>
            </w:pPr>
          </w:p>
        </w:tc>
      </w:tr>
      <w:tr>
        <w:trPr>
          <w:trHeight w:val="186"/>
        </w:trPr>
        <w:tc>
          <w:tcPr>
            <w:tcW w:w="410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Johnson City, Tennessee</w:t>
            </w:r>
          </w:p>
        </w:tc>
        <w:tc>
          <w:tcPr>
            <w:tcW w:w="2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37604</w:t>
            </w:r>
          </w:p>
        </w:tc>
      </w:tr>
      <w:tr>
        <w:trPr>
          <w:trHeight w:val="186"/>
        </w:trPr>
        <w:tc>
          <w:tcPr>
            <w:tcW w:w="41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(Address of principal executive offices)</w:t>
            </w:r>
          </w:p>
        </w:tc>
        <w:tc>
          <w:tcPr>
            <w:tcW w:w="2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(Zip Code)</w:t>
            </w:r>
          </w:p>
        </w:tc>
      </w:tr>
    </w:tbl>
    <w:p>
      <w:pPr>
        <w:spacing w:after="0" w:line="190"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Registrant's telephone number, including area code: (423) 743-9151</w:t>
      </w:r>
    </w:p>
    <w:p>
      <w:pPr>
        <w:spacing w:after="0" w:line="200" w:lineRule="exact"/>
        <w:rPr>
          <w:sz w:val="24"/>
          <w:szCs w:val="24"/>
          <w:color w:val="auto"/>
        </w:rPr>
      </w:pPr>
    </w:p>
    <w:p>
      <w:pPr>
        <w:spacing w:after="0" w:line="36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pacing w:after="0" w:line="191" w:lineRule="exact"/>
        <w:rPr>
          <w:sz w:val="24"/>
          <w:szCs w:val="24"/>
          <w:color w:val="auto"/>
        </w:rPr>
      </w:pPr>
    </w:p>
    <w:tbl>
      <w:tblPr>
        <w:tblLayout w:type="fixed"/>
        <w:tblInd w:w="1840" w:type="dxa"/>
        <w:tblCellMar>
          <w:top w:w="0" w:type="dxa"/>
          <w:left w:w="0" w:type="dxa"/>
          <w:bottom w:w="0" w:type="dxa"/>
          <w:right w:w="0" w:type="dxa"/>
        </w:tblCellMar>
      </w:tblPr>
      <w:tr>
        <w:trPr>
          <w:trHeight w:val="183"/>
        </w:trPr>
        <w:tc>
          <w:tcPr>
            <w:tcW w:w="1900" w:type="dxa"/>
            <w:vAlign w:val="bottom"/>
          </w:tcPr>
          <w:p>
            <w:pPr>
              <w:jc w:val="center"/>
              <w:ind w:right="839"/>
              <w:spacing w:after="0"/>
              <w:rPr>
                <w:sz w:val="20"/>
                <w:szCs w:val="20"/>
                <w:color w:val="auto"/>
              </w:rPr>
            </w:pPr>
            <w:r>
              <w:rPr>
                <w:rFonts w:ascii="Courier New" w:cs="Courier New" w:eastAsia="Courier New" w:hAnsi="Courier New"/>
                <w:sz w:val="16"/>
                <w:szCs w:val="16"/>
                <w:color w:val="auto"/>
              </w:rPr>
              <w:t>Title of</w:t>
            </w:r>
          </w:p>
        </w:tc>
        <w:tc>
          <w:tcPr>
            <w:tcW w:w="2940" w:type="dxa"/>
            <w:vAlign w:val="bottom"/>
          </w:tcPr>
          <w:p>
            <w:pPr>
              <w:jc w:val="center"/>
              <w:ind w:left="839"/>
              <w:spacing w:after="0"/>
              <w:rPr>
                <w:sz w:val="20"/>
                <w:szCs w:val="20"/>
                <w:color w:val="auto"/>
              </w:rPr>
            </w:pPr>
            <w:r>
              <w:rPr>
                <w:rFonts w:ascii="Courier New" w:cs="Courier New" w:eastAsia="Courier New" w:hAnsi="Courier New"/>
                <w:sz w:val="16"/>
                <w:szCs w:val="16"/>
                <w:color w:val="auto"/>
              </w:rPr>
              <w:t>Name of each exchange</w:t>
            </w:r>
          </w:p>
        </w:tc>
      </w:tr>
      <w:tr>
        <w:trPr>
          <w:trHeight w:val="186"/>
        </w:trPr>
        <w:tc>
          <w:tcPr>
            <w:tcW w:w="1900" w:type="dxa"/>
            <w:vAlign w:val="bottom"/>
          </w:tcPr>
          <w:p>
            <w:pPr>
              <w:jc w:val="center"/>
              <w:ind w:right="859"/>
              <w:spacing w:after="0"/>
              <w:rPr>
                <w:sz w:val="20"/>
                <w:szCs w:val="20"/>
                <w:color w:val="auto"/>
              </w:rPr>
            </w:pPr>
            <w:r>
              <w:rPr>
                <w:rFonts w:ascii="Courier New" w:cs="Courier New" w:eastAsia="Courier New" w:hAnsi="Courier New"/>
                <w:sz w:val="16"/>
                <w:szCs w:val="16"/>
                <w:color w:val="auto"/>
                <w:w w:val="99"/>
              </w:rPr>
              <w:t>each class</w:t>
            </w:r>
          </w:p>
        </w:tc>
        <w:tc>
          <w:tcPr>
            <w:tcW w:w="2940" w:type="dxa"/>
            <w:vAlign w:val="bottom"/>
          </w:tcPr>
          <w:p>
            <w:pPr>
              <w:jc w:val="center"/>
              <w:ind w:left="819"/>
              <w:spacing w:after="0"/>
              <w:rPr>
                <w:sz w:val="20"/>
                <w:szCs w:val="20"/>
                <w:color w:val="auto"/>
              </w:rPr>
            </w:pPr>
            <w:r>
              <w:rPr>
                <w:rFonts w:ascii="Courier New" w:cs="Courier New" w:eastAsia="Courier New" w:hAnsi="Courier New"/>
                <w:sz w:val="16"/>
                <w:szCs w:val="16"/>
                <w:color w:val="auto"/>
              </w:rPr>
              <w:t>on which registered</w:t>
            </w:r>
          </w:p>
        </w:tc>
      </w:tr>
      <w:tr>
        <w:trPr>
          <w:trHeight w:val="186"/>
        </w:trPr>
        <w:tc>
          <w:tcPr>
            <w:tcW w:w="1900" w:type="dxa"/>
            <w:vAlign w:val="bottom"/>
          </w:tcPr>
          <w:p>
            <w:pPr>
              <w:jc w:val="center"/>
              <w:ind w:right="859"/>
              <w:spacing w:after="0"/>
              <w:rPr>
                <w:sz w:val="20"/>
                <w:szCs w:val="20"/>
                <w:color w:val="auto"/>
              </w:rPr>
            </w:pPr>
            <w:r>
              <w:rPr>
                <w:rFonts w:ascii="Courier New" w:cs="Courier New" w:eastAsia="Courier New" w:hAnsi="Courier New"/>
                <w:sz w:val="16"/>
                <w:szCs w:val="16"/>
                <w:color w:val="auto"/>
                <w:w w:val="99"/>
              </w:rPr>
              <w:t>----------</w:t>
            </w:r>
          </w:p>
        </w:tc>
        <w:tc>
          <w:tcPr>
            <w:tcW w:w="2940" w:type="dxa"/>
            <w:vAlign w:val="bottom"/>
          </w:tcPr>
          <w:p>
            <w:pPr>
              <w:jc w:val="center"/>
              <w:ind w:left="839"/>
              <w:spacing w:after="0"/>
              <w:rPr>
                <w:sz w:val="20"/>
                <w:szCs w:val="20"/>
                <w:color w:val="auto"/>
              </w:rPr>
            </w:pPr>
            <w:r>
              <w:rPr>
                <w:rFonts w:ascii="Courier New" w:cs="Courier New" w:eastAsia="Courier New" w:hAnsi="Courier New"/>
                <w:sz w:val="16"/>
                <w:szCs w:val="16"/>
                <w:color w:val="auto"/>
              </w:rPr>
              <w:t>---------------------</w:t>
            </w:r>
          </w:p>
        </w:tc>
      </w:tr>
      <w:tr>
        <w:trPr>
          <w:trHeight w:val="373"/>
        </w:trPr>
        <w:tc>
          <w:tcPr>
            <w:tcW w:w="1900" w:type="dxa"/>
            <w:vAlign w:val="bottom"/>
          </w:tcPr>
          <w:p>
            <w:pPr>
              <w:jc w:val="center"/>
              <w:ind w:right="839"/>
              <w:spacing w:after="0"/>
              <w:rPr>
                <w:sz w:val="20"/>
                <w:szCs w:val="20"/>
                <w:color w:val="auto"/>
              </w:rPr>
            </w:pPr>
            <w:r>
              <w:rPr>
                <w:rFonts w:ascii="Courier New" w:cs="Courier New" w:eastAsia="Courier New" w:hAnsi="Courier New"/>
                <w:sz w:val="16"/>
                <w:szCs w:val="16"/>
                <w:color w:val="auto"/>
                <w:w w:val="98"/>
              </w:rPr>
              <w:t>None</w:t>
            </w:r>
          </w:p>
        </w:tc>
        <w:tc>
          <w:tcPr>
            <w:tcW w:w="2940" w:type="dxa"/>
            <w:vAlign w:val="bottom"/>
          </w:tcPr>
          <w:p>
            <w:pPr>
              <w:ind w:left="1680"/>
              <w:spacing w:after="0"/>
              <w:rPr>
                <w:sz w:val="20"/>
                <w:szCs w:val="20"/>
                <w:color w:val="auto"/>
              </w:rPr>
            </w:pPr>
            <w:r>
              <w:rPr>
                <w:rFonts w:ascii="Courier New" w:cs="Courier New" w:eastAsia="Courier New" w:hAnsi="Courier New"/>
                <w:sz w:val="16"/>
                <w:szCs w:val="16"/>
                <w:color w:val="auto"/>
              </w:rPr>
              <w:t>None</w:t>
            </w:r>
          </w:p>
        </w:tc>
      </w:tr>
    </w:tbl>
    <w:p>
      <w:pPr>
        <w:spacing w:after="0" w:line="19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Common Stock, par value $.01</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(Title of class)</w:t>
      </w:r>
    </w:p>
    <w:p>
      <w:pPr>
        <w:spacing w:after="0" w:line="191" w:lineRule="exact"/>
        <w:rPr>
          <w:sz w:val="24"/>
          <w:szCs w:val="24"/>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85" w:lineRule="exact"/>
        <w:rPr>
          <w:sz w:val="24"/>
          <w:szCs w:val="24"/>
          <w:color w:val="auto"/>
        </w:rPr>
      </w:pPr>
    </w:p>
    <w:p>
      <w:pPr>
        <w:spacing w:after="0"/>
        <w:tabs>
          <w:tab w:leader="none" w:pos="660" w:val="left"/>
          <w:tab w:leader="none" w:pos="1620" w:val="left"/>
          <w:tab w:leader="none" w:pos="220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|_|</w:t>
      </w:r>
    </w:p>
    <w:p>
      <w:pPr>
        <w:spacing w:after="0" w:line="378" w:lineRule="exact"/>
        <w:rPr>
          <w:sz w:val="24"/>
          <w:szCs w:val="24"/>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5" w:lineRule="exact"/>
        <w:rPr>
          <w:sz w:val="24"/>
          <w:szCs w:val="24"/>
          <w:color w:val="auto"/>
        </w:rPr>
      </w:pPr>
    </w:p>
    <w:p>
      <w:pPr>
        <w:ind w:right="2859" w:firstLine="775"/>
        <w:spacing w:after="0" w:line="248" w:lineRule="auto"/>
        <w:rPr>
          <w:sz w:val="20"/>
          <w:szCs w:val="20"/>
          <w:color w:val="auto"/>
        </w:rPr>
      </w:pPr>
      <w:r>
        <w:rPr>
          <w:rFonts w:ascii="Courier New" w:cs="Courier New" w:eastAsia="Courier New" w:hAnsi="Courier New"/>
          <w:sz w:val="16"/>
          <w:szCs w:val="16"/>
          <w:color w:val="auto"/>
        </w:rPr>
        <w:t>The number of shares of the registrant's common stock outstanding on March 23, 2001 was 15,246,909.</w:t>
      </w:r>
    </w:p>
    <w:p>
      <w:pPr>
        <w:spacing w:after="0" w:line="184" w:lineRule="exact"/>
        <w:rPr>
          <w:sz w:val="24"/>
          <w:szCs w:val="24"/>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at March 23, 2001, based on the closing price on the NASDAQ National Market System on that date was approximately $109,587,158.</w:t>
      </w:r>
    </w:p>
    <w:p>
      <w:pPr>
        <w:spacing w:after="0" w:line="186"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1" w:lineRule="exact"/>
        <w:rPr>
          <w:sz w:val="24"/>
          <w:szCs w:val="24"/>
          <w:color w:val="auto"/>
        </w:rPr>
      </w:pPr>
    </w:p>
    <w:p>
      <w:pPr>
        <w:ind w:right="2559" w:firstLine="775"/>
        <w:spacing w:after="0" w:line="248" w:lineRule="auto"/>
        <w:rPr>
          <w:sz w:val="20"/>
          <w:szCs w:val="20"/>
          <w:color w:val="auto"/>
        </w:rPr>
      </w:pPr>
      <w:r>
        <w:rPr>
          <w:rFonts w:ascii="Courier New" w:cs="Courier New" w:eastAsia="Courier New" w:hAnsi="Courier New"/>
          <w:sz w:val="16"/>
          <w:szCs w:val="16"/>
          <w:color w:val="auto"/>
        </w:rPr>
        <w:t>Portions of the Proxy Statement with respect to the 2001 Annual Meeting of Stockholders are incorporated by reference in Part III of this Form 10-K.</w:t>
      </w:r>
    </w:p>
    <w:p>
      <w:pPr>
        <w:spacing w:after="0" w:line="200" w:lineRule="exact"/>
        <w:rPr>
          <w:sz w:val="24"/>
          <w:szCs w:val="24"/>
          <w:color w:val="auto"/>
        </w:rPr>
      </w:pPr>
    </w:p>
    <w:p>
      <w:pPr>
        <w:spacing w:after="0" w:line="332"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PART I</w:t>
      </w:r>
    </w:p>
    <w:p>
      <w:pPr>
        <w:spacing w:after="0" w:line="191"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4"/>
          <w:szCs w:val="24"/>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NN, Inc. (the "Company") is an independent manufacturer and supplier of high quality, precision steel balls and rollers to both domestic and international anti-friction bearing manufacturers. The Company supplies high quality, precision steel balls and rollers, both directly and indirectly through its sales to bearing manufacturers, to automotive original equipment manufacturers ("OEMs") and the automotive aftermarket, to the gas and mining</w:t>
      </w:r>
    </w:p>
    <w:p>
      <w:pPr>
        <w:sectPr>
          <w:pgSz w:w="11900" w:h="16838" w:orient="portrait"/>
          <w:cols w:equalWidth="0" w:num="1">
            <w:col w:w="10219"/>
          </w:cols>
          <w:pgMar w:left="240" w:top="241" w:right="1440" w:bottom="0" w:gutter="0" w:footer="0" w:header="0"/>
        </w:sectPr>
      </w:pPr>
    </w:p>
    <w:bookmarkStart w:id="1" w:name="page2"/>
    <w:bookmarkEnd w:id="1"/>
    <w:p>
      <w:pPr>
        <w:ind w:right="2459"/>
        <w:spacing w:after="0" w:line="246" w:lineRule="auto"/>
        <w:rPr>
          <w:sz w:val="20"/>
          <w:szCs w:val="20"/>
          <w:color w:val="auto"/>
        </w:rPr>
      </w:pPr>
      <w:r>
        <w:rPr>
          <w:rFonts w:ascii="Courier New" w:cs="Courier New" w:eastAsia="Courier New" w:hAnsi="Courier New"/>
          <w:sz w:val="16"/>
          <w:szCs w:val="16"/>
          <w:color w:val="auto"/>
        </w:rPr>
        <w:t>industries, and to producers of water, gas and oil well drilling bits and stainless steel valves and pumps. Precision steel balls and rollers are critical moving parts of anti-friction bearings, which in turn, are integral components of machines with moving parts. The Company also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 was organized in October 1980 by a group of senior managers of the ball and roller division of Hoover Precision Products, Inc. (formerly Hoover Universal, Inc.), led by Richard Ennen, the Company's Chairman. The Company was founded in order to meet the bearings industry's need for a dependable source of high quality, precision balls and rollers. During 2000, the Company sold its products to over 500 customers located in 24 different countries, and its primary customers included SKF Bearing Industries ("SKF"), FAG Bearings Corporation ("FAG"), SNR Roulements, and the Torrington Company.</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On July 4, 1999, the Company, through a series of wholly owned subsidiary entities, acquired substantially all of the assets of Earsley Capital Corporation, formerly known as Industrial Molding Corporation ("IMC"). The Company currently operates the IMC business through these subsidiary entities under the name Industrial Molding Corporation.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192"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The Company is also a 50% owner of NN General, LLC, a Delaware limited liability company, ("NN General"), which owns a 60% position in Jiangsu General Ball &amp; Roller Company, Ltd. ("JGBR"), a Chinese precision ball and roller manufacturer located in Rugao City, Jiangsu Providence, China. The Company's investment includes a cash loan of $3.4 million. The remaining 40% of the Chinese company is owned by Jiangsu Steel Ball Factory.</w:t>
      </w:r>
    </w:p>
    <w:p>
      <w:pPr>
        <w:spacing w:after="0" w:line="185" w:lineRule="exact"/>
        <w:rPr>
          <w:sz w:val="20"/>
          <w:szCs w:val="20"/>
          <w:color w:val="auto"/>
        </w:rPr>
      </w:pPr>
    </w:p>
    <w:p>
      <w:pPr>
        <w:ind w:right="2559" w:firstLine="775"/>
        <w:spacing w:after="0" w:line="246" w:lineRule="auto"/>
        <w:rPr>
          <w:sz w:val="20"/>
          <w:szCs w:val="20"/>
          <w:color w:val="auto"/>
        </w:rPr>
      </w:pPr>
      <w:r>
        <w:rPr>
          <w:rFonts w:ascii="Courier New" w:cs="Courier New" w:eastAsia="Courier New" w:hAnsi="Courier New"/>
          <w:sz w:val="16"/>
          <w:szCs w:val="16"/>
          <w:color w:val="auto"/>
        </w:rPr>
        <w:t>On March 12, 2000, the Company experienced a fire at its Erwin, Tennessee facility. The fire, which was contained to approximately 30% of the production area, occurred in the early morning hours when only three employees were in the facility. These employees were immediately evacuated and no one was injured. Effected production was shifted to the Company's other facilities as possible as well as to other suppliers to protect product supply to customers. Production has substantially returned to normal. Insurance coverage was available for the loss. Negotiations to reach a final settlement with the insurance carrier are continuing.</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As part of the transaction, Euroball acquired the ball factories located in Pinerolo, Italy (previously owned by SKF), Eltmann, Germany (previously owned by FAG), and Kilkenny, Ireland (previously owned by the Company).</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To acquire its 51% ownership of NN Mexico, the Company made an initial contribution of $879,000, an additional contribution 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both"/>
        <w:ind w:right="2759"/>
        <w:spacing w:after="0" w:line="247" w:lineRule="auto"/>
        <w:rPr>
          <w:sz w:val="20"/>
          <w:szCs w:val="20"/>
          <w:color w:val="auto"/>
        </w:rPr>
      </w:pPr>
      <w:r>
        <w:rPr>
          <w:rFonts w:ascii="Courier New" w:cs="Courier New" w:eastAsia="Courier New" w:hAnsi="Courier New"/>
          <w:sz w:val="16"/>
          <w:szCs w:val="16"/>
          <w:color w:val="auto"/>
        </w:rPr>
        <w:t>$671,000, and is obligated to provide additional funding of $600,000 payable upon certain performance conditions at NN Arte. At December 31, 2000, NN Arte had not commenced operations.</w:t>
      </w:r>
    </w:p>
    <w:p>
      <w:pPr>
        <w:spacing w:after="0" w:line="186" w:lineRule="exact"/>
        <w:rPr>
          <w:sz w:val="20"/>
          <w:szCs w:val="20"/>
          <w:color w:val="auto"/>
        </w:rPr>
      </w:pPr>
    </w:p>
    <w:p>
      <w:pPr>
        <w:ind w:right="2759" w:firstLine="775"/>
        <w:spacing w:after="0" w:line="247" w:lineRule="auto"/>
        <w:rPr>
          <w:sz w:val="20"/>
          <w:szCs w:val="20"/>
          <w:color w:val="auto"/>
        </w:rPr>
      </w:pPr>
      <w:r>
        <w:rPr>
          <w:rFonts w:ascii="Courier New" w:cs="Courier New" w:eastAsia="Courier New" w:hAnsi="Courier New"/>
          <w:sz w:val="16"/>
          <w:szCs w:val="16"/>
          <w:color w:val="auto"/>
        </w:rPr>
        <w:t>For managerial and financial analysis purposes, management views the Company in three segments. The domestic ball and roller operations of Erwin, Tennessee, Walterboro, South Carolina and Mountain City, Tennessee ("Domestic Ball and Roller Division"), the Euroball facilities of Kilkenny, Ireland, Eltmann, Germany and Pinerolo, Italy ("Euroball Division") and the "Plastics Division" which consists of IMC and NN Arte.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At its ball and roller facilities in Erwin, Tennessee, Walterboro, South Carolina and Mountain City, Tennessee, the Company produces high quality, precision steel balls in sizes ranging in diameter from 3/16 of an inch to 2 1/2 inches and rollers in a limited variety of sizes. At its newly formed Euroball joint venture, the Company produces high quality steel balls in sizes ranging from 1/8 of an inch to 12 1/2 inches in diameter. The Company produces balls in a variety of grades ranging from grade 3 to grade 1000 and rollers in a variety of grades ranging from grade 50 to grade 1000. The grade number for a ball or a roller indicates the degree of spherical or cylindrical precision of the ball or roller; for example, grade 3 balls are manufactured to within three millionths of an inch of roundness and grade 50 rollers are manufactured to within fifty millionths of an inch of roundness. At its Domestic Ball and Roller Division, sales of steel balls accounted for approximately 91%, 92% and 92% of the division's ball and roller net sales in 1998, 1999 and 2000, respectively. Sales of rollers accounted for the balance of the division's ball and roller sales in such years.</w:t>
      </w:r>
    </w:p>
    <w:p>
      <w:pPr>
        <w:spacing w:after="0" w:line="195"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Precision Steel Balls. The Company manufactures high quality, precision balls in three different types of steel: 52100 steel, 440C stainless steel and S2 rock bit steel. Each of the different types of steel has unique characteristics that make it suitable for particular applications.</w:t>
      </w:r>
    </w:p>
    <w:p>
      <w:pPr>
        <w:spacing w:after="0" w:line="186"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During 2000, approximately 98% of the balls produced by the Company's domestic ball and roller operations were made from 52100 steel ("52100 Steel"). 100% of the balls produced by the Company's Euroball joint venture were made from 52100 Steel. See also "Business--Raw Materials." The 52100 Steel balls have a high degree of hardness and provide excellent resistance to wear and deformation. The 52100 Steel balls are used primarily by manufacturers of anti-friction ball bearings where precise spherical and tolerance accuracy are required. The Company produces 52100 Steel balls in eleven grades ranging from grade 1000 to grade 3 (highest precision), and in sizes ranging in diameter from 1/8 of an inch to 12 1/2 inches. The primary grades of the 52100 Steel balls are grade 16, grade 10 and grade 5 and grade 3.</w:t>
      </w:r>
    </w:p>
    <w:p>
      <w:pPr>
        <w:spacing w:after="0" w:line="193"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Precision Steel Rollers. The Company manufactures rollers at its Erwin, Tennessee facility in three types of steel: 52100 Steel, 440C stainless steel and S2 rock bit steel. Rollers are the primary components of anti-friction bearings which are subjected to heavy load conditions. The Company's roller products are used primarily for applications similar to those of its ball product lines, with the addition of hydraulic pumps and motors.</w:t>
      </w:r>
    </w:p>
    <w:p>
      <w:pPr>
        <w:spacing w:after="0" w:line="185"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IMC, manufactures a wide range of plastic molded products through its two facilities in Lubbock, Texas. IMC's products can be classified into three primary market segments - bearing retainers, automotive under the hood components and other hardware products which include other automotive components, electronic instrument cases and precision electronic connectors and lenses as well as a variety of other specialized parts.</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Bearing Retainers. IMC manufactures high precision plastic retainers for ball bearings used in automotive products. During 2000, sales of bearing retainers accounted for approximately 38% of the Plastics Division sales.</w:t>
      </w:r>
    </w:p>
    <w:p>
      <w:pPr>
        <w:spacing w:after="0" w:line="186"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Automotive Components. IMC manufacturers high precision plastic automotive under the hood parts. These parts utilize high performance engineered polymers that draw upon IMC's ability to mold highly technical cylindrical dimension parts. Other molded automotive components include hydraulic cylinders, clutch systems, seat belts, gears and transmission components. During 2000, sales of automotive parts accounted for approximately 25 % of IMC's sales.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9" w:right="1440" w:bottom="1440" w:gutter="0" w:footer="0" w:header="0"/>
        </w:sectPr>
      </w:pPr>
    </w:p>
    <w:bookmarkStart w:id="3" w:name="page4"/>
    <w:bookmarkEnd w:id="3"/>
    <w:p>
      <w:pPr>
        <w:jc w:val="both"/>
        <w:ind w:right="2759" w:firstLine="775"/>
        <w:spacing w:after="0" w:line="247" w:lineRule="auto"/>
        <w:rPr>
          <w:sz w:val="20"/>
          <w:szCs w:val="20"/>
          <w:color w:val="auto"/>
        </w:rPr>
      </w:pPr>
      <w:r>
        <w:rPr>
          <w:rFonts w:ascii="Courier New" w:cs="Courier New" w:eastAsia="Courier New" w:hAnsi="Courier New"/>
          <w:sz w:val="16"/>
          <w:szCs w:val="16"/>
          <w:color w:val="auto"/>
        </w:rPr>
        <w:t>Other. IMC also manufactures a variety of high precision molded parts including plastic instrument cases, seasonal consumer hardware, precision end connectors and lenses for fiber optics as well as other specialized parts. During 2000, sales for these items accounted for 37% of IMC's sales.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1" w:lineRule="exact"/>
        <w:rPr>
          <w:sz w:val="20"/>
          <w:szCs w:val="20"/>
          <w:color w:val="auto"/>
        </w:rPr>
      </w:pPr>
    </w:p>
    <w:p>
      <w:pPr>
        <w:ind w:right="2759" w:firstLine="775"/>
        <w:spacing w:after="0" w:line="247" w:lineRule="auto"/>
        <w:rPr>
          <w:sz w:val="20"/>
          <w:szCs w:val="20"/>
          <w:color w:val="auto"/>
        </w:rPr>
      </w:pPr>
      <w:r>
        <w:rPr>
          <w:rFonts w:ascii="Courier New" w:cs="Courier New" w:eastAsia="Courier New" w:hAnsi="Courier New"/>
          <w:sz w:val="16"/>
          <w:szCs w:val="16"/>
          <w:color w:val="auto"/>
        </w:rPr>
        <w:t>The Company markets balls and rollers in the United States and abroad primarily through seven salaried sales employees. Additional internal sales employees handle customer orders and provide sales support.</w:t>
      </w:r>
    </w:p>
    <w:p>
      <w:pPr>
        <w:spacing w:after="0" w:line="186"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IMC markets its products through commissioned sales representatives or directly through three salaried marketing and sales employees. Four additional internal customer service employees handle customer orders and provide sales support. Additionally, certain engineers and manufacturing employees provide sales support due to the technical nature of the products.</w:t>
      </w:r>
    </w:p>
    <w:p>
      <w:pPr>
        <w:spacing w:after="0" w:line="185" w:lineRule="exact"/>
        <w:rPr>
          <w:sz w:val="20"/>
          <w:szCs w:val="20"/>
          <w:color w:val="auto"/>
        </w:rPr>
      </w:pPr>
    </w:p>
    <w:p>
      <w:pPr>
        <w:ind w:right="2559" w:firstLine="775"/>
        <w:spacing w:after="0" w:line="248" w:lineRule="auto"/>
        <w:rPr>
          <w:sz w:val="20"/>
          <w:szCs w:val="20"/>
          <w:color w:val="auto"/>
        </w:rPr>
      </w:pPr>
      <w:r>
        <w:rPr>
          <w:rFonts w:ascii="Courier New" w:cs="Courier New" w:eastAsia="Courier New" w:hAnsi="Courier New"/>
          <w:sz w:val="16"/>
          <w:szCs w:val="16"/>
          <w:color w:val="auto"/>
        </w:rPr>
        <w:t>The following table presents a breakdown of the Company's net sales for fiscal years 1998 through 2000:</w:t>
      </w:r>
    </w:p>
    <w:p>
      <w:pPr>
        <w:spacing w:after="0" w:line="184"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2580" w:type="dxa"/>
            <w:vAlign w:val="bottom"/>
          </w:tcPr>
          <w:p>
            <w:pPr>
              <w:spacing w:after="0"/>
              <w:rPr>
                <w:sz w:val="15"/>
                <w:szCs w:val="15"/>
                <w:color w:val="auto"/>
              </w:rPr>
            </w:pPr>
          </w:p>
        </w:tc>
        <w:tc>
          <w:tcPr>
            <w:tcW w:w="12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258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3"/>
        </w:trPr>
        <w:tc>
          <w:tcPr>
            <w:tcW w:w="2580" w:type="dxa"/>
            <w:vAlign w:val="bottom"/>
          </w:tcPr>
          <w:p>
            <w:pPr>
              <w:spacing w:after="0"/>
              <w:rPr>
                <w:sz w:val="20"/>
                <w:szCs w:val="20"/>
                <w:color w:val="auto"/>
              </w:rPr>
            </w:pPr>
            <w:r>
              <w:rPr>
                <w:rFonts w:ascii="Courier New" w:cs="Courier New" w:eastAsia="Courier New" w:hAnsi="Courier New"/>
                <w:sz w:val="16"/>
                <w:szCs w:val="16"/>
                <w:color w:val="auto"/>
              </w:rPr>
              <w:t>Domestic Ball and Roller</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2580" w:type="dxa"/>
            <w:vAlign w:val="bottom"/>
          </w:tcPr>
          <w:p>
            <w:pPr>
              <w:ind w:left="480"/>
              <w:spacing w:after="0"/>
              <w:rPr>
                <w:sz w:val="20"/>
                <w:szCs w:val="20"/>
                <w:color w:val="auto"/>
              </w:rPr>
            </w:pPr>
            <w:r>
              <w:rPr>
                <w:rFonts w:ascii="Courier New" w:cs="Courier New" w:eastAsia="Courier New" w:hAnsi="Courier New"/>
                <w:sz w:val="16"/>
                <w:szCs w:val="16"/>
                <w:color w:val="auto"/>
              </w:rPr>
              <w:t>Division</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$67,637</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$67,736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$73,006</w:t>
            </w:r>
          </w:p>
        </w:tc>
      </w:tr>
      <w:tr>
        <w:trPr>
          <w:trHeight w:val="186"/>
        </w:trPr>
        <w:tc>
          <w:tcPr>
            <w:tcW w:w="25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51.2%</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r>
      <w:tr>
        <w:trPr>
          <w:trHeight w:val="373"/>
        </w:trPr>
        <w:tc>
          <w:tcPr>
            <w:tcW w:w="2580" w:type="dxa"/>
            <w:vAlign w:val="bottom"/>
          </w:tcPr>
          <w:p>
            <w:pPr>
              <w:spacing w:after="0"/>
              <w:rPr>
                <w:sz w:val="20"/>
                <w:szCs w:val="20"/>
                <w:color w:val="auto"/>
              </w:rPr>
            </w:pPr>
            <w:r>
              <w:rPr>
                <w:rFonts w:ascii="Courier New" w:cs="Courier New" w:eastAsia="Courier New" w:hAnsi="Courier New"/>
                <w:sz w:val="16"/>
                <w:szCs w:val="16"/>
                <w:color w:val="auto"/>
              </w:rPr>
              <w:t>Euroball Division</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33,988</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5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580" w:type="dxa"/>
            <w:vAlign w:val="bottom"/>
          </w:tcPr>
          <w:p>
            <w:pPr>
              <w:spacing w:after="0"/>
              <w:rPr>
                <w:sz w:val="20"/>
                <w:szCs w:val="20"/>
                <w:color w:val="auto"/>
              </w:rPr>
            </w:pPr>
            <w:r>
              <w:rPr>
                <w:rFonts w:ascii="Courier New" w:cs="Courier New" w:eastAsia="Courier New" w:hAnsi="Courier New"/>
                <w:sz w:val="16"/>
                <w:szCs w:val="16"/>
                <w:color w:val="auto"/>
              </w:rPr>
              <w:t>Plastics Division</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30,504</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17,558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5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23.1%</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5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$132,129</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$ 85,294</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$ 73,006</w:t>
            </w:r>
          </w:p>
        </w:tc>
      </w:tr>
      <w:tr>
        <w:trPr>
          <w:trHeight w:val="186"/>
        </w:trPr>
        <w:tc>
          <w:tcPr>
            <w:tcW w:w="2580" w:type="dxa"/>
            <w:vAlign w:val="bottom"/>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25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r>
      <w:tr>
        <w:trPr>
          <w:trHeight w:val="186"/>
        </w:trPr>
        <w:tc>
          <w:tcPr>
            <w:tcW w:w="2580" w:type="dxa"/>
            <w:vAlign w:val="bottom"/>
          </w:tcPr>
          <w:p>
            <w:pPr>
              <w:spacing w:after="0"/>
              <w:rPr>
                <w:sz w:val="16"/>
                <w:szCs w:val="16"/>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bl>
    <w:p>
      <w:pPr>
        <w:spacing w:after="0" w:line="377"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Company's marketing strategy relative to the Ball and Roller Division is to increase its share of the domestic and international market for bearing components by offering a wide variety of high quality, precision balls and rollers to existing and prospective customers on a timely basis and in a cost-effective manner. In marketing its products, the Company has focused its efforts on bearing manufacturers with their own ball or roller manufacturing divisions. The Company's sales staff emphasizes the potential quality advantages and cost savings associated with the outsourcing of such bearing manufacturers' needs by purchasing precision components from the Company instead of manufacturing such components internally.</w:t>
      </w:r>
    </w:p>
    <w:p>
      <w:pPr>
        <w:spacing w:after="0" w:line="192"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Plastic Division's marketing strategy is to increase its share of the market by offering custom manufactured, high quality, precision parts in a cost-effective manner. This strategy focuses on relationships with key customers that require technically difficult parts which enable IMC to take advantage of its strengths in product development, tool design and tight tolerance molding processes. IMC has historically focused on the North American market. However, management believes certain synergies exist between the Domestic Ball and Roller Division and IMC that will allow IMC to further penetrate the North American market as well as broaden the European and Asian presence by leveraging the Company's global relationships.</w:t>
      </w:r>
    </w:p>
    <w:p>
      <w:pPr>
        <w:spacing w:after="0" w:line="192"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shipment of goods. With respect to foreign customers (other than foreign customers that participate in the Company's inventory management program), payments generally are due within either 90 to 120 days following the date of shipment in order to allow for additional freight time and customs clearance. For customers that participate in the Company's inventory management program, sales are recorded when the customer uses the product, and payments typically are due 30 days thereafter. See "Business -- Customers" and "Management's Discussion and Analysis of Financial Condition and Results of</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9" w:right="1440" w:bottom="1440" w:gutter="0" w:footer="0" w:header="0"/>
        </w:sectPr>
      </w:pPr>
    </w:p>
    <w:bookmarkStart w:id="4" w:name="page5"/>
    <w:bookmarkEnd w:id="4"/>
    <w:p>
      <w:pPr>
        <w:ind w:right="2959"/>
        <w:spacing w:after="0" w:line="248" w:lineRule="auto"/>
        <w:rPr>
          <w:sz w:val="20"/>
          <w:szCs w:val="20"/>
          <w:color w:val="auto"/>
        </w:rPr>
      </w:pPr>
      <w:r>
        <w:rPr>
          <w:rFonts w:ascii="Courier New" w:cs="Courier New" w:eastAsia="Courier New" w:hAnsi="Courier New"/>
          <w:sz w:val="16"/>
          <w:szCs w:val="16"/>
          <w:color w:val="auto"/>
        </w:rPr>
        <w:t>Operations -- Liquidity and Capital Resources." See Note 10 of the Notes to Consolidated Financial Statements for additional financial information.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During 2000, the Company's ten largest customers accounted for approximately 69% of its consolidated net sales. Sales to various U.S. and foreign divisions of SKF, which is one of the largest bearing manufacturers in the world, accounted for approximately 32% of net sales in 2000 and sales to FAG accounted for approximately 17% of net sales in 2000. None of the Company's other customers accounted for more than 5% of its net sales in 2000.</w:t>
      </w:r>
    </w:p>
    <w:p>
      <w:pPr>
        <w:spacing w:after="0" w:line="185"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During 2000, the Domestic Ball and Roller Division sold its products to more than 500 customers located in 24 different countries. Approximately 50% of ball and roller net sales in 2000 were to customers outside the United States. Sales to the Ball &amp; Roller Division's top ten customers accounted for approximately 78% of the divisions' net sales in 2000. Sales to SKF and FAG accounted for approximately 35% and 17% of the division's net sales in 2000 respectively.</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During 2000, the Euroball Division sold its products to more than 40 customers located in 15 different countries. Approximately 86% of its net sales in 2000 were to customers within Europe. Sales to the division's top ten customers accounted for approximately 92% of the divisions' net sales in 2000. Sales to SKF and FAG accounted for approximately 49% and 28% of the division's net sales in 2000 respectively</w:t>
      </w:r>
    </w:p>
    <w:p>
      <w:pPr>
        <w:spacing w:after="0" w:line="185"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During 2000, the Plastics Division sold its products to 55 customers located in 12 different countries. Approximately 8% of plastic net sales were to customers outside the United States. Sales to the division's top ten customers accounted for approximately 68% of the divisions' net sales in 2000. Sales to Gary Products Group accounted for approximately 20% of the division's net sales in 2000.</w:t>
      </w:r>
    </w:p>
    <w:p>
      <w:pPr>
        <w:spacing w:after="0" w:line="185" w:lineRule="exact"/>
        <w:rPr>
          <w:sz w:val="20"/>
          <w:szCs w:val="20"/>
          <w:color w:val="auto"/>
        </w:rPr>
      </w:pPr>
    </w:p>
    <w:p>
      <w:pPr>
        <w:ind w:right="2959" w:firstLine="775"/>
        <w:spacing w:after="0" w:line="247" w:lineRule="auto"/>
        <w:rPr>
          <w:sz w:val="20"/>
          <w:szCs w:val="20"/>
          <w:color w:val="auto"/>
        </w:rPr>
      </w:pPr>
      <w:r>
        <w:rPr>
          <w:rFonts w:ascii="Courier New" w:cs="Courier New" w:eastAsia="Courier New" w:hAnsi="Courier New"/>
          <w:sz w:val="16"/>
          <w:szCs w:val="16"/>
          <w:color w:val="auto"/>
        </w:rPr>
        <w:t>See Note 10 of the Notes to Financial Statements and "Management's Discussion and Analysis of Financial Condition and Results of Operations -- Results of Operations" for additional geographic information. In both the foreign and domestic markets, the Company principally sells its products directly to manufacturers and not to distributors.</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 ordinarily ships its products directly to customers within 60 days, but in some cases, in the same calendar month, of the date on which a sales order is placed. Accordingly, the Company generally has an insignificant amount of open (backlog) orders from customers at month end. Certain of the Company's customers have entered into contracts with the Company pursuant to which they have agreed to purchase all of their requirements of specified balls and rollers and plastic molded products from the Company, but under which they are not obligated to purchase any specific amounts. While firm orders generally are received only monthly, the Company normally is aware of reasonably anticipated future orders well in advance of the placement of a firm order. The Company has installed a computerized, bar coded inventory management system with most of its major customers pursuant to which the Company, through a direct computer link, automatically monitors the customer's ball and roller inventories. This system permits the Company to determine on a day-to-day basis the amount of balls and/or rollers remaining in a customer's inventory. When such inventories fall below certain levels, the Company automatically ships additional goods. The Company follows industry practice in handling its inventory, which is a first in, first out policy.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As of December 31, 2000, the Company had 1,362 full-time employees of whom 1,206 were engaged in production/maintenance. Of these 1,362 employees, 298 were employed at the Domestic Ball and Roller facilities, 725 at the Euroball Division, 306 at the Plastics Division and 33 at Corporate Division. The Company believes that relations with its employees are good.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precision ball and roller industry is intensely competitive, and many of the Company's competitors have greater financial resources than the Company. The Company's primary domestic competitor is Hoover Precision Products, Inc., a division of Tsubakimoto Precision Products Co. Ltd. The Company's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5" w:name="page6"/>
    <w:bookmarkEnd w:id="5"/>
    <w:p>
      <w:pPr>
        <w:ind w:right="2459"/>
        <w:spacing w:after="0" w:line="247" w:lineRule="auto"/>
        <w:rPr>
          <w:sz w:val="20"/>
          <w:szCs w:val="20"/>
          <w:color w:val="auto"/>
        </w:rPr>
      </w:pPr>
      <w:r>
        <w:rPr>
          <w:rFonts w:ascii="Courier New" w:cs="Courier New" w:eastAsia="Courier New" w:hAnsi="Courier New"/>
          <w:sz w:val="16"/>
          <w:szCs w:val="16"/>
          <w:color w:val="auto"/>
        </w:rPr>
        <w:t>primary foreign competitors are Amatsuji Steel Ball Manufacturing Company, Ltd. and Tsubakimoto Precision Products Co. Ltd. The Company's ability to compete with foreign-based competitors could be adversely affected by an increase in the value of the United States dollar relative to foreign currencies.</w:t>
      </w:r>
    </w:p>
    <w:p>
      <w:pPr>
        <w:spacing w:after="0" w:line="186"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 believes that competition within the precision ball and roller market is based principally on quality, price and the ability to consistently meet customer delivery requirements. Management believes that the Company's competitive strengths are its precision manufacturing capabilities, its reputation for consistent quality and reliability, and the productivity of its workforce. In recent years, certain bearing manufacturers with captive ball and roller manufacturing divisions, including American NTN Bearing Manufacturing Corporation and divisions of SKF based in Sweden, Brazil and Mexico, have turned to the Company as a source of supply.</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markets for IMC's products are also intensely competitive. Since the industry is currently very fragmented, IMC must compete with numerous companies in each of their marketing segments. Many of these companies have substantially greater financial resources than IMC and many currently offer competing products nationally and internationally. IMC's primary competitor in the bearing retainer segment is Nakanishi Manufacturing Corporation. Nypro, Inc. and Key Plastics are the main domestic competitors in the automotive segment.</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Company believes that competition within the plastic injection molding industry is based principally on quality, price, design capabilities and speed of responsiveness and delivery. Management believes that IMC's competitive strengths are product development, tool design and fabrication and tight tolerance molding processes as well as its reputation in the marketplace as a quality producer of technically difficult products.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primary raw material used by the Company in its Domestic Ball and Roller Division and Euroball Division is 52100 Steel. During 2000, approximately 98% and 100% of the steel used by these two divisions, respectively was 52100 Steel. The Company's other steel requirements include type 440C stainless steel and type S2 rock bit steel. The Domestic Ball and Roller Division purchases substantially all of its 52100 Steel requirements from foreign mills because of the lack of domestic producers of such steel at the quality level required by the Company. The Euroball Division purchases all of its 52100 Steel requirements from European mills. The other steel requirements of the Company also are purchased principally from foreign steel manufacturers.</w:t>
      </w:r>
    </w:p>
    <w:p>
      <w:pPr>
        <w:spacing w:after="0" w:line="192"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The Company allocates its steel purchases among suppliers on the basis of price and quality. Generally, the Company does not enter into written supply agreements with its suppliers or commit itself to maintain minimum monthly purchases of steel. The Company's pricing arrangements with its suppliers typically are subject to adjustment once every six months.</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Because 52100 Steel is principally produced by foreign manufacturers, the Company's operating results would be negatively affected in the event that the U.S. or European governments imposes any significant quotas, tariffs or other duties or restrictions on the import of such steel or if the United States dollar decreases in value relative to foreign currencies.</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primary raw materials used by IMC are engineered resins and polypropylene resins. Injection grade nylon is utilized in bearing retainers, automotive and other industrial products and polypropylene is utilized for seasonal hardware products. The Company purchases substantially all of its resin requirements from domestic manufacturers and suppliers. The majority of these suppliers are international companies with resin manufacturing facilities located throughout the world.</w:t>
      </w:r>
    </w:p>
    <w:p>
      <w:pPr>
        <w:spacing w:after="0" w:line="185"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The Company bases purchase decisions on price, quality and service. Generally, the Company does not enter into written supply contracts with its suppliers or commit itself to maintain minimum monthly purchases of resins. The pricing arrangements with its suppliers typically can be adjusted at anytime.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Patents, Trademarks and Licenses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Company does not own any U.S. or foreign patents, trademarks or licenses that are material to its business. The Company does rely on certain data and processes, including trade secrets and know-how, and the success of its business depends, to some extent, on such information remaining confidential. Each executive officer of the Company is subject to a non-competition and confidentiality agreement that seeks to protect this information.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 Nature of Business</w:t>
      </w:r>
    </w:p>
    <w:p>
      <w:pPr>
        <w:spacing w:after="0" w:line="191"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Historically, due to increased sales to foreign customers, seasonality has become a factor for the Company in that some foreign customers typically cease their production activities during the month of August.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Compliance</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Company's operations and products are subject to extensive federal, state and local regulatory requirements relating to pollution control and protection of the environment. The Company maintains a compliance program to assist in preventing and, if necessary, correcting environmental problems. Based on information compiled to date, management believes that the Company's current operations are in substantial compliance with applicable environmental laws and regulations, the violation of which would have a material adverse effect on the Company. There can be no assurance, however, that currently unknown matters, new laws and regulations, or stricter interpretations of existing laws and regulations will not materially affect the Company's business or operations in the future. More specifically, although management believes that the Company disposes of its wastes in material compliance with applicable environmental laws and regulations, there can be no assurance that the Company will not incur significant liabilities in the future in connection with the clean-up of waste disposal sites.</w:t>
      </w:r>
    </w:p>
    <w:p>
      <w:pPr>
        <w:spacing w:after="0" w:line="19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In the past, the Company has incurred certain expenses in complying with applicable environmental laws associated with the removal of four underground storage tanks containing kerosene and waste oil, the remediation of soil and groundwater contamination resulting from a leak in one of the tanks, and the closing of a sludge disposal area at one of its ball and roller facilities. The remediation project is now complete, but the Company has certain ongoing monitoring responsibilities. The amounts expended by the Company in connection with this remediation project have not been material, and based upon information currently available to the Company, management does not believe that the future costs associated with the project will have a material adverse effect on the Company's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9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The executive officers of the Company consist of the following persons:</w:t>
      </w:r>
    </w:p>
    <w:p>
      <w:pPr>
        <w:spacing w:after="0" w:line="200" w:lineRule="exact"/>
        <w:rPr>
          <w:sz w:val="20"/>
          <w:szCs w:val="20"/>
          <w:color w:val="auto"/>
        </w:rPr>
      </w:pPr>
    </w:p>
    <w:p>
      <w:pPr>
        <w:spacing w:after="0" w:line="364"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2360" w:type="dxa"/>
            <w:vAlign w:val="bottom"/>
          </w:tcPr>
          <w:p>
            <w:pPr>
              <w:ind w:left="960"/>
              <w:spacing w:after="0"/>
              <w:rPr>
                <w:sz w:val="20"/>
                <w:szCs w:val="20"/>
                <w:color w:val="auto"/>
              </w:rPr>
            </w:pPr>
            <w:r>
              <w:rPr>
                <w:rFonts w:ascii="Courier New" w:cs="Courier New" w:eastAsia="Courier New" w:hAnsi="Courier New"/>
                <w:sz w:val="16"/>
                <w:szCs w:val="16"/>
                <w:color w:val="auto"/>
              </w:rPr>
              <w:t>Name</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Age</w:t>
            </w:r>
          </w:p>
        </w:tc>
        <w:tc>
          <w:tcPr>
            <w:tcW w:w="1840" w:type="dxa"/>
            <w:vAlign w:val="bottom"/>
          </w:tcPr>
          <w:p>
            <w:pPr>
              <w:spacing w:after="0"/>
              <w:rPr>
                <w:sz w:val="15"/>
                <w:szCs w:val="15"/>
                <w:color w:val="auto"/>
              </w:rPr>
            </w:pPr>
          </w:p>
        </w:tc>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36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6"/>
                <w:szCs w:val="16"/>
                <w:color w:val="auto"/>
              </w:rPr>
            </w:pPr>
          </w:p>
        </w:tc>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r>
      <w:tr>
        <w:trPr>
          <w:trHeight w:val="559"/>
        </w:trPr>
        <w:tc>
          <w:tcPr>
            <w:tcW w:w="2360" w:type="dxa"/>
            <w:vAlign w:val="bottom"/>
          </w:tcPr>
          <w:p>
            <w:pPr>
              <w:spacing w:after="0"/>
              <w:rPr>
                <w:sz w:val="20"/>
                <w:szCs w:val="20"/>
                <w:color w:val="auto"/>
              </w:rPr>
            </w:pPr>
            <w:r>
              <w:rPr>
                <w:rFonts w:ascii="Courier New" w:cs="Courier New" w:eastAsia="Courier New" w:hAnsi="Courier New"/>
                <w:sz w:val="16"/>
                <w:szCs w:val="16"/>
                <w:color w:val="auto"/>
              </w:rPr>
              <w:t>Richard D. Ennen</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73</w:t>
            </w:r>
          </w:p>
        </w:tc>
        <w:tc>
          <w:tcPr>
            <w:tcW w:w="49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Chairman of the Board and Director</w:t>
            </w:r>
          </w:p>
        </w:tc>
      </w:tr>
      <w:tr>
        <w:trPr>
          <w:trHeight w:val="373"/>
        </w:trPr>
        <w:tc>
          <w:tcPr>
            <w:tcW w:w="236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47</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Executive Officer and Director</w:t>
            </w:r>
          </w:p>
        </w:tc>
      </w:tr>
      <w:tr>
        <w:trPr>
          <w:trHeight w:val="373"/>
        </w:trPr>
        <w:tc>
          <w:tcPr>
            <w:tcW w:w="2360" w:type="dxa"/>
            <w:vAlign w:val="bottom"/>
          </w:tcPr>
          <w:p>
            <w:pPr>
              <w:spacing w:after="0"/>
              <w:rPr>
                <w:sz w:val="20"/>
                <w:szCs w:val="20"/>
                <w:color w:val="auto"/>
              </w:rPr>
            </w:pPr>
            <w:r>
              <w:rPr>
                <w:rFonts w:ascii="Courier New" w:cs="Courier New" w:eastAsia="Courier New" w:hAnsi="Courier New"/>
                <w:sz w:val="16"/>
                <w:szCs w:val="16"/>
                <w:color w:val="auto"/>
              </w:rPr>
              <w:t>Frank T. Gentry, III</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45</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Manufacturing</w:t>
            </w:r>
          </w:p>
        </w:tc>
      </w:tr>
      <w:tr>
        <w:trPr>
          <w:trHeight w:val="373"/>
        </w:trPr>
        <w:tc>
          <w:tcPr>
            <w:tcW w:w="2360" w:type="dxa"/>
            <w:vAlign w:val="bottom"/>
          </w:tcPr>
          <w:p>
            <w:pPr>
              <w:spacing w:after="0"/>
              <w:rPr>
                <w:sz w:val="20"/>
                <w:szCs w:val="20"/>
                <w:color w:val="auto"/>
              </w:rPr>
            </w:pPr>
            <w:r>
              <w:rPr>
                <w:rFonts w:ascii="Courier New" w:cs="Courier New" w:eastAsia="Courier New" w:hAnsi="Courier New"/>
                <w:sz w:val="16"/>
                <w:szCs w:val="16"/>
                <w:color w:val="auto"/>
              </w:rPr>
              <w:t>Robert R. Sams</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43</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Market Services</w:t>
            </w:r>
          </w:p>
        </w:tc>
      </w:tr>
      <w:tr>
        <w:trPr>
          <w:trHeight w:val="373"/>
        </w:trPr>
        <w:tc>
          <w:tcPr>
            <w:tcW w:w="2360" w:type="dxa"/>
            <w:vAlign w:val="bottom"/>
          </w:tcPr>
          <w:p>
            <w:pPr>
              <w:spacing w:after="0"/>
              <w:rPr>
                <w:sz w:val="20"/>
                <w:szCs w:val="20"/>
                <w:color w:val="auto"/>
              </w:rPr>
            </w:pPr>
            <w:r>
              <w:rPr>
                <w:rFonts w:ascii="Courier New" w:cs="Courier New" w:eastAsia="Courier New" w:hAnsi="Courier New"/>
                <w:sz w:val="16"/>
                <w:szCs w:val="16"/>
                <w:color w:val="auto"/>
              </w:rPr>
              <w:t>David L. Dyckman</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36</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Business Development and Chief</w:t>
            </w:r>
          </w:p>
        </w:tc>
      </w:tr>
      <w:tr>
        <w:trPr>
          <w:trHeight w:val="186"/>
        </w:trPr>
        <w:tc>
          <w:tcPr>
            <w:tcW w:w="2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Financial Officer</w:t>
            </w:r>
          </w:p>
        </w:tc>
        <w:tc>
          <w:tcPr>
            <w:tcW w:w="3100" w:type="dxa"/>
            <w:vAlign w:val="bottom"/>
          </w:tcPr>
          <w:p>
            <w:pPr>
              <w:spacing w:after="0"/>
              <w:rPr>
                <w:sz w:val="16"/>
                <w:szCs w:val="16"/>
                <w:color w:val="auto"/>
              </w:rPr>
            </w:pPr>
          </w:p>
        </w:tc>
      </w:tr>
      <w:tr>
        <w:trPr>
          <w:trHeight w:val="186"/>
        </w:trPr>
        <w:tc>
          <w:tcPr>
            <w:tcW w:w="2360" w:type="dxa"/>
            <w:vAlign w:val="bottom"/>
          </w:tcPr>
          <w:p>
            <w:pPr>
              <w:spacing w:after="0"/>
              <w:rPr>
                <w:sz w:val="20"/>
                <w:szCs w:val="20"/>
                <w:color w:val="auto"/>
              </w:rPr>
            </w:pPr>
            <w:r>
              <w:rPr>
                <w:rFonts w:ascii="Courier New" w:cs="Courier New" w:eastAsia="Courier New" w:hAnsi="Courier New"/>
                <w:sz w:val="16"/>
                <w:szCs w:val="16"/>
                <w:color w:val="auto"/>
              </w:rPr>
              <w:t>William C. Kelly, Jr.</w:t>
            </w:r>
          </w:p>
        </w:tc>
        <w:tc>
          <w:tcPr>
            <w:tcW w:w="840" w:type="dxa"/>
            <w:vAlign w:val="bottom"/>
          </w:tcPr>
          <w:p>
            <w:pPr>
              <w:ind w:left="340"/>
              <w:spacing w:after="0"/>
              <w:rPr>
                <w:sz w:val="20"/>
                <w:szCs w:val="20"/>
                <w:color w:val="auto"/>
              </w:rPr>
            </w:pPr>
            <w:r>
              <w:rPr>
                <w:rFonts w:ascii="Courier New" w:cs="Courier New" w:eastAsia="Courier New" w:hAnsi="Courier New"/>
                <w:sz w:val="16"/>
                <w:szCs w:val="16"/>
                <w:color w:val="auto"/>
              </w:rPr>
              <w:t>42</w:t>
            </w:r>
          </w:p>
        </w:tc>
        <w:tc>
          <w:tcPr>
            <w:tcW w:w="49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Treasurer, Secretary and Chief Accounting Officer</w:t>
            </w:r>
          </w:p>
        </w:tc>
      </w:tr>
    </w:tbl>
    <w:p>
      <w:pPr>
        <w:spacing w:after="0" w:line="200" w:lineRule="exact"/>
        <w:rPr>
          <w:sz w:val="20"/>
          <w:szCs w:val="20"/>
          <w:color w:val="auto"/>
        </w:rPr>
      </w:pPr>
    </w:p>
    <w:p>
      <w:pPr>
        <w:spacing w:after="0" w:line="363" w:lineRule="exact"/>
        <w:rPr>
          <w:sz w:val="20"/>
          <w:szCs w:val="20"/>
          <w:color w:val="auto"/>
        </w:rPr>
      </w:pPr>
    </w:p>
    <w:p>
      <w:pPr>
        <w:ind w:right="3339" w:firstLine="775"/>
        <w:spacing w:after="0" w:line="248" w:lineRule="auto"/>
        <w:rPr>
          <w:sz w:val="20"/>
          <w:szCs w:val="20"/>
          <w:color w:val="auto"/>
        </w:rPr>
      </w:pPr>
      <w:r>
        <w:rPr>
          <w:rFonts w:ascii="Courier New" w:cs="Courier New" w:eastAsia="Courier New" w:hAnsi="Courier New"/>
          <w:sz w:val="16"/>
          <w:szCs w:val="16"/>
          <w:color w:val="auto"/>
        </w:rPr>
        <w:t>Biographical Information. Set forth below is certain additional information with respect to each executive officer of the Company.</w:t>
      </w:r>
    </w:p>
    <w:p>
      <w:pPr>
        <w:spacing w:after="0" w:line="184"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93"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Roderick R. Baty became President and Chief Executive Officer in July 1997. He joined the Company in July 1995 as Vice President and Chief Financial Officer and was elected to the Board of Directors in 1995. Prior to joining the Company, Mr. Baty served as President and Chief Operating Officer of Hoover Precision Products from 1990 until January 1995, and as Vice President and General Manager of Hoover Precision Products from 1985 to 1990.</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Frank T. Gentry, III, was originally appointed Vice President - Manufacturing in August 1995. Mr. Gentry's responsibilities include purchasing, inventory control and transportation. Mr. Gentry joined the Company in 1981 and held various production control positions within the Company from 1981 to August 1995.</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Robert R. Sams joined the Company in 1996 as Plant Manager of the Mountain City, Tennessee facility. In 1997, Mr. Sams served as Managing Director of the Kilkenny facility and in 1999 was elected to the position of Vice President - Market Services. Prior to joining the Company, Mr. Sams held various positions with Hoover Precision Products from 1980 to 1994 and most recently as Vice President of Production for Blum, Inc. from 1994 to 1996.</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David L. Dyckman was appointed Vice President of Business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William C. Kelly, Jr. joined the Company in 1993 as Assistant Treasurer and Manager of Investor Relations. In July 1994, Mr. Kelly was elected to serve as the Company's Chief Accounting Officer, and in February 1995, was elected Treasurer and Assistant Secretary. In March 1999 he was elected Secretary of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9" w:right="1440" w:bottom="1440" w:gutter="0" w:footer="0" w:header="0"/>
        </w:sectPr>
      </w:pPr>
    </w:p>
    <w:bookmarkStart w:id="8" w:name="page9"/>
    <w:bookmarkEnd w:id="8"/>
    <w:p>
      <w:pPr>
        <w:ind w:right="2659"/>
        <w:spacing w:after="0" w:line="247" w:lineRule="auto"/>
        <w:rPr>
          <w:sz w:val="20"/>
          <w:szCs w:val="20"/>
          <w:color w:val="auto"/>
        </w:rPr>
      </w:pPr>
      <w:r>
        <w:rPr>
          <w:rFonts w:ascii="Courier New" w:cs="Courier New" w:eastAsia="Courier New" w:hAnsi="Courier New"/>
          <w:sz w:val="16"/>
          <w:szCs w:val="16"/>
          <w:color w:val="auto"/>
        </w:rPr>
        <w:t>Company. Prior to joining the Company, Mr. Kelly served from 1988 to 1993 as a Staff Accountant and as a Senior Auditor with the accounting firm of PricewaterhouseCoopers LLP.</w:t>
      </w:r>
    </w:p>
    <w:p>
      <w:pPr>
        <w:spacing w:after="0" w:line="18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Item 2</w:t>
        <w:tab/>
        <w:t>Properties</w:t>
      </w:r>
    </w:p>
    <w:p>
      <w:pPr>
        <w:spacing w:after="0" w:line="191"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The Company has three domestic ball manufacturing facilities located in Erwin, Tennessee, Walterboro, South Carolina and Mountain City, Tennessee. Rollers are only produced at the Erwin, Tennessee facility. Production began in early 1996 at the Mountain City facility.</w:t>
      </w:r>
    </w:p>
    <w:p>
      <w:pPr>
        <w:spacing w:after="0" w:line="186"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The Erwin, Walterboro and Mountain City plants currently have approximately 125,000, 100,000 and 48,000 square feet of manufacturing space, respectively. The Walterboro plant is located on a 10 acre tract of land owned by the Company, the Erwin plant is located on a 12 acre tract of land owned by the Company and the Mountain City plant is located on an 8 acre tract of land owned by the Company.</w:t>
      </w:r>
    </w:p>
    <w:p>
      <w:pPr>
        <w:spacing w:after="0" w:line="185"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Through its newly formed joint venture company, Euroball, the Company manufactures high precision steel balls in three manufacturing facilities located in Kilkenny, Ireland, Eltmann, Germany and Pinerolo, Italy. The facilities currently have approximately 136,000, 54,000 and 112,000 square feet of manufacturing space, respectively. The Kilkenny facility is located on a two acre tract owned by Euroball, the Eltmann facility is leased from FAG and the Pinerolo facility is located on a 9 acre tract owned by Euroball.</w:t>
      </w:r>
    </w:p>
    <w:p>
      <w:pPr>
        <w:spacing w:after="0" w:line="185"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Industrial Molding Corporation manufactures a wide range of plastic molded products through two facilities located in Lubbock, Texas. The Slaton facility, located on a 6.5 acre tract of land owned by the Company, contains approximately 193,000 square feet of manufacturing, warehouse and office space. The Cedar facility is situated on a 2.5 acre tract of land which is also owned by the Company and contains approximately 35,000 square feet of manufacturing and warehouse space.</w:t>
      </w:r>
    </w:p>
    <w:p>
      <w:pPr>
        <w:spacing w:after="0" w:line="185" w:lineRule="exact"/>
        <w:rPr>
          <w:sz w:val="20"/>
          <w:szCs w:val="20"/>
          <w:color w:val="auto"/>
        </w:rPr>
      </w:pPr>
    </w:p>
    <w:p>
      <w:pPr>
        <w:jc w:val="both"/>
        <w:ind w:right="2459" w:firstLine="775"/>
        <w:spacing w:after="0" w:line="247" w:lineRule="auto"/>
        <w:rPr>
          <w:sz w:val="20"/>
          <w:szCs w:val="20"/>
          <w:color w:val="auto"/>
        </w:rPr>
      </w:pPr>
      <w:r>
        <w:rPr>
          <w:rFonts w:ascii="Courier New" w:cs="Courier New" w:eastAsia="Courier New" w:hAnsi="Courier New"/>
          <w:sz w:val="16"/>
          <w:szCs w:val="16"/>
          <w:color w:val="auto"/>
        </w:rPr>
        <w:t>During 2000, the Company added new machinery and equipment at all of its facilities. See "Management's Discussion and Analysis of Financial Condition and Results of Operations -- Liquidity and Capital Resources."</w:t>
      </w:r>
    </w:p>
    <w:p>
      <w:pPr>
        <w:spacing w:after="0" w:line="18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All legal proceedings and actions involving the Company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8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1" w:lineRule="exact"/>
        <w:rPr>
          <w:sz w:val="20"/>
          <w:szCs w:val="20"/>
          <w:color w:val="auto"/>
        </w:rPr>
      </w:pPr>
    </w:p>
    <w:p>
      <w:pPr>
        <w:ind w:right="2659" w:firstLine="775"/>
        <w:spacing w:after="0" w:line="248" w:lineRule="auto"/>
        <w:rPr>
          <w:sz w:val="20"/>
          <w:szCs w:val="20"/>
          <w:color w:val="auto"/>
        </w:rPr>
      </w:pPr>
      <w:r>
        <w:rPr>
          <w:rFonts w:ascii="Courier New" w:cs="Courier New" w:eastAsia="Courier New" w:hAnsi="Courier New"/>
          <w:sz w:val="16"/>
          <w:szCs w:val="16"/>
          <w:color w:val="auto"/>
        </w:rPr>
        <w:t>No matters were submitted for a vote of stockholders during the fourth quarter of 2000.</w:t>
      </w:r>
    </w:p>
    <w:p>
      <w:pPr>
        <w:spacing w:after="0" w:line="18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780" w:right="3139" w:hanging="774"/>
        <w:spacing w:after="0" w:line="248" w:lineRule="auto"/>
        <w:tabs>
          <w:tab w:leader="none" w:pos="760" w:val="left"/>
        </w:tabs>
        <w:rPr>
          <w:sz w:val="20"/>
          <w:szCs w:val="20"/>
          <w:color w:val="auto"/>
        </w:rPr>
      </w:pPr>
      <w:r>
        <w:rPr>
          <w:rFonts w:ascii="Courier New" w:cs="Courier New" w:eastAsia="Courier New" w:hAnsi="Courier New"/>
          <w:sz w:val="16"/>
          <w:szCs w:val="16"/>
          <w:color w:val="auto"/>
        </w:rPr>
        <w:t>Item 5</w:t>
        <w:tab/>
        <w:t>Market for the Registrant's Common Equity and Related Stockholder Matters</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Item 6</w:t>
        <w:tab/>
        <w:t>Selected Financial Data</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following selected financial data of the Company are qualified by reference to and should be read in conjunction with the Financial Statements and the Notes thereto included as Item 8. The data set forth below as of December 31, 2000 has been derived from the Financial Statements of the Company which have been audited by KPMG LLP, independent accountants, whose report thereon is included as part of item 8. The data below as of December 31, 1999 and for each of the three years in the period ended December 31, 1999 have been derived from the Financial Statements of the Company which have been audited by PricewaterhouseCoopers LLP, independent accountants. These historical results are not necessarily indicative of the results to be expected in the future. See "Management's Discussion and Analysis of Financial Condition and Results of Operations."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5"/>
          </w:tcPr>
          <w:p>
            <w:pPr>
              <w:jc w:val="right"/>
              <w:ind w:right="579"/>
              <w:spacing w:after="0"/>
              <w:rPr>
                <w:sz w:val="20"/>
                <w:szCs w:val="20"/>
                <w:color w:val="auto"/>
              </w:rPr>
            </w:pPr>
            <w:r>
              <w:rPr>
                <w:rFonts w:ascii="Courier New" w:cs="Courier New" w:eastAsia="Courier New" w:hAnsi="Courier New"/>
                <w:sz w:val="16"/>
                <w:szCs w:val="16"/>
                <w:color w:val="auto"/>
              </w:rPr>
              <w:t>Year Ended December 31,</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5"/>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1999</w:t>
            </w:r>
          </w:p>
        </w:tc>
        <w:tc>
          <w:tcPr>
            <w:tcW w:w="4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1998</w:t>
            </w:r>
          </w:p>
        </w:tc>
        <w:tc>
          <w:tcPr>
            <w:tcW w:w="34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3"/>
              </w:rPr>
              <w:t>1997</w:t>
            </w:r>
          </w:p>
        </w:tc>
        <w:tc>
          <w:tcPr>
            <w:tcW w:w="30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1996</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w:t>
            </w:r>
          </w:p>
        </w:tc>
        <w:tc>
          <w:tcPr>
            <w:tcW w:w="4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w:t>
            </w:r>
          </w:p>
        </w:tc>
        <w:tc>
          <w:tcPr>
            <w:tcW w:w="34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3"/>
              </w:rPr>
              <w:t>----</w:t>
            </w:r>
          </w:p>
        </w:tc>
        <w:tc>
          <w:tcPr>
            <w:tcW w:w="30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478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3"/>
        </w:trPr>
        <w:tc>
          <w:tcPr>
            <w:tcW w:w="364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$132,129</w:t>
            </w:r>
          </w:p>
        </w:tc>
        <w:tc>
          <w:tcPr>
            <w:tcW w:w="10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$85,294</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$73,006</w:t>
            </w:r>
          </w:p>
        </w:tc>
        <w:tc>
          <w:tcPr>
            <w:tcW w:w="12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$75,252</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$84,539</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93,926</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59,967</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50,353</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51,707</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56,695</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38,203</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25,327</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22,653</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23,545</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27,844</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11,571</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6,854</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5,896</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5,518</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4,890</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9,165</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6,131</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4,557</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4,106</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3,358</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17,467</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12,342</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12,200</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13,921</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19,596</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1,773</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523</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64</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296</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w:t>
            </w: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affiliate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Gain on involuntary conversion</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(728)</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16,606</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11,819</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12,136</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13,892</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19,300</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5,959</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4,060</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4,480</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5,382</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6,835</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Minority interest in income of</w:t>
            </w: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consolidated subsidiary</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660</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$9,987</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$7,759</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$7,656</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$8,510</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$12,465</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Basic income per share: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$ 0.66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0.52</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0.52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0.57</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0.83</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Diluted income per share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$ 0.64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0.52</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0.52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0.57</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0.83</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Operating income per share</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$ 1.15</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$0.81</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0.82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0.94</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$ 1.30</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Dividends declared</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$ 0.32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0.32</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0.32</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0.32</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0.32</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15,247</w:t>
            </w:r>
          </w:p>
        </w:tc>
        <w:tc>
          <w:tcPr>
            <w:tcW w:w="34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15,021</w:t>
            </w:r>
          </w:p>
        </w:tc>
        <w:tc>
          <w:tcPr>
            <w:tcW w:w="44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14,804</w:t>
            </w:r>
          </w:p>
        </w:tc>
        <w:tc>
          <w:tcPr>
            <w:tcW w:w="34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14,804</w:t>
            </w:r>
          </w:p>
        </w:tc>
        <w:tc>
          <w:tcPr>
            <w:tcW w:w="30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15,042</w:t>
            </w:r>
          </w:p>
        </w:tc>
        <w:tc>
          <w:tcPr>
            <w:tcW w:w="780" w:type="dxa"/>
            <w:vAlign w:val="bottom"/>
          </w:tcPr>
          <w:p>
            <w:pPr>
              <w:spacing w:after="0"/>
              <w:rPr>
                <w:sz w:val="16"/>
                <w:szCs w:val="16"/>
                <w:color w:val="auto"/>
              </w:rPr>
            </w:pPr>
          </w:p>
        </w:tc>
      </w:tr>
      <w:tr>
        <w:trPr>
          <w:trHeight w:val="186"/>
        </w:trPr>
        <w:tc>
          <w:tcPr>
            <w:tcW w:w="3640" w:type="dxa"/>
            <w:vAlign w:val="bottom"/>
          </w:tcPr>
          <w:p>
            <w:pPr>
              <w:ind w:left="300"/>
              <w:spacing w:after="0"/>
              <w:rPr>
                <w:sz w:val="20"/>
                <w:szCs w:val="20"/>
                <w:color w:val="auto"/>
              </w:rPr>
            </w:pPr>
            <w:r>
              <w:rPr>
                <w:rFonts w:ascii="Courier New" w:cs="Courier New" w:eastAsia="Courier New" w:hAnsi="Courier New"/>
                <w:sz w:val="16"/>
                <w:szCs w:val="16"/>
                <w:color w:val="auto"/>
              </w:rPr>
              <w:t>Outstanding - Basic</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r>
      <w:tr>
        <w:trPr>
          <w:trHeight w:val="1118"/>
        </w:trPr>
        <w:tc>
          <w:tcPr>
            <w:tcW w:w="3640" w:type="dxa"/>
            <w:vAlign w:val="bottom"/>
          </w:tcPr>
          <w:p>
            <w:pPr>
              <w:ind w:left="880"/>
              <w:spacing w:after="0"/>
              <w:rPr>
                <w:sz w:val="20"/>
                <w:szCs w:val="20"/>
                <w:color w:val="auto"/>
              </w:rPr>
            </w:pPr>
            <w:r>
              <w:rPr>
                <w:rFonts w:ascii="Courier New" w:cs="Courier New" w:eastAsia="Courier New" w:hAnsi="Courier New"/>
                <w:sz w:val="16"/>
                <w:szCs w:val="16"/>
                <w:color w:val="auto"/>
              </w:rPr>
              <w:t>Balance Sheet Data:</w:t>
            </w:r>
          </w:p>
        </w:tc>
        <w:tc>
          <w:tcPr>
            <w:tcW w:w="1340" w:type="dxa"/>
            <w:vAlign w:val="bottom"/>
          </w:tcPr>
          <w:p>
            <w:pPr>
              <w:spacing w:after="0"/>
              <w:rPr>
                <w:sz w:val="24"/>
                <w:szCs w:val="24"/>
                <w:color w:val="auto"/>
              </w:rPr>
            </w:pPr>
          </w:p>
        </w:tc>
        <w:tc>
          <w:tcPr>
            <w:tcW w:w="10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1999</w:t>
            </w:r>
          </w:p>
        </w:tc>
        <w:tc>
          <w:tcPr>
            <w:tcW w:w="120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1998</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1996</w:t>
            </w:r>
          </w:p>
        </w:tc>
      </w:tr>
      <w:tr>
        <w:trPr>
          <w:trHeight w:val="186"/>
        </w:trPr>
        <w:tc>
          <w:tcPr>
            <w:tcW w:w="3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57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3640" w:type="dxa"/>
            <w:vAlign w:val="bottom"/>
          </w:tcPr>
          <w:p>
            <w:pPr>
              <w:ind w:left="880"/>
              <w:spacing w:after="0"/>
              <w:rPr>
                <w:sz w:val="20"/>
                <w:szCs w:val="20"/>
                <w:color w:val="auto"/>
              </w:rPr>
            </w:pPr>
            <w:r>
              <w:rPr>
                <w:rFonts w:ascii="Courier New" w:cs="Courier New" w:eastAsia="Courier New" w:hAnsi="Courier New"/>
                <w:sz w:val="16"/>
                <w:szCs w:val="16"/>
                <w:color w:val="auto"/>
              </w:rPr>
              <w:t>Current assets</w:t>
            </w:r>
          </w:p>
        </w:tc>
        <w:tc>
          <w:tcPr>
            <w:tcW w:w="1340" w:type="dxa"/>
            <w:vAlign w:val="bottom"/>
          </w:tcPr>
          <w:p>
            <w:pPr>
              <w:spacing w:after="0"/>
              <w:rPr>
                <w:sz w:val="16"/>
                <w:szCs w:val="16"/>
                <w:color w:val="auto"/>
              </w:rPr>
            </w:pPr>
          </w:p>
        </w:tc>
        <w:tc>
          <w:tcPr>
            <w:tcW w:w="10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$64,038</w:t>
            </w:r>
          </w:p>
        </w:tc>
        <w:tc>
          <w:tcPr>
            <w:tcW w:w="116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$34,397</w:t>
            </w:r>
          </w:p>
        </w:tc>
        <w:tc>
          <w:tcPr>
            <w:tcW w:w="12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$28,571</w:t>
            </w:r>
          </w:p>
        </w:tc>
        <w:tc>
          <w:tcPr>
            <w:tcW w:w="10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w w:val="98"/>
              </w:rPr>
              <w:t>$26,185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$26,727</w:t>
            </w:r>
          </w:p>
        </w:tc>
      </w:tr>
      <w:tr>
        <w:trPr>
          <w:trHeight w:val="186"/>
        </w:trPr>
        <w:tc>
          <w:tcPr>
            <w:tcW w:w="3640" w:type="dxa"/>
            <w:vAlign w:val="bottom"/>
          </w:tcPr>
          <w:p>
            <w:pPr>
              <w:ind w:left="880"/>
              <w:spacing w:after="0"/>
              <w:rPr>
                <w:sz w:val="20"/>
                <w:szCs w:val="20"/>
                <w:color w:val="auto"/>
              </w:rPr>
            </w:pPr>
            <w:r>
              <w:rPr>
                <w:rFonts w:ascii="Courier New" w:cs="Courier New" w:eastAsia="Courier New" w:hAnsi="Courier New"/>
                <w:sz w:val="16"/>
                <w:szCs w:val="16"/>
                <w:color w:val="auto"/>
              </w:rPr>
              <w:t>Current liabilities</w:t>
            </w:r>
          </w:p>
        </w:tc>
        <w:tc>
          <w:tcPr>
            <w:tcW w:w="1340" w:type="dxa"/>
            <w:vAlign w:val="bottom"/>
          </w:tcPr>
          <w:p>
            <w:pPr>
              <w:spacing w:after="0"/>
              <w:rPr>
                <w:sz w:val="16"/>
                <w:szCs w:val="16"/>
                <w:color w:val="auto"/>
              </w:rPr>
            </w:pPr>
          </w:p>
        </w:tc>
        <w:tc>
          <w:tcPr>
            <w:tcW w:w="10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35,859</w:t>
            </w: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10,478</w:t>
            </w:r>
          </w:p>
        </w:tc>
        <w:tc>
          <w:tcPr>
            <w:tcW w:w="12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7,638</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7,471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8,374</w:t>
            </w:r>
          </w:p>
        </w:tc>
      </w:tr>
      <w:tr>
        <w:trPr>
          <w:trHeight w:val="186"/>
        </w:trPr>
        <w:tc>
          <w:tcPr>
            <w:tcW w:w="3640" w:type="dxa"/>
            <w:vAlign w:val="bottom"/>
          </w:tcPr>
          <w:p>
            <w:pPr>
              <w:ind w:left="880"/>
              <w:spacing w:after="0"/>
              <w:rPr>
                <w:sz w:val="20"/>
                <w:szCs w:val="20"/>
                <w:color w:val="auto"/>
              </w:rPr>
            </w:pPr>
            <w:r>
              <w:rPr>
                <w:rFonts w:ascii="Courier New" w:cs="Courier New" w:eastAsia="Courier New" w:hAnsi="Courier New"/>
                <w:sz w:val="16"/>
                <w:szCs w:val="16"/>
                <w:color w:val="auto"/>
              </w:rPr>
              <w:t>Total assets</w:t>
            </w:r>
          </w:p>
        </w:tc>
        <w:tc>
          <w:tcPr>
            <w:tcW w:w="1340" w:type="dxa"/>
            <w:vAlign w:val="bottom"/>
          </w:tcPr>
          <w:p>
            <w:pPr>
              <w:spacing w:after="0"/>
              <w:rPr>
                <w:sz w:val="16"/>
                <w:szCs w:val="16"/>
                <w:color w:val="auto"/>
              </w:rPr>
            </w:pPr>
          </w:p>
        </w:tc>
        <w:tc>
          <w:tcPr>
            <w:tcW w:w="10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187,808</w:t>
            </w: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91,363</w:t>
            </w:r>
          </w:p>
        </w:tc>
        <w:tc>
          <w:tcPr>
            <w:tcW w:w="12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66,860</w:t>
            </w:r>
          </w:p>
        </w:tc>
        <w:tc>
          <w:tcPr>
            <w:tcW w:w="10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63,273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59,292</w:t>
            </w:r>
          </w:p>
        </w:tc>
      </w:tr>
      <w:tr>
        <w:trPr>
          <w:trHeight w:val="186"/>
        </w:trPr>
        <w:tc>
          <w:tcPr>
            <w:tcW w:w="3640" w:type="dxa"/>
            <w:vAlign w:val="bottom"/>
          </w:tcPr>
          <w:p>
            <w:pPr>
              <w:ind w:left="880"/>
              <w:spacing w:after="0"/>
              <w:rPr>
                <w:sz w:val="20"/>
                <w:szCs w:val="20"/>
                <w:color w:val="auto"/>
              </w:rPr>
            </w:pPr>
            <w:r>
              <w:rPr>
                <w:rFonts w:ascii="Courier New" w:cs="Courier New" w:eastAsia="Courier New" w:hAnsi="Courier New"/>
                <w:sz w:val="16"/>
                <w:szCs w:val="16"/>
                <w:color w:val="auto"/>
              </w:rPr>
              <w:t>Long-term debt</w:t>
            </w:r>
          </w:p>
        </w:tc>
        <w:tc>
          <w:tcPr>
            <w:tcW w:w="1340" w:type="dxa"/>
            <w:vAlign w:val="bottom"/>
          </w:tcPr>
          <w:p>
            <w:pPr>
              <w:spacing w:after="0"/>
              <w:rPr>
                <w:sz w:val="16"/>
                <w:szCs w:val="16"/>
                <w:color w:val="auto"/>
              </w:rPr>
            </w:pPr>
          </w:p>
        </w:tc>
        <w:tc>
          <w:tcPr>
            <w:tcW w:w="10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50,515</w:t>
            </w: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17,151</w:t>
            </w:r>
          </w:p>
        </w:tc>
        <w:tc>
          <w:tcPr>
            <w:tcW w:w="34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spacing w:after="0"/>
              <w:rPr>
                <w:sz w:val="16"/>
                <w:szCs w:val="16"/>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3640" w:type="dxa"/>
            <w:vAlign w:val="bottom"/>
          </w:tcPr>
          <w:p>
            <w:pPr>
              <w:ind w:left="880"/>
              <w:spacing w:after="0"/>
              <w:rPr>
                <w:sz w:val="20"/>
                <w:szCs w:val="20"/>
                <w:color w:val="auto"/>
              </w:rPr>
            </w:pPr>
            <w:r>
              <w:rPr>
                <w:rFonts w:ascii="Courier New" w:cs="Courier New" w:eastAsia="Courier New" w:hAnsi="Courier New"/>
                <w:sz w:val="16"/>
                <w:szCs w:val="16"/>
                <w:color w:val="auto"/>
              </w:rPr>
              <w:t>Stockholders' equity</w:t>
            </w:r>
          </w:p>
        </w:tc>
        <w:tc>
          <w:tcPr>
            <w:tcW w:w="1340" w:type="dxa"/>
            <w:vAlign w:val="bottom"/>
          </w:tcPr>
          <w:p>
            <w:pPr>
              <w:spacing w:after="0"/>
              <w:rPr>
                <w:sz w:val="16"/>
                <w:szCs w:val="16"/>
                <w:color w:val="auto"/>
              </w:rPr>
            </w:pPr>
          </w:p>
        </w:tc>
        <w:tc>
          <w:tcPr>
            <w:tcW w:w="10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65,246</w:t>
            </w:r>
          </w:p>
        </w:tc>
        <w:tc>
          <w:tcPr>
            <w:tcW w:w="11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60,128</w:t>
            </w:r>
          </w:p>
        </w:tc>
        <w:tc>
          <w:tcPr>
            <w:tcW w:w="12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56,242</w:t>
            </w:r>
          </w:p>
        </w:tc>
        <w:tc>
          <w:tcPr>
            <w:tcW w:w="10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52,971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48,710</w:t>
            </w:r>
          </w:p>
        </w:tc>
      </w:tr>
      <w:tr>
        <w:trPr>
          <w:trHeight w:val="932"/>
        </w:trPr>
        <w:tc>
          <w:tcPr>
            <w:tcW w:w="3640" w:type="dxa"/>
            <w:vAlign w:val="bottom"/>
          </w:tcPr>
          <w:p>
            <w:pPr>
              <w:spacing w:after="0"/>
              <w:rPr>
                <w:sz w:val="24"/>
                <w:szCs w:val="24"/>
                <w:color w:val="auto"/>
              </w:rPr>
            </w:pPr>
          </w:p>
        </w:tc>
        <w:tc>
          <w:tcPr>
            <w:tcW w:w="1340" w:type="dxa"/>
            <w:vAlign w:val="bottom"/>
          </w:tcPr>
          <w:p>
            <w:pPr>
              <w:jc w:val="right"/>
              <w:ind w:right="919"/>
              <w:spacing w:after="0"/>
              <w:rPr>
                <w:sz w:val="20"/>
                <w:szCs w:val="20"/>
                <w:color w:val="auto"/>
              </w:rPr>
            </w:pPr>
            <w:r>
              <w:rPr>
                <w:rFonts w:ascii="Courier New" w:cs="Courier New" w:eastAsia="Courier New" w:hAnsi="Courier New"/>
                <w:sz w:val="16"/>
                <w:szCs w:val="16"/>
                <w:color w:val="auto"/>
              </w:rPr>
              <w:t>10</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80"/>
          </w:cols>
          <w:pgMar w:left="240" w:top="1049" w:right="1379" w:bottom="1440" w:gutter="0" w:footer="0" w:header="0"/>
        </w:sectPr>
      </w:pPr>
    </w:p>
    <w:bookmarkStart w:id="10" w:name="page11"/>
    <w:bookmarkEnd w:id="10"/>
    <w:p>
      <w:pPr>
        <w:ind w:right="3039"/>
        <w:spacing w:after="0" w:line="248"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4"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following discussion should be read in conjunction with, and is qualified in its entirety by, the Financial Statements and the Notes thereto and Selected Financial Data included elsewhere in this Form 10-K. Historical operating results and percentage relationships among any amounts included in the Financial Statements are not necessarily indicative of trends in operating results for any future period.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Company's core business is the manufacture and sale of high quality, precision steel balls and rollers. In 2000, sales of balls and rollers accounted for approximately 77% of the Company's total net sales. Of this 77%, balls accounted for 72% and rollers accounted for 5%. Sales of precision molded plastic parts accounted for the remaining 23%. See Note 10 of the Notes to Financial Statements.</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Since the Company was formed, growth factors include its displacement of captive ball manufacturing divisions of domestic and international bearing manufacturers as a source of precision balls and increased sales of high precision balls for quiet bearing applications. Sales of high precision balls produced by the Company for use in quiet bearing applications has grown to approximately 85% of total net ball sales. Management believes that the Company's sales growth since its formation has been due to its ability to capitalize on opportunities in overseas markets and provide precision balls at competitive prices, as well as its emphasis on product quality and customer service.</w:t>
      </w:r>
    </w:p>
    <w:p>
      <w:pPr>
        <w:spacing w:after="0" w:line="192"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As a result of changing dynamics in the marketplace, the Company developed and is implementing an extensive new long-term growth strategy involving both its core business and opportunities beyond the core markets that are consistent with the Company's strengths and culture.</w:t>
      </w:r>
    </w:p>
    <w:p>
      <w:pPr>
        <w:spacing w:after="0" w:line="186"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On July 4, 1999, the Company, acquired substantially all of the assets of Earsley Capital Corporation, formerly known as Industrial Molding Corporation ("IMC").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 During 2000, IMC sold its products to approximately 55 customers in 12 different countries.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On March 16, 2000, the Company entered into a 50/50 joint venture with General Bearing Corporation called NN General LLC ("NN General"), which owns a 60% position in Jiangsu General Ball &amp; Roller Company, Ltd. ("JGBR"), a Chinese precision ball and roller manufacturer located in Rugao City, Jiangsu Providence, China. The Company's investment includes a cash loan of $3.4 million. The remaining 40% of the Chinese company is owned by Jiangsu Steel Ball Factory.</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On July 31, 2000, the Company formed a majority owned stand-alone company in Europe, NN Euroball ApS ("Euroball"), for the manufacture and sale of chrome steel balls used for ball bearings and other products. The Company owns 54% of Euroball. AB SKF and FAG Kugelfisher Georg Shafer AG, the parent companies of SKF and FAG respectively each own 23%.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provides for additional working capital expenditure financing. The Company is required to consolidate Euroball due to its ability to exercise control over its operations and has accounted for the acquisitions of the Pinerolo, Italy and Eltmann, Germany ball factories using the purchase method of accounting. Goodwill arising from this acquisition is being amortized on a straight-line basis over 20 years.</w:t>
      </w:r>
    </w:p>
    <w:p>
      <w:pPr>
        <w:spacing w:after="0" w:line="19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On August 31, 2000 the Company acquired a 51% ownership interest in NN Mexico, LLC ("NN Mexico"), a Delaware limited liability company. NN Mexico holds as its sole investment a 100% ownership interest in NN Arte, a manufacturer of plastic components located in Guadalajara, Mexico. To acquire its 51% ownership of NN Mexico, the Company made an initial contribution of $879,000, an additional contribution of $671,000, and is obligated to provide additional funding of $600,000 payable upon certain performance conditions at NN Arte. The Company is required to consolidate NN Mexico due to its ability to exercise</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9" w:right="1440" w:bottom="881" w:gutter="0" w:footer="0" w:header="0"/>
        </w:sectPr>
      </w:pPr>
    </w:p>
    <w:bookmarkStart w:id="11" w:name="page12"/>
    <w:bookmarkEnd w:id="11"/>
    <w:p>
      <w:pPr>
        <w:ind w:right="2659"/>
        <w:spacing w:after="0" w:line="247" w:lineRule="auto"/>
        <w:rPr>
          <w:sz w:val="20"/>
          <w:szCs w:val="20"/>
          <w:color w:val="auto"/>
        </w:rPr>
      </w:pPr>
      <w:r>
        <w:rPr>
          <w:rFonts w:ascii="Courier New" w:cs="Courier New" w:eastAsia="Courier New" w:hAnsi="Courier New"/>
          <w:sz w:val="16"/>
          <w:szCs w:val="16"/>
          <w:color w:val="auto"/>
        </w:rPr>
        <w:t>control over NN Arte's operations and has accounted for this acquisition using the purchase method of accounting. At December 31, 2000, NN Arte had not commenced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selected financial data and the percentage of the Company's net sales represented by each income statement line item presented.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0" w:type="dxa"/>
            <w:vAlign w:val="bottom"/>
          </w:tcPr>
          <w:p>
            <w:pPr>
              <w:spacing w:after="0"/>
              <w:rPr>
                <w:sz w:val="15"/>
                <w:szCs w:val="15"/>
                <w:color w:val="auto"/>
              </w:rPr>
            </w:pPr>
          </w:p>
        </w:tc>
        <w:tc>
          <w:tcPr>
            <w:tcW w:w="316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As a percentage of Net Sales</w:t>
            </w:r>
          </w:p>
        </w:tc>
      </w:tr>
      <w:tr>
        <w:trPr>
          <w:trHeight w:val="186"/>
        </w:trPr>
        <w:tc>
          <w:tcPr>
            <w:tcW w:w="4600" w:type="dxa"/>
            <w:vAlign w:val="bottom"/>
          </w:tcPr>
          <w:p>
            <w:pPr>
              <w:spacing w:after="0"/>
              <w:rPr>
                <w:sz w:val="16"/>
                <w:szCs w:val="16"/>
                <w:color w:val="auto"/>
              </w:rPr>
            </w:pPr>
          </w:p>
        </w:tc>
        <w:tc>
          <w:tcPr>
            <w:tcW w:w="316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460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460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Cost of product sold</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71.1</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69.0</w:t>
            </w:r>
          </w:p>
        </w:tc>
      </w:tr>
      <w:tr>
        <w:trPr>
          <w:trHeight w:val="186"/>
        </w:trPr>
        <w:tc>
          <w:tcPr>
            <w:tcW w:w="46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28.9</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31.0</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8.8</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6.9</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6"/>
        </w:trPr>
        <w:tc>
          <w:tcPr>
            <w:tcW w:w="46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13.2</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16.7</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 affiliates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Gain on involuntary conversion</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16.6</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Minority interest in income of consolidated</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subsidiary</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86"/>
        </w:trPr>
        <w:tc>
          <w:tcPr>
            <w:tcW w:w="46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2000 Compared to the Year Ended December 31, 1999</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Net Sales. The Company's net sales increased $46.8 million or 54.9%, from $85.3 million in 1999 to $132.1 million in 2000. The formation of Euroball in August of 2000 contributed $30.4 million of the increase, excluding the third and fourth quarter sales of the Ireland facility, which were consolidated into the results of the Company prior to the formation of Euroball. Additionally the inclusion of a full year of IMC's net sales contributed $12.9 million. The Company acquired IMC on July 4, 1999, thus six months of IMC's results were included in the Company's 1999 results. The remainder of the increase is due to increased ball and roller sales in the first half of the year, offset by slowing domestic demand for balls and rollers in the second half of the year. The Company experienced decreased sales in the second half of the year for the Plastics Division due primarily to decreased sales to one customer.</w:t>
      </w:r>
    </w:p>
    <w:p>
      <w:pPr>
        <w:spacing w:after="0" w:line="19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Gross Profit. Gross profit increased by $12.9 million, or 50.8%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$25.3 million in 1999 to $38.2 million in 2000. Excluding the Ireland facility's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and fourth quarter gross profit, the Euroball joint venture accounted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 million of the increase. The inclusion of a full year of IMC's gross profit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contributed an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9" w:right="1440" w:bottom="1440" w:gutter="0" w:footer="0" w:header="0"/>
        </w:sectPr>
      </w:pPr>
    </w:p>
    <w:bookmarkStart w:id="12" w:name="page13"/>
    <w:bookmarkEnd w:id="12"/>
    <w:p>
      <w:pPr>
        <w:ind w:right="2559"/>
        <w:spacing w:after="0" w:line="247" w:lineRule="auto"/>
        <w:rPr>
          <w:sz w:val="20"/>
          <w:szCs w:val="20"/>
          <w:color w:val="auto"/>
        </w:rPr>
      </w:pPr>
      <w:r>
        <w:rPr>
          <w:rFonts w:ascii="Courier New" w:cs="Courier New" w:eastAsia="Courier New" w:hAnsi="Courier New"/>
          <w:sz w:val="16"/>
          <w:szCs w:val="16"/>
          <w:color w:val="auto"/>
        </w:rPr>
        <w:t>additional $4.0 million in gross profit. The remainder of the increase is primarily attributed to increased sales at the Domestic Ball and Roller Division. To a lesser degree, decreased costs as a percentage of sales at the Domestic Ball and Roller Division contributed to the increase in gross profit. This was due mainly to inventory builds during the fourth quarter of 2000. As a percentage of net sales, gross profit decreased from 29.7% in 1999 to 28.9% in 2000.</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Selling, General and Administrative Expenses. Selling, general and administrative expenses increased by $4.7 million, or 68.8% from $6.9 million in 1999 to $11.6 million in 2000. The Euroball Division, excluding the Ireland facility, accounted for $2.4 million of the increase. The inclusion of a full year of IMC's results accounted for $1.6 million of the increase. The remainder of the increase is primarily attributed to increased administrative expenses associated with the Company's business development activity during the year. As a percentage of net sales, selling, general and administrative expenses increased from 8.0% in 1999 to 8.8% in 2000.</w:t>
      </w:r>
    </w:p>
    <w:p>
      <w:pPr>
        <w:spacing w:after="0" w:line="191"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Depreciation and Amortization. Depreciation and amortization expenses increased $3.0 million, or 49.5% from $6.1 million in 1999 to $9.2 million in 2000. The addition of Euroball, adjusting for the Ireland facility, accounted for $2.4 million of the increase. The inclusion of a full year of IMC's results accounted for the remainder of the increase. As a percentage of net sales, depreciation and amortization decreased from 7.2% in 1999 to 6.9% in 2000.</w:t>
      </w:r>
    </w:p>
    <w:p>
      <w:pPr>
        <w:spacing w:after="0" w:line="18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Interest Expense. Interest expense increased by $1.3 million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$523,000 in 1999 to $1.8 million in 2000. Interest expense related to the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incurred by Euroball to finance the joint venture transaction accounted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$622,000 of the increase. Additionally, the inclusion of a full year of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related to the purchase of the IMC business accounted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 of the increase. The remainder of the increase is due to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associated with the Company's business development activity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Additionally, the timing of expenditures associated with the March 12,</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2000 fire and the reimbursement of insurance proceeds has caused an increase in the levels outstanding under the Company's domestic line of credit. As a percentage of net sales, interest expense increased from 0.6% in 1999 to 1.3% in 2000. See "Management's Discussion and Analysis of Financial Condition - Liquidity and Capital Resources."</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Equity in Earnings of Unconsolidated Affiliates. Equity in earnings of unconsolidated affiliates increased $48,000 from $0 in 1999 to $48,000. The increase is due to the Company's share of earnings from the NN General joint venture with General Bearing Corporation. Earnings from this venture were offset by losses incurred from the start-up of the marketing arm of this venture and losses sustained from start-up expenses from the investment in NN Mexico LLC.</w:t>
      </w:r>
    </w:p>
    <w:p>
      <w:pPr>
        <w:spacing w:after="0" w:line="185"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Gain on Involuntary Conversion. The Company had a gain on involuntary conversion of $728,000 in 2000 related to the excess of insurance proceeds over the net book value of assets destroyed in the fire and direct costs due to the March 12, 2000 fire at the Erwin facility.</w:t>
      </w:r>
    </w:p>
    <w:p>
      <w:pPr>
        <w:spacing w:after="0" w:line="186"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Minority Interest of Consolidated Subsidiary. Minority interest of consolidated subsidiary increased $660,000 from $0 in 1999 to $660,000 in 2000. This increase is due entirely to the Euroball joint venture. The Company is required to consolidate Euroball due to its ability to exercise control over the operations. The Company owns 54% of the shares of the joint venture with the minority partners owning the remaining 46%. Minority interest of consolidated interest represents the combined 46% interest of the minority partners.</w:t>
      </w:r>
    </w:p>
    <w:p>
      <w:pPr>
        <w:spacing w:after="0" w:line="185" w:lineRule="exact"/>
        <w:rPr>
          <w:sz w:val="20"/>
          <w:szCs w:val="20"/>
          <w:color w:val="auto"/>
        </w:rPr>
      </w:pPr>
    </w:p>
    <w:p>
      <w:pPr>
        <w:jc w:val="both"/>
        <w:ind w:right="2959" w:firstLine="775"/>
        <w:spacing w:after="0" w:line="247" w:lineRule="auto"/>
        <w:rPr>
          <w:sz w:val="20"/>
          <w:szCs w:val="20"/>
          <w:color w:val="auto"/>
        </w:rPr>
      </w:pPr>
      <w:r>
        <w:rPr>
          <w:rFonts w:ascii="Courier New" w:cs="Courier New" w:eastAsia="Courier New" w:hAnsi="Courier New"/>
          <w:sz w:val="16"/>
          <w:szCs w:val="16"/>
          <w:color w:val="auto"/>
        </w:rPr>
        <w:t>Net Income. Net income increased $2.2 million, or 28.7%, from $7.8 million in 1999 to $10.0 million in 2000. As a percentage of net sales, net income decreased from 9.1% in 2000 to 7.6% in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1999 Compared to the Year Ended December 31, 1998</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Net Sales. The Company's net sales increased $12.3 million, or 16.8%, from $73.0 million in 1998 to $85.3 million in 1999. The IMC acquisition accounted for $17.6 million in additional sales for the twelve-month period in 1999. Foreign net sales decreased $1.3 million or 3.9%, from $33.7 million in 1998 to $32.4 million in 1999. The decrease in foreign net sales was due primarily to decreased sales volumes with existing customers, largely due to general economic conditions in Asia and the impact of the relative strength of the U.S. dollar against world currencies in the first two quarters of the year. This was partially offset by the addition of $880,000 in foreign sales contributed by the IMC acquisition. Domestic net sales increased $13.6 million, or 34.6%, from $39.3 million in 1998 to $52.9 million in 1999. This increase was primarily due to the</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881" w:gutter="0" w:footer="0" w:header="0"/>
        </w:sectPr>
      </w:pPr>
    </w:p>
    <w:bookmarkStart w:id="13" w:name="page14"/>
    <w:bookmarkEnd w:id="13"/>
    <w:p>
      <w:pPr>
        <w:ind w:right="2459"/>
        <w:spacing w:after="0" w:line="248" w:lineRule="auto"/>
        <w:rPr>
          <w:sz w:val="20"/>
          <w:szCs w:val="20"/>
          <w:color w:val="auto"/>
        </w:rPr>
      </w:pPr>
      <w:r>
        <w:rPr>
          <w:rFonts w:ascii="Courier New" w:cs="Courier New" w:eastAsia="Courier New" w:hAnsi="Courier New"/>
          <w:sz w:val="16"/>
          <w:szCs w:val="16"/>
          <w:color w:val="auto"/>
        </w:rPr>
        <w:t>IMC acquisition which contributed $16.7 million in domestic sales for 1999. This was partially offset by decreased domestic sales primarily to one customer.</w:t>
      </w:r>
    </w:p>
    <w:p>
      <w:pPr>
        <w:spacing w:after="0" w:line="184"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Gross Profit. Gross profit increased by $2.6 million, or 11.5%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$22.7 million in 1998 to $25.3 million in 1999. The IMC acquisition accounted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$4.3 million in increased gross profit but was mostly offset by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associated with capacity under-utilization in the Ball &amp; Roller division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to decreased levels of volume during 1999 as well as the short-term impact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inventory reduction efforts. As a percentage of net sales, gross profit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decreased from 31.0% in 1998 to 29.7% in 1999.</w:t>
      </w:r>
    </w:p>
    <w:p>
      <w:pPr>
        <w:spacing w:after="0" w:line="191"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Selling, General and Administrative Expenses. Selling, general and administrative expenses increased by $958,000, or 16.2% in 1999 to $6.9 million from $5.9 million in 1998. The acquisition of IMC accounted for $1.8 million of the increase offset by decreased spending in the Ball &amp; Roller division. As a percentage of net sales, selling, general and administrative expenses decreased slightly to 8.0% in 1999 from 8.1% in 1998.</w:t>
      </w:r>
    </w:p>
    <w:p>
      <w:pPr>
        <w:spacing w:after="0" w:line="185"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Depreciation and Amortization Expense. Depreciation expense increased $1.5 million, or 34.5%, to $6.1 million in 1999 from $4.6 million in 1998. The acquisition of IMC accounted for $1.2 million of increased depreciation and amortization expense. The remainder of the increase was due to purchases of capital equipment at the Company's ball and roller facilities. As a percentage of net sales, depreciation increased to 7.2% in 1999 from 6.2% in 1998.</w:t>
      </w:r>
    </w:p>
    <w:p>
      <w:pPr>
        <w:spacing w:after="0" w:line="185"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Interest Expense. Interest expense increased $459,000 from $64,000 in 1998 to $523,000 in 1999. The increase was due to increased levels outstanding under the Company's line of credit in 1999. In July of 1999, the Company borrowed $18.5 million under the line of credit for the purchase of selected assets of the Earsley Capital Corporation. See "Management's Discussion and Analysis of Financial Condition --Liquidity and Capital Resources."</w:t>
      </w:r>
    </w:p>
    <w:p>
      <w:pPr>
        <w:spacing w:after="0" w:line="185"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Net Income. Net income increased $103,000, or 1.3% from $7.7 million in 1998 to $7.8 million in 1999. As a percentage of net sales, net income decreased to 9.1% in 1999 from 10.5% in 1998. The decrease in net income as a percentage of net sales was due primarily to excess capacity at the Company's Ball &amp; Roller division and a related gross profit margin decrease, increased depreciation expense and interest expense related to the IMC acquisition. Offsetting these factors was a slightly lower federal tax rate.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In July 1997, the Company entered into a loan agreement with First American National Bank ("First American") which provides for a revolving credit facility of up to $25 million, expiring on June 30, 2000. In July 2000, the Company extended the terms of the loan agreement with First American to expire on October 30, 2001. Amounts outstanding under the revolving facility are unsecured and bear interest at a floating rate equal to, at the Company's option, either LIBOR plus 0.65% or the Fed Funds effective rate plus 1.5%. In August 2000, the Company entered into an agreement, which provided an additional $2 million of availability to the revolving credit facility through December 31, 2000.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The Company extended and restated this facility in February 2001. See "Management's Discussion and Analysis of Financial Condition and Results of Operations - "Subsequent Events."</w:t>
      </w:r>
    </w:p>
    <w:p>
      <w:pPr>
        <w:spacing w:after="0" w:line="199"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July 2000, NN Euroball ApS, and its subsidiaries entered into a loan agreement with HypoVereinsbank Luxembourg S.A. as agent for Bayerische Hypo-und Vereinsbank AG of Munich, Germany for a senior secured revolving credit facility of Euro 5,000,000, expiring on July 15, 2006 and a senior secured term loan of Euro 36,000,000, expiring on July 15, 2006. On July 31, 2000, upon closing of the joint venture, NN Euroball ApS borrowed a total of Euro 31,500,000 against these facilities for acquisition financing. Additional working capital and capital expenditure financing are provided for under the facility. Amounts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4" w:name="page15"/>
    <w:bookmarkEnd w:id="14"/>
    <w:p>
      <w:pPr>
        <w:ind w:right="2459"/>
        <w:spacing w:after="0" w:line="247" w:lineRule="auto"/>
        <w:rPr>
          <w:sz w:val="20"/>
          <w:szCs w:val="20"/>
          <w:color w:val="auto"/>
        </w:rPr>
      </w:pPr>
      <w:r>
        <w:rPr>
          <w:rFonts w:ascii="Courier New" w:cs="Courier New" w:eastAsia="Courier New" w:hAnsi="Courier New"/>
          <w:sz w:val="16"/>
          <w:szCs w:val="16"/>
          <w:color w:val="auto"/>
        </w:rPr>
        <w:t>outstanding under the facilities accrue interest at a floating rate equal to EURIBOR plus an applicable margin of between 1.125% to 2.25% based upon calculated financial ratios. The loan agreement contains various restrictive financial and non financial covenants. The Company, as of December 31, 2000, was in compliance with all such covenants.</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seasonality has become a factor for the foreign ball and roller sales in that many foreign customers cease production during the month of August. The Company also experiences seasonal fluctuation through its Plastics Division which provides several lines of seasonal hardware. For information concerning the Company's quarterly results of operations for the years ended December 31, 2000 and 1999, see Note 14 of the Notes to Financial Statements.</w:t>
      </w:r>
    </w:p>
    <w:p>
      <w:pPr>
        <w:spacing w:after="0" w:line="194"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Working capital, which consists principally of accounts receivable and inventories, was $28.2 million at December 31, 2000 as compared to $23.9 million at December 31, 1999. The ratio of current assets to current liabilities decreased from 3.3:1 at December 31, 1999 to 1.79:1 at December 31, 2000. Cash flow from operations increased to $25.8 million during 2000 from $17.8 million during 1999. This increase was primarily attributed to changes in working capital accounts due to Euroball joint venture transaction completed in August of 2000.</w:t>
      </w:r>
    </w:p>
    <w:p>
      <w:pPr>
        <w:spacing w:after="0" w:line="191"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During 2001, the Company plans to spend approximately $5.3 million on capital expenditures.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Events</w:t>
      </w:r>
    </w:p>
    <w:p>
      <w:pPr>
        <w:spacing w:after="0" w:line="191" w:lineRule="exact"/>
        <w:rPr>
          <w:sz w:val="20"/>
          <w:szCs w:val="20"/>
          <w:color w:val="auto"/>
        </w:rPr>
      </w:pPr>
    </w:p>
    <w:p>
      <w:pPr>
        <w:ind w:right="2659" w:firstLine="775"/>
        <w:spacing w:after="0" w:line="246" w:lineRule="auto"/>
        <w:rPr>
          <w:sz w:val="20"/>
          <w:szCs w:val="20"/>
          <w:color w:val="auto"/>
        </w:rPr>
      </w:pPr>
      <w:r>
        <w:rPr>
          <w:rFonts w:ascii="Courier New" w:cs="Courier New" w:eastAsia="Courier New" w:hAnsi="Courier New"/>
          <w:sz w:val="16"/>
          <w:szCs w:val="16"/>
          <w:color w:val="auto"/>
        </w:rPr>
        <w:t>On February 16, 2001, the Company completed the acquisition of all of the outstanding stock of The Delta Rubber Company, a Connecticut corporation ("Delta") for $22.5 million in cash, of which $500,000 is to be held in escrow for one year from the date of closing. Delta provides high quality engineered bearing seals and other precision-molded rubber products to original equipment manufacturers. NN plans to continue the operation of the Delta business, which operates a manufacturing facility in Danielson, Connecticut. AmSouth Bank provided financing for the transaction.</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In February of 2001, the Company extended and restated the $25 million revolving credit facility with AmSouth Bank to temporarily increase the facility to $50 million. The facility is planned to be reduced to $25 million on June 30, 2001 in anticipation of the Company structuring long-term financing arrangements for this amount. The original $25 million revolving credit facility will expire on July 25, 2003. In February 2001, the Company drew $23 million against the new line to finance the acquisition of Delta. Amounts outstanding under the amended revolving facility are unsecured and bear interest at a floating rate equal to LIBOR plus an applicable margin of between 0.65% and 2.15% based upon calculated financial ratios. The loan contains various restrictive financial and non-financial covenants. The Company, as of March 23, 2001, was in compliance with all such covenants.</w:t>
      </w:r>
    </w:p>
    <w:p>
      <w:pPr>
        <w:spacing w:after="0" w:line="193" w:lineRule="exact"/>
        <w:rPr>
          <w:sz w:val="20"/>
          <w:szCs w:val="20"/>
          <w:color w:val="auto"/>
        </w:rPr>
      </w:pPr>
    </w:p>
    <w:p>
      <w:pPr>
        <w:ind w:right="2759" w:firstLine="775"/>
        <w:spacing w:after="0" w:line="247" w:lineRule="auto"/>
        <w:rPr>
          <w:sz w:val="20"/>
          <w:szCs w:val="20"/>
          <w:color w:val="auto"/>
        </w:rPr>
      </w:pPr>
      <w:r>
        <w:rPr>
          <w:rFonts w:ascii="Courier New" w:cs="Courier New" w:eastAsia="Courier New" w:hAnsi="Courier New"/>
          <w:sz w:val="16"/>
          <w:szCs w:val="16"/>
          <w:color w:val="auto"/>
        </w:rPr>
        <w:t>On March 1, 2001, the Company entered into an agreement with AmSouth Bank which provides an additional $2 million of availability to the revolving credit facility through June 1, 2001. At March 23, 2001, the Company had no amounts outstanding under this agreement.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068"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The Euro</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 notes and coins will be issued, and the national currencies of the member states will be legal tender no later than June 30, 2002.</w:t>
      </w:r>
    </w:p>
    <w:p>
      <w:pPr>
        <w:spacing w:after="0" w:line="192"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Company currently has operations in Ireland, Germany and Italy, which are Euro participating countries, and each facility sells product to customers in many of the participating countries. The functional currency of the Company's Euroball operations is the Euro.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Fluctuation in Quarterly Results</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Company's net sales historically have not been of a seasonal nature. However, as foreign sales have increased as a percentage of total sales, seasonality has become a factor for the Company in that many foreign customers cease production during the month of August. For information concerning the Company's quarterly results of operations for the years ended December 31, 2000 and 1999, see Note 14 of the Notes to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 and Changes in Prices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While the Company's operations have not been affected by inflation during recent years, prices for 52100 Steel and other raw materials purchased by the Company are subject to change.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Typically, the Company's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Steel price increases by taking such measures.</w:t>
      </w:r>
    </w:p>
    <w:p>
      <w:pPr>
        <w:spacing w:after="0" w:line="195"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84" w:lineRule="exact"/>
        <w:rPr>
          <w:sz w:val="20"/>
          <w:szCs w:val="20"/>
          <w:color w:val="auto"/>
        </w:rPr>
      </w:pPr>
    </w:p>
    <w:p>
      <w:pPr>
        <w:ind w:right="2659" w:firstLine="775"/>
        <w:spacing w:after="0" w:line="246"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 Readers are strongly encouraged to consider these factors when evaluating any such forward-looking statement.</w:t>
      </w:r>
    </w:p>
    <w:p>
      <w:pPr>
        <w:spacing w:after="0" w:line="194"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update or revise any forward-looking statements, whether as a result of new information, future events or otherwise.</w:t>
      </w:r>
    </w:p>
    <w:p>
      <w:pPr>
        <w:spacing w:after="0" w:line="185" w:lineRule="exact"/>
        <w:rPr>
          <w:sz w:val="20"/>
          <w:szCs w:val="20"/>
          <w:color w:val="auto"/>
        </w:rPr>
      </w:pPr>
    </w:p>
    <w:p>
      <w:pPr>
        <w:ind w:right="2859" w:firstLine="775"/>
        <w:spacing w:after="0" w:line="247" w:lineRule="auto"/>
        <w:rPr>
          <w:sz w:val="20"/>
          <w:szCs w:val="20"/>
          <w:color w:val="auto"/>
        </w:rPr>
      </w:pPr>
      <w:r>
        <w:rPr>
          <w:rFonts w:ascii="Courier New" w:cs="Courier New" w:eastAsia="Courier New" w:hAnsi="Courier New"/>
          <w:sz w:val="16"/>
          <w:szCs w:val="16"/>
          <w:color w:val="auto"/>
        </w:rPr>
        <w:t>Industry Risks. Both the precision ball and roller and precision plastics industries are cyclical and tend to decline in response to overall declines in industrial production. The Company's sales in the past have been</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89" w:right="1440" w:bottom="1440" w:gutter="0" w:footer="0" w:header="0"/>
        </w:sectPr>
      </w:pPr>
    </w:p>
    <w:bookmarkStart w:id="16" w:name="page17"/>
    <w:bookmarkEnd w:id="16"/>
    <w:p>
      <w:pPr>
        <w:ind w:right="2459"/>
        <w:spacing w:after="0" w:line="247" w:lineRule="auto"/>
        <w:rPr>
          <w:sz w:val="20"/>
          <w:szCs w:val="20"/>
          <w:color w:val="auto"/>
        </w:rPr>
      </w:pPr>
      <w:r>
        <w:rPr>
          <w:rFonts w:ascii="Courier New" w:cs="Courier New" w:eastAsia="Courier New" w:hAnsi="Courier New"/>
          <w:sz w:val="16"/>
          <w:szCs w:val="16"/>
          <w:color w:val="auto"/>
        </w:rPr>
        <w:t>negatively affected, and in the future very likely would be negatively affected, by adverse conditions in the industrial production sector of the economy or by adverse global or national economic conditions generally.</w:t>
      </w:r>
    </w:p>
    <w:p>
      <w:pPr>
        <w:spacing w:after="0" w:line="186"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Competition. The precision ball and roller market and the precision plastics market are highly competitive, and many of manufacturers in each of the markets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pace with such quality improvements. In addition, the Company competes with many of its ball and roller customers that, in addition to producing bearings, also internally produce balls and rollers for sale to third parties. The Company faces a risk that its customers will decide to produce balls and rollers internally rather than outsourcing their needs to the Company</w:t>
      </w:r>
    </w:p>
    <w:p>
      <w:pPr>
        <w:spacing w:after="0" w:line="193"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Rapid Growth. The Company has significantly expanded its ball and roller production facilities and capacity over the last several years. During 1997, the Company purchased an additional manufacturing plant in Kilkenny, Ireland. The Company continued this expansion in 2000 through its 54% ownership of the NN Euroball joint venture with SKF and FAG. In addition, the Company invested in Jiangsu General Ball &amp; Roller Company, a Chinese joint venture specializing in various types of ball production. The Company's Ball &amp; Roller Division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these joint ventures and expansions.</w:t>
      </w:r>
    </w:p>
    <w:p>
      <w:pPr>
        <w:spacing w:after="0" w:line="193" w:lineRule="exact"/>
        <w:rPr>
          <w:sz w:val="20"/>
          <w:szCs w:val="20"/>
          <w:color w:val="auto"/>
        </w:rPr>
      </w:pPr>
    </w:p>
    <w:p>
      <w:pPr>
        <w:ind w:right="2559" w:firstLine="775"/>
        <w:spacing w:after="0" w:line="247"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Risks Associated with International Trade. Because the Company (a) obtains a majority of its raw materials for the manufacture of balls and rollers from overseas suppliers, (b) now actively participates in overseas manufacturing operations and (c) sells to a large number of international customers, the Company faces risks associated with (i) adverse foreign currency fluctuations,(ii) changes in trade, monetary and fiscal policies, laws and regulations, and other activities of governments, agencies and similar organizations, (iii) the imposition of trade restrictions or prohibitions, (iv) the imposition of import or other duties or taxes, and (v) unstable governments or legal systems in countries in which the Company's suppliers, manufacturing operations, and customers are located. An increase in the value of the United States dollar relative to foreign currencies adversely affects the ability of the Company to compete with its foreign-based competitors for international as well as domestic sales.</w:t>
      </w:r>
    </w:p>
    <w:p>
      <w:pPr>
        <w:spacing w:after="0" w:line="194"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Dependence on Major Customers. During 2000, the Company's ten largest customers accounted for approximately 69% of its net sales. Sales to various US and foreign divisions of SKF, which is one of the largest bearing manufacturers in the world, accounted for approximately 32% of net sales in 2000, and sales to FAG accounted for approximately 17% of net sales. None of the Company's other customers accounted for more than 5% of its net sales in 2000. The loss of all or a substantial portion of sales to these customers would have a material adverse effect on the Company's business.</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Acquisitions. The Company's growth strategy includes growth through acquisitions. In 1999, the Company acquired the IMC businesses as part of that strategy. In 2000, the Company formed the NN Euroball joint venture with SKF and FAG and began operating two new ball manufacturing facilities. Although the Company believes that it will be able to continue to integrate the operations of IMC, NN Euroball and other companies acquired in the future into its operations without substantial cost, delays or other problems, its ability to do so will depend on, among other things, the adequacy of its implementation plans, the ability of its management to effectively oversee and operate the combined operations of the Company and the acquired businesses and its ability to achieve desired operating efficiencies and sales goals. If the Company is not able</w:t>
      </w:r>
    </w:p>
    <w:p>
      <w:pPr>
        <w:spacing w:after="0" w:line="6"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6"/>
          <w:szCs w:val="16"/>
          <w:color w:val="auto"/>
        </w:rPr>
        <w:t>to successfully integrate the operations of acquired companies into its business, its future earnings and profitability could be materially and adversely affected.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068"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1" w:lineRule="exact"/>
        <w:rPr>
          <w:sz w:val="20"/>
          <w:szCs w:val="20"/>
          <w:color w:val="auto"/>
        </w:rPr>
      </w:pPr>
    </w:p>
    <w:p>
      <w:pPr>
        <w:ind w:right="2559" w:firstLine="775"/>
        <w:spacing w:after="0" w:line="246" w:lineRule="auto"/>
        <w:rPr>
          <w:sz w:val="20"/>
          <w:szCs w:val="20"/>
          <w:color w:val="auto"/>
        </w:rPr>
      </w:pPr>
      <w:r>
        <w:rPr>
          <w:rFonts w:ascii="Courier New" w:cs="Courier New" w:eastAsia="Courier New" w:hAnsi="Courier New"/>
          <w:sz w:val="16"/>
          <w:szCs w:val="16"/>
          <w:color w:val="auto"/>
        </w:rPr>
        <w:t>In June 1998, the Financial Accounting Standards Board ("FASB") issued Statements of Financial Accounting Standards ("SFAS") No. 133 "Accounting for Derivative Instruments and Hedging Activities" which establishes accounting and reporting standards for derivative instruments and hedging activities and is effective for the Company's 2001 reporting cycle. The adoption of this standard by the Company is not expected to result in significant adjustments to existing accounting practices as the Company does not currently hold any derivative financial instruments as of December 31, 2000.</w:t>
      </w:r>
    </w:p>
    <w:p>
      <w:pPr>
        <w:spacing w:after="0" w:line="191"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will be effective January 1, 2001. The adoption of this standard by the Company is not expected to result in significant adjustments to existing accounting practices as the Company does not currently hold any derivative financial instruments or participate in speculative activities.</w:t>
      </w:r>
    </w:p>
    <w:p>
      <w:pPr>
        <w:spacing w:after="0" w:line="192"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85"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 is exposed to changes in interest rates primarily as a result of its borrowing activities, which include a $27 million floating rate revolving credit facility which is used to maintain liquidity and fund its business operations domestically. Additionally, Euroball has a 5 million euro floating rate revolving credit facility and a 36.0 million euro floating rate secured term loan. At December 31, 2000, the Company had $26.7 million outstanding under the domestic revolving credit facility and Euroball had $25.8 million outstanding under the Euroball revolving credit facility and term loan. A one-percent increase in the interest rate charged on the Company's outstanding borrowings under the revolving credit facility would result in interest expense increasing by approximately $564,000. The nature and amount of the Company's borrowings may vary as a result of future business requirements, market conditions and other factors.</w:t>
      </w:r>
    </w:p>
    <w:p>
      <w:pPr>
        <w:spacing w:after="0" w:line="194" w:lineRule="exact"/>
        <w:rPr>
          <w:sz w:val="20"/>
          <w:szCs w:val="20"/>
          <w:color w:val="auto"/>
        </w:rPr>
      </w:pPr>
    </w:p>
    <w:p>
      <w:pPr>
        <w:ind w:right="2459" w:firstLine="775"/>
        <w:spacing w:after="0" w:line="246" w:lineRule="auto"/>
        <w:rPr>
          <w:sz w:val="20"/>
          <w:szCs w:val="20"/>
          <w:color w:val="auto"/>
        </w:rPr>
      </w:pPr>
      <w:r>
        <w:rPr>
          <w:rFonts w:ascii="Courier New" w:cs="Courier New" w:eastAsia="Courier New" w:hAnsi="Courier New"/>
          <w:sz w:val="16"/>
          <w:szCs w:val="16"/>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of foreign exchange restrictions. However, to help reduce exposure to foreign currency fluctuations, management has implemented a foreign currency hedging program. The Company did not hold a position in any foreign currency instruments as of December 31, 2000.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6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368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Page</w:t>
            </w:r>
          </w:p>
        </w:tc>
      </w:tr>
      <w:tr>
        <w:trPr>
          <w:trHeight w:val="559"/>
        </w:trPr>
        <w:tc>
          <w:tcPr>
            <w:tcW w:w="4460" w:type="dxa"/>
            <w:vAlign w:val="bottom"/>
          </w:tcPr>
          <w:p>
            <w:pPr>
              <w:ind w:left="780"/>
              <w:spacing w:after="0"/>
              <w:rPr>
                <w:sz w:val="20"/>
                <w:szCs w:val="20"/>
                <w:color w:val="auto"/>
              </w:rPr>
            </w:pPr>
            <w:r>
              <w:rPr>
                <w:rFonts w:ascii="Courier New" w:cs="Courier New" w:eastAsia="Courier New" w:hAnsi="Courier New"/>
                <w:sz w:val="16"/>
                <w:szCs w:val="16"/>
                <w:color w:val="auto"/>
              </w:rPr>
              <w:t>Report of Independent Accountants for</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the year ended December 31, 2000......</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20</w:t>
            </w:r>
          </w:p>
        </w:tc>
      </w:tr>
      <w:tr>
        <w:trPr>
          <w:trHeight w:val="373"/>
        </w:trPr>
        <w:tc>
          <w:tcPr>
            <w:tcW w:w="4460" w:type="dxa"/>
            <w:vAlign w:val="bottom"/>
          </w:tcPr>
          <w:p>
            <w:pPr>
              <w:ind w:left="780"/>
              <w:spacing w:after="0"/>
              <w:rPr>
                <w:sz w:val="20"/>
                <w:szCs w:val="20"/>
                <w:color w:val="auto"/>
              </w:rPr>
            </w:pPr>
            <w:r>
              <w:rPr>
                <w:rFonts w:ascii="Courier New" w:cs="Courier New" w:eastAsia="Courier New" w:hAnsi="Courier New"/>
                <w:sz w:val="16"/>
                <w:szCs w:val="16"/>
                <w:color w:val="auto"/>
              </w:rPr>
              <w:t>Report of Independent Accountants for</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the years ended December 31, 1999</w:t>
            </w:r>
          </w:p>
        </w:tc>
        <w:tc>
          <w:tcPr>
            <w:tcW w:w="380" w:type="dxa"/>
            <w:vAlign w:val="bottom"/>
          </w:tcPr>
          <w:p>
            <w:pPr>
              <w:spacing w:after="0"/>
              <w:rPr>
                <w:sz w:val="24"/>
                <w:szCs w:val="24"/>
                <w:color w:val="auto"/>
              </w:rPr>
            </w:pPr>
          </w:p>
        </w:tc>
      </w:tr>
      <w:tr>
        <w:trPr>
          <w:trHeight w:val="186"/>
        </w:trPr>
        <w:tc>
          <w:tcPr>
            <w:tcW w:w="81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and December 31, 1998.......................................................</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21</w:t>
            </w:r>
          </w:p>
        </w:tc>
      </w:tr>
      <w:tr>
        <w:trPr>
          <w:trHeight w:val="373"/>
        </w:trPr>
        <w:tc>
          <w:tcPr>
            <w:tcW w:w="81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Consolidated Balance Sheets at December 31, 2000 and 1999...................</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22</w:t>
            </w:r>
          </w:p>
        </w:tc>
      </w:tr>
      <w:tr>
        <w:trPr>
          <w:trHeight w:val="373"/>
        </w:trPr>
        <w:tc>
          <w:tcPr>
            <w:tcW w:w="4460" w:type="dxa"/>
            <w:vAlign w:val="bottom"/>
          </w:tcPr>
          <w:p>
            <w:pPr>
              <w:ind w:left="780"/>
              <w:spacing w:after="0"/>
              <w:rPr>
                <w:sz w:val="20"/>
                <w:szCs w:val="20"/>
                <w:color w:val="auto"/>
              </w:rPr>
            </w:pPr>
            <w:r>
              <w:rPr>
                <w:rFonts w:ascii="Courier New" w:cs="Courier New" w:eastAsia="Courier New" w:hAnsi="Courier New"/>
                <w:sz w:val="16"/>
                <w:szCs w:val="16"/>
                <w:color w:val="auto"/>
              </w:rPr>
              <w:t>Consolidated Statements of Income and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Comprehensive Income for the</w:t>
            </w:r>
          </w:p>
        </w:tc>
        <w:tc>
          <w:tcPr>
            <w:tcW w:w="380" w:type="dxa"/>
            <w:vAlign w:val="bottom"/>
          </w:tcPr>
          <w:p>
            <w:pPr>
              <w:spacing w:after="0"/>
              <w:rPr>
                <w:sz w:val="24"/>
                <w:szCs w:val="24"/>
                <w:color w:val="auto"/>
              </w:rPr>
            </w:pPr>
          </w:p>
        </w:tc>
      </w:tr>
      <w:tr>
        <w:trPr>
          <w:trHeight w:val="186"/>
        </w:trPr>
        <w:tc>
          <w:tcPr>
            <w:tcW w:w="81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three years ended December 31, 2000.........................................</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23</w:t>
            </w:r>
          </w:p>
        </w:tc>
      </w:tr>
      <w:tr>
        <w:trPr>
          <w:trHeight w:val="373"/>
        </w:trPr>
        <w:tc>
          <w:tcPr>
            <w:tcW w:w="4460" w:type="dxa"/>
            <w:vAlign w:val="bottom"/>
          </w:tcPr>
          <w:p>
            <w:pPr>
              <w:ind w:left="780"/>
              <w:spacing w:after="0"/>
              <w:rPr>
                <w:sz w:val="20"/>
                <w:szCs w:val="20"/>
                <w:color w:val="auto"/>
              </w:rPr>
            </w:pPr>
            <w:r>
              <w:rPr>
                <w:rFonts w:ascii="Courier New" w:cs="Courier New" w:eastAsia="Courier New" w:hAnsi="Courier New"/>
                <w:sz w:val="16"/>
                <w:szCs w:val="16"/>
                <w:color w:val="auto"/>
              </w:rPr>
              <w:t>Consolidated Statements of Changes in</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Stockholder's Equity for the three</w:t>
            </w:r>
          </w:p>
        </w:tc>
        <w:tc>
          <w:tcPr>
            <w:tcW w:w="380" w:type="dxa"/>
            <w:vAlign w:val="bottom"/>
          </w:tcPr>
          <w:p>
            <w:pPr>
              <w:spacing w:after="0"/>
              <w:rPr>
                <w:sz w:val="24"/>
                <w:szCs w:val="24"/>
                <w:color w:val="auto"/>
              </w:rPr>
            </w:pPr>
          </w:p>
        </w:tc>
      </w:tr>
      <w:tr>
        <w:trPr>
          <w:trHeight w:val="186"/>
        </w:trPr>
        <w:tc>
          <w:tcPr>
            <w:tcW w:w="81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years ended December 31, 2000...............................................</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24</w:t>
            </w:r>
          </w:p>
        </w:tc>
      </w:tr>
      <w:tr>
        <w:trPr>
          <w:trHeight w:val="373"/>
        </w:trPr>
        <w:tc>
          <w:tcPr>
            <w:tcW w:w="4460" w:type="dxa"/>
            <w:vAlign w:val="bottom"/>
          </w:tcPr>
          <w:p>
            <w:pPr>
              <w:ind w:left="780"/>
              <w:spacing w:after="0"/>
              <w:rPr>
                <w:sz w:val="20"/>
                <w:szCs w:val="20"/>
                <w:color w:val="auto"/>
              </w:rPr>
            </w:pPr>
            <w:r>
              <w:rPr>
                <w:rFonts w:ascii="Courier New" w:cs="Courier New" w:eastAsia="Courier New" w:hAnsi="Courier New"/>
                <w:sz w:val="16"/>
                <w:szCs w:val="16"/>
                <w:color w:val="auto"/>
              </w:rPr>
              <w:t>Consolidated Statements of Cash Flows</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for the three years ended</w:t>
            </w:r>
          </w:p>
        </w:tc>
        <w:tc>
          <w:tcPr>
            <w:tcW w:w="380" w:type="dxa"/>
            <w:vAlign w:val="bottom"/>
          </w:tcPr>
          <w:p>
            <w:pPr>
              <w:spacing w:after="0"/>
              <w:rPr>
                <w:sz w:val="24"/>
                <w:szCs w:val="24"/>
                <w:color w:val="auto"/>
              </w:rPr>
            </w:pPr>
          </w:p>
        </w:tc>
      </w:tr>
      <w:tr>
        <w:trPr>
          <w:trHeight w:val="186"/>
        </w:trPr>
        <w:tc>
          <w:tcPr>
            <w:tcW w:w="81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December 31, 2000...........................................................</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25</w:t>
            </w:r>
          </w:p>
        </w:tc>
      </w:tr>
      <w:tr>
        <w:trPr>
          <w:trHeight w:val="373"/>
        </w:trPr>
        <w:tc>
          <w:tcPr>
            <w:tcW w:w="814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26</w:t>
            </w:r>
          </w:p>
        </w:tc>
      </w:tr>
      <w:tr>
        <w:trPr>
          <w:trHeight w:val="745"/>
        </w:trPr>
        <w:tc>
          <w:tcPr>
            <w:tcW w:w="4460" w:type="dxa"/>
            <w:vAlign w:val="bottom"/>
          </w:tcPr>
          <w:p>
            <w:pPr>
              <w:ind w:left="3780"/>
              <w:spacing w:after="0"/>
              <w:rPr>
                <w:sz w:val="20"/>
                <w:szCs w:val="20"/>
                <w:color w:val="auto"/>
              </w:rPr>
            </w:pPr>
            <w:r>
              <w:rPr>
                <w:rFonts w:ascii="Courier New" w:cs="Courier New" w:eastAsia="Courier New" w:hAnsi="Courier New"/>
                <w:sz w:val="16"/>
                <w:szCs w:val="16"/>
                <w:color w:val="auto"/>
              </w:rPr>
              <w:t>19</w:t>
            </w: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219"/>
          </w:cols>
          <w:pgMar w:left="240" w:top="489" w:right="1440" w:bottom="1440" w:gutter="0" w:footer="0" w:header="0"/>
        </w:sectPr>
      </w:pPr>
    </w:p>
    <w:bookmarkStart w:id="19" w:name="page20"/>
    <w:bookmarkEnd w:id="19"/>
    <w:p>
      <w:pPr>
        <w:ind w:left="2520"/>
        <w:spacing w:after="0"/>
        <w:rPr>
          <w:sz w:val="20"/>
          <w:szCs w:val="20"/>
          <w:color w:val="auto"/>
        </w:rPr>
      </w:pPr>
      <w:r>
        <w:rPr>
          <w:rFonts w:ascii="Courier New" w:cs="Courier New" w:eastAsia="Courier New" w:hAnsi="Courier New"/>
          <w:sz w:val="16"/>
          <w:szCs w:val="16"/>
          <w:color w:val="auto"/>
        </w:rPr>
        <w:t>Independent Auditors' Report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have audited the accompanying consolidated balance sheet of NN, Inc. as of December 31, 2000 and the related consolidated statement of income and comprehensive income, consolidated statement of changes in stockholders' equity, and consolidated statement of cash flows for the year then ended. These consolidated financial statements are the responsibility of the Company's management. Our responsibility is to express an opinion on these consolidated financial statements based on our audit. The accompanying consolidated balance sheet of NN, Inc. as of December 31, 1999 and the related consolidated statements of income and comprehensive income, changes in stockholder's equity, and cash flows for each of the years in the two year period ended December 31, 1999, were audited by other auditors whose report, dated February 4, 2000, expressed an unqualified opinion on those statements.</w:t>
      </w:r>
    </w:p>
    <w:p>
      <w:pPr>
        <w:spacing w:after="0" w:line="193"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NN, Inc. as of December 31, 2000 and the results of their operations and their cash flows for the year then ended in conformity with accounting principles generally accepted in the United States of America.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27, 2001</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 NN, Inc.</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 our opinion, the consolidated financial statements listed in the accompanying index present fairly, in all material respects, the financial position of NN, Inc. (formerly known as NN Ball &amp; Roller, Inc.) and its subsidiaries at December 31, 1999 and 1998, and the results of their operations and their cash flows for each of the two years in the period ended December 31, 1999,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Greensboro,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4, 2000</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3"/>
        </w:trPr>
        <w:tc>
          <w:tcPr>
            <w:tcW w:w="6680" w:type="dxa"/>
            <w:vAlign w:val="bottom"/>
          </w:tcPr>
          <w:p>
            <w:pPr>
              <w:ind w:left="3480"/>
              <w:spacing w:after="0"/>
              <w:rPr>
                <w:sz w:val="20"/>
                <w:szCs w:val="20"/>
                <w:color w:val="auto"/>
              </w:rPr>
            </w:pPr>
            <w:r>
              <w:rPr>
                <w:rFonts w:ascii="Courier New" w:cs="Courier New" w:eastAsia="Courier New" w:hAnsi="Courier New"/>
                <w:sz w:val="16"/>
                <w:szCs w:val="16"/>
                <w:color w:val="auto"/>
              </w:rPr>
              <w:t>NN, INC.</w:t>
            </w:r>
          </w:p>
        </w:tc>
        <w:tc>
          <w:tcPr>
            <w:tcW w:w="19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73"/>
        </w:trPr>
        <w:tc>
          <w:tcPr>
            <w:tcW w:w="6680" w:type="dxa"/>
            <w:vAlign w:val="bottom"/>
          </w:tcPr>
          <w:p>
            <w:pPr>
              <w:ind w:left="2620"/>
              <w:spacing w:after="0"/>
              <w:rPr>
                <w:sz w:val="20"/>
                <w:szCs w:val="20"/>
                <w:color w:val="auto"/>
              </w:rPr>
            </w:pPr>
            <w:r>
              <w:rPr>
                <w:rFonts w:ascii="Courier New" w:cs="Courier New" w:eastAsia="Courier New" w:hAnsi="Courier New"/>
                <w:sz w:val="16"/>
                <w:szCs w:val="16"/>
                <w:color w:val="auto"/>
              </w:rPr>
              <w:t>Consolidated Balance Sheets</w:t>
            </w: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3"/>
        </w:trPr>
        <w:tc>
          <w:tcPr>
            <w:tcW w:w="6680" w:type="dxa"/>
            <w:vAlign w:val="bottom"/>
          </w:tcPr>
          <w:p>
            <w:pPr>
              <w:ind w:left="2620"/>
              <w:spacing w:after="0"/>
              <w:rPr>
                <w:sz w:val="20"/>
                <w:szCs w:val="20"/>
                <w:color w:val="auto"/>
              </w:rPr>
            </w:pPr>
            <w:r>
              <w:rPr>
                <w:rFonts w:ascii="Courier New" w:cs="Courier New" w:eastAsia="Courier New" w:hAnsi="Courier New"/>
                <w:sz w:val="16"/>
                <w:szCs w:val="16"/>
                <w:color w:val="auto"/>
              </w:rPr>
              <w:t>December 31, 2000 and 1999</w:t>
            </w: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680" w:type="dxa"/>
            <w:vAlign w:val="bottom"/>
          </w:tcPr>
          <w:p>
            <w:pPr>
              <w:ind w:left="2720"/>
              <w:spacing w:after="0"/>
              <w:rPr>
                <w:sz w:val="20"/>
                <w:szCs w:val="20"/>
                <w:color w:val="auto"/>
              </w:rPr>
            </w:pPr>
            <w:r>
              <w:rPr>
                <w:rFonts w:ascii="Courier New" w:cs="Courier New" w:eastAsia="Courier New" w:hAnsi="Courier New"/>
                <w:sz w:val="16"/>
                <w:szCs w:val="16"/>
                <w:color w:val="auto"/>
              </w:rPr>
              <w:t>(In thousands, except per share data)</w:t>
            </w:r>
          </w:p>
        </w:tc>
        <w:tc>
          <w:tcPr>
            <w:tcW w:w="19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3"/>
        </w:trPr>
        <w:tc>
          <w:tcPr>
            <w:tcW w:w="6680" w:type="dxa"/>
            <w:vAlign w:val="bottom"/>
          </w:tcPr>
          <w:p>
            <w:pPr>
              <w:ind w:left="3100"/>
              <w:spacing w:after="0"/>
              <w:rPr>
                <w:sz w:val="20"/>
                <w:szCs w:val="20"/>
                <w:color w:val="auto"/>
              </w:rPr>
            </w:pPr>
            <w:r>
              <w:rPr>
                <w:rFonts w:ascii="Courier New" w:cs="Courier New" w:eastAsia="Courier New" w:hAnsi="Courier New"/>
                <w:sz w:val="16"/>
                <w:szCs w:val="16"/>
                <w:color w:val="auto"/>
              </w:rPr>
              <w:t>Assets</w:t>
            </w:r>
          </w:p>
        </w:tc>
        <w:tc>
          <w:tcPr>
            <w:tcW w:w="19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6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$8,273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1,409</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29,549</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18,183</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23,742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13,122</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1,512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688</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Net current deferred tax asset</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962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995</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680" w:type="dxa"/>
            <w:vAlign w:val="bottom"/>
          </w:tcPr>
          <w:p>
            <w:pPr>
              <w:ind w:left="2220"/>
              <w:spacing w:after="0"/>
              <w:rPr>
                <w:sz w:val="20"/>
                <w:szCs w:val="20"/>
                <w:color w:val="auto"/>
              </w:rPr>
            </w:pPr>
            <w:r>
              <w:rPr>
                <w:rFonts w:ascii="Courier New" w:cs="Courier New" w:eastAsia="Courier New" w:hAnsi="Courier New"/>
                <w:sz w:val="16"/>
                <w:szCs w:val="16"/>
                <w:color w:val="auto"/>
              </w:rPr>
              <w:t>Total current assets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64,038</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34,397</w:t>
            </w:r>
          </w:p>
        </w:tc>
      </w:tr>
      <w:tr>
        <w:trPr>
          <w:trHeight w:val="373"/>
        </w:trPr>
        <w:tc>
          <w:tcPr>
            <w:tcW w:w="66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91,693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43,452</w:t>
            </w:r>
          </w:p>
        </w:tc>
      </w:tr>
      <w:tr>
        <w:trPr>
          <w:trHeight w:val="186"/>
        </w:trPr>
        <w:tc>
          <w:tcPr>
            <w:tcW w:w="6680" w:type="dxa"/>
            <w:vAlign w:val="bottom"/>
          </w:tcPr>
          <w:p>
            <w:pPr>
              <w:spacing w:after="0"/>
              <w:rPr>
                <w:sz w:val="20"/>
                <w:szCs w:val="20"/>
                <w:color w:val="auto"/>
              </w:rPr>
            </w:pPr>
            <w:r>
              <w:rPr>
                <w:rFonts w:ascii="Courier New" w:cs="Courier New" w:eastAsia="Courier New" w:hAnsi="Courier New"/>
                <w:sz w:val="16"/>
                <w:szCs w:val="16"/>
                <w:color w:val="auto"/>
              </w:rPr>
              <w:t>Goodwill, net of accumulated amortization of</w:t>
            </w:r>
          </w:p>
        </w:tc>
        <w:tc>
          <w:tcPr>
            <w:tcW w:w="19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$1,297 in 2000 and $325 in 1999</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27,865</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12,779</w:t>
            </w:r>
          </w:p>
        </w:tc>
      </w:tr>
      <w:tr>
        <w:trPr>
          <w:trHeight w:val="186"/>
        </w:trPr>
        <w:tc>
          <w:tcPr>
            <w:tcW w:w="668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4,212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735</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680" w:type="dxa"/>
            <w:vAlign w:val="bottom"/>
          </w:tcPr>
          <w:p>
            <w:pPr>
              <w:ind w:left="2220"/>
              <w:spacing w:after="0"/>
              <w:rPr>
                <w:sz w:val="20"/>
                <w:szCs w:val="20"/>
                <w:color w:val="auto"/>
              </w:rPr>
            </w:pPr>
            <w:r>
              <w:rPr>
                <w:rFonts w:ascii="Courier New" w:cs="Courier New" w:eastAsia="Courier New" w:hAnsi="Courier New"/>
                <w:sz w:val="16"/>
                <w:szCs w:val="16"/>
                <w:color w:val="auto"/>
              </w:rPr>
              <w:t>Total assets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$187,808</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91,363</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ind w:left="2220"/>
              <w:spacing w:after="0"/>
              <w:rPr>
                <w:sz w:val="20"/>
                <w:szCs w:val="20"/>
                <w:color w:val="auto"/>
              </w:rPr>
            </w:pPr>
            <w:r>
              <w:rPr>
                <w:rFonts w:ascii="Courier New" w:cs="Courier New" w:eastAsia="Courier New" w:hAnsi="Courier New"/>
                <w:sz w:val="16"/>
                <w:szCs w:val="16"/>
                <w:color w:val="auto"/>
              </w:rPr>
              <w:t>Liabilities and Stockholders' Equity</w:t>
            </w:r>
          </w:p>
        </w:tc>
        <w:tc>
          <w:tcPr>
            <w:tcW w:w="19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3"/>
        </w:trPr>
        <w:tc>
          <w:tcPr>
            <w:tcW w:w="66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$16,883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4,104</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Bank overdraft</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454</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1,239</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Accrued salaries, wages and benefits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6,929</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234</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Income taxes payable</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1,341</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1,283</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Accrued pension</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2,133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Payable to affiliates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1,762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Short-term loans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Other liabilities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4,357</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3,618</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680" w:type="dxa"/>
            <w:vAlign w:val="bottom"/>
          </w:tcPr>
          <w:p>
            <w:pPr>
              <w:ind w:left="2220"/>
              <w:spacing w:after="0"/>
              <w:rPr>
                <w:sz w:val="20"/>
                <w:szCs w:val="20"/>
                <w:color w:val="auto"/>
              </w:rPr>
            </w:pPr>
            <w:r>
              <w:rPr>
                <w:rFonts w:ascii="Courier New" w:cs="Courier New" w:eastAsia="Courier New" w:hAnsi="Courier New"/>
                <w:sz w:val="16"/>
                <w:szCs w:val="16"/>
                <w:color w:val="auto"/>
              </w:rPr>
              <w:t>Total current liabilities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35,859</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10,478</w:t>
            </w:r>
          </w:p>
        </w:tc>
      </w:tr>
      <w:tr>
        <w:trPr>
          <w:trHeight w:val="373"/>
        </w:trPr>
        <w:tc>
          <w:tcPr>
            <w:tcW w:w="668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30,257</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5,353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3,606</w:t>
            </w:r>
          </w:p>
        </w:tc>
      </w:tr>
      <w:tr>
        <w:trPr>
          <w:trHeight w:val="186"/>
        </w:trPr>
        <w:tc>
          <w:tcPr>
            <w:tcW w:w="66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50,515</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17,151</w:t>
            </w:r>
          </w:p>
        </w:tc>
      </w:tr>
      <w:tr>
        <w:trPr>
          <w:trHeight w:val="186"/>
        </w:trPr>
        <w:tc>
          <w:tcPr>
            <w:tcW w:w="66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578</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ind w:left="2220"/>
              <w:spacing w:after="0"/>
              <w:rPr>
                <w:sz w:val="20"/>
                <w:szCs w:val="20"/>
                <w:color w:val="auto"/>
              </w:rPr>
            </w:pPr>
            <w:r>
              <w:rPr>
                <w:rFonts w:ascii="Courier New" w:cs="Courier New" w:eastAsia="Courier New" w:hAnsi="Courier New"/>
                <w:sz w:val="16"/>
                <w:szCs w:val="16"/>
                <w:color w:val="auto"/>
              </w:rPr>
              <w:t>Total liabilities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122,562</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31,235</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6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Common stock - $0.01 par value, authorized</w:t>
            </w:r>
          </w:p>
        </w:tc>
        <w:tc>
          <w:tcPr>
            <w:tcW w:w="19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45,000 shares, issued and outstanding -</w:t>
            </w:r>
          </w:p>
        </w:tc>
        <w:tc>
          <w:tcPr>
            <w:tcW w:w="19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15,247 shares in 2000 and 15,244 shares in 1999</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153</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paid-in capital</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30,414</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30,398</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Retained earnings</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36,364</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31,255</w:t>
            </w:r>
          </w:p>
        </w:tc>
      </w:tr>
      <w:tr>
        <w:trPr>
          <w:trHeight w:val="186"/>
        </w:trPr>
        <w:tc>
          <w:tcPr>
            <w:tcW w:w="6680" w:type="dxa"/>
            <w:vAlign w:val="bottom"/>
          </w:tcPr>
          <w:p>
            <w:pPr>
              <w:ind w:left="200"/>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(1,685)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(1,678)</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680" w:type="dxa"/>
            <w:vAlign w:val="bottom"/>
          </w:tcPr>
          <w:p>
            <w:pPr>
              <w:ind w:left="2220"/>
              <w:spacing w:after="0"/>
              <w:rPr>
                <w:sz w:val="20"/>
                <w:szCs w:val="20"/>
                <w:color w:val="auto"/>
              </w:rPr>
            </w:pPr>
            <w:r>
              <w:rPr>
                <w:rFonts w:ascii="Courier New" w:cs="Courier New" w:eastAsia="Courier New" w:hAnsi="Courier New"/>
                <w:sz w:val="16"/>
                <w:szCs w:val="16"/>
                <w:color w:val="auto"/>
              </w:rPr>
              <w:t>Total stockholder's equity</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65,246</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60,128</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tcPr>
          <w:p>
            <w:pPr>
              <w:ind w:left="222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9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$187,808</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91,363</w:t>
            </w:r>
          </w:p>
        </w:tc>
      </w:tr>
      <w:tr>
        <w:trPr>
          <w:trHeight w:val="186"/>
        </w:trPr>
        <w:tc>
          <w:tcPr>
            <w:tcW w:w="6680" w:type="dxa"/>
            <w:vAlign w:val="bottom"/>
          </w:tcPr>
          <w:p>
            <w:pPr>
              <w:spacing w:after="0"/>
              <w:rPr>
                <w:sz w:val="16"/>
                <w:szCs w:val="16"/>
                <w:color w:val="auto"/>
              </w:rPr>
            </w:pPr>
          </w:p>
        </w:tc>
        <w:tc>
          <w:tcPr>
            <w:tcW w:w="19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235" w:right="1440" w:bottom="1440" w:gutter="0" w:footer="0" w:header="0"/>
        </w:sectPr>
      </w:pPr>
    </w:p>
    <w:bookmarkStart w:id="22" w:name="page23"/>
    <w:bookmarkEnd w:id="22"/>
    <w:p>
      <w:pPr>
        <w:ind w:left="3480"/>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6"/>
          <w:szCs w:val="16"/>
          <w:color w:val="auto"/>
        </w:rPr>
        <w:t>Consolidated Statements of Income and Comprehensive Income</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Years Ended December 31, 2000, 1999 and 1998</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20" w:type="dxa"/>
            <w:vAlign w:val="bottom"/>
          </w:tcPr>
          <w:p>
            <w:pPr>
              <w:spacing w:after="0"/>
              <w:rPr>
                <w:sz w:val="15"/>
                <w:szCs w:val="15"/>
                <w:color w:val="auto"/>
              </w:rPr>
            </w:pPr>
          </w:p>
        </w:tc>
        <w:tc>
          <w:tcPr>
            <w:tcW w:w="368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Years Ended December 31,</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$132,129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85,294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73,006</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93,926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59,967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50,353</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ind w:left="2220"/>
              <w:spacing w:after="0"/>
              <w:rPr>
                <w:sz w:val="20"/>
                <w:szCs w:val="20"/>
                <w:color w:val="auto"/>
              </w:rPr>
            </w:pPr>
            <w:r>
              <w:rPr>
                <w:rFonts w:ascii="Courier New" w:cs="Courier New" w:eastAsia="Courier New" w:hAnsi="Courier New"/>
                <w:sz w:val="16"/>
                <w:szCs w:val="16"/>
                <w:color w:val="auto"/>
              </w:rPr>
              <w:t>Gross profit</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38,203</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25,327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22,653</w:t>
            </w: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11,571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6,854</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5,896</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9,165</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6,131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4,557</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ind w:left="2220"/>
              <w:spacing w:after="0"/>
              <w:rPr>
                <w:sz w:val="20"/>
                <w:szCs w:val="20"/>
                <w:color w:val="auto"/>
              </w:rPr>
            </w:pPr>
            <w:r>
              <w:rPr>
                <w:rFonts w:ascii="Courier New" w:cs="Courier New" w:eastAsia="Courier New" w:hAnsi="Courier New"/>
                <w:sz w:val="16"/>
                <w:szCs w:val="16"/>
                <w:color w:val="auto"/>
              </w:rPr>
              <w:t>Income from operations</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17,467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12,342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12,200</w:t>
            </w: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1,773</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523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 affiliate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gain on involuntary conversion</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(728)</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16,606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11,819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12,136</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5,959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4,060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4,480</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ind w:left="2220"/>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9,987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7,759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7,656</w:t>
            </w:r>
          </w:p>
        </w:tc>
      </w:tr>
      <w:tr>
        <w:trPr>
          <w:trHeight w:val="373"/>
        </w:trPr>
        <w:tc>
          <w:tcPr>
            <w:tcW w:w="5720" w:type="dxa"/>
            <w:vAlign w:val="bottom"/>
          </w:tcPr>
          <w:p>
            <w:pPr>
              <w:spacing w:after="0"/>
              <w:rPr>
                <w:sz w:val="20"/>
                <w:szCs w:val="20"/>
                <w:color w:val="auto"/>
              </w:rPr>
            </w:pPr>
            <w:r>
              <w:rPr>
                <w:rFonts w:ascii="Courier New" w:cs="Courier New" w:eastAsia="Courier New" w:hAnsi="Courier New"/>
                <w:sz w:val="16"/>
                <w:szCs w:val="16"/>
                <w:color w:val="auto"/>
              </w:rPr>
              <w:t>Other comprehensive (loss) income:</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720" w:type="dxa"/>
            <w:vAlign w:val="bottom"/>
          </w:tcPr>
          <w:p>
            <w:pPr>
              <w:ind w:left="380"/>
              <w:spacing w:after="0"/>
              <w:rPr>
                <w:sz w:val="20"/>
                <w:szCs w:val="20"/>
                <w:color w:val="auto"/>
              </w:rPr>
            </w:pPr>
            <w:r>
              <w:rPr>
                <w:rFonts w:ascii="Courier New" w:cs="Courier New" w:eastAsia="Courier New" w:hAnsi="Courier New"/>
                <w:sz w:val="16"/>
                <w:szCs w:val="16"/>
                <w:color w:val="auto"/>
              </w:rPr>
              <w:t>Foreign currency translation</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(1,563)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ind w:left="2220"/>
              <w:spacing w:after="0"/>
              <w:rPr>
                <w:sz w:val="20"/>
                <w:szCs w:val="20"/>
                <w:color w:val="auto"/>
              </w:rPr>
            </w:pPr>
            <w:r>
              <w:rPr>
                <w:rFonts w:ascii="Courier New" w:cs="Courier New" w:eastAsia="Courier New" w:hAnsi="Courier New"/>
                <w:sz w:val="16"/>
                <w:szCs w:val="16"/>
                <w:color w:val="auto"/>
              </w:rPr>
              <w:t>Other comprehensive (loss) income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(1,563)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ind w:left="2220"/>
              <w:spacing w:after="0"/>
              <w:rPr>
                <w:sz w:val="20"/>
                <w:szCs w:val="20"/>
                <w:color w:val="auto"/>
              </w:rPr>
            </w:pPr>
            <w:r>
              <w:rPr>
                <w:rFonts w:ascii="Courier New" w:cs="Courier New" w:eastAsia="Courier New" w:hAnsi="Courier New"/>
                <w:sz w:val="16"/>
                <w:szCs w:val="16"/>
                <w:color w:val="auto"/>
              </w:rPr>
              <w:t>Comprehensive income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$9,980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6,196</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8,008</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$0.66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0.52</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15,247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15,021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14,804</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$0.64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0.52</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0.52</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15,531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15,038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14,804</w:t>
            </w:r>
          </w:p>
        </w:tc>
      </w:tr>
      <w:tr>
        <w:trPr>
          <w:trHeight w:val="186"/>
        </w:trPr>
        <w:tc>
          <w:tcPr>
            <w:tcW w:w="5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1421" w:right="1440" w:bottom="1440" w:gutter="0" w:footer="0" w:header="0"/>
        </w:sectPr>
      </w:pPr>
    </w:p>
    <w:bookmarkStart w:id="23" w:name="page24"/>
    <w:bookmarkEnd w:id="23"/>
    <w:p>
      <w:pPr>
        <w:jc w:val="center"/>
        <w:ind w:right="3760"/>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Consolidated Statements of Changes in Stockholders' Equity</w:t>
      </w:r>
    </w:p>
    <w:p>
      <w:pPr>
        <w:spacing w:after="0" w:line="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(In thousands)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Years Ended December 31, 2000, 1999 and 1998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4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Stock</w:t>
            </w: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Accumulated</w:t>
            </w:r>
          </w:p>
        </w:tc>
        <w:tc>
          <w:tcPr>
            <w:tcW w:w="920" w:type="dxa"/>
            <w:vAlign w:val="bottom"/>
          </w:tcPr>
          <w:p>
            <w:pPr>
              <w:spacing w:after="0"/>
              <w:rPr>
                <w:sz w:val="15"/>
                <w:szCs w:val="15"/>
                <w:color w:val="auto"/>
              </w:rPr>
            </w:pPr>
          </w:p>
        </w:tc>
      </w:tr>
      <w:tr>
        <w:trPr>
          <w:trHeight w:val="186"/>
        </w:trPr>
        <w:tc>
          <w:tcPr>
            <w:tcW w:w="3240" w:type="dxa"/>
            <w:vAlign w:val="bottom"/>
          </w:tcPr>
          <w:p>
            <w:pPr>
              <w:spacing w:after="0"/>
              <w:rPr>
                <w:sz w:val="16"/>
                <w:szCs w:val="16"/>
                <w:color w:val="auto"/>
              </w:rPr>
            </w:pPr>
          </w:p>
        </w:tc>
        <w:tc>
          <w:tcPr>
            <w:tcW w:w="276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Additional</w:t>
            </w:r>
          </w:p>
        </w:tc>
        <w:tc>
          <w:tcPr>
            <w:tcW w:w="1420" w:type="dxa"/>
            <w:vAlign w:val="bottom"/>
          </w:tcPr>
          <w:p>
            <w:pPr>
              <w:spacing w:after="0"/>
              <w:rPr>
                <w:sz w:val="16"/>
                <w:szCs w:val="16"/>
                <w:color w:val="auto"/>
              </w:rPr>
            </w:pP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spacing w:after="0"/>
              <w:rPr>
                <w:sz w:val="16"/>
                <w:szCs w:val="16"/>
                <w:color w:val="auto"/>
              </w:rPr>
            </w:pPr>
          </w:p>
        </w:tc>
      </w:tr>
      <w:tr>
        <w:trPr>
          <w:trHeight w:val="186"/>
        </w:trPr>
        <w:tc>
          <w:tcPr>
            <w:tcW w:w="324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Number of</w:t>
            </w:r>
          </w:p>
        </w:tc>
        <w:tc>
          <w:tcPr>
            <w:tcW w:w="400" w:type="dxa"/>
            <w:vAlign w:val="bottom"/>
          </w:tcPr>
          <w:p>
            <w:pPr>
              <w:spacing w:after="0"/>
              <w:rPr>
                <w:sz w:val="16"/>
                <w:szCs w:val="16"/>
                <w:color w:val="auto"/>
              </w:rPr>
            </w:pPr>
          </w:p>
        </w:tc>
        <w:tc>
          <w:tcPr>
            <w:tcW w:w="7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0"/>
              </w:rPr>
              <w:t>Par</w:t>
            </w:r>
          </w:p>
        </w:tc>
        <w:tc>
          <w:tcPr>
            <w:tcW w:w="15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Paid-in</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Retained</w:t>
            </w:r>
          </w:p>
        </w:tc>
        <w:tc>
          <w:tcPr>
            <w:tcW w:w="1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Comprehensive</w:t>
            </w:r>
          </w:p>
        </w:tc>
        <w:tc>
          <w:tcPr>
            <w:tcW w:w="920" w:type="dxa"/>
            <w:vAlign w:val="bottom"/>
          </w:tcPr>
          <w:p>
            <w:pPr>
              <w:spacing w:after="0"/>
              <w:rPr>
                <w:sz w:val="16"/>
                <w:szCs w:val="16"/>
                <w:color w:val="auto"/>
              </w:rPr>
            </w:pPr>
          </w:p>
        </w:tc>
      </w:tr>
      <w:tr>
        <w:trPr>
          <w:trHeight w:val="186"/>
        </w:trPr>
        <w:tc>
          <w:tcPr>
            <w:tcW w:w="324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Shares</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Value</w:t>
            </w:r>
          </w:p>
        </w:tc>
        <w:tc>
          <w:tcPr>
            <w:tcW w:w="15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Capital</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Earnings</w:t>
            </w:r>
          </w:p>
        </w:tc>
        <w:tc>
          <w:tcPr>
            <w:tcW w:w="1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Income (Loss)</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324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Balance at December 31, 1997</w:t>
            </w:r>
          </w:p>
        </w:tc>
        <w:tc>
          <w:tcPr>
            <w:tcW w:w="16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14,804</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149</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27,902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25,387</w:t>
            </w:r>
          </w:p>
        </w:tc>
        <w:tc>
          <w:tcPr>
            <w:tcW w:w="16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(467)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52,971</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Net income</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7,656</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7,656</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Dividends paid</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(4,737)</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(4,737)</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Cumulative translation</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352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352</w:t>
            </w:r>
          </w:p>
        </w:tc>
      </w:tr>
      <w:tr>
        <w:trPr>
          <w:trHeight w:val="186"/>
        </w:trPr>
        <w:tc>
          <w:tcPr>
            <w:tcW w:w="3240" w:type="dxa"/>
            <w:vAlign w:val="bottom"/>
          </w:tcPr>
          <w:p>
            <w:pPr>
              <w:spacing w:after="0"/>
              <w:rPr>
                <w:sz w:val="16"/>
                <w:szCs w:val="16"/>
                <w:color w:val="auto"/>
              </w:rPr>
            </w:pP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Balance at December 31, 1998</w:t>
            </w:r>
          </w:p>
        </w:tc>
        <w:tc>
          <w:tcPr>
            <w:tcW w:w="16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14,804</w:t>
            </w:r>
          </w:p>
        </w:tc>
        <w:tc>
          <w:tcPr>
            <w:tcW w:w="40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149</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27,902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28,306</w:t>
            </w:r>
          </w:p>
        </w:tc>
        <w:tc>
          <w:tcPr>
            <w:tcW w:w="16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(115)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56,242</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Shares issued</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440</w:t>
            </w:r>
          </w:p>
        </w:tc>
        <w:tc>
          <w:tcPr>
            <w:tcW w:w="400" w:type="dxa"/>
            <w:vAlign w:val="bottom"/>
          </w:tcPr>
          <w:p>
            <w:pPr>
              <w:spacing w:after="0"/>
              <w:rPr>
                <w:sz w:val="16"/>
                <w:szCs w:val="16"/>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w:t>
            </w:r>
          </w:p>
        </w:tc>
        <w:tc>
          <w:tcPr>
            <w:tcW w:w="15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2,496</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Net income</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7,759</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7,759</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Dividends paid</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(4,810)</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(4,810)</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Cumulative translation</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(1,563)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(1,563)</w:t>
            </w:r>
          </w:p>
        </w:tc>
      </w:tr>
      <w:tr>
        <w:trPr>
          <w:trHeight w:val="186"/>
        </w:trPr>
        <w:tc>
          <w:tcPr>
            <w:tcW w:w="3240" w:type="dxa"/>
            <w:vAlign w:val="bottom"/>
          </w:tcPr>
          <w:p>
            <w:pPr>
              <w:spacing w:after="0"/>
              <w:rPr>
                <w:sz w:val="16"/>
                <w:szCs w:val="16"/>
                <w:color w:val="auto"/>
              </w:rPr>
            </w:pP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Balance at December 31, 1999</w:t>
            </w:r>
          </w:p>
        </w:tc>
        <w:tc>
          <w:tcPr>
            <w:tcW w:w="16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15,244</w:t>
            </w:r>
          </w:p>
        </w:tc>
        <w:tc>
          <w:tcPr>
            <w:tcW w:w="40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153</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30,398</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31,255</w:t>
            </w:r>
          </w:p>
        </w:tc>
        <w:tc>
          <w:tcPr>
            <w:tcW w:w="16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(1,678)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60,128</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Shares issued</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16</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Net income</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9,987</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9,987</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Dividends paid</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(4,878)</w:t>
            </w:r>
          </w:p>
        </w:tc>
        <w:tc>
          <w:tcPr>
            <w:tcW w:w="16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(4,878)</w:t>
            </w:r>
          </w:p>
        </w:tc>
      </w:tr>
      <w:tr>
        <w:trPr>
          <w:trHeight w:val="186"/>
        </w:trPr>
        <w:tc>
          <w:tcPr>
            <w:tcW w:w="3240" w:type="dxa"/>
            <w:vAlign w:val="bottom"/>
          </w:tcPr>
          <w:p>
            <w:pPr>
              <w:ind w:left="780"/>
              <w:spacing w:after="0"/>
              <w:rPr>
                <w:sz w:val="20"/>
                <w:szCs w:val="20"/>
                <w:color w:val="auto"/>
              </w:rPr>
            </w:pPr>
            <w:r>
              <w:rPr>
                <w:rFonts w:ascii="Courier New" w:cs="Courier New" w:eastAsia="Courier New" w:hAnsi="Courier New"/>
                <w:sz w:val="16"/>
                <w:szCs w:val="16"/>
                <w:color w:val="auto"/>
              </w:rPr>
              <w:t>Cumulative translation</w:t>
            </w:r>
          </w:p>
        </w:tc>
        <w:tc>
          <w:tcPr>
            <w:tcW w:w="160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3240" w:type="dxa"/>
            <w:vAlign w:val="bottom"/>
          </w:tcPr>
          <w:p>
            <w:pPr>
              <w:spacing w:after="0"/>
              <w:rPr>
                <w:sz w:val="16"/>
                <w:szCs w:val="16"/>
                <w:color w:val="auto"/>
              </w:rPr>
            </w:pP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240" w:type="dxa"/>
            <w:vAlign w:val="bottom"/>
          </w:tcPr>
          <w:p>
            <w:pPr>
              <w:spacing w:after="0"/>
              <w:rPr>
                <w:sz w:val="20"/>
                <w:szCs w:val="20"/>
                <w:color w:val="auto"/>
              </w:rPr>
            </w:pPr>
            <w:r>
              <w:rPr>
                <w:rFonts w:ascii="Courier New" w:cs="Courier New" w:eastAsia="Courier New" w:hAnsi="Courier New"/>
                <w:sz w:val="16"/>
                <w:szCs w:val="16"/>
                <w:color w:val="auto"/>
              </w:rPr>
              <w:t>Balance December 31, 2000</w:t>
            </w:r>
          </w:p>
        </w:tc>
        <w:tc>
          <w:tcPr>
            <w:tcW w:w="16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15,247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153</w:t>
            </w:r>
          </w:p>
        </w:tc>
        <w:tc>
          <w:tcPr>
            <w:tcW w:w="1500" w:type="dxa"/>
            <w:vAlign w:val="bottom"/>
          </w:tcPr>
          <w:p>
            <w:pPr>
              <w:jc w:val="center"/>
              <w:ind w:left="179"/>
              <w:spacing w:after="0"/>
              <w:rPr>
                <w:sz w:val="20"/>
                <w:szCs w:val="20"/>
                <w:color w:val="auto"/>
              </w:rPr>
            </w:pPr>
            <w:r>
              <w:rPr>
                <w:rFonts w:ascii="Courier New" w:cs="Courier New" w:eastAsia="Courier New" w:hAnsi="Courier New"/>
                <w:sz w:val="16"/>
                <w:szCs w:val="16"/>
                <w:color w:val="auto"/>
              </w:rPr>
              <w:t>30,414</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36,364</w:t>
            </w:r>
          </w:p>
        </w:tc>
        <w:tc>
          <w:tcPr>
            <w:tcW w:w="16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(1,685)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65,246</w:t>
            </w:r>
          </w:p>
        </w:tc>
      </w:tr>
      <w:tr>
        <w:trPr>
          <w:trHeight w:val="186"/>
        </w:trPr>
        <w:tc>
          <w:tcPr>
            <w:tcW w:w="3240" w:type="dxa"/>
            <w:vAlign w:val="bottom"/>
          </w:tcPr>
          <w:p>
            <w:pPr>
              <w:spacing w:after="0"/>
              <w:rPr>
                <w:sz w:val="16"/>
                <w:szCs w:val="16"/>
                <w:color w:val="auto"/>
              </w:rPr>
            </w:pP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520"/>
          </w:cols>
          <w:pgMar w:left="240" w:top="1421" w:right="139" w:bottom="1440" w:gutter="0" w:footer="0" w:header="0"/>
        </w:sectPr>
      </w:pPr>
    </w:p>
    <w:bookmarkStart w:id="24" w:name="page25"/>
    <w:bookmarkEnd w:id="24"/>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 thousands)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Years Ended December 31, 2000, 1999 and 1998</w:t>
      </w:r>
    </w:p>
    <w:p>
      <w:pPr>
        <w:spacing w:after="0" w:line="191" w:lineRule="exact"/>
        <w:rPr>
          <w:sz w:val="20"/>
          <w:szCs w:val="20"/>
          <w:color w:val="auto"/>
        </w:rPr>
      </w:pPr>
    </w:p>
    <w:p>
      <w:pPr>
        <w:ind w:left="6500"/>
        <w:spacing w:after="0"/>
        <w:rPr>
          <w:sz w:val="20"/>
          <w:szCs w:val="20"/>
          <w:color w:val="auto"/>
        </w:rPr>
      </w:pPr>
      <w:r>
        <w:rPr>
          <w:rFonts w:ascii="Courier New" w:cs="Courier New" w:eastAsia="Courier New" w:hAnsi="Courier New"/>
          <w:sz w:val="16"/>
          <w:szCs w:val="16"/>
          <w:color w:val="auto"/>
        </w:rPr>
        <w:t>Years ended December 31,</w:t>
      </w:r>
    </w:p>
    <w:p>
      <w:pPr>
        <w:spacing w:after="0" w:line="5"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$9,987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7,759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7,656</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provided by operating activities:</w:t>
            </w: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Depreciation and amortization</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9,165</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6,131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4,557</w:t>
            </w: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Loss on disposals of property, plant and equipment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1,194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43</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Equity in earnings of unconsolidated affiliate</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Deferred income taxes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1,185</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(369)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w:t>
            </w: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Interest income from receivable from</w:t>
            </w: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unconsolidated affiliate</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(159)</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660</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7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000" w:type="dxa"/>
            <w:vAlign w:val="bottom"/>
          </w:tcPr>
          <w:p>
            <w:pPr>
              <w:ind w:left="1460"/>
              <w:spacing w:after="0"/>
              <w:rPr>
                <w:sz w:val="20"/>
                <w:szCs w:val="20"/>
                <w:color w:val="auto"/>
              </w:rPr>
            </w:pPr>
            <w:r>
              <w:rPr>
                <w:rFonts w:ascii="Courier New" w:cs="Courier New" w:eastAsia="Courier New" w:hAnsi="Courier New"/>
                <w:sz w:val="16"/>
                <w:szCs w:val="16"/>
                <w:color w:val="auto"/>
              </w:rPr>
              <w:t>Accounts receivable</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1,955</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806</w:t>
            </w:r>
          </w:p>
        </w:tc>
      </w:tr>
      <w:tr>
        <w:trPr>
          <w:trHeight w:val="186"/>
        </w:trPr>
        <w:tc>
          <w:tcPr>
            <w:tcW w:w="6000" w:type="dxa"/>
            <w:vAlign w:val="bottom"/>
          </w:tcPr>
          <w:p>
            <w:pPr>
              <w:ind w:left="1460"/>
              <w:spacing w:after="0"/>
              <w:rPr>
                <w:sz w:val="20"/>
                <w:szCs w:val="20"/>
                <w:color w:val="auto"/>
              </w:rPr>
            </w:pPr>
            <w:r>
              <w:rPr>
                <w:rFonts w:ascii="Courier New" w:cs="Courier New" w:eastAsia="Courier New" w:hAnsi="Courier New"/>
                <w:sz w:val="16"/>
                <w:szCs w:val="16"/>
                <w:color w:val="auto"/>
              </w:rPr>
              <w:t>Inventories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(3,021)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5,121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(2,560)</w:t>
            </w:r>
          </w:p>
        </w:tc>
      </w:tr>
      <w:tr>
        <w:trPr>
          <w:trHeight w:val="186"/>
        </w:trPr>
        <w:tc>
          <w:tcPr>
            <w:tcW w:w="6000" w:type="dxa"/>
            <w:vAlign w:val="bottom"/>
          </w:tcPr>
          <w:p>
            <w:pPr>
              <w:ind w:left="1460"/>
              <w:spacing w:after="0"/>
              <w:rPr>
                <w:sz w:val="20"/>
                <w:szCs w:val="20"/>
                <w:color w:val="auto"/>
              </w:rPr>
            </w:pPr>
            <w:r>
              <w:rPr>
                <w:rFonts w:ascii="Courier New" w:cs="Courier New" w:eastAsia="Courier New" w:hAnsi="Courier New"/>
                <w:sz w:val="16"/>
                <w:szCs w:val="16"/>
                <w:color w:val="auto"/>
              </w:rPr>
              <w:t>Other current assets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(106)</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471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432</w:t>
            </w:r>
          </w:p>
        </w:tc>
      </w:tr>
      <w:tr>
        <w:trPr>
          <w:trHeight w:val="186"/>
        </w:trPr>
        <w:tc>
          <w:tcPr>
            <w:tcW w:w="6000" w:type="dxa"/>
            <w:vAlign w:val="bottom"/>
          </w:tcPr>
          <w:p>
            <w:pPr>
              <w:ind w:left="1460"/>
              <w:spacing w:after="0"/>
              <w:rPr>
                <w:sz w:val="20"/>
                <w:szCs w:val="20"/>
                <w:color w:val="auto"/>
              </w:rPr>
            </w:pPr>
            <w:r>
              <w:rPr>
                <w:rFonts w:ascii="Courier New" w:cs="Courier New" w:eastAsia="Courier New" w:hAnsi="Courier New"/>
                <w:sz w:val="16"/>
                <w:szCs w:val="16"/>
                <w:color w:val="auto"/>
              </w:rPr>
              <w:t>Other assets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(1,719)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1460"/>
              <w:spacing w:after="0"/>
              <w:rPr>
                <w:sz w:val="20"/>
                <w:szCs w:val="20"/>
                <w:color w:val="auto"/>
              </w:rPr>
            </w:pPr>
            <w:r>
              <w:rPr>
                <w:rFonts w:ascii="Courier New" w:cs="Courier New" w:eastAsia="Courier New" w:hAnsi="Courier New"/>
                <w:sz w:val="16"/>
                <w:szCs w:val="16"/>
                <w:color w:val="auto"/>
              </w:rPr>
              <w:t>Accounts payable</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5,544</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(1,439)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789</w:t>
            </w:r>
          </w:p>
        </w:tc>
      </w:tr>
      <w:tr>
        <w:trPr>
          <w:trHeight w:val="186"/>
        </w:trPr>
        <w:tc>
          <w:tcPr>
            <w:tcW w:w="6000" w:type="dxa"/>
            <w:vAlign w:val="bottom"/>
          </w:tcPr>
          <w:p>
            <w:pPr>
              <w:ind w:left="1460"/>
              <w:spacing w:after="0"/>
              <w:rPr>
                <w:sz w:val="20"/>
                <w:szCs w:val="20"/>
                <w:color w:val="auto"/>
              </w:rPr>
            </w:pPr>
            <w:r>
              <w:rPr>
                <w:rFonts w:ascii="Courier New" w:cs="Courier New" w:eastAsia="Courier New" w:hAnsi="Courier New"/>
                <w:sz w:val="16"/>
                <w:szCs w:val="16"/>
                <w:color w:val="auto"/>
              </w:rPr>
              <w:t>Other liabilities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2,227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750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858</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ind w:left="2140"/>
              <w:spacing w:after="0"/>
              <w:rPr>
                <w:sz w:val="20"/>
                <w:szCs w:val="20"/>
                <w:color w:val="auto"/>
              </w:rPr>
            </w:pPr>
            <w:r>
              <w:rPr>
                <w:rFonts w:ascii="Courier New" w:cs="Courier New" w:eastAsia="Courier New" w:hAnsi="Courier New"/>
                <w:sz w:val="16"/>
                <w:szCs w:val="16"/>
                <w:color w:val="auto"/>
              </w:rPr>
              <w:t>Net cash provided by operations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26,864</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17,845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12,687</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Acquisition of NN Euroball ApS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(57,788)</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Acquisition of Industrial Molding Corporation</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(27,535)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Long-term note receivable</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(3,440)</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Acquisition of property, plant and equipment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(17,910)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(2,394)</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(5,758)</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Investment in unconsolidated affiliate</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(172)</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Proceeds from disposals of property, plant and</w:t>
            </w: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equipment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46</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ind w:left="2140"/>
              <w:spacing w:after="0"/>
              <w:rPr>
                <w:sz w:val="20"/>
                <w:szCs w:val="20"/>
                <w:color w:val="auto"/>
              </w:rPr>
            </w:pPr>
            <w:r>
              <w:rPr>
                <w:rFonts w:ascii="Courier New" w:cs="Courier New" w:eastAsia="Courier New" w:hAnsi="Courier New"/>
                <w:sz w:val="16"/>
                <w:szCs w:val="16"/>
                <w:color w:val="auto"/>
              </w:rPr>
              <w:t>Net cash used in investing activities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(79,310)</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(29,883)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(5,758)</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Net borrowings (repayments) under revolving line of credit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7,547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17,151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(1,480)</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Minority shareholder contribution</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29,600</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Proceeds from long-term debt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25,817</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Bank overdrafts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(785)</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1,239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Cash dividends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(4,878)</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(4,810)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(4,737)</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short-term loan</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ind w:left="380"/>
              <w:spacing w:after="0"/>
              <w:rPr>
                <w:sz w:val="20"/>
                <w:szCs w:val="20"/>
                <w:color w:val="auto"/>
              </w:rPr>
            </w:pPr>
            <w:r>
              <w:rPr>
                <w:rFonts w:ascii="Courier New" w:cs="Courier New" w:eastAsia="Courier New" w:hAnsi="Courier New"/>
                <w:sz w:val="16"/>
                <w:szCs w:val="16"/>
                <w:color w:val="auto"/>
              </w:rPr>
              <w:t>Proceeds from issuance of stock</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ind w:left="2140"/>
              <w:spacing w:after="0"/>
              <w:rPr>
                <w:sz w:val="20"/>
                <w:szCs w:val="20"/>
                <w:color w:val="auto"/>
              </w:rPr>
            </w:pPr>
            <w:r>
              <w:rPr>
                <w:rFonts w:ascii="Courier New" w:cs="Courier New" w:eastAsia="Courier New" w:hAnsi="Courier New"/>
                <w:sz w:val="16"/>
                <w:szCs w:val="16"/>
                <w:color w:val="auto"/>
              </w:rPr>
              <w:t>Net cash provided by (used for)</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6000" w:type="dxa"/>
            <w:vAlign w:val="bottom"/>
          </w:tcPr>
          <w:p>
            <w:pPr>
              <w:ind w:left="2140"/>
              <w:spacing w:after="0"/>
              <w:rPr>
                <w:sz w:val="20"/>
                <w:szCs w:val="20"/>
                <w:color w:val="auto"/>
              </w:rPr>
            </w:pPr>
            <w:r>
              <w:rPr>
                <w:rFonts w:ascii="Courier New" w:cs="Courier New" w:eastAsia="Courier New" w:hAnsi="Courier New"/>
                <w:sz w:val="16"/>
                <w:szCs w:val="16"/>
                <w:color w:val="auto"/>
              </w:rPr>
              <w:t>financing activities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59,317</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13,580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(6,217)</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(1,563)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352</w:t>
            </w:r>
          </w:p>
        </w:tc>
      </w:tr>
      <w:tr>
        <w:trPr>
          <w:trHeight w:val="186"/>
        </w:trPr>
        <w:tc>
          <w:tcPr>
            <w:tcW w:w="600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6,871</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1,542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712</w:t>
            </w:r>
          </w:p>
        </w:tc>
      </w:tr>
      <w:tr>
        <w:trPr>
          <w:trHeight w:val="186"/>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1,409</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1,430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366</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$8,273</w:t>
            </w:r>
          </w:p>
        </w:tc>
        <w:tc>
          <w:tcPr>
            <w:tcW w:w="13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1,409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1,430</w:t>
            </w:r>
          </w:p>
        </w:tc>
      </w:tr>
      <w:tr>
        <w:trPr>
          <w:trHeight w:val="186"/>
        </w:trPr>
        <w:tc>
          <w:tcPr>
            <w:tcW w:w="7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421" w:right="1440" w:bottom="1440" w:gutter="0" w:footer="0" w:header="0"/>
        </w:sectPr>
      </w:pPr>
    </w:p>
    <w:bookmarkStart w:id="25" w:name="page26"/>
    <w:bookmarkEnd w:id="25"/>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8" w:lineRule="exact"/>
        <w:rPr>
          <w:sz w:val="20"/>
          <w:szCs w:val="20"/>
          <w:color w:val="auto"/>
        </w:rPr>
      </w:pPr>
    </w:p>
    <w:p>
      <w:pPr>
        <w:ind w:left="581" w:hanging="581"/>
        <w:spacing w:after="0"/>
        <w:tabs>
          <w:tab w:leader="none" w:pos="5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and Practices</w:t>
      </w:r>
    </w:p>
    <w:p>
      <w:pPr>
        <w:spacing w:after="0" w:line="191" w:lineRule="exact"/>
        <w:rPr>
          <w:sz w:val="20"/>
          <w:szCs w:val="20"/>
          <w:color w:val="auto"/>
        </w:rPr>
      </w:pPr>
    </w:p>
    <w:p>
      <w:pPr>
        <w:ind w:left="961" w:hanging="476"/>
        <w:spacing w:after="0"/>
        <w:tabs>
          <w:tab w:leader="none" w:pos="9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Business</w:t>
      </w:r>
    </w:p>
    <w:p>
      <w:pPr>
        <w:spacing w:after="0" w:line="191" w:lineRule="exact"/>
        <w:rPr>
          <w:sz w:val="20"/>
          <w:szCs w:val="20"/>
          <w:color w:val="auto"/>
        </w:rPr>
      </w:pPr>
    </w:p>
    <w:p>
      <w:pPr>
        <w:ind w:left="1061" w:right="2459"/>
        <w:spacing w:after="0" w:line="246" w:lineRule="auto"/>
        <w:rPr>
          <w:sz w:val="20"/>
          <w:szCs w:val="20"/>
          <w:color w:val="auto"/>
        </w:rPr>
      </w:pPr>
      <w:r>
        <w:rPr>
          <w:rFonts w:ascii="Courier New" w:cs="Courier New" w:eastAsia="Courier New" w:hAnsi="Courier New"/>
          <w:sz w:val="16"/>
          <w:szCs w:val="16"/>
          <w:color w:val="auto"/>
        </w:rPr>
        <w:t>NN, Inc. (the "Company") is a manufacturer of precision balls, rollers, and plastic injection molded products. The Company's balls and rollers are used primarily in the domestic and international anti-friction bearing industry. The Company's plastic injection molded products are used in the bearing, automotive, instrumentation, fiber optic, and consumer hardware industries. The ball and roller segment comprises three manufacturing facilities located in the eastern United States. The Company's Euroball segment, which was acquired in July 2000 (see note 2) comprises manufacturing facilities located in Kilkenny, Ireland, Eltman, Germany, and Pinerolo, Italy. All of the facilities in the Euroball segment are engaged in the production of precision balls and rollers. The plastic injection molding segment, which was acquired in July 1999, (See note 2) has a manufacturing facility located in Texas. All of the Company's segments sell to foreign and domestic customers.</w:t>
      </w:r>
    </w:p>
    <w:p>
      <w:pPr>
        <w:spacing w:after="0" w:line="195" w:lineRule="exact"/>
        <w:rPr>
          <w:sz w:val="20"/>
          <w:szCs w:val="20"/>
          <w:color w:val="auto"/>
        </w:rPr>
      </w:pPr>
    </w:p>
    <w:p>
      <w:pPr>
        <w:ind w:left="1061" w:hanging="479"/>
        <w:spacing w:after="0"/>
        <w:tabs>
          <w:tab w:leader="none" w:pos="106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w:t>
      </w:r>
    </w:p>
    <w:p>
      <w:pPr>
        <w:spacing w:after="0" w:line="191" w:lineRule="exact"/>
        <w:rPr>
          <w:rFonts w:ascii="Courier New" w:cs="Courier New" w:eastAsia="Courier New" w:hAnsi="Courier New"/>
          <w:sz w:val="16"/>
          <w:szCs w:val="16"/>
          <w:color w:val="auto"/>
        </w:rPr>
      </w:pPr>
    </w:p>
    <w:p>
      <w:pPr>
        <w:ind w:left="106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considers all highly liquid investments with an original maturity of three months or less as cash equivalents.</w:t>
      </w:r>
    </w:p>
    <w:p>
      <w:pPr>
        <w:spacing w:after="0" w:line="184" w:lineRule="exact"/>
        <w:rPr>
          <w:rFonts w:ascii="Courier New" w:cs="Courier New" w:eastAsia="Courier New" w:hAnsi="Courier New"/>
          <w:sz w:val="16"/>
          <w:szCs w:val="16"/>
          <w:color w:val="auto"/>
        </w:rPr>
      </w:pPr>
    </w:p>
    <w:p>
      <w:pPr>
        <w:ind w:left="1061" w:hanging="479"/>
        <w:spacing w:after="0"/>
        <w:tabs>
          <w:tab w:leader="none" w:pos="106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1" w:lineRule="exact"/>
        <w:rPr>
          <w:rFonts w:ascii="Courier New" w:cs="Courier New" w:eastAsia="Courier New" w:hAnsi="Courier New"/>
          <w:sz w:val="16"/>
          <w:szCs w:val="16"/>
          <w:color w:val="auto"/>
        </w:rPr>
      </w:pPr>
    </w:p>
    <w:p>
      <w:pPr>
        <w:ind w:left="1061" w:right="3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stated at the lower of cost or market. Cost is determined using the first-in, first-out method.</w:t>
      </w:r>
    </w:p>
    <w:p>
      <w:pPr>
        <w:spacing w:after="0" w:line="184" w:lineRule="exact"/>
        <w:rPr>
          <w:rFonts w:ascii="Courier New" w:cs="Courier New" w:eastAsia="Courier New" w:hAnsi="Courier New"/>
          <w:sz w:val="16"/>
          <w:szCs w:val="16"/>
          <w:color w:val="auto"/>
        </w:rPr>
      </w:pPr>
    </w:p>
    <w:p>
      <w:pPr>
        <w:ind w:left="1061" w:hanging="479"/>
        <w:spacing w:after="0"/>
        <w:tabs>
          <w:tab w:leader="none" w:pos="106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91" w:lineRule="exact"/>
        <w:rPr>
          <w:rFonts w:ascii="Courier New" w:cs="Courier New" w:eastAsia="Courier New" w:hAnsi="Courier New"/>
          <w:sz w:val="16"/>
          <w:szCs w:val="16"/>
          <w:color w:val="auto"/>
        </w:rPr>
      </w:pPr>
    </w:p>
    <w:p>
      <w:pPr>
        <w:ind w:left="106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are stated at cost less accumulated depreciation.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respectively. The Company reviews the carrying values of long-lived assets for impairment whenever events or changes in circumstances indicate the carrying amount of an asset may not be recoverable. In management's opinion, no material impairment exists at December 31, 2000 or 1999.</w:t>
      </w:r>
    </w:p>
    <w:p>
      <w:pPr>
        <w:spacing w:after="0" w:line="192" w:lineRule="exact"/>
        <w:rPr>
          <w:rFonts w:ascii="Courier New" w:cs="Courier New" w:eastAsia="Courier New" w:hAnsi="Courier New"/>
          <w:sz w:val="16"/>
          <w:szCs w:val="16"/>
          <w:color w:val="auto"/>
        </w:rPr>
      </w:pPr>
    </w:p>
    <w:p>
      <w:pPr>
        <w:ind w:left="1061" w:right="29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200" w:lineRule="exact"/>
        <w:rPr>
          <w:sz w:val="20"/>
          <w:szCs w:val="20"/>
          <w:color w:val="auto"/>
        </w:rPr>
      </w:pPr>
    </w:p>
    <w:p>
      <w:pPr>
        <w:spacing w:after="0" w:line="35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0"/>
          </w:cols>
          <w:pgMar w:left="239" w:top="676" w:right="1440" w:bottom="1440" w:gutter="0" w:footer="0" w:header="0"/>
        </w:sectPr>
      </w:pPr>
    </w:p>
    <w:bookmarkStart w:id="26" w:name="page27"/>
    <w:bookmarkEnd w:id="26"/>
    <w:p>
      <w:pPr>
        <w:jc w:val="center"/>
        <w:ind w:right="30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480" w:hanging="479"/>
        <w:spacing w:after="0"/>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91" w:lineRule="exact"/>
        <w:rPr>
          <w:rFonts w:ascii="Courier New" w:cs="Courier New" w:eastAsia="Courier New" w:hAnsi="Courier New"/>
          <w:sz w:val="16"/>
          <w:szCs w:val="16"/>
          <w:color w:val="auto"/>
        </w:rPr>
      </w:pPr>
    </w:p>
    <w:p>
      <w:pPr>
        <w:ind w:left="48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 Inventory on consignment at December 31, 2000 and 1999 was approximately $4,083 and $2,766, respectively.</w:t>
      </w:r>
    </w:p>
    <w:p>
      <w:pPr>
        <w:spacing w:after="0" w:line="185" w:lineRule="exact"/>
        <w:rPr>
          <w:rFonts w:ascii="Courier New" w:cs="Courier New" w:eastAsia="Courier New" w:hAnsi="Courier New"/>
          <w:sz w:val="16"/>
          <w:szCs w:val="16"/>
          <w:color w:val="auto"/>
        </w:rPr>
      </w:pPr>
    </w:p>
    <w:p>
      <w:pPr>
        <w:ind w:left="480" w:hanging="479"/>
        <w:spacing w:after="0"/>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1" w:lineRule="exact"/>
        <w:rPr>
          <w:rFonts w:ascii="Courier New" w:cs="Courier New" w:eastAsia="Courier New" w:hAnsi="Courier New"/>
          <w:sz w:val="16"/>
          <w:szCs w:val="16"/>
          <w:color w:val="auto"/>
        </w:rPr>
      </w:pPr>
    </w:p>
    <w:p>
      <w:pPr>
        <w:ind w:left="48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92" w:lineRule="exact"/>
        <w:rPr>
          <w:rFonts w:ascii="Courier New" w:cs="Courier New" w:eastAsia="Courier New" w:hAnsi="Courier New"/>
          <w:sz w:val="16"/>
          <w:szCs w:val="16"/>
          <w:color w:val="auto"/>
        </w:rPr>
      </w:pPr>
    </w:p>
    <w:p>
      <w:pPr>
        <w:ind w:left="480" w:hanging="479"/>
        <w:spacing w:after="0"/>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91" w:lineRule="exact"/>
        <w:rPr>
          <w:rFonts w:ascii="Courier New" w:cs="Courier New" w:eastAsia="Courier New" w:hAnsi="Courier New"/>
          <w:sz w:val="16"/>
          <w:szCs w:val="16"/>
          <w:color w:val="auto"/>
        </w:rPr>
      </w:pPr>
    </w:p>
    <w:p>
      <w:pPr>
        <w:ind w:left="480" w:right="28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85" w:lineRule="exact"/>
        <w:rPr>
          <w:rFonts w:ascii="Courier New" w:cs="Courier New" w:eastAsia="Courier New" w:hAnsi="Courier New"/>
          <w:sz w:val="16"/>
          <w:szCs w:val="16"/>
          <w:color w:val="auto"/>
        </w:rPr>
      </w:pPr>
    </w:p>
    <w:p>
      <w:pPr>
        <w:ind w:left="480" w:hanging="479"/>
        <w:spacing w:after="0"/>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Incentive Plan</w:t>
      </w:r>
    </w:p>
    <w:p>
      <w:pPr>
        <w:spacing w:after="0" w:line="191" w:lineRule="exact"/>
        <w:rPr>
          <w:sz w:val="20"/>
          <w:szCs w:val="20"/>
          <w:color w:val="auto"/>
        </w:rPr>
      </w:pPr>
    </w:p>
    <w:p>
      <w:pPr>
        <w:ind w:left="380" w:right="2459"/>
        <w:spacing w:after="0" w:line="246" w:lineRule="auto"/>
        <w:rPr>
          <w:sz w:val="20"/>
          <w:szCs w:val="20"/>
          <w:color w:val="auto"/>
        </w:rPr>
      </w:pPr>
      <w:r>
        <w:rPr>
          <w:rFonts w:ascii="Courier New" w:cs="Courier New" w:eastAsia="Courier New" w:hAnsi="Courier New"/>
          <w:sz w:val="16"/>
          <w:szCs w:val="16"/>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exceeded the exercise price.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w:t>
      </w:r>
    </w:p>
    <w:p>
      <w:pPr>
        <w:spacing w:after="0" w:line="382"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639"/>
          </w:cols>
          <w:pgMar w:left="820" w:top="489" w:right="1440" w:bottom="1440" w:gutter="0" w:footer="0" w:header="0"/>
        </w:sectPr>
      </w:pPr>
    </w:p>
    <w:bookmarkStart w:id="27" w:name="page28"/>
    <w:bookmarkEnd w:id="27"/>
    <w:p>
      <w:pPr>
        <w:jc w:val="center"/>
        <w:ind w:right="30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480" w:hanging="479"/>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Principles of Consolidation</w:t>
      </w:r>
    </w:p>
    <w:p>
      <w:pPr>
        <w:spacing w:after="0" w:line="191" w:lineRule="exact"/>
        <w:rPr>
          <w:rFonts w:ascii="Courier New" w:cs="Courier New" w:eastAsia="Courier New" w:hAnsi="Courier New"/>
          <w:sz w:val="16"/>
          <w:szCs w:val="16"/>
          <w:color w:val="auto"/>
        </w:rPr>
      </w:pPr>
    </w:p>
    <w:p>
      <w:pPr>
        <w:ind w:left="48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are reflected as minority interests. Minority interest represents the minority shareholders of NN Euroball ApS and the minority shareholder of NN Mexico, LLC.</w:t>
      </w:r>
    </w:p>
    <w:p>
      <w:pPr>
        <w:spacing w:after="0" w:line="191" w:lineRule="exact"/>
        <w:rPr>
          <w:rFonts w:ascii="Courier New" w:cs="Courier New" w:eastAsia="Courier New" w:hAnsi="Courier New"/>
          <w:sz w:val="16"/>
          <w:szCs w:val="16"/>
          <w:color w:val="auto"/>
        </w:rPr>
      </w:pPr>
    </w:p>
    <w:p>
      <w:pPr>
        <w:ind w:left="480" w:hanging="479"/>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Translation</w:t>
      </w:r>
    </w:p>
    <w:p>
      <w:pPr>
        <w:spacing w:after="0" w:line="191" w:lineRule="exact"/>
        <w:rPr>
          <w:rFonts w:ascii="Courier New" w:cs="Courier New" w:eastAsia="Courier New" w:hAnsi="Courier New"/>
          <w:sz w:val="16"/>
          <w:szCs w:val="16"/>
          <w:color w:val="auto"/>
        </w:rPr>
      </w:pPr>
    </w:p>
    <w:p>
      <w:pPr>
        <w:ind w:left="48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pacing w:after="0" w:line="185" w:lineRule="exact"/>
        <w:rPr>
          <w:rFonts w:ascii="Courier New" w:cs="Courier New" w:eastAsia="Courier New" w:hAnsi="Courier New"/>
          <w:sz w:val="16"/>
          <w:szCs w:val="16"/>
          <w:color w:val="auto"/>
        </w:rPr>
      </w:pPr>
    </w:p>
    <w:p>
      <w:pPr>
        <w:ind w:left="480" w:hanging="479"/>
        <w:spacing w:after="0"/>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w:t>
      </w:r>
    </w:p>
    <w:p>
      <w:pPr>
        <w:spacing w:after="0" w:line="191" w:lineRule="exact"/>
        <w:rPr>
          <w:rFonts w:ascii="Courier New" w:cs="Courier New" w:eastAsia="Courier New" w:hAnsi="Courier New"/>
          <w:sz w:val="16"/>
          <w:szCs w:val="16"/>
          <w:color w:val="auto"/>
        </w:rPr>
      </w:pPr>
    </w:p>
    <w:p>
      <w:pPr>
        <w:ind w:left="48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which represents the excess of purchase price over fair value of net assets acquired, is amortized on a straight-line basis over the expected periods to be benefited, generally 20 years. The Company assesses the recoverability of this intangible asset by determining whether the amortization of the goodwill balance over its remaining life can be recovered through undiscounted future operating cash flows of the acquired operation. The amount of goodwill impairment, if any, is measured based on projected discounted future operating cash flows using a discount rate reflecting the Company's average cost of funds.</w:t>
      </w:r>
    </w:p>
    <w:p>
      <w:pPr>
        <w:spacing w:after="0" w:line="191" w:lineRule="exact"/>
        <w:rPr>
          <w:rFonts w:ascii="Courier New" w:cs="Courier New" w:eastAsia="Courier New" w:hAnsi="Courier New"/>
          <w:sz w:val="16"/>
          <w:szCs w:val="16"/>
          <w:color w:val="auto"/>
        </w:rPr>
      </w:pPr>
    </w:p>
    <w:p>
      <w:pPr>
        <w:ind w:left="480" w:right="3439" w:hanging="479"/>
        <w:spacing w:after="0" w:line="248" w:lineRule="auto"/>
        <w:tabs>
          <w:tab w:leader="none" w:pos="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of Long-Lived Assets and Long-Lived Assets to Be Disposed Of</w:t>
      </w:r>
    </w:p>
    <w:p>
      <w:pPr>
        <w:spacing w:after="0" w:line="184" w:lineRule="exact"/>
        <w:rPr>
          <w:rFonts w:ascii="Courier New" w:cs="Courier New" w:eastAsia="Courier New" w:hAnsi="Courier New"/>
          <w:sz w:val="16"/>
          <w:szCs w:val="16"/>
          <w:color w:val="auto"/>
        </w:rPr>
      </w:pPr>
    </w:p>
    <w:p>
      <w:pPr>
        <w:ind w:left="48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long-lived assets in accordance with the provisions of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9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639"/>
          </w:cols>
          <w:pgMar w:left="820" w:top="862" w:right="1440" w:bottom="1440" w:gutter="0" w:footer="0" w:header="0"/>
        </w:sectPr>
      </w:pPr>
    </w:p>
    <w:bookmarkStart w:id="28" w:name="page29"/>
    <w:bookmarkEnd w:id="28"/>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1061" w:hanging="479"/>
        <w:spacing w:after="0"/>
        <w:tabs>
          <w:tab w:leader="none" w:pos="10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 in the preparation of financial statements.</w:t>
      </w:r>
    </w:p>
    <w:p>
      <w:pPr>
        <w:spacing w:after="0" w:line="191" w:lineRule="exact"/>
        <w:rPr>
          <w:rFonts w:ascii="Courier New" w:cs="Courier New" w:eastAsia="Courier New" w:hAnsi="Courier New"/>
          <w:sz w:val="16"/>
          <w:szCs w:val="16"/>
          <w:color w:val="auto"/>
        </w:rPr>
      </w:pPr>
    </w:p>
    <w:p>
      <w:pPr>
        <w:ind w:left="106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w:t>
      </w:r>
    </w:p>
    <w:p>
      <w:pPr>
        <w:spacing w:after="0" w:line="2" w:lineRule="exact"/>
        <w:rPr>
          <w:rFonts w:ascii="Courier New" w:cs="Courier New" w:eastAsia="Courier New" w:hAnsi="Courier New"/>
          <w:sz w:val="16"/>
          <w:szCs w:val="16"/>
          <w:color w:val="auto"/>
        </w:rPr>
      </w:pPr>
    </w:p>
    <w:p>
      <w:pPr>
        <w:ind w:left="106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the date of the financial statements and the reported amounts of revenues and expenses during the reporting period. Actual results could differ from those estimates.</w:t>
      </w:r>
    </w:p>
    <w:p>
      <w:pPr>
        <w:spacing w:after="0" w:line="185" w:lineRule="exact"/>
        <w:rPr>
          <w:rFonts w:ascii="Courier New" w:cs="Courier New" w:eastAsia="Courier New" w:hAnsi="Courier New"/>
          <w:sz w:val="16"/>
          <w:szCs w:val="16"/>
          <w:color w:val="auto"/>
        </w:rPr>
      </w:pPr>
    </w:p>
    <w:p>
      <w:pPr>
        <w:ind w:left="1061" w:hanging="479"/>
        <w:spacing w:after="0"/>
        <w:tabs>
          <w:tab w:leader="none" w:pos="10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Recently Issued Accounting Standards</w:t>
      </w:r>
    </w:p>
    <w:p>
      <w:pPr>
        <w:spacing w:after="0" w:line="191" w:lineRule="exact"/>
        <w:rPr>
          <w:rFonts w:ascii="Courier New" w:cs="Courier New" w:eastAsia="Courier New" w:hAnsi="Courier New"/>
          <w:sz w:val="16"/>
          <w:szCs w:val="16"/>
          <w:color w:val="auto"/>
        </w:rPr>
      </w:pPr>
    </w:p>
    <w:p>
      <w:pPr>
        <w:ind w:left="106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will be effective January 1, 2001. The adoption of this standard by the Company is not expected to result in significant adjustments to existing accounting practices as the Company does not currently hold any derivative financial instruments or participate in speculative activities.</w:t>
      </w:r>
    </w:p>
    <w:p>
      <w:pPr>
        <w:spacing w:after="0" w:line="194" w:lineRule="exact"/>
        <w:rPr>
          <w:rFonts w:ascii="Courier New" w:cs="Courier New" w:eastAsia="Courier New" w:hAnsi="Courier New"/>
          <w:sz w:val="16"/>
          <w:szCs w:val="16"/>
          <w:color w:val="auto"/>
        </w:rPr>
      </w:pPr>
    </w:p>
    <w:p>
      <w:pPr>
        <w:ind w:left="1061" w:hanging="479"/>
        <w:spacing w:after="0"/>
        <w:tabs>
          <w:tab w:leader="none" w:pos="10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191" w:lineRule="exact"/>
        <w:rPr>
          <w:rFonts w:ascii="Courier New" w:cs="Courier New" w:eastAsia="Courier New" w:hAnsi="Courier New"/>
          <w:sz w:val="16"/>
          <w:szCs w:val="16"/>
          <w:color w:val="auto"/>
        </w:rPr>
      </w:pPr>
    </w:p>
    <w:p>
      <w:pPr>
        <w:ind w:left="106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1999 and 1998 amounts have been reclassified to conform with the 2000 presentation.</w:t>
      </w:r>
    </w:p>
    <w:p>
      <w:pPr>
        <w:spacing w:after="0" w:line="184"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91" w:lineRule="exact"/>
        <w:rPr>
          <w:rFonts w:ascii="Courier New" w:cs="Courier New" w:eastAsia="Courier New" w:hAnsi="Courier New"/>
          <w:sz w:val="16"/>
          <w:szCs w:val="16"/>
          <w:color w:val="auto"/>
        </w:rPr>
      </w:pPr>
    </w:p>
    <w:p>
      <w:pPr>
        <w:ind w:left="5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July 31, 2000, the Company completed its Euroball transaction. Completion of the transaction required the Company to start a majority owned stand-alone company in Europe, NN Euroball ApS, for the manufacture and sale of precision steel balls used for ball bearings and other products. The Company owns 54% of the shares of NN Euroball, ApS, AB SKF (SKF), a Swedish Company, and FAG Kugelfischer Georg Schager AG (FAG), a German Company, own 23% each. NN Euroball ApS subsequently acquired the steel ball manufacturing facilities located in Pinerolo, Italy (previously owned by SKF), Eltman, Germany (previously owned by FAG) and Kilkenny, Ireland (previously owned by the Company). NN Euroball ApS paid approximately $57,788 for the net assets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$15,507 has been recorded as goodwill and is being amortized on a straight-line basis over twenty years.</w:t>
      </w:r>
    </w:p>
    <w:p>
      <w:pPr>
        <w:spacing w:after="0" w:line="197"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0"/>
          </w:cols>
          <w:pgMar w:left="239" w:top="676" w:right="1440" w:bottom="1440" w:gutter="0" w:footer="0" w:header="0"/>
        </w:sectPr>
      </w:pPr>
    </w:p>
    <w:bookmarkStart w:id="29" w:name="page30"/>
    <w:bookmarkEnd w:id="29"/>
    <w:p>
      <w:pPr>
        <w:jc w:val="center"/>
        <w:ind w:right="303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Under the terms of a Shareholder Agreement between the Company, SKF and FAG, at any time after December 31, 2002, SKF and FAG can require the Company to purchase their shares of NN Euroball ApS. The purchase price of the shares is to be calculated using a purchase price formula specified in the Shareholder Agreement.</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following unaudited pro forma summary presents the financial information as if the Company's Euroball transaction had occurred on January 1, 2000 and 1999. The 1999 unaudited proforma amounts also include financial information as if the Company's acquisition of IMC had occurred on January 1, 1999. These proforma results have been prepared for comparative purposes and do not purport to be indicative of what would have occurred had the acquisition been made on January 1, 2000 and 1999, nor is it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(Unaudited)</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(Unaudited)</w:t>
            </w:r>
          </w:p>
        </w:tc>
      </w:tr>
      <w:tr>
        <w:trPr>
          <w:trHeight w:val="186"/>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December 31,</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2000</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3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9"/>
        </w:trPr>
        <w:tc>
          <w:tcPr>
            <w:tcW w:w="39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213,891</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187,616</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600" w:type="dxa"/>
            <w:vAlign w:val="bottom"/>
          </w:tcPr>
          <w:p>
            <w:pPr>
              <w:spacing w:after="0"/>
              <w:rPr>
                <w:sz w:val="16"/>
                <w:szCs w:val="16"/>
                <w:color w:val="auto"/>
              </w:rPr>
            </w:pP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15,220</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7,230</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600" w:type="dxa"/>
            <w:vAlign w:val="bottom"/>
          </w:tcPr>
          <w:p>
            <w:pPr>
              <w:spacing w:after="0"/>
              <w:rPr>
                <w:sz w:val="16"/>
                <w:szCs w:val="16"/>
                <w:color w:val="auto"/>
              </w:rPr>
            </w:pP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0.48</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600" w:type="dxa"/>
            <w:vAlign w:val="bottom"/>
          </w:tcPr>
          <w:p>
            <w:pPr>
              <w:spacing w:after="0"/>
              <w:rPr>
                <w:sz w:val="16"/>
                <w:szCs w:val="16"/>
                <w:color w:val="auto"/>
              </w:rPr>
            </w:pP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0.98</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0.48</w:t>
            </w:r>
          </w:p>
        </w:tc>
      </w:tr>
    </w:tbl>
    <w:p>
      <w:pPr>
        <w:spacing w:after="0" w:line="200" w:lineRule="exact"/>
        <w:rPr>
          <w:sz w:val="20"/>
          <w:szCs w:val="20"/>
          <w:color w:val="auto"/>
        </w:rPr>
      </w:pPr>
    </w:p>
    <w:p>
      <w:pPr>
        <w:spacing w:after="0" w:line="363"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Effective July 4, 1999, the Company acquired substantially all of the assets and assumed certain liabilities of Earsley Capital Corporation, a Nevada corporation and successor to and formerly known as Industrial Molding Corporation ("IMC"). IMC, located in Lubbock, Texas, operates as a premier full-service designer and manufacturer of precision plastic injection molded components. The Company paid consideration of approximately $30,000, consisting of $27,500 in cash and 440 shares of its common stock, for the net assets acquired from IMC. The Company has accounted for the IMC acquisition using the purchase method of accounting and, accordingly, the results of operations of IMC have been included in the Company's consolidated financial statements from July 4, 1999. The excess of the purchase price over the fair value of the net identifiable assets acquired of $13,200 has been recorded as goodwill, which is being amortized, on a straight-line basis over twenty years.</w:t>
      </w:r>
    </w:p>
    <w:p>
      <w:pPr>
        <w:spacing w:after="0" w:line="19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following unaudited pro forma summary presents the financial information as if the Company's acquisition of IMC had occurred on January 1, 1999 and 1998. This unaudited proforma summary does not include Euroball. These proforma results have been prepared for comparative purposes and do not purport to be indicative of what would have occurred had the acquisition been made on January 1, 1999 and 1998, nor is it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ind w:left="240"/>
              <w:spacing w:after="0"/>
              <w:rPr>
                <w:sz w:val="20"/>
                <w:szCs w:val="20"/>
                <w:color w:val="auto"/>
              </w:rPr>
            </w:pPr>
            <w:r>
              <w:rPr>
                <w:rFonts w:ascii="Courier New" w:cs="Courier New" w:eastAsia="Courier New" w:hAnsi="Courier New"/>
                <w:sz w:val="16"/>
                <w:szCs w:val="16"/>
                <w:color w:val="auto"/>
              </w:rPr>
              <w:t>(Unaudited)</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(Unaudited)</w:t>
            </w:r>
          </w:p>
        </w:tc>
      </w:tr>
      <w:tr>
        <w:trPr>
          <w:trHeight w:val="186"/>
        </w:trPr>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ind w:left="240"/>
              <w:spacing w:after="0"/>
              <w:rPr>
                <w:sz w:val="20"/>
                <w:szCs w:val="20"/>
                <w:color w:val="auto"/>
              </w:rPr>
            </w:pPr>
            <w:r>
              <w:rPr>
                <w:rFonts w:ascii="Courier New" w:cs="Courier New" w:eastAsia="Courier New" w:hAnsi="Courier New"/>
                <w:sz w:val="16"/>
                <w:szCs w:val="16"/>
                <w:color w:val="auto"/>
              </w:rPr>
              <w:t>December 31,</w:t>
            </w:r>
          </w:p>
        </w:tc>
        <w:tc>
          <w:tcPr>
            <w:tcW w:w="17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1999</w:t>
            </w:r>
          </w:p>
        </w:tc>
        <w:tc>
          <w:tcPr>
            <w:tcW w:w="17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9"/>
        </w:trPr>
        <w:tc>
          <w:tcPr>
            <w:tcW w:w="40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101,562</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101,135</w:t>
            </w:r>
          </w:p>
        </w:tc>
      </w:tr>
      <w:tr>
        <w:trPr>
          <w:trHeight w:val="186"/>
        </w:trPr>
        <w:tc>
          <w:tcPr>
            <w:tcW w:w="40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6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7,558</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6,637</w:t>
            </w:r>
          </w:p>
        </w:tc>
      </w:tr>
      <w:tr>
        <w:trPr>
          <w:trHeight w:val="186"/>
        </w:trPr>
        <w:tc>
          <w:tcPr>
            <w:tcW w:w="40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56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0.50</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0.44</w:t>
            </w:r>
          </w:p>
        </w:tc>
      </w:tr>
      <w:tr>
        <w:trPr>
          <w:trHeight w:val="186"/>
        </w:trPr>
        <w:tc>
          <w:tcPr>
            <w:tcW w:w="4020" w:type="dxa"/>
            <w:vAlign w:val="bottom"/>
          </w:tcPr>
          <w:p>
            <w:pPr>
              <w:spacing w:after="0"/>
              <w:rPr>
                <w:sz w:val="20"/>
                <w:szCs w:val="20"/>
                <w:color w:val="auto"/>
              </w:rPr>
            </w:pPr>
            <w:r>
              <w:rPr>
                <w:rFonts w:ascii="Courier New" w:cs="Courier New" w:eastAsia="Courier New" w:hAnsi="Courier New"/>
                <w:sz w:val="16"/>
                <w:szCs w:val="16"/>
                <w:color w:val="auto"/>
              </w:rPr>
              <w:t>Dilutive earnings per share</w:t>
            </w:r>
          </w:p>
        </w:tc>
        <w:tc>
          <w:tcPr>
            <w:tcW w:w="156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0.50</w:t>
            </w:r>
          </w:p>
        </w:tc>
        <w:tc>
          <w:tcPr>
            <w:tcW w:w="17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0.44</w:t>
            </w:r>
          </w:p>
        </w:tc>
      </w:tr>
    </w:tbl>
    <w:p>
      <w:pPr>
        <w:spacing w:after="0" w:line="377"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639"/>
          </w:cols>
          <w:pgMar w:left="820" w:top="1049" w:right="1440" w:bottom="695" w:gutter="0" w:footer="0" w:header="0"/>
        </w:sectPr>
      </w:pPr>
    </w:p>
    <w:bookmarkStart w:id="30" w:name="page31"/>
    <w:bookmarkEnd w:id="30"/>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1" w:hanging="581"/>
        <w:spacing w:after="0"/>
        <w:tabs>
          <w:tab w:leader="none" w:pos="5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Affiliated Companies</w:t>
      </w:r>
    </w:p>
    <w:p>
      <w:pPr>
        <w:spacing w:after="0" w:line="191" w:lineRule="exact"/>
        <w:rPr>
          <w:rFonts w:ascii="Courier New" w:cs="Courier New" w:eastAsia="Courier New" w:hAnsi="Courier New"/>
          <w:sz w:val="16"/>
          <w:szCs w:val="16"/>
          <w:color w:val="auto"/>
        </w:rPr>
      </w:pPr>
    </w:p>
    <w:p>
      <w:pPr>
        <w:ind w:left="58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affiliated companies consist of 50% of the member interest of NN General, LLC and 33% of the member interest of NNA, LLC.</w:t>
      </w:r>
    </w:p>
    <w:p>
      <w:pPr>
        <w:spacing w:after="0" w:line="184" w:lineRule="exact"/>
        <w:rPr>
          <w:rFonts w:ascii="Courier New" w:cs="Courier New" w:eastAsia="Courier New" w:hAnsi="Courier New"/>
          <w:sz w:val="16"/>
          <w:szCs w:val="16"/>
          <w:color w:val="auto"/>
        </w:rPr>
      </w:pPr>
    </w:p>
    <w:p>
      <w:pPr>
        <w:ind w:left="5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NN General, LLC was formed in March 2000 between the Company and General Bearing Corporation. NN General, LLC owns 60% of the Jiangsu General Ball and Roller, Company, Ltd., a Chinese precision ball and roller manufacturer located in Rugao City, Jiangsu, Province, China. The Company's investment in NN General, LLC includes $215 of member equity and a note receivable of $3,440 at December 31, 2000 which are included in other non-current assets in the accompanying consolidated balance sheet. The note receivable bears interest at variable rates (6.24% at December 31, 2000) and is due December 31, 2020. Accrued interest income on this note is $159 at December 31, 2000 and is included in other current assets in the accompanying consolidated balance sheet.</w:t>
      </w:r>
    </w:p>
    <w:p>
      <w:pPr>
        <w:spacing w:after="0" w:line="193" w:lineRule="exact"/>
        <w:rPr>
          <w:sz w:val="20"/>
          <w:szCs w:val="20"/>
          <w:color w:val="auto"/>
        </w:rPr>
      </w:pPr>
    </w:p>
    <w:p>
      <w:pPr>
        <w:ind w:left="581" w:right="2459"/>
        <w:spacing w:after="0" w:line="247" w:lineRule="auto"/>
        <w:rPr>
          <w:sz w:val="20"/>
          <w:szCs w:val="20"/>
          <w:color w:val="auto"/>
        </w:rPr>
      </w:pPr>
      <w:r>
        <w:rPr>
          <w:rFonts w:ascii="Courier New" w:cs="Courier New" w:eastAsia="Courier New" w:hAnsi="Courier New"/>
          <w:sz w:val="16"/>
          <w:szCs w:val="16"/>
          <w:color w:val="auto"/>
        </w:rPr>
        <w:t>NNA, LLC was formed in March 2000 and is a marketing company designed to promote the products of NN General, LLC. NNA, LLC is owned equally by the Company, General Bearing Corporation and the 40% owner of the Jiangsu General Ball and Roller Company, Ltd. The Company's investment in NNA, LLC at December 31, 2000 is comprised of $189 of advances for operating expenses and is included in accounts receivable, net in the accompanying consolidated balance sheet.</w:t>
      </w:r>
    </w:p>
    <w:p>
      <w:pPr>
        <w:spacing w:after="0" w:line="185" w:lineRule="exact"/>
        <w:rPr>
          <w:sz w:val="20"/>
          <w:szCs w:val="20"/>
          <w:color w:val="auto"/>
        </w:rPr>
      </w:pPr>
    </w:p>
    <w:p>
      <w:pPr>
        <w:ind w:left="581" w:right="2759"/>
        <w:spacing w:after="0" w:line="248" w:lineRule="auto"/>
        <w:rPr>
          <w:sz w:val="20"/>
          <w:szCs w:val="20"/>
          <w:color w:val="auto"/>
        </w:rPr>
      </w:pPr>
      <w:r>
        <w:rPr>
          <w:rFonts w:ascii="Courier New" w:cs="Courier New" w:eastAsia="Courier New" w:hAnsi="Courier New"/>
          <w:sz w:val="16"/>
          <w:szCs w:val="16"/>
          <w:color w:val="auto"/>
        </w:rPr>
        <w:t>Summarized combined unaudited financial information for the investee companies as of and for the year ended December 31, 2000 is as follows.</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spacing w:after="0"/>
              <w:rPr>
                <w:sz w:val="15"/>
                <w:szCs w:val="15"/>
                <w:color w:val="auto"/>
              </w:rPr>
            </w:pP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Assets</w:t>
            </w: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6,634</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Liabilities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6,419</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ind w:left="620"/>
              <w:spacing w:after="0"/>
              <w:rPr>
                <w:sz w:val="20"/>
                <w:szCs w:val="20"/>
                <w:color w:val="auto"/>
              </w:rPr>
            </w:pPr>
            <w:r>
              <w:rPr>
                <w:rFonts w:ascii="Courier New" w:cs="Courier New" w:eastAsia="Courier New" w:hAnsi="Courier New"/>
                <w:sz w:val="16"/>
                <w:szCs w:val="16"/>
                <w:color w:val="auto"/>
              </w:rPr>
              <w:t>Net participants' equity</w:t>
            </w: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215</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Revenues</w:t>
            </w: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7,939</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Net Income</w:t>
            </w: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w:t>
            </w:r>
          </w:p>
        </w:tc>
        <w:tc>
          <w:tcPr>
            <w:tcW w:w="1120" w:type="dxa"/>
            <w:vAlign w:val="bottom"/>
          </w:tcPr>
          <w:p>
            <w:pPr>
              <w:spacing w:after="0"/>
              <w:rPr>
                <w:sz w:val="16"/>
                <w:szCs w:val="16"/>
                <w:color w:val="auto"/>
              </w:rPr>
            </w:pP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r>
      <w:tr>
        <w:trPr>
          <w:trHeight w:val="373"/>
        </w:trPr>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(4)</w:t>
            </w: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Accounts Receivable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59"/>
        </w:trPr>
        <w:tc>
          <w:tcPr>
            <w:tcW w:w="4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440" w:type="dxa"/>
            <w:vAlign w:val="bottom"/>
          </w:tcPr>
          <w:p>
            <w:pPr>
              <w:spacing w:after="0"/>
              <w:rPr>
                <w:sz w:val="24"/>
                <w:szCs w:val="24"/>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Trade</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29,028</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18,918</w:t>
            </w:r>
          </w:p>
        </w:tc>
      </w:tr>
      <w:tr>
        <w:trPr>
          <w:trHeight w:val="186"/>
        </w:trPr>
        <w:tc>
          <w:tcPr>
            <w:tcW w:w="440" w:type="dxa"/>
            <w:vAlign w:val="bottom"/>
          </w:tcPr>
          <w:p>
            <w:pPr>
              <w:spacing w:after="0"/>
              <w:rPr>
                <w:sz w:val="16"/>
                <w:szCs w:val="16"/>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Employees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w:t>
            </w:r>
          </w:p>
        </w:tc>
      </w:tr>
      <w:tr>
        <w:trPr>
          <w:trHeight w:val="186"/>
        </w:trPr>
        <w:tc>
          <w:tcPr>
            <w:tcW w:w="440" w:type="dxa"/>
            <w:vAlign w:val="bottom"/>
          </w:tcPr>
          <w:p>
            <w:pPr>
              <w:spacing w:after="0"/>
              <w:rPr>
                <w:sz w:val="16"/>
                <w:szCs w:val="16"/>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Other</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1,297</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116</w:t>
            </w: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30,325</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19,089</w:t>
            </w:r>
          </w:p>
        </w:tc>
      </w:tr>
      <w:tr>
        <w:trPr>
          <w:trHeight w:val="186"/>
        </w:trPr>
        <w:tc>
          <w:tcPr>
            <w:tcW w:w="440" w:type="dxa"/>
            <w:vAlign w:val="bottom"/>
          </w:tcPr>
          <w:p>
            <w:pPr>
              <w:spacing w:after="0"/>
              <w:rPr>
                <w:sz w:val="16"/>
                <w:szCs w:val="16"/>
                <w:color w:val="auto"/>
              </w:rPr>
            </w:pPr>
          </w:p>
        </w:tc>
        <w:tc>
          <w:tcPr>
            <w:tcW w:w="4700" w:type="dxa"/>
            <w:vAlign w:val="bottom"/>
          </w:tcPr>
          <w:p>
            <w:pPr>
              <w:ind w:left="140"/>
              <w:spacing w:after="0"/>
              <w:rPr>
                <w:sz w:val="20"/>
                <w:szCs w:val="20"/>
                <w:color w:val="auto"/>
              </w:rPr>
            </w:pPr>
            <w:r>
              <w:rPr>
                <w:rFonts w:ascii="Courier New" w:cs="Courier New" w:eastAsia="Courier New" w:hAnsi="Courier New"/>
                <w:sz w:val="16"/>
                <w:szCs w:val="16"/>
                <w:color w:val="auto"/>
              </w:rPr>
              <w:t>Less - Allowance for doubtful accounts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776</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906</w:t>
            </w: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29,549</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18,183</w:t>
            </w:r>
          </w:p>
        </w:tc>
      </w:tr>
      <w:tr>
        <w:trPr>
          <w:trHeight w:val="186"/>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6681"/>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0"/>
          </w:cols>
          <w:pgMar w:left="239" w:top="676" w:right="1440" w:bottom="1440" w:gutter="0" w:footer="0" w:header="0"/>
        </w:sectPr>
      </w:pPr>
    </w:p>
    <w:bookmarkStart w:id="31" w:name="page32"/>
    <w:bookmarkEnd w:id="31"/>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Allowance for doubtful accounts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Description</w:t>
            </w:r>
          </w:p>
        </w:tc>
        <w:tc>
          <w:tcPr>
            <w:tcW w:w="1460" w:type="dxa"/>
            <w:vAlign w:val="bottom"/>
          </w:tcPr>
          <w:p>
            <w:pPr>
              <w:ind w:left="160"/>
              <w:spacing w:after="0"/>
              <w:rPr>
                <w:sz w:val="20"/>
                <w:szCs w:val="20"/>
                <w:color w:val="auto"/>
              </w:rPr>
            </w:pPr>
            <w:r>
              <w:rPr>
                <w:rFonts w:ascii="Courier New" w:cs="Courier New" w:eastAsia="Courier New" w:hAnsi="Courier New"/>
                <w:sz w:val="16"/>
                <w:szCs w:val="16"/>
                <w:color w:val="auto"/>
              </w:rPr>
              <w:t>Balance at</w:t>
            </w: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6"/>
        </w:trPr>
        <w:tc>
          <w:tcPr>
            <w:tcW w:w="3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9"/>
              </w:rPr>
              <w:t>beginning</w:t>
            </w:r>
          </w:p>
        </w:tc>
        <w:tc>
          <w:tcPr>
            <w:tcW w:w="1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rPr>
              <w:t>Balance at</w:t>
            </w:r>
          </w:p>
        </w:tc>
      </w:tr>
      <w:tr>
        <w:trPr>
          <w:trHeight w:val="186"/>
        </w:trPr>
        <w:tc>
          <w:tcPr>
            <w:tcW w:w="3140" w:type="dxa"/>
            <w:vAlign w:val="bottom"/>
          </w:tcPr>
          <w:p>
            <w:pPr>
              <w:spacing w:after="0"/>
              <w:rPr>
                <w:sz w:val="16"/>
                <w:szCs w:val="16"/>
                <w:color w:val="auto"/>
              </w:rPr>
            </w:pPr>
          </w:p>
        </w:tc>
        <w:tc>
          <w:tcPr>
            <w:tcW w:w="14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of year</w:t>
            </w:r>
          </w:p>
        </w:tc>
        <w:tc>
          <w:tcPr>
            <w:tcW w:w="15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Additions</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Write-Offs</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rPr>
              <w:t>end of year</w:t>
            </w:r>
          </w:p>
        </w:tc>
      </w:tr>
      <w:tr>
        <w:trPr>
          <w:trHeight w:val="559"/>
        </w:trPr>
        <w:tc>
          <w:tcPr>
            <w:tcW w:w="3140" w:type="dxa"/>
            <w:vAlign w:val="bottom"/>
          </w:tcPr>
          <w:p>
            <w:pPr>
              <w:spacing w:after="0"/>
              <w:rPr>
                <w:sz w:val="20"/>
                <w:szCs w:val="20"/>
                <w:color w:val="auto"/>
              </w:rPr>
            </w:pPr>
            <w:r>
              <w:rPr>
                <w:rFonts w:ascii="Courier New" w:cs="Courier New" w:eastAsia="Courier New" w:hAnsi="Courier New"/>
                <w:sz w:val="16"/>
                <w:szCs w:val="16"/>
                <w:color w:val="auto"/>
              </w:rPr>
              <w:t>December 31, 1998</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4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$ 315</w:t>
            </w:r>
          </w:p>
        </w:tc>
        <w:tc>
          <w:tcPr>
            <w:tcW w:w="1500" w:type="dxa"/>
            <w:vAlign w:val="bottom"/>
          </w:tcPr>
          <w:p>
            <w:pPr>
              <w:jc w:val="center"/>
              <w:ind w:right="59"/>
              <w:spacing w:after="0"/>
              <w:rPr>
                <w:sz w:val="20"/>
                <w:szCs w:val="20"/>
                <w:color w:val="auto"/>
              </w:rPr>
            </w:pPr>
            <w:r>
              <w:rPr>
                <w:rFonts w:ascii="Courier New" w:cs="Courier New" w:eastAsia="Courier New" w:hAnsi="Courier New"/>
                <w:sz w:val="16"/>
                <w:szCs w:val="16"/>
                <w:color w:val="auto"/>
                <w:w w:val="97"/>
              </w:rPr>
              <w:t>271</w:t>
            </w:r>
          </w:p>
        </w:tc>
        <w:tc>
          <w:tcPr>
            <w:tcW w:w="16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580"/>
              <w:spacing w:after="0"/>
              <w:rPr>
                <w:sz w:val="20"/>
                <w:szCs w:val="20"/>
                <w:color w:val="auto"/>
              </w:rPr>
            </w:pPr>
            <w:r>
              <w:rPr>
                <w:rFonts w:ascii="Courier New" w:cs="Courier New" w:eastAsia="Courier New" w:hAnsi="Courier New"/>
                <w:sz w:val="16"/>
                <w:szCs w:val="16"/>
                <w:color w:val="auto"/>
              </w:rPr>
              <w:t>586</w:t>
            </w:r>
          </w:p>
        </w:tc>
      </w:tr>
      <w:tr>
        <w:trPr>
          <w:trHeight w:val="186"/>
        </w:trPr>
        <w:tc>
          <w:tcPr>
            <w:tcW w:w="3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December 31, 1999</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4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$ 586</w:t>
            </w:r>
          </w:p>
        </w:tc>
        <w:tc>
          <w:tcPr>
            <w:tcW w:w="1500" w:type="dxa"/>
            <w:vAlign w:val="bottom"/>
          </w:tcPr>
          <w:p>
            <w:pPr>
              <w:jc w:val="center"/>
              <w:ind w:right="59"/>
              <w:spacing w:after="0"/>
              <w:rPr>
                <w:sz w:val="20"/>
                <w:szCs w:val="20"/>
                <w:color w:val="auto"/>
              </w:rPr>
            </w:pPr>
            <w:r>
              <w:rPr>
                <w:rFonts w:ascii="Courier New" w:cs="Courier New" w:eastAsia="Courier New" w:hAnsi="Courier New"/>
                <w:sz w:val="16"/>
                <w:szCs w:val="16"/>
                <w:color w:val="auto"/>
                <w:w w:val="97"/>
              </w:rPr>
              <w:t>320</w:t>
            </w:r>
          </w:p>
        </w:tc>
        <w:tc>
          <w:tcPr>
            <w:tcW w:w="16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580"/>
              <w:spacing w:after="0"/>
              <w:rPr>
                <w:sz w:val="20"/>
                <w:szCs w:val="20"/>
                <w:color w:val="auto"/>
              </w:rPr>
            </w:pPr>
            <w:r>
              <w:rPr>
                <w:rFonts w:ascii="Courier New" w:cs="Courier New" w:eastAsia="Courier New" w:hAnsi="Courier New"/>
                <w:sz w:val="16"/>
                <w:szCs w:val="16"/>
                <w:color w:val="auto"/>
              </w:rPr>
              <w:t>906</w:t>
            </w:r>
          </w:p>
        </w:tc>
      </w:tr>
      <w:tr>
        <w:trPr>
          <w:trHeight w:val="186"/>
        </w:trPr>
        <w:tc>
          <w:tcPr>
            <w:tcW w:w="3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December 31, 2000</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4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$ 906</w:t>
            </w:r>
          </w:p>
        </w:tc>
        <w:tc>
          <w:tcPr>
            <w:tcW w:w="1500" w:type="dxa"/>
            <w:vAlign w:val="bottom"/>
          </w:tcPr>
          <w:p>
            <w:pPr>
              <w:jc w:val="center"/>
              <w:ind w:right="59"/>
              <w:spacing w:after="0"/>
              <w:rPr>
                <w:sz w:val="20"/>
                <w:szCs w:val="20"/>
                <w:color w:val="auto"/>
              </w:rPr>
            </w:pPr>
            <w:r>
              <w:rPr>
                <w:rFonts w:ascii="Courier New" w:cs="Courier New" w:eastAsia="Courier New" w:hAnsi="Courier New"/>
                <w:sz w:val="16"/>
                <w:szCs w:val="16"/>
                <w:color w:val="auto"/>
                <w:w w:val="82"/>
              </w:rPr>
              <w:t>-</w:t>
            </w:r>
          </w:p>
        </w:tc>
        <w:tc>
          <w:tcPr>
            <w:tcW w:w="16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130</w:t>
            </w:r>
          </w:p>
        </w:tc>
        <w:tc>
          <w:tcPr>
            <w:tcW w:w="1340" w:type="dxa"/>
            <w:vAlign w:val="bottom"/>
          </w:tcPr>
          <w:p>
            <w:pPr>
              <w:ind w:left="580"/>
              <w:spacing w:after="0"/>
              <w:rPr>
                <w:sz w:val="20"/>
                <w:szCs w:val="20"/>
                <w:color w:val="auto"/>
              </w:rPr>
            </w:pPr>
            <w:r>
              <w:rPr>
                <w:rFonts w:ascii="Courier New" w:cs="Courier New" w:eastAsia="Courier New" w:hAnsi="Courier New"/>
                <w:sz w:val="16"/>
                <w:szCs w:val="16"/>
                <w:color w:val="auto"/>
              </w:rPr>
              <w:t>776</w:t>
            </w:r>
          </w:p>
        </w:tc>
      </w:tr>
      <w:tr>
        <w:trPr>
          <w:trHeight w:val="186"/>
        </w:trPr>
        <w:tc>
          <w:tcPr>
            <w:tcW w:w="3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r>
      <w:tr>
        <w:trPr>
          <w:trHeight w:val="932"/>
        </w:trPr>
        <w:tc>
          <w:tcPr>
            <w:tcW w:w="3140" w:type="dxa"/>
            <w:vAlign w:val="bottom"/>
          </w:tcPr>
          <w:p>
            <w:pPr>
              <w:spacing w:after="0"/>
              <w:rPr>
                <w:sz w:val="20"/>
                <w:szCs w:val="20"/>
                <w:color w:val="auto"/>
              </w:rPr>
            </w:pPr>
            <w:r>
              <w:rPr>
                <w:rFonts w:ascii="Courier New" w:cs="Courier New" w:eastAsia="Courier New" w:hAnsi="Courier New"/>
                <w:sz w:val="16"/>
                <w:szCs w:val="16"/>
                <w:color w:val="auto"/>
              </w:rPr>
              <w:t>(Continued)</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59"/>
        </w:trPr>
        <w:tc>
          <w:tcPr>
            <w:tcW w:w="31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32</w:t>
            </w: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1235" w:right="1440" w:bottom="1440" w:gutter="0" w:footer="0" w:header="0"/>
        </w:sectPr>
      </w:pPr>
    </w:p>
    <w:bookmarkStart w:id="32" w:name="page33"/>
    <w:bookmarkEnd w:id="32"/>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 w:type="dxa"/>
            <w:vAlign w:val="bottom"/>
          </w:tcPr>
          <w:p>
            <w:pPr>
              <w:spacing w:after="0"/>
              <w:rPr>
                <w:sz w:val="15"/>
                <w:szCs w:val="15"/>
                <w:color w:val="auto"/>
              </w:rPr>
            </w:pPr>
          </w:p>
        </w:tc>
        <w:tc>
          <w:tcPr>
            <w:tcW w:w="5420" w:type="dxa"/>
            <w:vAlign w:val="bottom"/>
          </w:tcPr>
          <w:p>
            <w:pPr>
              <w:ind w:left="1700"/>
              <w:spacing w:after="0"/>
              <w:rPr>
                <w:sz w:val="20"/>
                <w:szCs w:val="20"/>
                <w:color w:val="auto"/>
              </w:rPr>
            </w:pPr>
            <w:r>
              <w:rPr>
                <w:rFonts w:ascii="Courier New" w:cs="Courier New" w:eastAsia="Courier New" w:hAnsi="Courier New"/>
                <w:sz w:val="16"/>
                <w:szCs w:val="16"/>
                <w:color w:val="auto"/>
              </w:rPr>
              <w:t>(In thousands, except per share data)</w:t>
            </w: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73"/>
        </w:trPr>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(5)</w:t>
            </w: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Inventories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3"/>
        </w:trPr>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880" w:type="dxa"/>
            <w:vAlign w:val="bottom"/>
          </w:tcPr>
          <w:p>
            <w:pPr>
              <w:spacing w:after="0"/>
              <w:rPr>
                <w:sz w:val="24"/>
                <w:szCs w:val="24"/>
                <w:color w:val="auto"/>
              </w:rPr>
            </w:pPr>
          </w:p>
        </w:tc>
      </w:tr>
      <w:tr>
        <w:trPr>
          <w:trHeight w:val="186"/>
        </w:trPr>
        <w:tc>
          <w:tcPr>
            <w:tcW w:w="4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2000</w:t>
            </w: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3"/>
              </w:rPr>
              <w:t>1999</w:t>
            </w:r>
          </w:p>
        </w:tc>
      </w:tr>
      <w:tr>
        <w:trPr>
          <w:trHeight w:val="186"/>
        </w:trPr>
        <w:tc>
          <w:tcPr>
            <w:tcW w:w="4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9"/>
        </w:trPr>
        <w:tc>
          <w:tcPr>
            <w:tcW w:w="440" w:type="dxa"/>
            <w:vAlign w:val="bottom"/>
          </w:tcPr>
          <w:p>
            <w:pPr>
              <w:spacing w:after="0"/>
              <w:rPr>
                <w:sz w:val="24"/>
                <w:szCs w:val="24"/>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Raw materials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4,431</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3,131</w:t>
            </w:r>
          </w:p>
        </w:tc>
      </w:tr>
      <w:tr>
        <w:trPr>
          <w:trHeight w:val="186"/>
        </w:trPr>
        <w:tc>
          <w:tcPr>
            <w:tcW w:w="44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Work in process</w:t>
            </w:r>
          </w:p>
        </w:tc>
        <w:tc>
          <w:tcPr>
            <w:tcW w:w="300" w:type="dxa"/>
            <w:vAlign w:val="bottom"/>
          </w:tcPr>
          <w:p>
            <w:pPr>
              <w:spacing w:after="0"/>
              <w:rPr>
                <w:sz w:val="16"/>
                <w:szCs w:val="16"/>
                <w:color w:val="auto"/>
              </w:rPr>
            </w:pPr>
          </w:p>
        </w:tc>
        <w:tc>
          <w:tcPr>
            <w:tcW w:w="18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5,265</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2,585</w:t>
            </w:r>
          </w:p>
        </w:tc>
      </w:tr>
      <w:tr>
        <w:trPr>
          <w:trHeight w:val="186"/>
        </w:trPr>
        <w:tc>
          <w:tcPr>
            <w:tcW w:w="44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Finished goods</w:t>
            </w:r>
          </w:p>
        </w:tc>
        <w:tc>
          <w:tcPr>
            <w:tcW w:w="300" w:type="dxa"/>
            <w:vAlign w:val="bottom"/>
          </w:tcPr>
          <w:p>
            <w:pPr>
              <w:spacing w:after="0"/>
              <w:rPr>
                <w:sz w:val="16"/>
                <w:szCs w:val="16"/>
                <w:color w:val="auto"/>
              </w:rPr>
            </w:pPr>
          </w:p>
        </w:tc>
        <w:tc>
          <w:tcPr>
            <w:tcW w:w="18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14,106</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7,466</w:t>
            </w:r>
          </w:p>
        </w:tc>
      </w:tr>
      <w:tr>
        <w:trPr>
          <w:trHeight w:val="186"/>
        </w:trPr>
        <w:tc>
          <w:tcPr>
            <w:tcW w:w="440" w:type="dxa"/>
            <w:vAlign w:val="bottom"/>
          </w:tcPr>
          <w:p>
            <w:pPr>
              <w:spacing w:after="0"/>
              <w:rPr>
                <w:sz w:val="16"/>
                <w:szCs w:val="16"/>
                <w:color w:val="auto"/>
              </w:rPr>
            </w:pPr>
          </w:p>
        </w:tc>
        <w:tc>
          <w:tcPr>
            <w:tcW w:w="5420" w:type="dxa"/>
            <w:vAlign w:val="bottom"/>
          </w:tcPr>
          <w:p>
            <w:pPr>
              <w:ind w:left="140"/>
              <w:spacing w:after="0"/>
              <w:rPr>
                <w:sz w:val="20"/>
                <w:szCs w:val="20"/>
                <w:color w:val="auto"/>
              </w:rPr>
            </w:pPr>
            <w:r>
              <w:rPr>
                <w:rFonts w:ascii="Courier New" w:cs="Courier New" w:eastAsia="Courier New" w:hAnsi="Courier New"/>
                <w:sz w:val="16"/>
                <w:szCs w:val="16"/>
                <w:color w:val="auto"/>
              </w:rPr>
              <w:t>Less inventory reserve</w:t>
            </w:r>
          </w:p>
        </w:tc>
        <w:tc>
          <w:tcPr>
            <w:tcW w:w="300" w:type="dxa"/>
            <w:vAlign w:val="bottom"/>
          </w:tcPr>
          <w:p>
            <w:pPr>
              <w:spacing w:after="0"/>
              <w:rPr>
                <w:sz w:val="16"/>
                <w:szCs w:val="16"/>
                <w:color w:val="auto"/>
              </w:rPr>
            </w:pPr>
          </w:p>
        </w:tc>
        <w:tc>
          <w:tcPr>
            <w:tcW w:w="18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60</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w:t>
            </w:r>
          </w:p>
        </w:tc>
      </w:tr>
      <w:tr>
        <w:trPr>
          <w:trHeight w:val="186"/>
        </w:trPr>
        <w:tc>
          <w:tcPr>
            <w:tcW w:w="4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23,742</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13,122</w:t>
            </w:r>
          </w:p>
        </w:tc>
      </w:tr>
      <w:tr>
        <w:trPr>
          <w:trHeight w:val="186"/>
        </w:trPr>
        <w:tc>
          <w:tcPr>
            <w:tcW w:w="4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7"/>
              </w:rPr>
              <w:t>(6)</w:t>
            </w: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Property, Plant and Equipment</w:t>
            </w:r>
          </w:p>
        </w:tc>
        <w:tc>
          <w:tcPr>
            <w:tcW w:w="20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73"/>
        </w:trPr>
        <w:tc>
          <w:tcPr>
            <w:tcW w:w="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0" w:type="dxa"/>
            <w:vAlign w:val="bottom"/>
          </w:tcPr>
          <w:p>
            <w:pPr>
              <w:ind w:left="680"/>
              <w:spacing w:after="0"/>
              <w:rPr>
                <w:sz w:val="20"/>
                <w:szCs w:val="20"/>
                <w:color w:val="auto"/>
              </w:rPr>
            </w:pPr>
            <w:r>
              <w:rPr>
                <w:rFonts w:ascii="Courier New" w:cs="Courier New" w:eastAsia="Courier New" w:hAnsi="Courier New"/>
                <w:sz w:val="16"/>
                <w:szCs w:val="16"/>
                <w:color w:val="auto"/>
              </w:rPr>
              <w:t>Estimated</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880" w:type="dxa"/>
            <w:vAlign w:val="bottom"/>
          </w:tcPr>
          <w:p>
            <w:pPr>
              <w:spacing w:after="0"/>
              <w:rPr>
                <w:sz w:val="24"/>
                <w:szCs w:val="24"/>
                <w:color w:val="auto"/>
              </w:rPr>
            </w:pPr>
          </w:p>
        </w:tc>
      </w:tr>
      <w:tr>
        <w:trPr>
          <w:trHeight w:val="186"/>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6"/>
                <w:szCs w:val="16"/>
                <w:color w:val="auto"/>
              </w:rPr>
              <w:t>Useful Life</w:t>
            </w:r>
          </w:p>
        </w:tc>
        <w:tc>
          <w:tcPr>
            <w:tcW w:w="18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2000</w:t>
            </w: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3"/>
              </w:rPr>
              <w:t>1999</w:t>
            </w:r>
          </w:p>
        </w:tc>
      </w:tr>
      <w:tr>
        <w:trPr>
          <w:trHeight w:val="186"/>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9"/>
        </w:trPr>
        <w:tc>
          <w:tcPr>
            <w:tcW w:w="440" w:type="dxa"/>
            <w:vAlign w:val="bottom"/>
          </w:tcPr>
          <w:p>
            <w:pPr>
              <w:spacing w:after="0"/>
              <w:rPr>
                <w:sz w:val="24"/>
                <w:szCs w:val="24"/>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Land</w:t>
            </w:r>
          </w:p>
        </w:tc>
        <w:tc>
          <w:tcPr>
            <w:tcW w:w="2000" w:type="dxa"/>
            <w:vAlign w:val="bottom"/>
          </w:tcPr>
          <w:p>
            <w:pPr>
              <w:ind w:left="184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2,202</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841</w:t>
            </w:r>
          </w:p>
        </w:tc>
      </w:tr>
      <w:tr>
        <w:trPr>
          <w:trHeight w:val="186"/>
        </w:trPr>
        <w:tc>
          <w:tcPr>
            <w:tcW w:w="44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Buildings and improvements</w:t>
            </w:r>
          </w:p>
        </w:tc>
        <w:tc>
          <w:tcPr>
            <w:tcW w:w="2000" w:type="dxa"/>
            <w:vAlign w:val="bottom"/>
          </w:tcPr>
          <w:p>
            <w:pPr>
              <w:ind w:left="580"/>
              <w:spacing w:after="0"/>
              <w:rPr>
                <w:sz w:val="20"/>
                <w:szCs w:val="20"/>
                <w:color w:val="auto"/>
              </w:rPr>
            </w:pPr>
            <w:r>
              <w:rPr>
                <w:rFonts w:ascii="Courier New" w:cs="Courier New" w:eastAsia="Courier New" w:hAnsi="Courier New"/>
                <w:sz w:val="16"/>
                <w:szCs w:val="16"/>
                <w:color w:val="auto"/>
              </w:rPr>
              <w:t>10-25 years</w:t>
            </w: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26,463</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13,436</w:t>
            </w:r>
          </w:p>
        </w:tc>
      </w:tr>
      <w:tr>
        <w:trPr>
          <w:trHeight w:val="186"/>
        </w:trPr>
        <w:tc>
          <w:tcPr>
            <w:tcW w:w="44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Machinery and equipment</w:t>
            </w:r>
          </w:p>
        </w:tc>
        <w:tc>
          <w:tcPr>
            <w:tcW w:w="2000" w:type="dxa"/>
            <w:vAlign w:val="bottom"/>
          </w:tcPr>
          <w:p>
            <w:pPr>
              <w:ind w:left="680"/>
              <w:spacing w:after="0"/>
              <w:rPr>
                <w:sz w:val="20"/>
                <w:szCs w:val="20"/>
                <w:color w:val="auto"/>
              </w:rPr>
            </w:pPr>
            <w:r>
              <w:rPr>
                <w:rFonts w:ascii="Courier New" w:cs="Courier New" w:eastAsia="Courier New" w:hAnsi="Courier New"/>
                <w:sz w:val="16"/>
                <w:szCs w:val="16"/>
                <w:color w:val="auto"/>
              </w:rPr>
              <w:t>3-10 years</w:t>
            </w: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92,810</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58,208</w:t>
            </w:r>
          </w:p>
        </w:tc>
      </w:tr>
      <w:tr>
        <w:trPr>
          <w:trHeight w:val="186"/>
        </w:trPr>
        <w:tc>
          <w:tcPr>
            <w:tcW w:w="44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Construction in process</w:t>
            </w:r>
          </w:p>
        </w:tc>
        <w:tc>
          <w:tcPr>
            <w:tcW w:w="2000" w:type="dxa"/>
            <w:vAlign w:val="bottom"/>
          </w:tcPr>
          <w:p>
            <w:pPr>
              <w:spacing w:after="0"/>
              <w:rPr>
                <w:sz w:val="16"/>
                <w:szCs w:val="16"/>
                <w:color w:val="auto"/>
              </w:rPr>
            </w:pP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6,138</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1,813</w:t>
            </w:r>
          </w:p>
        </w:tc>
      </w:tr>
      <w:tr>
        <w:trPr>
          <w:trHeight w:val="186"/>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127,613</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74,298</w:t>
            </w:r>
          </w:p>
        </w:tc>
      </w:tr>
      <w:tr>
        <w:trPr>
          <w:trHeight w:val="186"/>
        </w:trPr>
        <w:tc>
          <w:tcPr>
            <w:tcW w:w="440" w:type="dxa"/>
            <w:vAlign w:val="bottom"/>
          </w:tcPr>
          <w:p>
            <w:pPr>
              <w:spacing w:after="0"/>
              <w:rPr>
                <w:sz w:val="16"/>
                <w:szCs w:val="16"/>
                <w:color w:val="auto"/>
              </w:rPr>
            </w:pPr>
          </w:p>
        </w:tc>
        <w:tc>
          <w:tcPr>
            <w:tcW w:w="3720" w:type="dxa"/>
            <w:vAlign w:val="bottom"/>
          </w:tcPr>
          <w:p>
            <w:pPr>
              <w:ind w:left="140"/>
              <w:spacing w:after="0"/>
              <w:rPr>
                <w:sz w:val="20"/>
                <w:szCs w:val="20"/>
                <w:color w:val="auto"/>
              </w:rPr>
            </w:pPr>
            <w:r>
              <w:rPr>
                <w:rFonts w:ascii="Courier New" w:cs="Courier New" w:eastAsia="Courier New" w:hAnsi="Courier New"/>
                <w:sz w:val="16"/>
                <w:szCs w:val="16"/>
                <w:color w:val="auto"/>
              </w:rPr>
              <w:t>Less - accumulated depreciation</w:t>
            </w:r>
          </w:p>
        </w:tc>
        <w:tc>
          <w:tcPr>
            <w:tcW w:w="2000" w:type="dxa"/>
            <w:vAlign w:val="bottom"/>
          </w:tcPr>
          <w:p>
            <w:pPr>
              <w:spacing w:after="0"/>
              <w:rPr>
                <w:sz w:val="16"/>
                <w:szCs w:val="16"/>
                <w:color w:val="auto"/>
              </w:rPr>
            </w:pP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35,920</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30,846</w:t>
            </w:r>
          </w:p>
        </w:tc>
      </w:tr>
      <w:tr>
        <w:trPr>
          <w:trHeight w:val="186"/>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6"/>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tcPr>
          <w:p>
            <w:pPr>
              <w:ind w:left="184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91,693</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43,452</w:t>
            </w:r>
          </w:p>
        </w:tc>
      </w:tr>
      <w:tr>
        <w:trPr>
          <w:trHeight w:val="186"/>
        </w:trPr>
        <w:tc>
          <w:tcPr>
            <w:tcW w:w="4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7" w:lineRule="exact"/>
        <w:rPr>
          <w:sz w:val="20"/>
          <w:szCs w:val="20"/>
          <w:color w:val="auto"/>
        </w:rPr>
      </w:pPr>
    </w:p>
    <w:p>
      <w:pPr>
        <w:ind w:left="581" w:hanging="581"/>
        <w:spacing w:after="0"/>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w:t>
      </w:r>
    </w:p>
    <w:p>
      <w:pPr>
        <w:spacing w:after="0" w:line="191" w:lineRule="exact"/>
        <w:rPr>
          <w:rFonts w:ascii="Courier New" w:cs="Courier New" w:eastAsia="Courier New" w:hAnsi="Courier New"/>
          <w:sz w:val="16"/>
          <w:szCs w:val="16"/>
          <w:color w:val="auto"/>
        </w:rPr>
      </w:pPr>
    </w:p>
    <w:p>
      <w:pPr>
        <w:ind w:left="1061" w:hanging="479"/>
        <w:spacing w:after="0"/>
        <w:tabs>
          <w:tab w:leader="none" w:pos="106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Term</w:t>
      </w:r>
    </w:p>
    <w:p>
      <w:pPr>
        <w:spacing w:after="0" w:line="191" w:lineRule="exact"/>
        <w:rPr>
          <w:rFonts w:ascii="Courier New" w:cs="Courier New" w:eastAsia="Courier New" w:hAnsi="Courier New"/>
          <w:sz w:val="16"/>
          <w:szCs w:val="16"/>
          <w:color w:val="auto"/>
        </w:rPr>
      </w:pPr>
    </w:p>
    <w:p>
      <w:pPr>
        <w:ind w:left="106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2000, the Company had outstanding $2,000 of unsecured notes, payable to banks bearing interest at 7.29%. The notes were repaid subsequent to December 31, 2000.</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0"/>
          </w:cols>
          <w:pgMar w:left="239" w:top="1421" w:right="1440" w:bottom="1440" w:gutter="0" w:footer="0" w:header="0"/>
        </w:sectPr>
      </w:pPr>
    </w:p>
    <w:bookmarkStart w:id="33" w:name="page34"/>
    <w:bookmarkEnd w:id="33"/>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1060" w:hanging="479"/>
        <w:spacing w:after="0"/>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Long-term debt at December 31, 2000 and 1999 consists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following:</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Pr>
          <w:p>
            <w:pPr>
              <w:spacing w:after="0"/>
              <w:rPr>
                <w:sz w:val="15"/>
                <w:szCs w:val="15"/>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1999</w:t>
            </w:r>
          </w:p>
        </w:tc>
      </w:tr>
      <w:tr>
        <w:trPr>
          <w:trHeight w:val="186"/>
        </w:trPr>
        <w:tc>
          <w:tcPr>
            <w:tcW w:w="67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740" w:type="dxa"/>
            <w:vAlign w:val="bottom"/>
          </w:tcPr>
          <w:p>
            <w:pPr>
              <w:spacing w:after="0"/>
              <w:rPr>
                <w:sz w:val="20"/>
                <w:szCs w:val="20"/>
                <w:color w:val="auto"/>
              </w:rPr>
            </w:pPr>
            <w:r>
              <w:rPr>
                <w:rFonts w:ascii="Courier New" w:cs="Courier New" w:eastAsia="Courier New" w:hAnsi="Courier New"/>
                <w:sz w:val="16"/>
                <w:szCs w:val="16"/>
                <w:color w:val="auto"/>
              </w:rPr>
              <w:t>Borrowings under a revolving credit facility</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6740" w:type="dxa"/>
            <w:vAlign w:val="bottom"/>
          </w:tcPr>
          <w:p>
            <w:pPr>
              <w:ind w:left="200"/>
              <w:spacing w:after="0"/>
              <w:rPr>
                <w:sz w:val="20"/>
                <w:szCs w:val="20"/>
                <w:color w:val="auto"/>
              </w:rPr>
            </w:pPr>
            <w:r>
              <w:rPr>
                <w:rFonts w:ascii="Courier New" w:cs="Courier New" w:eastAsia="Courier New" w:hAnsi="Courier New"/>
                <w:sz w:val="16"/>
                <w:szCs w:val="16"/>
                <w:color w:val="auto"/>
              </w:rPr>
              <w:t>bearing interest at variable rates (7.29%</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6740" w:type="dxa"/>
            <w:vAlign w:val="bottom"/>
          </w:tcPr>
          <w:p>
            <w:pPr>
              <w:ind w:left="200"/>
              <w:spacing w:after="0"/>
              <w:rPr>
                <w:sz w:val="20"/>
                <w:szCs w:val="20"/>
                <w:color w:val="auto"/>
              </w:rPr>
            </w:pPr>
            <w:r>
              <w:rPr>
                <w:rFonts w:ascii="Courier New" w:cs="Courier New" w:eastAsia="Courier New" w:hAnsi="Courier New"/>
                <w:sz w:val="16"/>
                <w:szCs w:val="16"/>
                <w:color w:val="auto"/>
              </w:rPr>
              <w:t>at December 31, 2000) due July 25, 2003</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$24,698</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17,151</w:t>
            </w:r>
          </w:p>
        </w:tc>
      </w:tr>
      <w:tr>
        <w:trPr>
          <w:trHeight w:val="373"/>
        </w:trPr>
        <w:tc>
          <w:tcPr>
            <w:tcW w:w="6740" w:type="dxa"/>
            <w:vAlign w:val="bottom"/>
          </w:tcPr>
          <w:p>
            <w:pPr>
              <w:spacing w:after="0"/>
              <w:rPr>
                <w:sz w:val="20"/>
                <w:szCs w:val="20"/>
                <w:color w:val="auto"/>
              </w:rPr>
            </w:pPr>
            <w:r>
              <w:rPr>
                <w:rFonts w:ascii="Courier New" w:cs="Courier New" w:eastAsia="Courier New" w:hAnsi="Courier New"/>
                <w:sz w:val="16"/>
                <w:szCs w:val="16"/>
                <w:color w:val="auto"/>
              </w:rPr>
              <w:t>Borrowings under a Euro revolving credit facility bearing interest at</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6740" w:type="dxa"/>
            <w:vAlign w:val="bottom"/>
          </w:tcPr>
          <w:p>
            <w:pPr>
              <w:ind w:left="200"/>
              <w:spacing w:after="0"/>
              <w:rPr>
                <w:sz w:val="20"/>
                <w:szCs w:val="20"/>
                <w:color w:val="auto"/>
              </w:rPr>
            </w:pPr>
            <w:r>
              <w:rPr>
                <w:rFonts w:ascii="Courier New" w:cs="Courier New" w:eastAsia="Courier New" w:hAnsi="Courier New"/>
                <w:sz w:val="16"/>
                <w:szCs w:val="16"/>
                <w:color w:val="auto"/>
              </w:rPr>
              <w:t>variable rates (6.63% at December 31, 2000) due</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6740" w:type="dxa"/>
            <w:vAlign w:val="bottom"/>
          </w:tcPr>
          <w:p>
            <w:pPr>
              <w:ind w:left="200"/>
              <w:spacing w:after="0"/>
              <w:rPr>
                <w:sz w:val="20"/>
                <w:szCs w:val="20"/>
                <w:color w:val="auto"/>
              </w:rPr>
            </w:pPr>
            <w:r>
              <w:rPr>
                <w:rFonts w:ascii="Courier New" w:cs="Courier New" w:eastAsia="Courier New" w:hAnsi="Courier New"/>
                <w:sz w:val="16"/>
                <w:szCs w:val="16"/>
                <w:color w:val="auto"/>
              </w:rPr>
              <w:t>July 15, 2006</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942</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3"/>
              </w:rPr>
              <w:t>--</w:t>
            </w:r>
          </w:p>
        </w:tc>
      </w:tr>
      <w:tr>
        <w:trPr>
          <w:trHeight w:val="373"/>
        </w:trPr>
        <w:tc>
          <w:tcPr>
            <w:tcW w:w="6740" w:type="dxa"/>
            <w:vAlign w:val="bottom"/>
          </w:tcPr>
          <w:p>
            <w:pPr>
              <w:spacing w:after="0"/>
              <w:rPr>
                <w:sz w:val="20"/>
                <w:szCs w:val="20"/>
                <w:color w:val="auto"/>
              </w:rPr>
            </w:pPr>
            <w:r>
              <w:rPr>
                <w:rFonts w:ascii="Courier New" w:cs="Courier New" w:eastAsia="Courier New" w:hAnsi="Courier New"/>
                <w:sz w:val="16"/>
                <w:szCs w:val="16"/>
                <w:color w:val="auto"/>
              </w:rPr>
              <w:t>Euro term loans bearing interest at variable rates (6.63% at December</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6740" w:type="dxa"/>
            <w:vAlign w:val="bottom"/>
          </w:tcPr>
          <w:p>
            <w:pPr>
              <w:ind w:left="200"/>
              <w:spacing w:after="0"/>
              <w:rPr>
                <w:sz w:val="20"/>
                <w:szCs w:val="20"/>
                <w:color w:val="auto"/>
              </w:rPr>
            </w:pPr>
            <w:r>
              <w:rPr>
                <w:rFonts w:ascii="Courier New" w:cs="Courier New" w:eastAsia="Courier New" w:hAnsi="Courier New"/>
                <w:sz w:val="16"/>
                <w:szCs w:val="16"/>
                <w:color w:val="auto"/>
              </w:rPr>
              <w:t>31, 2000) payable in quarterly installments of $1,885 beginning</w:t>
            </w: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6740" w:type="dxa"/>
            <w:vAlign w:val="bottom"/>
          </w:tcPr>
          <w:p>
            <w:pPr>
              <w:ind w:left="200"/>
              <w:spacing w:after="0"/>
              <w:rPr>
                <w:sz w:val="20"/>
                <w:szCs w:val="20"/>
                <w:color w:val="auto"/>
              </w:rPr>
            </w:pPr>
            <w:r>
              <w:rPr>
                <w:rFonts w:ascii="Courier New" w:cs="Courier New" w:eastAsia="Courier New" w:hAnsi="Courier New"/>
                <w:sz w:val="16"/>
                <w:szCs w:val="16"/>
                <w:color w:val="auto"/>
              </w:rPr>
              <w:t>April 15, 2002 through July 15, 2006</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24,875</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3"/>
              </w:rPr>
              <w:t>--</w:t>
            </w:r>
          </w:p>
        </w:tc>
      </w:tr>
      <w:tr>
        <w:trPr>
          <w:trHeight w:val="186"/>
        </w:trPr>
        <w:tc>
          <w:tcPr>
            <w:tcW w:w="674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740" w:type="dxa"/>
            <w:vAlign w:val="bottom"/>
          </w:tcPr>
          <w:p>
            <w:pPr>
              <w:ind w:left="480"/>
              <w:spacing w:after="0"/>
              <w:rPr>
                <w:sz w:val="20"/>
                <w:szCs w:val="20"/>
                <w:color w:val="auto"/>
              </w:rPr>
            </w:pPr>
            <w:r>
              <w:rPr>
                <w:rFonts w:ascii="Courier New" w:cs="Courier New" w:eastAsia="Courier New" w:hAnsi="Courier New"/>
                <w:sz w:val="16"/>
                <w:szCs w:val="16"/>
                <w:color w:val="auto"/>
              </w:rPr>
              <w:t>Total long-term debt</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50,515</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17,151</w:t>
            </w:r>
          </w:p>
        </w:tc>
      </w:tr>
      <w:tr>
        <w:trPr>
          <w:trHeight w:val="373"/>
        </w:trPr>
        <w:tc>
          <w:tcPr>
            <w:tcW w:w="6740" w:type="dxa"/>
            <w:vAlign w:val="bottom"/>
          </w:tcPr>
          <w:p>
            <w:pPr>
              <w:ind w:left="480"/>
              <w:spacing w:after="0"/>
              <w:rPr>
                <w:sz w:val="20"/>
                <w:szCs w:val="20"/>
                <w:color w:val="auto"/>
              </w:rPr>
            </w:pPr>
            <w:r>
              <w:rPr>
                <w:rFonts w:ascii="Courier New" w:cs="Courier New" w:eastAsia="Courier New" w:hAnsi="Courier New"/>
                <w:sz w:val="16"/>
                <w:szCs w:val="16"/>
                <w:color w:val="auto"/>
              </w:rPr>
              <w:t>Less current installments</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3"/>
              </w:rPr>
              <w:t>--</w:t>
            </w:r>
          </w:p>
        </w:tc>
      </w:tr>
      <w:tr>
        <w:trPr>
          <w:trHeight w:val="186"/>
        </w:trPr>
        <w:tc>
          <w:tcPr>
            <w:tcW w:w="674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740" w:type="dxa"/>
            <w:vAlign w:val="bottom"/>
          </w:tcPr>
          <w:p>
            <w:pPr>
              <w:ind w:left="480"/>
              <w:spacing w:after="0"/>
              <w:rPr>
                <w:sz w:val="20"/>
                <w:szCs w:val="20"/>
                <w:color w:val="auto"/>
              </w:rPr>
            </w:pPr>
            <w:r>
              <w:rPr>
                <w:rFonts w:ascii="Courier New" w:cs="Courier New" w:eastAsia="Courier New" w:hAnsi="Courier New"/>
                <w:sz w:val="16"/>
                <w:szCs w:val="16"/>
                <w:color w:val="auto"/>
              </w:rPr>
              <w:t>Long-term debt, excluding current installments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$50,515</w:t>
            </w:r>
          </w:p>
        </w:tc>
        <w:tc>
          <w:tcPr>
            <w:tcW w:w="8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17,151</w:t>
            </w:r>
          </w:p>
        </w:tc>
      </w:tr>
      <w:tr>
        <w:trPr>
          <w:trHeight w:val="186"/>
        </w:trPr>
        <w:tc>
          <w:tcPr>
            <w:tcW w:w="674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1060" w:right="2459"/>
        <w:spacing w:after="0" w:line="246" w:lineRule="auto"/>
        <w:rPr>
          <w:sz w:val="20"/>
          <w:szCs w:val="20"/>
          <w:color w:val="auto"/>
        </w:rPr>
      </w:pPr>
      <w:r>
        <w:rPr>
          <w:rFonts w:ascii="Courier New" w:cs="Courier New" w:eastAsia="Courier New" w:hAnsi="Courier New"/>
          <w:sz w:val="16"/>
          <w:szCs w:val="16"/>
          <w:color w:val="auto"/>
        </w:rPr>
        <w:t>The Company has a revolving line of credit with AmSouth Bank under which the Company can borrow up to $25,000. Outstanding borrowings bear interest at the rate of LIBOR plus 0.65% or the Federal Funds effective rate plus 1.5%, at the Company's option. The revolving line of credit is unsecured and all outstanding amounts are due July 25, 2003. In February 2001, the Company extended and restated the revolving credit facility to increase the facility to $50,000. The Company borrowed $23,000 under the facility to finance the acquisition of Delta Rubber Company (see note 17). Amounts outstanding under the amended revolving credit facility are unsecured and bear interest at LIBOR plus an applicable margin of between 0.65% and 2.15% based upon financial ratios. The line of credit agreement contains restrictive covenants, which specify, among other things, restrictions on the incurrence of indebtedness and the maintenance of certain working capital requirements. The Company was in compliance with such covenants at December 31, 2000.</w:t>
      </w:r>
    </w:p>
    <w:p>
      <w:pPr>
        <w:spacing w:after="0" w:line="195" w:lineRule="exact"/>
        <w:rPr>
          <w:sz w:val="20"/>
          <w:szCs w:val="20"/>
          <w:color w:val="auto"/>
        </w:rPr>
      </w:pPr>
    </w:p>
    <w:p>
      <w:pPr>
        <w:ind w:left="6680"/>
        <w:spacing w:after="0"/>
        <w:rPr>
          <w:sz w:val="20"/>
          <w:szCs w:val="20"/>
          <w:color w:val="auto"/>
        </w:rPr>
      </w:pPr>
      <w:r>
        <w:rPr>
          <w:rFonts w:ascii="Courier New" w:cs="Courier New" w:eastAsia="Courier New" w:hAnsi="Courier New"/>
          <w:sz w:val="16"/>
          <w:szCs w:val="16"/>
          <w:color w:val="auto"/>
        </w:rPr>
        <w:t>(Continued)</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1049" w:right="1440" w:bottom="1440" w:gutter="0" w:footer="0" w:header="0"/>
        </w:sectPr>
      </w:pPr>
    </w:p>
    <w:bookmarkStart w:id="34" w:name="page35"/>
    <w:bookmarkEnd w:id="34"/>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In connection with the Euroball transaction (see note 2) the Company</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and NN Euroball ApS, entered into a Facility Agreement with a bank to</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provide up to Euro 36,000 ($33,941) in Term Loans and Euro 5,000</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($4,714) in revolving credit loans. The Company borrowed Euro 30,500</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($28,755) under the term loan facility and Euro 1,000 ($943) under</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the revolving credit facility. Amounts outstanding under the Facility</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Agreement are secured by inventory and accounts receivable and bear</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interest at EURIBOR plus an applicable margin between 1.75% and 2.25%</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based upon financial ratios. The shareholders of NN Euroball ApS</w:t>
      </w:r>
    </w:p>
    <w:p>
      <w:pPr>
        <w:spacing w:after="0" w:line="5" w:lineRule="exact"/>
        <w:rPr>
          <w:sz w:val="20"/>
          <w:szCs w:val="20"/>
          <w:color w:val="auto"/>
        </w:rPr>
      </w:pPr>
    </w:p>
    <w:p>
      <w:pPr>
        <w:ind w:left="1061" w:right="2659"/>
        <w:spacing w:after="0" w:line="247" w:lineRule="auto"/>
        <w:rPr>
          <w:sz w:val="20"/>
          <w:szCs w:val="20"/>
          <w:color w:val="auto"/>
        </w:rPr>
      </w:pPr>
      <w:r>
        <w:rPr>
          <w:rFonts w:ascii="Courier New" w:cs="Courier New" w:eastAsia="Courier New" w:hAnsi="Courier New"/>
          <w:sz w:val="16"/>
          <w:szCs w:val="16"/>
          <w:color w:val="auto"/>
        </w:rPr>
        <w:t>have provided guarantees for the Facility Agreement. The Facility Agreement contains restrictive covenants, which specify, among other things, restrictions on the incurrence of indebtedness and the maintenance of certain financial ratios. The Company was in compliance with such covenants at December 31, 2000.</w:t>
      </w:r>
    </w:p>
    <w:p>
      <w:pPr>
        <w:spacing w:after="0" w:line="185" w:lineRule="exact"/>
        <w:rPr>
          <w:sz w:val="20"/>
          <w:szCs w:val="20"/>
          <w:color w:val="auto"/>
        </w:rPr>
      </w:pPr>
    </w:p>
    <w:p>
      <w:pPr>
        <w:ind w:left="1061" w:right="2459"/>
        <w:spacing w:after="0" w:line="248" w:lineRule="auto"/>
        <w:rPr>
          <w:sz w:val="20"/>
          <w:szCs w:val="20"/>
          <w:color w:val="auto"/>
        </w:rPr>
      </w:pPr>
      <w:r>
        <w:rPr>
          <w:rFonts w:ascii="Courier New" w:cs="Courier New" w:eastAsia="Courier New" w:hAnsi="Courier New"/>
          <w:sz w:val="16"/>
          <w:szCs w:val="16"/>
          <w:color w:val="auto"/>
        </w:rPr>
        <w:t>The aggregate maturities of long-term debt for each of the five years subsequent to December 31, 2000 are as follows:</w:t>
      </w:r>
    </w:p>
    <w:p>
      <w:pPr>
        <w:spacing w:after="0" w:line="184" w:lineRule="exact"/>
        <w:rPr>
          <w:sz w:val="20"/>
          <w:szCs w:val="20"/>
          <w:color w:val="auto"/>
        </w:rPr>
      </w:pPr>
    </w:p>
    <w:tbl>
      <w:tblPr>
        <w:tblLayout w:type="fixed"/>
        <w:tblInd w:w="1061" w:type="dxa"/>
        <w:tblCellMar>
          <w:top w:w="0" w:type="dxa"/>
          <w:left w:w="0" w:type="dxa"/>
          <w:bottom w:w="0" w:type="dxa"/>
          <w:right w:w="0" w:type="dxa"/>
        </w:tblCellMar>
      </w:tblPr>
      <w:tr>
        <w:trPr>
          <w:trHeight w:val="183"/>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4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5,655</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4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32,237</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4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7,539</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14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4,142</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14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942</w:t>
            </w:r>
          </w:p>
        </w:tc>
      </w:tr>
      <w:tr>
        <w:trPr>
          <w:trHeight w:val="186"/>
        </w:trPr>
        <w:tc>
          <w:tcPr>
            <w:tcW w:w="2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50,515</w:t>
            </w:r>
          </w:p>
        </w:tc>
      </w:tr>
      <w:tr>
        <w:trPr>
          <w:trHeight w:val="186"/>
        </w:trPr>
        <w:tc>
          <w:tcPr>
            <w:tcW w:w="2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right="3239" w:firstLine="581"/>
        <w:spacing w:after="0" w:line="248" w:lineRule="auto"/>
        <w:rPr>
          <w:sz w:val="20"/>
          <w:szCs w:val="20"/>
          <w:color w:val="auto"/>
        </w:rPr>
      </w:pPr>
      <w:r>
        <w:rPr>
          <w:rFonts w:ascii="Courier New" w:cs="Courier New" w:eastAsia="Courier New" w:hAnsi="Courier New"/>
          <w:sz w:val="16"/>
          <w:szCs w:val="16"/>
          <w:color w:val="auto"/>
        </w:rPr>
        <w:t>Interest paid during 2000, 1999 and 1998 was $1,917, $519 and $64, respectively.</w:t>
      </w:r>
    </w:p>
    <w:p>
      <w:pPr>
        <w:spacing w:after="0" w:line="184" w:lineRule="exact"/>
        <w:rPr>
          <w:sz w:val="20"/>
          <w:szCs w:val="20"/>
          <w:color w:val="auto"/>
        </w:rPr>
      </w:pPr>
    </w:p>
    <w:p>
      <w:pPr>
        <w:ind w:left="581" w:hanging="581"/>
        <w:spacing w:after="0"/>
        <w:tabs>
          <w:tab w:leader="none" w:pos="5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w:t>
      </w:r>
    </w:p>
    <w:p>
      <w:pPr>
        <w:spacing w:after="0" w:line="191" w:lineRule="exact"/>
        <w:rPr>
          <w:rFonts w:ascii="Courier New" w:cs="Courier New" w:eastAsia="Courier New" w:hAnsi="Courier New"/>
          <w:sz w:val="16"/>
          <w:szCs w:val="16"/>
          <w:color w:val="auto"/>
        </w:rPr>
      </w:pPr>
    </w:p>
    <w:p>
      <w:pPr>
        <w:ind w:left="5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two defined contribution 401(k) profit sharing plans covering substantially all employees of the ball and roller and plastics segments. The plan in place for the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dollar for dollar matching contribution up to $500 per participant. The employer matching contribution is fully vested at all times. The contributions by the Company for the ball and roller division plan were $106, $120 and $141 in 2000, 1999 and 1998.</w:t>
      </w:r>
    </w:p>
    <w:p>
      <w:pPr>
        <w:spacing w:after="0" w:line="192" w:lineRule="exact"/>
        <w:rPr>
          <w:rFonts w:ascii="Courier New" w:cs="Courier New" w:eastAsia="Courier New" w:hAnsi="Courier New"/>
          <w:sz w:val="16"/>
          <w:szCs w:val="16"/>
          <w:color w:val="auto"/>
        </w:rPr>
      </w:pPr>
    </w:p>
    <w:p>
      <w:pPr>
        <w:ind w:left="5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in place for the plastics segment covers all employees who have completed six months of service and have elected to participate in the plan. A participant may elect to contribute from 1% to 15% of his or her compensation to the plan, subject to a maximum deferral set forth in the Internal Revenue Code. The Company matches twenty-five percent of the first six percent of each employee's contribution to the plan and provides for a discretionary contribution at the end of each plan year. The contributions by the Company for the plastics segment plan since acquisition in July, 1999 were $70 in 2000 and $196 in 1999.</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0"/>
          </w:cols>
          <w:pgMar w:left="239" w:top="1049" w:right="1440" w:bottom="1440" w:gutter="0" w:footer="0" w:header="0"/>
        </w:sectPr>
      </w:pPr>
    </w:p>
    <w:bookmarkStart w:id="35" w:name="page36"/>
    <w:bookmarkEnd w:id="35"/>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1" w:right="2659"/>
        <w:spacing w:after="0" w:line="247" w:lineRule="auto"/>
        <w:rPr>
          <w:sz w:val="20"/>
          <w:szCs w:val="20"/>
          <w:color w:val="auto"/>
        </w:rPr>
      </w:pPr>
      <w:r>
        <w:rPr>
          <w:rFonts w:ascii="Courier New" w:cs="Courier New" w:eastAsia="Courier New" w:hAnsi="Courier New"/>
          <w:sz w:val="16"/>
          <w:szCs w:val="16"/>
          <w:color w:val="auto"/>
        </w:rPr>
        <w:t>The Company has a defined benefit pension plan covering its Eltman, Germany facility employees (a Euroball division). The benefits are based on the expected years of service including the rate of compensation increase. The plan is unfunded.</w:t>
      </w:r>
    </w:p>
    <w:p>
      <w:pPr>
        <w:spacing w:after="0" w:line="186" w:lineRule="exact"/>
        <w:rPr>
          <w:sz w:val="20"/>
          <w:szCs w:val="20"/>
          <w:color w:val="auto"/>
        </w:rPr>
      </w:pPr>
    </w:p>
    <w:p>
      <w:pPr>
        <w:ind w:left="781" w:right="3439"/>
        <w:spacing w:after="0" w:line="248" w:lineRule="auto"/>
        <w:rPr>
          <w:sz w:val="20"/>
          <w:szCs w:val="20"/>
          <w:color w:val="auto"/>
        </w:rPr>
      </w:pPr>
      <w:r>
        <w:rPr>
          <w:rFonts w:ascii="Courier New" w:cs="Courier New" w:eastAsia="Courier New" w:hAnsi="Courier New"/>
          <w:sz w:val="16"/>
          <w:szCs w:val="16"/>
          <w:color w:val="auto"/>
        </w:rPr>
        <w:t>Following is a summary of the changes in the projected benefit obligation for the defined benefit pension plan during 2000:</w:t>
      </w:r>
    </w:p>
    <w:p>
      <w:pPr>
        <w:spacing w:after="0" w:line="37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5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spacing w:after="0"/>
              <w:rPr>
                <w:sz w:val="20"/>
                <w:szCs w:val="20"/>
                <w:color w:val="auto"/>
              </w:rPr>
            </w:pPr>
            <w:r>
              <w:rPr>
                <w:rFonts w:ascii="Courier New" w:cs="Courier New" w:eastAsia="Courier New" w:hAnsi="Courier New"/>
                <w:sz w:val="16"/>
                <w:szCs w:val="16"/>
                <w:color w:val="auto"/>
              </w:rPr>
              <w:t>Change in projected benefit obligation:</w:t>
            </w: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Benefit obligation at July 1, 2000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1,886</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Service cost</w:t>
            </w:r>
          </w:p>
        </w:tc>
        <w:tc>
          <w:tcPr>
            <w:tcW w:w="6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Interest cost</w:t>
            </w:r>
          </w:p>
        </w:tc>
        <w:tc>
          <w:tcPr>
            <w:tcW w:w="6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62</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Actuarial loss</w:t>
            </w:r>
          </w:p>
        </w:tc>
        <w:tc>
          <w:tcPr>
            <w:tcW w:w="6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w:t>
            </w:r>
          </w:p>
        </w:tc>
      </w:tr>
      <w:tr>
        <w:trPr>
          <w:trHeight w:val="186"/>
        </w:trPr>
        <w:tc>
          <w:tcPr>
            <w:tcW w:w="5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Benefit obligation at end of the year</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2,133</w:t>
            </w:r>
          </w:p>
        </w:tc>
      </w:tr>
      <w:tr>
        <w:trPr>
          <w:trHeight w:val="186"/>
        </w:trPr>
        <w:tc>
          <w:tcPr>
            <w:tcW w:w="5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5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5240" w:type="dxa"/>
            <w:vAlign w:val="bottom"/>
          </w:tcPr>
          <w:p>
            <w:pPr>
              <w:ind w:left="100"/>
              <w:spacing w:after="0"/>
              <w:rPr>
                <w:sz w:val="20"/>
                <w:szCs w:val="20"/>
                <w:color w:val="auto"/>
              </w:rPr>
            </w:pPr>
            <w:r>
              <w:rPr>
                <w:rFonts w:ascii="Courier New" w:cs="Courier New" w:eastAsia="Courier New" w:hAnsi="Courier New"/>
                <w:sz w:val="16"/>
                <w:szCs w:val="16"/>
                <w:color w:val="auto"/>
              </w:rPr>
              <w:t>Weighted-average assumptions as of December 31:</w:t>
            </w: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Discount rate</w:t>
            </w:r>
          </w:p>
        </w:tc>
        <w:tc>
          <w:tcPr>
            <w:tcW w:w="68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6.0%</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Rate of compensation increase</w:t>
            </w:r>
          </w:p>
        </w:tc>
        <w:tc>
          <w:tcPr>
            <w:tcW w:w="68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w:t>
            </w:r>
          </w:p>
        </w:tc>
      </w:tr>
      <w:tr>
        <w:trPr>
          <w:trHeight w:val="559"/>
        </w:trPr>
        <w:tc>
          <w:tcPr>
            <w:tcW w:w="5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5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Components of net periodic benefit cost:</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Service cost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Interest cost on projected benefit obligation</w:t>
            </w:r>
          </w:p>
        </w:tc>
        <w:tc>
          <w:tcPr>
            <w:tcW w:w="6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62</w:t>
            </w:r>
          </w:p>
        </w:tc>
      </w:tr>
      <w:tr>
        <w:trPr>
          <w:trHeight w:val="186"/>
        </w:trPr>
        <w:tc>
          <w:tcPr>
            <w:tcW w:w="5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40" w:type="dxa"/>
            <w:vAlign w:val="bottom"/>
          </w:tcPr>
          <w:p>
            <w:pPr>
              <w:ind w:left="200"/>
              <w:spacing w:after="0"/>
              <w:rPr>
                <w:sz w:val="20"/>
                <w:szCs w:val="20"/>
                <w:color w:val="auto"/>
              </w:rPr>
            </w:pPr>
            <w:r>
              <w:rPr>
                <w:rFonts w:ascii="Courier New" w:cs="Courier New" w:eastAsia="Courier New" w:hAnsi="Courier New"/>
                <w:sz w:val="16"/>
                <w:szCs w:val="16"/>
                <w:color w:val="auto"/>
              </w:rPr>
              <w:t>Net periodic pension cost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95</w:t>
            </w:r>
          </w:p>
        </w:tc>
      </w:tr>
      <w:tr>
        <w:trPr>
          <w:trHeight w:val="186"/>
        </w:trPr>
        <w:tc>
          <w:tcPr>
            <w:tcW w:w="5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581" w:hanging="581"/>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Incentive Plan</w:t>
      </w:r>
    </w:p>
    <w:p>
      <w:pPr>
        <w:spacing w:after="0" w:line="191" w:lineRule="exact"/>
        <w:rPr>
          <w:rFonts w:ascii="Courier New" w:cs="Courier New" w:eastAsia="Courier New" w:hAnsi="Courier New"/>
          <w:sz w:val="16"/>
          <w:szCs w:val="16"/>
          <w:color w:val="auto"/>
        </w:rPr>
      </w:pPr>
    </w:p>
    <w:p>
      <w:pPr>
        <w:ind w:left="5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March 2, 1994, the Company adopted the NN, Inc. Stock Incentive Plan under which 1,125 shares of the Common Stock were reserved for issuance to officers and key employees of the Company. During 1999, the plan was amended to increase the number of shares available for issuance pursuant to awards made under the plan from 1,125 to 1,625.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193"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0"/>
          </w:cols>
          <w:pgMar w:left="239" w:top="1049" w:right="1440" w:bottom="1440" w:gutter="0" w:footer="0" w:header="0"/>
        </w:sectPr>
      </w:pPr>
    </w:p>
    <w:bookmarkStart w:id="36" w:name="page37"/>
    <w:bookmarkEnd w:id="36"/>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A summary of the status of the Company's stock option plan as described above as of December 31, 2000, 1999 and 1998, and changes during the years ending on those dates is presented below:</w:t>
      </w:r>
    </w:p>
    <w:p>
      <w:pPr>
        <w:spacing w:after="0" w:line="186" w:lineRule="exact"/>
        <w:rPr>
          <w:sz w:val="20"/>
          <w:szCs w:val="20"/>
          <w:color w:val="auto"/>
        </w:rPr>
      </w:pPr>
    </w:p>
    <w:p>
      <w:pPr>
        <w:ind w:left="4060"/>
        <w:spacing w:after="0"/>
        <w:tabs>
          <w:tab w:leader="none" w:pos="6280" w:val="left"/>
          <w:tab w:leader="none" w:pos="860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360"/>
        <w:spacing w:after="0"/>
        <w:tabs>
          <w:tab w:leader="none" w:pos="6560" w:val="left"/>
          <w:tab w:leader="none" w:pos="8900" w:val="left"/>
        </w:tabs>
        <w:rPr>
          <w:sz w:val="20"/>
          <w:szCs w:val="20"/>
          <w:color w:val="auto"/>
        </w:rPr>
      </w:pPr>
      <w:r>
        <w:rPr>
          <w:rFonts w:ascii="Courier New" w:cs="Courier New" w:eastAsia="Courier New" w:hAnsi="Courier New"/>
          <w:sz w:val="16"/>
          <w:szCs w:val="16"/>
          <w:color w:val="auto"/>
        </w:rPr>
        <w:t>Weighted-</w:t>
      </w:r>
      <w:r>
        <w:rPr>
          <w:sz w:val="20"/>
          <w:szCs w:val="20"/>
          <w:color w:val="auto"/>
        </w:rPr>
        <w:tab/>
      </w:r>
      <w:r>
        <w:rPr>
          <w:rFonts w:ascii="Courier New" w:cs="Courier New" w:eastAsia="Courier New" w:hAnsi="Courier New"/>
          <w:sz w:val="16"/>
          <w:szCs w:val="16"/>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5" w:lineRule="exact"/>
        <w:rPr>
          <w:sz w:val="20"/>
          <w:szCs w:val="20"/>
          <w:color w:val="auto"/>
        </w:rPr>
      </w:pPr>
    </w:p>
    <w:p>
      <w:pPr>
        <w:ind w:left="4460"/>
        <w:spacing w:after="0"/>
        <w:tabs>
          <w:tab w:leader="none" w:pos="6660" w:val="left"/>
          <w:tab w:leader="none" w:pos="9000" w:val="left"/>
        </w:tabs>
        <w:rPr>
          <w:sz w:val="20"/>
          <w:szCs w:val="20"/>
          <w:color w:val="auto"/>
        </w:rPr>
      </w:pPr>
      <w:r>
        <w:rPr>
          <w:rFonts w:ascii="Courier New" w:cs="Courier New" w:eastAsia="Courier New" w:hAnsi="Courier New"/>
          <w:sz w:val="16"/>
          <w:szCs w:val="16"/>
          <w:color w:val="auto"/>
        </w:rPr>
        <w:t>average</w:t>
      </w:r>
      <w:r>
        <w:rPr>
          <w:sz w:val="20"/>
          <w:szCs w:val="20"/>
          <w:color w:val="auto"/>
        </w:rPr>
        <w:tab/>
      </w:r>
      <w:r>
        <w:rPr>
          <w:rFonts w:ascii="Courier New" w:cs="Courier New" w:eastAsia="Courier New" w:hAnsi="Courier New"/>
          <w:sz w:val="16"/>
          <w:szCs w:val="16"/>
          <w:color w:val="auto"/>
        </w:rPr>
        <w:t>average</w:t>
      </w:r>
      <w:r>
        <w:rPr>
          <w:sz w:val="20"/>
          <w:szCs w:val="20"/>
          <w:color w:val="auto"/>
        </w:rPr>
        <w:tab/>
      </w:r>
      <w:r>
        <w:rPr>
          <w:rFonts w:ascii="Courier New" w:cs="Courier New" w:eastAsia="Courier New" w:hAnsi="Courier New"/>
          <w:sz w:val="15"/>
          <w:szCs w:val="15"/>
          <w:color w:val="auto"/>
        </w:rPr>
        <w:t>average</w:t>
      </w:r>
    </w:p>
    <w:p>
      <w:pPr>
        <w:spacing w:after="0" w:line="5" w:lineRule="exact"/>
        <w:rPr>
          <w:sz w:val="20"/>
          <w:szCs w:val="20"/>
          <w:color w:val="auto"/>
        </w:rPr>
      </w:pPr>
    </w:p>
    <w:p>
      <w:pPr>
        <w:ind w:left="4360"/>
        <w:spacing w:after="0"/>
        <w:tabs>
          <w:tab w:leader="none" w:pos="6560" w:val="left"/>
          <w:tab w:leader="none" w:pos="8900" w:val="left"/>
        </w:tabs>
        <w:rPr>
          <w:sz w:val="20"/>
          <w:szCs w:val="20"/>
          <w:color w:val="auto"/>
        </w:rPr>
      </w:pP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5"/>
          <w:szCs w:val="15"/>
          <w:color w:val="auto"/>
        </w:rPr>
        <w:t>exercise</w:t>
      </w:r>
    </w:p>
    <w:p>
      <w:pPr>
        <w:spacing w:after="0" w:line="5" w:lineRule="exact"/>
        <w:rPr>
          <w:sz w:val="20"/>
          <w:szCs w:val="20"/>
          <w:color w:val="auto"/>
        </w:rPr>
      </w:pPr>
    </w:p>
    <w:p>
      <w:pPr>
        <w:ind w:left="3300"/>
        <w:spacing w:after="0"/>
        <w:tabs>
          <w:tab w:leader="none" w:pos="4540" w:val="left"/>
          <w:tab w:leader="none" w:pos="5600" w:val="left"/>
          <w:tab w:leader="none" w:pos="6760" w:val="left"/>
          <w:tab w:leader="none" w:pos="7820" w:val="left"/>
          <w:tab w:leader="none" w:pos="90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price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 ---------- ---------- ------------- ---------- ------------</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at beginning of</w:t>
      </w:r>
    </w:p>
    <w:p>
      <w:pPr>
        <w:sectPr>
          <w:pgSz w:w="11900" w:h="16838" w:orient="portrait"/>
          <w:cols w:equalWidth="0" w:num="1">
            <w:col w:w="10219"/>
          </w:cols>
          <w:pgMar w:left="240" w:top="1421"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8.53</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Courier New" w:cs="Courier New" w:eastAsia="Courier New" w:hAnsi="Courier New"/>
          <w:sz w:val="16"/>
          <w:szCs w:val="16"/>
          <w:color w:val="auto"/>
        </w:rPr>
        <w:t>548</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11.53</w:t>
      </w:r>
    </w:p>
    <w:p>
      <w:pPr>
        <w:spacing w:after="0" w:line="20" w:lineRule="exact"/>
        <w:rPr>
          <w:sz w:val="20"/>
          <w:szCs w:val="20"/>
          <w:color w:val="auto"/>
        </w:rPr>
      </w:pPr>
      <w:r>
        <w:rPr>
          <w:sz w:val="20"/>
          <w:szCs w:val="20"/>
          <w:color w:val="auto"/>
        </w:rPr>
        <w:br w:type="column"/>
      </w:r>
    </w:p>
    <w:p>
      <w:pPr>
        <w:spacing w:after="0"/>
        <w:tabs>
          <w:tab w:leader="none" w:pos="560" w:val="left"/>
        </w:tabs>
        <w:rPr>
          <w:sz w:val="20"/>
          <w:szCs w:val="20"/>
          <w:color w:val="auto"/>
        </w:rPr>
      </w:pPr>
      <w:r>
        <w:rPr>
          <w:rFonts w:ascii="Courier New" w:cs="Courier New" w:eastAsia="Courier New" w:hAnsi="Courier New"/>
          <w:sz w:val="16"/>
          <w:szCs w:val="16"/>
          <w:color w:val="auto"/>
        </w:rPr>
        <w:t>461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11.86</w:t>
      </w:r>
    </w:p>
    <w:p>
      <w:pPr>
        <w:spacing w:after="0" w:line="191" w:lineRule="exact"/>
        <w:rPr>
          <w:sz w:val="20"/>
          <w:szCs w:val="20"/>
          <w:color w:val="auto"/>
        </w:rPr>
      </w:pPr>
    </w:p>
    <w:p>
      <w:pPr>
        <w:sectPr>
          <w:pgSz w:w="11900" w:h="16838" w:orient="portrait"/>
          <w:cols w:equalWidth="0" w:num="8">
            <w:col w:w="2860" w:space="720"/>
            <w:col w:w="480" w:space="300"/>
            <w:col w:w="100" w:space="380"/>
            <w:col w:w="440" w:space="720"/>
            <w:col w:w="580" w:space="300"/>
            <w:col w:w="640" w:space="720"/>
            <w:col w:w="680" w:space="380"/>
            <w:col w:w="919"/>
          </w:cols>
          <w:pgMar w:left="240" w:top="142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Granted</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6"/>
          <w:szCs w:val="16"/>
          <w:color w:val="auto"/>
        </w:rPr>
        <w:t>555</w:t>
      </w:r>
      <w:r>
        <w:rPr>
          <w:sz w:val="20"/>
          <w:szCs w:val="20"/>
          <w:color w:val="auto"/>
        </w:rPr>
        <w:tab/>
      </w:r>
      <w:r>
        <w:rPr>
          <w:rFonts w:ascii="Courier New" w:cs="Courier New" w:eastAsia="Courier New" w:hAnsi="Courier New"/>
          <w:sz w:val="16"/>
          <w:szCs w:val="16"/>
          <w:color w:val="auto"/>
        </w:rPr>
        <w:t>7.63</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Courier New" w:cs="Courier New" w:eastAsia="Courier New" w:hAnsi="Courier New"/>
          <w:sz w:val="15"/>
          <w:szCs w:val="15"/>
          <w:color w:val="auto"/>
        </w:rPr>
        <w:t>539</w:t>
      </w:r>
      <w:r>
        <w:rPr>
          <w:sz w:val="20"/>
          <w:szCs w:val="20"/>
          <w:color w:val="auto"/>
        </w:rPr>
        <w:tab/>
      </w:r>
      <w:r>
        <w:rPr>
          <w:rFonts w:ascii="Courier New" w:cs="Courier New" w:eastAsia="Courier New" w:hAnsi="Courier New"/>
          <w:sz w:val="15"/>
          <w:szCs w:val="15"/>
          <w:color w:val="auto"/>
        </w:rPr>
        <w:t>5.93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9.83</w:t>
      </w:r>
    </w:p>
    <w:p>
      <w:pPr>
        <w:spacing w:after="0" w:line="202" w:lineRule="exact"/>
        <w:rPr>
          <w:sz w:val="20"/>
          <w:szCs w:val="20"/>
          <w:color w:val="auto"/>
        </w:rPr>
      </w:pPr>
    </w:p>
    <w:p>
      <w:pPr>
        <w:sectPr>
          <w:pgSz w:w="11900" w:h="16838" w:orient="portrait"/>
          <w:cols w:equalWidth="0" w:num="5">
            <w:col w:w="3060" w:space="720"/>
            <w:col w:w="1500" w:space="720"/>
            <w:col w:w="1620" w:space="720"/>
            <w:col w:w="240" w:space="720"/>
            <w:col w:w="919"/>
          </w:cols>
          <w:pgMar w:left="240" w:top="142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Exercised</w:t>
      </w:r>
    </w:p>
    <w:p>
      <w:pPr>
        <w:spacing w:after="0" w:line="20" w:lineRule="exact"/>
        <w:rPr>
          <w:sz w:val="20"/>
          <w:szCs w:val="20"/>
          <w:color w:val="auto"/>
        </w:rPr>
      </w:pPr>
      <w:r>
        <w:rPr>
          <w:sz w:val="20"/>
          <w:szCs w:val="20"/>
          <w:color w:val="auto"/>
        </w:rPr>
        <w:br w:type="column"/>
      </w:r>
    </w:p>
    <w:p>
      <w:pPr>
        <w:spacing w:after="0"/>
        <w:tabs>
          <w:tab w:leader="none" w:pos="9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5.87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13" w:lineRule="exact"/>
        <w:rPr>
          <w:sz w:val="20"/>
          <w:szCs w:val="20"/>
          <w:color w:val="auto"/>
        </w:rPr>
      </w:pPr>
    </w:p>
    <w:p>
      <w:pPr>
        <w:sectPr>
          <w:pgSz w:w="11900" w:h="16838" w:orient="portrait"/>
          <w:cols w:equalWidth="0" w:num="5">
            <w:col w:w="3160" w:space="720"/>
            <w:col w:w="1360" w:space="580"/>
            <w:col w:w="440" w:space="720"/>
            <w:col w:w="1900" w:space="720"/>
            <w:col w:w="619"/>
          </w:cols>
          <w:pgMar w:left="240" w:top="142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Forfeited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at end of year</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(529)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1,073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1240" w:val="left"/>
        </w:tabs>
        <w:rPr>
          <w:sz w:val="20"/>
          <w:szCs w:val="20"/>
          <w:color w:val="auto"/>
        </w:rPr>
      </w:pPr>
      <w:r>
        <w:rPr>
          <w:rFonts w:ascii="Courier New" w:cs="Courier New" w:eastAsia="Courier New" w:hAnsi="Courier New"/>
          <w:sz w:val="16"/>
          <w:szCs w:val="16"/>
          <w:color w:val="auto"/>
        </w:rPr>
        <w:t>10.95</w:t>
      </w:r>
      <w:r>
        <w:rPr>
          <w:sz w:val="20"/>
          <w:szCs w:val="20"/>
          <w:color w:val="auto"/>
        </w:rPr>
        <w:tab/>
      </w:r>
      <w:r>
        <w:rPr>
          <w:rFonts w:ascii="Courier New" w:cs="Courier New" w:eastAsia="Courier New" w:hAnsi="Courier New"/>
          <w:sz w:val="16"/>
          <w:szCs w:val="16"/>
          <w:color w:val="auto"/>
        </w:rPr>
        <w:t>(38)</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6"/>
          <w:szCs w:val="16"/>
          <w:color w:val="auto"/>
        </w:rPr>
        <w:t>6.87</w:t>
      </w:r>
      <w:r>
        <w:rPr>
          <w:sz w:val="20"/>
          <w:szCs w:val="20"/>
          <w:color w:val="auto"/>
        </w:rPr>
        <w:tab/>
      </w:r>
      <w:r>
        <w:rPr>
          <w:rFonts w:ascii="Courier New" w:cs="Courier New" w:eastAsia="Courier New" w:hAnsi="Courier New"/>
          <w:sz w:val="16"/>
          <w:szCs w:val="16"/>
          <w:color w:val="auto"/>
        </w:rPr>
        <w:t>1,049</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1340" w:val="left"/>
        </w:tabs>
        <w:rPr>
          <w:sz w:val="20"/>
          <w:szCs w:val="20"/>
          <w:color w:val="auto"/>
        </w:rPr>
      </w:pPr>
      <w:r>
        <w:rPr>
          <w:rFonts w:ascii="Courier New" w:cs="Courier New" w:eastAsia="Courier New" w:hAnsi="Courier New"/>
          <w:sz w:val="16"/>
          <w:szCs w:val="16"/>
          <w:color w:val="auto"/>
        </w:rPr>
        <w:t>12.28</w:t>
      </w:r>
      <w:r>
        <w:rPr>
          <w:sz w:val="20"/>
          <w:szCs w:val="20"/>
          <w:color w:val="auto"/>
        </w:rPr>
        <w:tab/>
      </w:r>
      <w:r>
        <w:rPr>
          <w:rFonts w:ascii="Courier New" w:cs="Courier New" w:eastAsia="Courier New" w:hAnsi="Courier New"/>
          <w:sz w:val="15"/>
          <w:szCs w:val="15"/>
          <w:color w:val="auto"/>
        </w:rPr>
        <w:t>(10)</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6"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6"/>
          <w:szCs w:val="16"/>
          <w:color w:val="auto"/>
        </w:rPr>
        <w:t>8.53</w:t>
      </w:r>
      <w:r>
        <w:rPr>
          <w:sz w:val="20"/>
          <w:szCs w:val="20"/>
          <w:color w:val="auto"/>
        </w:rPr>
        <w:tab/>
      </w:r>
      <w:r>
        <w:rPr>
          <w:rFonts w:ascii="Courier New" w:cs="Courier New" w:eastAsia="Courier New" w:hAnsi="Courier New"/>
          <w:sz w:val="15"/>
          <w:szCs w:val="15"/>
          <w:color w:val="auto"/>
        </w:rPr>
        <w:t>548</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10.44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11.53</w:t>
      </w:r>
    </w:p>
    <w:p>
      <w:pPr>
        <w:spacing w:after="0" w:line="377" w:lineRule="exact"/>
        <w:rPr>
          <w:sz w:val="20"/>
          <w:szCs w:val="20"/>
          <w:color w:val="auto"/>
        </w:rPr>
      </w:pPr>
    </w:p>
    <w:p>
      <w:pPr>
        <w:sectPr>
          <w:pgSz w:w="11900" w:h="16838" w:orient="portrait"/>
          <w:cols w:equalWidth="0" w:num="5">
            <w:col w:w="2520" w:space="680"/>
            <w:col w:w="960" w:space="580"/>
            <w:col w:w="1760" w:space="380"/>
            <w:col w:w="1840" w:space="580"/>
            <w:col w:w="919"/>
          </w:cols>
          <w:pgMar w:left="240" w:top="142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Options exercisable at</w:t>
      </w:r>
    </w:p>
    <w:p>
      <w:pPr>
        <w:sectPr>
          <w:pgSz w:w="11900" w:h="16838" w:orient="portrait"/>
          <w:cols w:equalWidth="0" w:num="1">
            <w:col w:w="10219"/>
          </w:cols>
          <w:pgMar w:left="240" w:top="1421"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year-end</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6"/>
          <w:szCs w:val="16"/>
          <w:color w:val="auto"/>
        </w:rPr>
        <w:t>290</w:t>
      </w:r>
      <w:r>
        <w:rPr>
          <w:sz w:val="20"/>
          <w:szCs w:val="20"/>
          <w:color w:val="auto"/>
        </w:rPr>
        <w:tab/>
      </w:r>
      <w:r>
        <w:rPr>
          <w:rFonts w:ascii="Courier New" w:cs="Courier New" w:eastAsia="Courier New" w:hAnsi="Courier New"/>
          <w:sz w:val="16"/>
          <w:szCs w:val="16"/>
          <w:color w:val="auto"/>
        </w:rPr>
        <w:t>6.09</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6"/>
          <w:szCs w:val="16"/>
          <w:color w:val="auto"/>
        </w:rPr>
        <w:t>345</w:t>
      </w:r>
      <w:r>
        <w:rPr>
          <w:sz w:val="20"/>
          <w:szCs w:val="20"/>
          <w:color w:val="auto"/>
        </w:rPr>
        <w:tab/>
      </w:r>
      <w:r>
        <w:rPr>
          <w:rFonts w:ascii="Courier New" w:cs="Courier New" w:eastAsia="Courier New" w:hAnsi="Courier New"/>
          <w:sz w:val="16"/>
          <w:szCs w:val="16"/>
          <w:color w:val="auto"/>
        </w:rPr>
        <w:t>11.53</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6"/>
          <w:szCs w:val="16"/>
          <w:color w:val="auto"/>
        </w:rPr>
        <w:t>246</w:t>
      </w:r>
      <w:r>
        <w:rPr>
          <w:sz w:val="20"/>
          <w:szCs w:val="20"/>
          <w:color w:val="auto"/>
        </w:rPr>
        <w:tab/>
      </w:r>
      <w:r>
        <w:rPr>
          <w:rFonts w:ascii="Courier New" w:cs="Courier New" w:eastAsia="Courier New" w:hAnsi="Courier New"/>
          <w:sz w:val="16"/>
          <w:szCs w:val="16"/>
          <w:color w:val="auto"/>
        </w:rPr>
        <w:t>11.75</w:t>
      </w:r>
    </w:p>
    <w:p>
      <w:pPr>
        <w:spacing w:after="0" w:line="200" w:lineRule="exact"/>
        <w:rPr>
          <w:sz w:val="20"/>
          <w:szCs w:val="20"/>
          <w:color w:val="auto"/>
        </w:rPr>
      </w:pPr>
    </w:p>
    <w:p>
      <w:pPr>
        <w:sectPr>
          <w:pgSz w:w="11900" w:h="16838" w:orient="portrait"/>
          <w:cols w:equalWidth="0" w:num="4">
            <w:col w:w="3060" w:space="720"/>
            <w:col w:w="1500" w:space="720"/>
            <w:col w:w="1520" w:space="720"/>
            <w:col w:w="1979"/>
          </w:cols>
          <w:pgMar w:left="240" w:top="14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following table summarizes information about stock options outstanding at December 31, 2000:</w:t>
      </w:r>
    </w:p>
    <w:p>
      <w:pPr>
        <w:spacing w:after="0" w:line="191" w:lineRule="exact"/>
        <w:rPr>
          <w:sz w:val="20"/>
          <w:szCs w:val="20"/>
          <w:color w:val="auto"/>
        </w:rPr>
      </w:pPr>
    </w:p>
    <w:tbl>
      <w:tblPr>
        <w:tblLayout w:type="fixed"/>
        <w:tblInd w:w="780" w:type="dxa"/>
        <w:tblCellMar>
          <w:top w:w="0" w:type="dxa"/>
          <w:left w:w="0" w:type="dxa"/>
          <w:bottom w:w="0" w:type="dxa"/>
          <w:right w:w="0" w:type="dxa"/>
        </w:tblCellMar>
      </w:tblPr>
      <w:tr>
        <w:trPr>
          <w:trHeight w:val="183"/>
        </w:trPr>
        <w:tc>
          <w:tcPr>
            <w:tcW w:w="1500" w:type="dxa"/>
            <w:vAlign w:val="bottom"/>
          </w:tcPr>
          <w:p>
            <w:pPr>
              <w:spacing w:after="0"/>
              <w:rPr>
                <w:sz w:val="15"/>
                <w:szCs w:val="15"/>
                <w:color w:val="auto"/>
              </w:rPr>
            </w:pPr>
          </w:p>
        </w:tc>
        <w:tc>
          <w:tcPr>
            <w:tcW w:w="3040" w:type="dxa"/>
            <w:vAlign w:val="bottom"/>
            <w:gridSpan w:val="2"/>
          </w:tcPr>
          <w:p>
            <w:pPr>
              <w:jc w:val="center"/>
              <w:ind w:left="1119"/>
              <w:spacing w:after="0"/>
              <w:rPr>
                <w:sz w:val="20"/>
                <w:szCs w:val="20"/>
                <w:color w:val="auto"/>
              </w:rPr>
            </w:pPr>
            <w:r>
              <w:rPr>
                <w:rFonts w:ascii="Courier New" w:cs="Courier New" w:eastAsia="Courier New" w:hAnsi="Courier New"/>
                <w:sz w:val="16"/>
                <w:szCs w:val="16"/>
                <w:color w:val="auto"/>
              </w:rPr>
              <w:t>Options Outstanding</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6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Options Exercisable</w:t>
            </w:r>
          </w:p>
        </w:tc>
      </w:tr>
      <w:tr>
        <w:trPr>
          <w:trHeight w:val="186"/>
        </w:trPr>
        <w:tc>
          <w:tcPr>
            <w:tcW w:w="1500" w:type="dxa"/>
            <w:vAlign w:val="bottom"/>
          </w:tcPr>
          <w:p>
            <w:pPr>
              <w:spacing w:after="0"/>
              <w:rPr>
                <w:sz w:val="16"/>
                <w:szCs w:val="16"/>
                <w:color w:val="auto"/>
              </w:rPr>
            </w:pPr>
          </w:p>
        </w:tc>
        <w:tc>
          <w:tcPr>
            <w:tcW w:w="6820" w:type="dxa"/>
            <w:vAlign w:val="bottom"/>
            <w:gridSpan w:val="7"/>
          </w:tcPr>
          <w:p>
            <w:pPr>
              <w:ind w:left="240"/>
              <w:spacing w:after="0"/>
              <w:rPr>
                <w:sz w:val="20"/>
                <w:szCs w:val="20"/>
                <w:color w:val="auto"/>
              </w:rPr>
            </w:pPr>
            <w:r>
              <w:rPr>
                <w:rFonts w:ascii="Courier New" w:cs="Courier New" w:eastAsia="Courier New" w:hAnsi="Courier New"/>
                <w:sz w:val="16"/>
                <w:szCs w:val="16"/>
                <w:color w:val="auto"/>
              </w:rPr>
              <w:t>---------------------------------------- ---------------------------</w:t>
            </w:r>
          </w:p>
        </w:tc>
      </w:tr>
      <w:tr>
        <w:trPr>
          <w:trHeight w:val="186"/>
        </w:trPr>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jc w:val="center"/>
              <w:ind w:right="239"/>
              <w:spacing w:after="0"/>
              <w:rPr>
                <w:sz w:val="20"/>
                <w:szCs w:val="20"/>
                <w:color w:val="auto"/>
              </w:rPr>
            </w:pPr>
            <w:r>
              <w:rPr>
                <w:rFonts w:ascii="Courier New" w:cs="Courier New" w:eastAsia="Courier New" w:hAnsi="Courier New"/>
                <w:sz w:val="16"/>
                <w:szCs w:val="16"/>
                <w:color w:val="auto"/>
                <w:w w:val="99"/>
              </w:rPr>
              <w:t>Weighted-</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6"/>
        </w:trPr>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jc w:val="center"/>
              <w:ind w:right="259"/>
              <w:spacing w:after="0"/>
              <w:rPr>
                <w:sz w:val="20"/>
                <w:szCs w:val="20"/>
                <w:color w:val="auto"/>
              </w:rPr>
            </w:pPr>
            <w:r>
              <w:rPr>
                <w:rFonts w:ascii="Courier New" w:cs="Courier New" w:eastAsia="Courier New" w:hAnsi="Courier New"/>
                <w:sz w:val="16"/>
                <w:szCs w:val="16"/>
                <w:color w:val="auto"/>
              </w:rPr>
              <w:t>Average</w:t>
            </w:r>
          </w:p>
        </w:tc>
        <w:tc>
          <w:tcPr>
            <w:tcW w:w="1020" w:type="dxa"/>
            <w:vAlign w:val="bottom"/>
            <w:gridSpan w:val="2"/>
          </w:tcPr>
          <w:p>
            <w:pPr>
              <w:spacing w:after="0"/>
              <w:rPr>
                <w:sz w:val="20"/>
                <w:szCs w:val="20"/>
                <w:color w:val="auto"/>
              </w:rPr>
            </w:pPr>
            <w:r>
              <w:rPr>
                <w:rFonts w:ascii="Courier New" w:cs="Courier New" w:eastAsia="Courier New" w:hAnsi="Courier New"/>
                <w:sz w:val="16"/>
                <w:szCs w:val="16"/>
                <w:color w:val="auto"/>
              </w:rPr>
              <w:t>Weighted-</w:t>
            </w:r>
          </w:p>
        </w:tc>
        <w:tc>
          <w:tcPr>
            <w:tcW w:w="16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Weighted-</w:t>
            </w:r>
          </w:p>
        </w:tc>
      </w:tr>
      <w:tr>
        <w:trPr>
          <w:trHeight w:val="186"/>
        </w:trPr>
        <w:tc>
          <w:tcPr>
            <w:tcW w:w="1500" w:type="dxa"/>
            <w:vAlign w:val="bottom"/>
          </w:tcPr>
          <w:p>
            <w:pPr>
              <w:jc w:val="center"/>
              <w:ind w:right="279"/>
              <w:spacing w:after="0"/>
              <w:rPr>
                <w:sz w:val="20"/>
                <w:szCs w:val="20"/>
                <w:color w:val="auto"/>
              </w:rPr>
            </w:pPr>
            <w:r>
              <w:rPr>
                <w:rFonts w:ascii="Courier New" w:cs="Courier New" w:eastAsia="Courier New" w:hAnsi="Courier New"/>
                <w:sz w:val="16"/>
                <w:szCs w:val="16"/>
                <w:color w:val="auto"/>
              </w:rPr>
              <w:t>Range of</w:t>
            </w:r>
          </w:p>
        </w:tc>
        <w:tc>
          <w:tcPr>
            <w:tcW w:w="1540" w:type="dxa"/>
            <w:vAlign w:val="bottom"/>
          </w:tcPr>
          <w:p>
            <w:pPr>
              <w:ind w:left="520"/>
              <w:spacing w:after="0"/>
              <w:rPr>
                <w:sz w:val="20"/>
                <w:szCs w:val="20"/>
                <w:color w:val="auto"/>
              </w:rPr>
            </w:pPr>
            <w:r>
              <w:rPr>
                <w:rFonts w:ascii="Courier New" w:cs="Courier New" w:eastAsia="Courier New" w:hAnsi="Courier New"/>
                <w:sz w:val="16"/>
                <w:szCs w:val="16"/>
                <w:color w:val="auto"/>
              </w:rPr>
              <w:t>Number</w:t>
            </w:r>
          </w:p>
        </w:tc>
        <w:tc>
          <w:tcPr>
            <w:tcW w:w="1500" w:type="dxa"/>
            <w:vAlign w:val="bottom"/>
          </w:tcPr>
          <w:p>
            <w:pPr>
              <w:jc w:val="center"/>
              <w:ind w:right="239"/>
              <w:spacing w:after="0"/>
              <w:rPr>
                <w:sz w:val="20"/>
                <w:szCs w:val="20"/>
                <w:color w:val="auto"/>
              </w:rPr>
            </w:pPr>
            <w:r>
              <w:rPr>
                <w:rFonts w:ascii="Courier New" w:cs="Courier New" w:eastAsia="Courier New" w:hAnsi="Courier New"/>
                <w:sz w:val="16"/>
                <w:szCs w:val="16"/>
                <w:color w:val="auto"/>
                <w:w w:val="99"/>
              </w:rPr>
              <w:t>Remaining</w:t>
            </w:r>
          </w:p>
        </w:tc>
        <w:tc>
          <w:tcPr>
            <w:tcW w:w="1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Number</w:t>
            </w:r>
          </w:p>
        </w:tc>
        <w:tc>
          <w:tcPr>
            <w:tcW w:w="11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Average</w:t>
            </w:r>
          </w:p>
        </w:tc>
      </w:tr>
      <w:tr>
        <w:trPr>
          <w:trHeight w:val="186"/>
        </w:trPr>
        <w:tc>
          <w:tcPr>
            <w:tcW w:w="1500" w:type="dxa"/>
            <w:vAlign w:val="bottom"/>
          </w:tcPr>
          <w:p>
            <w:pPr>
              <w:jc w:val="center"/>
              <w:ind w:right="279"/>
              <w:spacing w:after="0"/>
              <w:rPr>
                <w:sz w:val="20"/>
                <w:szCs w:val="20"/>
                <w:color w:val="auto"/>
              </w:rPr>
            </w:pPr>
            <w:r>
              <w:rPr>
                <w:rFonts w:ascii="Courier New" w:cs="Courier New" w:eastAsia="Courier New" w:hAnsi="Courier New"/>
                <w:sz w:val="16"/>
                <w:szCs w:val="16"/>
                <w:color w:val="auto"/>
              </w:rPr>
              <w:t>Exercise</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Outstanding</w:t>
            </w:r>
          </w:p>
        </w:tc>
        <w:tc>
          <w:tcPr>
            <w:tcW w:w="1500" w:type="dxa"/>
            <w:vAlign w:val="bottom"/>
          </w:tcPr>
          <w:p>
            <w:pPr>
              <w:jc w:val="center"/>
              <w:ind w:right="239"/>
              <w:spacing w:after="0"/>
              <w:rPr>
                <w:sz w:val="20"/>
                <w:szCs w:val="20"/>
                <w:color w:val="auto"/>
              </w:rPr>
            </w:pPr>
            <w:r>
              <w:rPr>
                <w:rFonts w:ascii="Courier New" w:cs="Courier New" w:eastAsia="Courier New" w:hAnsi="Courier New"/>
                <w:sz w:val="16"/>
                <w:szCs w:val="16"/>
                <w:color w:val="auto"/>
              </w:rPr>
              <w:t>Contractual</w:t>
            </w:r>
          </w:p>
        </w:tc>
        <w:tc>
          <w:tcPr>
            <w:tcW w:w="1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Exercise</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Exercisable</w:t>
            </w:r>
          </w:p>
        </w:tc>
        <w:tc>
          <w:tcPr>
            <w:tcW w:w="11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Exercise</w:t>
            </w:r>
          </w:p>
        </w:tc>
      </w:tr>
      <w:tr>
        <w:trPr>
          <w:trHeight w:val="186"/>
        </w:trPr>
        <w:tc>
          <w:tcPr>
            <w:tcW w:w="1500" w:type="dxa"/>
            <w:vAlign w:val="bottom"/>
          </w:tcPr>
          <w:p>
            <w:pPr>
              <w:jc w:val="center"/>
              <w:ind w:right="279"/>
              <w:spacing w:after="0"/>
              <w:rPr>
                <w:sz w:val="20"/>
                <w:szCs w:val="20"/>
                <w:color w:val="auto"/>
              </w:rPr>
            </w:pPr>
            <w:r>
              <w:rPr>
                <w:rFonts w:ascii="Courier New" w:cs="Courier New" w:eastAsia="Courier New" w:hAnsi="Courier New"/>
                <w:sz w:val="16"/>
                <w:szCs w:val="16"/>
                <w:color w:val="auto"/>
              </w:rPr>
              <w:t>Prices</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at 12/31/2000</w:t>
            </w:r>
          </w:p>
        </w:tc>
        <w:tc>
          <w:tcPr>
            <w:tcW w:w="1500" w:type="dxa"/>
            <w:vAlign w:val="bottom"/>
          </w:tcPr>
          <w:p>
            <w:pPr>
              <w:ind w:left="340"/>
              <w:spacing w:after="0"/>
              <w:rPr>
                <w:sz w:val="20"/>
                <w:szCs w:val="20"/>
                <w:color w:val="auto"/>
              </w:rPr>
            </w:pPr>
            <w:r>
              <w:rPr>
                <w:rFonts w:ascii="Courier New" w:cs="Courier New" w:eastAsia="Courier New" w:hAnsi="Courier New"/>
                <w:sz w:val="16"/>
                <w:szCs w:val="16"/>
                <w:color w:val="auto"/>
              </w:rPr>
              <w:t>Life</w:t>
            </w:r>
          </w:p>
        </w:tc>
        <w:tc>
          <w:tcPr>
            <w:tcW w:w="1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Price</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at 12/31/2000</w:t>
            </w:r>
          </w:p>
        </w:tc>
        <w:tc>
          <w:tcPr>
            <w:tcW w:w="11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Price</w:t>
            </w:r>
          </w:p>
        </w:tc>
      </w:tr>
      <w:tr>
        <w:trPr>
          <w:trHeight w:val="186"/>
        </w:trPr>
        <w:tc>
          <w:tcPr>
            <w:tcW w:w="1500" w:type="dxa"/>
            <w:vAlign w:val="bottom"/>
          </w:tcPr>
          <w:p>
            <w:pPr>
              <w:spacing w:after="0"/>
              <w:rPr>
                <w:sz w:val="16"/>
                <w:szCs w:val="16"/>
                <w:color w:val="auto"/>
              </w:rPr>
            </w:pPr>
          </w:p>
        </w:tc>
        <w:tc>
          <w:tcPr>
            <w:tcW w:w="6820" w:type="dxa"/>
            <w:vAlign w:val="bottom"/>
            <w:gridSpan w:val="7"/>
          </w:tcPr>
          <w:p>
            <w:pPr>
              <w:ind w:left="240"/>
              <w:spacing w:after="0"/>
              <w:rPr>
                <w:sz w:val="20"/>
                <w:szCs w:val="20"/>
                <w:color w:val="auto"/>
              </w:rPr>
            </w:pPr>
            <w:r>
              <w:rPr>
                <w:rFonts w:ascii="Courier New" w:cs="Courier New" w:eastAsia="Courier New" w:hAnsi="Courier New"/>
                <w:sz w:val="16"/>
                <w:szCs w:val="16"/>
                <w:color w:val="auto"/>
              </w:rPr>
              <w:t>-------------- ----------- ------------- -------------- ------------</w:t>
            </w:r>
          </w:p>
        </w:tc>
      </w:tr>
      <w:tr>
        <w:trPr>
          <w:trHeight w:val="559"/>
        </w:trPr>
        <w:tc>
          <w:tcPr>
            <w:tcW w:w="1500" w:type="dxa"/>
            <w:vAlign w:val="bottom"/>
          </w:tcPr>
          <w:p>
            <w:pPr>
              <w:spacing w:after="0"/>
              <w:rPr>
                <w:sz w:val="20"/>
                <w:szCs w:val="20"/>
                <w:color w:val="auto"/>
              </w:rPr>
            </w:pPr>
            <w:r>
              <w:rPr>
                <w:rFonts w:ascii="Courier New" w:cs="Courier New" w:eastAsia="Courier New" w:hAnsi="Courier New"/>
                <w:sz w:val="16"/>
                <w:szCs w:val="16"/>
                <w:color w:val="auto"/>
              </w:rPr>
              <w:t>$5.63 - 7.63</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1,062</w:t>
            </w:r>
          </w:p>
        </w:tc>
        <w:tc>
          <w:tcPr>
            <w:tcW w:w="1500" w:type="dxa"/>
            <w:vAlign w:val="bottom"/>
          </w:tcPr>
          <w:p>
            <w:pPr>
              <w:ind w:left="340"/>
              <w:spacing w:after="0"/>
              <w:rPr>
                <w:sz w:val="20"/>
                <w:szCs w:val="20"/>
                <w:color w:val="auto"/>
              </w:rPr>
            </w:pPr>
            <w:r>
              <w:rPr>
                <w:rFonts w:ascii="Courier New" w:cs="Courier New" w:eastAsia="Courier New" w:hAnsi="Courier New"/>
                <w:sz w:val="16"/>
                <w:szCs w:val="16"/>
                <w:color w:val="auto"/>
              </w:rPr>
              <w:t>9.2 years</w:t>
            </w:r>
          </w:p>
        </w:tc>
        <w:tc>
          <w:tcPr>
            <w:tcW w:w="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6.84</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284</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5.98</w:t>
            </w: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$9.75 - 11.50</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w:t>
            </w:r>
          </w:p>
        </w:tc>
        <w:tc>
          <w:tcPr>
            <w:tcW w:w="1500" w:type="dxa"/>
            <w:vAlign w:val="bottom"/>
          </w:tcPr>
          <w:p>
            <w:pPr>
              <w:ind w:left="340"/>
              <w:spacing w:after="0"/>
              <w:rPr>
                <w:sz w:val="20"/>
                <w:szCs w:val="20"/>
                <w:color w:val="auto"/>
              </w:rPr>
            </w:pPr>
            <w:r>
              <w:rPr>
                <w:rFonts w:ascii="Courier New" w:cs="Courier New" w:eastAsia="Courier New" w:hAnsi="Courier New"/>
                <w:sz w:val="16"/>
                <w:szCs w:val="16"/>
                <w:color w:val="auto"/>
              </w:rPr>
              <w:t>7.3 years</w:t>
            </w:r>
          </w:p>
        </w:tc>
        <w:tc>
          <w:tcPr>
            <w:tcW w:w="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10.38</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10.77</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80"/>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1421" w:right="1440" w:bottom="1440" w:gutter="0" w:footer="0" w:header="0"/>
          <w:type w:val="continuous"/>
        </w:sectPr>
      </w:pPr>
    </w:p>
    <w:bookmarkStart w:id="37" w:name="page38"/>
    <w:bookmarkEnd w:id="37"/>
    <w:p>
      <w:pPr>
        <w:jc w:val="center"/>
        <w:ind w:right="303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On December 7, 1998 the Company granted a total of 20 options to the members of its Board of Directors. These options carry an exercise price equal to the market price on the date of issuance and vest equally over a period of five years, beginning one year from date of grant. The maximum term of these options is 10 years. On July 4, 1999 the Company granted an additional 20 options to the members of its Board of Directors. These options carry an exercise price equal to the market price on the date of issuance and vest six months from the date of grant. The maximum term of these options is 10 years.</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2000.</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All options granted in the period January 1, 2000 through December 31, 2000, except those granted to the Company's Board of Directors as described above, vest ratably over periods ranging from six months to five years, beginning one year from date of grant. The exercise price of each option equals the market price of the Company's stock on the date of grant, and an option's maximum term is 10 years. All options granted in the period January 1, 1995 through December 31, 1998, except those granted to the Company's Board of Directors as described above, vest 20%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FIN 44 are treated under variable accounting. Accordingly, compensation expense will be recognized to the extent the market price of the Company's stock exceeds $10.50.</w:t>
      </w:r>
    </w:p>
    <w:p>
      <w:pPr>
        <w:spacing w:after="0" w:line="19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Company has adopted the provisions of Statement of Financial Accounting Standards No. 123, "Accounting for Stock-Based Compensation" (SFAS 123). SFAS 123 encourages but does not require a fair value based method of accounting for stock compensation plans. the Company has elected to continue accounting for its stock compensation plan using the intrinsic value based method and, accordingly, has not recorded compensation expense for each of the three years ended December 31, 2000. Had compensation cost for the Company's stock compensation plan been determined based on the fair value at the option grant dates, the Company's net income and earnings per share would have been reduced to the proforma amounts indicated below:</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4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2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2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2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As reported (000's)$</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9,987</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7,759</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7,656</w:t>
            </w:r>
          </w:p>
        </w:tc>
      </w:tr>
      <w:tr>
        <w:trPr>
          <w:trHeight w:val="186"/>
        </w:trPr>
        <w:tc>
          <w:tcPr>
            <w:tcW w:w="2480" w:type="dxa"/>
            <w:vAlign w:val="bottom"/>
          </w:tcPr>
          <w:p>
            <w:pPr>
              <w:spacing w:after="0"/>
              <w:rPr>
                <w:sz w:val="16"/>
                <w:szCs w:val="16"/>
                <w:color w:val="auto"/>
              </w:rPr>
            </w:pP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Proforma (000's)</w:t>
            </w:r>
          </w:p>
        </w:tc>
        <w:tc>
          <w:tcPr>
            <w:tcW w:w="30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9,575</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7,462</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7,360</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As reported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0.66</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0.52</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0.52</w:t>
            </w:r>
          </w:p>
        </w:tc>
      </w:tr>
      <w:tr>
        <w:trPr>
          <w:trHeight w:val="186"/>
        </w:trPr>
        <w:tc>
          <w:tcPr>
            <w:tcW w:w="2480" w:type="dxa"/>
            <w:vAlign w:val="bottom"/>
          </w:tcPr>
          <w:p>
            <w:pPr>
              <w:spacing w:after="0"/>
              <w:rPr>
                <w:sz w:val="16"/>
                <w:szCs w:val="16"/>
                <w:color w:val="auto"/>
              </w:rPr>
            </w:pP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Proforma</w:t>
            </w:r>
          </w:p>
        </w:tc>
        <w:tc>
          <w:tcPr>
            <w:tcW w:w="30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0.63</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0.50</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Earnings per</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share-assuming dilution</w:t>
            </w: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As reported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0.64</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0.52</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0.52</w:t>
            </w:r>
          </w:p>
        </w:tc>
      </w:tr>
      <w:tr>
        <w:trPr>
          <w:trHeight w:val="186"/>
        </w:trPr>
        <w:tc>
          <w:tcPr>
            <w:tcW w:w="2480" w:type="dxa"/>
            <w:vAlign w:val="bottom"/>
          </w:tcPr>
          <w:p>
            <w:pPr>
              <w:spacing w:after="0"/>
              <w:rPr>
                <w:sz w:val="16"/>
                <w:szCs w:val="16"/>
                <w:color w:val="auto"/>
              </w:rPr>
            </w:pP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Proforma</w:t>
            </w:r>
          </w:p>
        </w:tc>
        <w:tc>
          <w:tcPr>
            <w:tcW w:w="30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0.62</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0.50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9639"/>
          </w:cols>
          <w:pgMar w:left="820" w:top="1049" w:right="1440" w:bottom="695" w:gutter="0" w:footer="0" w:header="0"/>
        </w:sectPr>
      </w:pPr>
    </w:p>
    <w:bookmarkStart w:id="38" w:name="page39"/>
    <w:bookmarkEnd w:id="38"/>
    <w:p>
      <w:pPr>
        <w:jc w:val="center"/>
        <w:ind w:right="247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1" w:right="2459"/>
        <w:spacing w:after="0" w:line="247" w:lineRule="auto"/>
        <w:rPr>
          <w:sz w:val="20"/>
          <w:szCs w:val="20"/>
          <w:color w:val="auto"/>
        </w:rPr>
      </w:pPr>
      <w:r>
        <w:rPr>
          <w:rFonts w:ascii="Courier New" w:cs="Courier New" w:eastAsia="Courier New" w:hAnsi="Courier New"/>
          <w:sz w:val="16"/>
          <w:szCs w:val="16"/>
          <w:color w:val="auto"/>
        </w:rPr>
        <w:t>The fair value of each option grant was estimated on actual information available through December 31, 2000, 1999 and 1998 using the Black Scholes option-pricing model with the following assumptions:</w:t>
      </w:r>
    </w:p>
    <w:p>
      <w:pPr>
        <w:sectPr>
          <w:pgSz w:w="11900" w:h="16838" w:orient="portrait"/>
          <w:cols w:equalWidth="0" w:num="1">
            <w:col w:w="10220"/>
          </w:cols>
          <w:pgMar w:left="239" w:top="1049" w:right="1440" w:bottom="1440" w:gutter="0" w:footer="0" w:header="0"/>
        </w:sectPr>
      </w:pP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Term</w:t>
      </w:r>
    </w:p>
    <w:p>
      <w:pPr>
        <w:spacing w:after="0" w:line="5"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Risk free interest rate</w:t>
      </w:r>
    </w:p>
    <w:p>
      <w:pPr>
        <w:spacing w:after="0" w:line="191"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Dividend yield</w:t>
      </w:r>
    </w:p>
    <w:p>
      <w:pPr>
        <w:spacing w:after="0" w:line="191"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Volatility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year after each vesting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 6.5% and 4.7% for 2000,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3.65%, 4.4% and 5.4% annually for 2000,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1998,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 39% and 32% for 2000, 1999 and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w:t>
      </w:r>
    </w:p>
    <w:p>
      <w:pPr>
        <w:spacing w:after="0" w:line="191" w:lineRule="exact"/>
        <w:rPr>
          <w:sz w:val="20"/>
          <w:szCs w:val="20"/>
          <w:color w:val="auto"/>
        </w:rPr>
      </w:pPr>
    </w:p>
    <w:p>
      <w:pPr>
        <w:sectPr>
          <w:pgSz w:w="11900" w:h="16838" w:orient="portrait"/>
          <w:cols w:equalWidth="0" w:num="2">
            <w:col w:w="2801" w:space="500"/>
            <w:col w:w="6919"/>
          </w:cols>
          <w:pgMar w:left="239" w:top="1049" w:right="1440" w:bottom="1440" w:gutter="0" w:footer="0" w:header="0"/>
          <w:type w:val="continuous"/>
        </w:sectPr>
      </w:pPr>
    </w:p>
    <w:p>
      <w:pPr>
        <w:ind w:left="581" w:hanging="581"/>
        <w:spacing w:after="0"/>
        <w:tabs>
          <w:tab w:leader="none" w:pos="5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91" w:lineRule="exact"/>
        <w:rPr>
          <w:rFonts w:ascii="Courier New" w:cs="Courier New" w:eastAsia="Courier New" w:hAnsi="Courier New"/>
          <w:sz w:val="16"/>
          <w:szCs w:val="16"/>
          <w:color w:val="auto"/>
        </w:rPr>
      </w:pPr>
    </w:p>
    <w:p>
      <w:pPr>
        <w:ind w:left="5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adopted the provisions of SFAS No. 131, "Disclosures about Segments of an Enterprise and Related Information," effective with its December 31, 1998 reporting and identified its reportable segments based upon the geographic location of its business units. During 2000, the Company's reportable segments are based on differences in product lines and geographic locations and are divided between balls and rollers, Euroball and plastics. The ball and roller segment comprises three manufacturing facilities in the eastern United States. The Euroball segment acquired in July 2000, comprises manufacturing facilities located in Kilkenny, Ireland, Eltmann, Germany and Pinerolo, Italy. All of the facilities in the ball and roller and Euroball segments are engaged in the production of precision balls and rollers used primarily in the bearing industry. The plastics segment is concentrated in one facility located in Lubbock, Texas which represents the IMC business acquired in July 1999. This facility is engaged in the production of plastic injection molded products for the bearing, automotive, instrumentation, fiber optic and consumer hardware markets.</w:t>
      </w:r>
    </w:p>
    <w:p>
      <w:pPr>
        <w:spacing w:after="0" w:line="195" w:lineRule="exact"/>
        <w:rPr>
          <w:rFonts w:ascii="Courier New" w:cs="Courier New" w:eastAsia="Courier New" w:hAnsi="Courier New"/>
          <w:sz w:val="16"/>
          <w:szCs w:val="16"/>
          <w:color w:val="auto"/>
        </w:rPr>
      </w:pPr>
    </w:p>
    <w:p>
      <w:pPr>
        <w:ind w:left="5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The Company evaluates segment performance based on profit or loss from operations before income taxes not including nonrecurring gains and losses. The Company accounts for intersegment sales and transfers at current market prices; however, the Company did not have any material intersegment transactions during 2000, 1999 or 1998.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December 31,</w:t>
            </w:r>
          </w:p>
        </w:tc>
        <w:tc>
          <w:tcPr>
            <w:tcW w:w="980" w:type="dxa"/>
            <w:vAlign w:val="bottom"/>
          </w:tcPr>
          <w:p>
            <w:pPr>
              <w:spacing w:after="0"/>
              <w:rPr>
                <w:sz w:val="15"/>
                <w:szCs w:val="15"/>
                <w:color w:val="auto"/>
              </w:rPr>
            </w:pPr>
          </w:p>
        </w:tc>
        <w:tc>
          <w:tcPr>
            <w:tcW w:w="22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December 31,</w:t>
            </w:r>
          </w:p>
        </w:tc>
        <w:tc>
          <w:tcPr>
            <w:tcW w:w="228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8"/>
              </w:rPr>
              <w:t>2000</w:t>
            </w:r>
          </w:p>
        </w:tc>
        <w:tc>
          <w:tcPr>
            <w:tcW w:w="9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9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spacing w:after="0"/>
              <w:rPr>
                <w:sz w:val="16"/>
                <w:szCs w:val="16"/>
                <w:color w:val="auto"/>
              </w:rPr>
            </w:pPr>
          </w:p>
        </w:tc>
      </w:tr>
      <w:tr>
        <w:trPr>
          <w:trHeight w:val="186"/>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6"/>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9"/>
              </w:rPr>
              <w:t>Balls</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7"/>
              </w:rPr>
              <w:t>and</w:t>
            </w: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Balls and</w:t>
            </w:r>
          </w:p>
        </w:tc>
        <w:tc>
          <w:tcPr>
            <w:tcW w:w="92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Balls and</w:t>
            </w:r>
          </w:p>
        </w:tc>
        <w:tc>
          <w:tcPr>
            <w:tcW w:w="960" w:type="dxa"/>
            <w:vAlign w:val="bottom"/>
          </w:tcPr>
          <w:p>
            <w:pPr>
              <w:spacing w:after="0"/>
              <w:rPr>
                <w:sz w:val="16"/>
                <w:szCs w:val="16"/>
                <w:color w:val="auto"/>
              </w:rPr>
            </w:pPr>
          </w:p>
        </w:tc>
      </w:tr>
      <w:tr>
        <w:trPr>
          <w:trHeight w:val="186"/>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Rollers</w:t>
            </w: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rPr>
              <w:t>Euroball</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Plastics</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Rollers</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Plastics</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Rollers</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8"/>
              </w:rPr>
              <w:t>Plastics</w:t>
            </w:r>
          </w:p>
        </w:tc>
      </w:tr>
      <w:tr>
        <w:trPr>
          <w:trHeight w:val="186"/>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 ----------- ----------- ---------- ---------- -----------</w:t>
            </w:r>
          </w:p>
        </w:tc>
      </w:tr>
      <w:tr>
        <w:trPr>
          <w:trHeight w:val="559"/>
        </w:trPr>
        <w:tc>
          <w:tcPr>
            <w:tcW w:w="21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67,637</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33,988</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30,504</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67,736</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17,558</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73,006</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385</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622</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766</w:t>
            </w:r>
          </w:p>
        </w:tc>
        <w:tc>
          <w:tcPr>
            <w:tcW w:w="13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523</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64</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140" w:type="dxa"/>
            <w:vAlign w:val="bottom"/>
          </w:tcPr>
          <w:p>
            <w:pPr>
              <w:ind w:left="200"/>
              <w:spacing w:after="0"/>
              <w:rPr>
                <w:sz w:val="20"/>
                <w:szCs w:val="20"/>
                <w:color w:val="auto"/>
              </w:rPr>
            </w:pPr>
            <w:r>
              <w:rPr>
                <w:rFonts w:ascii="Courier New" w:cs="Courier New" w:eastAsia="Courier New" w:hAnsi="Courier New"/>
                <w:sz w:val="16"/>
                <w:szCs w:val="16"/>
                <w:color w:val="auto"/>
              </w:rPr>
              <w:t>amortization</w:t>
            </w:r>
          </w:p>
        </w:tc>
        <w:tc>
          <w:tcPr>
            <w:tcW w:w="1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4,796</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2,123</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2,246</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4,932</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1,199</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4,557</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Segment profit</w:t>
            </w:r>
          </w:p>
        </w:tc>
        <w:tc>
          <w:tcPr>
            <w:tcW w:w="1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8,314</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775</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898</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11,109</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710</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12,136</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Segment assets</w:t>
            </w:r>
          </w:p>
        </w:tc>
        <w:tc>
          <w:tcPr>
            <w:tcW w:w="1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62,574</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91,392</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33,842</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58,557</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31,811</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66,860</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20"/>
                <w:szCs w:val="20"/>
                <w:color w:val="auto"/>
              </w:rPr>
            </w:pPr>
            <w:r>
              <w:rPr>
                <w:rFonts w:ascii="Courier New" w:cs="Courier New" w:eastAsia="Courier New" w:hAnsi="Courier New"/>
                <w:sz w:val="16"/>
                <w:szCs w:val="16"/>
                <w:color w:val="auto"/>
              </w:rPr>
              <w:t>Expenditures for long-</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140" w:type="dxa"/>
            <w:vAlign w:val="bottom"/>
          </w:tcPr>
          <w:p>
            <w:pPr>
              <w:ind w:left="200"/>
              <w:spacing w:after="0"/>
              <w:rPr>
                <w:sz w:val="20"/>
                <w:szCs w:val="20"/>
                <w:color w:val="auto"/>
              </w:rPr>
            </w:pPr>
            <w:r>
              <w:rPr>
                <w:rFonts w:ascii="Courier New" w:cs="Courier New" w:eastAsia="Courier New" w:hAnsi="Courier New"/>
                <w:sz w:val="16"/>
                <w:szCs w:val="16"/>
                <w:color w:val="auto"/>
              </w:rPr>
              <w:t>lived assets</w:t>
            </w:r>
          </w:p>
        </w:tc>
        <w:tc>
          <w:tcPr>
            <w:tcW w:w="1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9,319</w:t>
            </w:r>
          </w:p>
        </w:tc>
        <w:tc>
          <w:tcPr>
            <w:tcW w:w="1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3,737</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4,854</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1,723</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671</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5,758</w:t>
            </w:r>
          </w:p>
        </w:tc>
        <w:tc>
          <w:tcPr>
            <w:tcW w:w="96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0"/>
          </w:cols>
          <w:pgMar w:left="239" w:top="1049" w:right="1440" w:bottom="1440" w:gutter="0" w:footer="0" w:header="0"/>
          <w:type w:val="continuous"/>
        </w:sectPr>
      </w:pPr>
    </w:p>
    <w:bookmarkStart w:id="39" w:name="page40"/>
    <w:bookmarkEnd w:id="39"/>
    <w:p>
      <w:pPr>
        <w:jc w:val="center"/>
        <w:ind w:right="247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1" w:right="2559"/>
        <w:spacing w:after="0" w:line="248" w:lineRule="auto"/>
        <w:rPr>
          <w:sz w:val="20"/>
          <w:szCs w:val="20"/>
          <w:color w:val="auto"/>
        </w:rPr>
      </w:pPr>
      <w:r>
        <w:rPr>
          <w:rFonts w:ascii="Courier New" w:cs="Courier New" w:eastAsia="Courier New" w:hAnsi="Courier New"/>
          <w:sz w:val="16"/>
          <w:szCs w:val="16"/>
          <w:color w:val="auto"/>
        </w:rPr>
        <w:t>Sales to external customers and long-lived assets utilized by the Company were concentrated in the following geographical regions:</w:t>
      </w:r>
    </w:p>
    <w:p>
      <w:pPr>
        <w:spacing w:after="0" w:line="200" w:lineRule="exact"/>
        <w:rPr>
          <w:sz w:val="20"/>
          <w:szCs w:val="20"/>
          <w:color w:val="auto"/>
        </w:rPr>
      </w:pPr>
    </w:p>
    <w:p>
      <w:pPr>
        <w:spacing w:after="0" w:line="357" w:lineRule="exact"/>
        <w:rPr>
          <w:sz w:val="20"/>
          <w:szCs w:val="20"/>
          <w:color w:val="auto"/>
        </w:rPr>
      </w:pPr>
    </w:p>
    <w:p>
      <w:pPr>
        <w:ind w:left="2801"/>
        <w:spacing w:after="0"/>
        <w:tabs>
          <w:tab w:leader="none" w:pos="5300" w:val="left"/>
          <w:tab w:leader="none" w:pos="7820" w:val="left"/>
        </w:tabs>
        <w:rPr>
          <w:sz w:val="20"/>
          <w:szCs w:val="20"/>
          <w:color w:val="auto"/>
        </w:rPr>
      </w:pPr>
      <w:r>
        <w:rPr>
          <w:rFonts w:ascii="Courier New" w:cs="Courier New" w:eastAsia="Courier New" w:hAnsi="Courier New"/>
          <w:sz w:val="16"/>
          <w:szCs w:val="16"/>
          <w:color w:val="auto"/>
        </w:rPr>
        <w:t>December 31,</w:t>
      </w:r>
      <w:r>
        <w:rPr>
          <w:sz w:val="20"/>
          <w:szCs w:val="20"/>
          <w:color w:val="auto"/>
        </w:rPr>
        <w:tab/>
      </w:r>
      <w:r>
        <w:rPr>
          <w:rFonts w:ascii="Courier New" w:cs="Courier New" w:eastAsia="Courier New" w:hAnsi="Courier New"/>
          <w:sz w:val="16"/>
          <w:szCs w:val="16"/>
          <w:color w:val="auto"/>
        </w:rPr>
        <w:t>December 31,</w:t>
      </w:r>
      <w:r>
        <w:rPr>
          <w:sz w:val="20"/>
          <w:szCs w:val="20"/>
          <w:color w:val="auto"/>
        </w:rPr>
        <w:tab/>
      </w:r>
      <w:r>
        <w:rPr>
          <w:rFonts w:ascii="Courier New" w:cs="Courier New" w:eastAsia="Courier New" w:hAnsi="Courier New"/>
          <w:sz w:val="16"/>
          <w:szCs w:val="16"/>
          <w:color w:val="auto"/>
        </w:rPr>
        <w:t>December 31,</w:t>
      </w:r>
    </w:p>
    <w:p>
      <w:pPr>
        <w:spacing w:after="0" w:line="5" w:lineRule="exact"/>
        <w:rPr>
          <w:sz w:val="20"/>
          <w:szCs w:val="20"/>
          <w:color w:val="auto"/>
        </w:rPr>
      </w:pPr>
    </w:p>
    <w:p>
      <w:pPr>
        <w:ind w:left="3201"/>
        <w:spacing w:after="0"/>
        <w:tabs>
          <w:tab w:leader="none" w:pos="5700" w:val="left"/>
          <w:tab w:leader="none" w:pos="822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3581"/>
        <w:spacing w:after="0"/>
        <w:tabs>
          <w:tab w:leader="none" w:pos="5980" w:val="left"/>
          <w:tab w:leader="none" w:pos="8500" w:val="left"/>
        </w:tabs>
        <w:rPr>
          <w:sz w:val="20"/>
          <w:szCs w:val="20"/>
          <w:color w:val="auto"/>
        </w:rPr>
      </w:pPr>
      <w:r>
        <w:rPr>
          <w:rFonts w:ascii="Courier New" w:cs="Courier New" w:eastAsia="Courier New" w:hAnsi="Courier New"/>
          <w:sz w:val="16"/>
          <w:szCs w:val="16"/>
          <w:color w:val="auto"/>
        </w:rPr>
        <w:t>Long-lived</w:t>
      </w:r>
      <w:r>
        <w:rPr>
          <w:sz w:val="20"/>
          <w:szCs w:val="20"/>
          <w:color w:val="auto"/>
        </w:rPr>
        <w:tab/>
      </w:r>
      <w:r>
        <w:rPr>
          <w:rFonts w:ascii="Courier New" w:cs="Courier New" w:eastAsia="Courier New" w:hAnsi="Courier New"/>
          <w:sz w:val="16"/>
          <w:szCs w:val="16"/>
          <w:color w:val="auto"/>
        </w:rPr>
        <w:t>Long-lived</w:t>
      </w:r>
      <w:r>
        <w:rPr>
          <w:sz w:val="20"/>
          <w:szCs w:val="20"/>
          <w:color w:val="auto"/>
        </w:rPr>
        <w:tab/>
      </w:r>
      <w:r>
        <w:rPr>
          <w:rFonts w:ascii="Courier New" w:cs="Courier New" w:eastAsia="Courier New" w:hAnsi="Courier New"/>
          <w:sz w:val="16"/>
          <w:szCs w:val="16"/>
          <w:color w:val="auto"/>
        </w:rPr>
        <w:t>Long-lived</w:t>
      </w:r>
    </w:p>
    <w:p>
      <w:pPr>
        <w:spacing w:after="0" w:line="5" w:lineRule="exact"/>
        <w:rPr>
          <w:sz w:val="20"/>
          <w:szCs w:val="20"/>
          <w:color w:val="auto"/>
        </w:rPr>
      </w:pPr>
    </w:p>
    <w:p>
      <w:pPr>
        <w:ind w:left="2521"/>
        <w:spacing w:after="0"/>
        <w:tabs>
          <w:tab w:leader="none" w:pos="3760" w:val="left"/>
          <w:tab w:leader="none" w:pos="5020" w:val="left"/>
          <w:tab w:leader="none" w:pos="6180" w:val="left"/>
          <w:tab w:leader="none" w:pos="7540" w:val="left"/>
          <w:tab w:leader="none" w:pos="8700" w:val="left"/>
        </w:tabs>
        <w:rPr>
          <w:sz w:val="20"/>
          <w:szCs w:val="20"/>
          <w:color w:val="auto"/>
        </w:rPr>
      </w:pPr>
      <w:r>
        <w:rPr>
          <w:rFonts w:ascii="Courier New" w:cs="Courier New" w:eastAsia="Courier New" w:hAnsi="Courier New"/>
          <w:sz w:val="16"/>
          <w:szCs w:val="16"/>
          <w:color w:val="auto"/>
        </w:rPr>
        <w:t>Sales</w:t>
      </w:r>
      <w:r>
        <w:rPr>
          <w:sz w:val="20"/>
          <w:szCs w:val="20"/>
          <w:color w:val="auto"/>
        </w:rPr>
        <w:tab/>
      </w:r>
      <w:r>
        <w:rPr>
          <w:rFonts w:ascii="Courier New" w:cs="Courier New" w:eastAsia="Courier New" w:hAnsi="Courier New"/>
          <w:sz w:val="16"/>
          <w:szCs w:val="16"/>
          <w:color w:val="auto"/>
        </w:rPr>
        <w:t>Assets</w:t>
      </w:r>
      <w:r>
        <w:rPr>
          <w:sz w:val="20"/>
          <w:szCs w:val="20"/>
          <w:color w:val="auto"/>
        </w:rPr>
        <w:tab/>
      </w:r>
      <w:r>
        <w:rPr>
          <w:rFonts w:ascii="Courier New" w:cs="Courier New" w:eastAsia="Courier New" w:hAnsi="Courier New"/>
          <w:sz w:val="16"/>
          <w:szCs w:val="16"/>
          <w:color w:val="auto"/>
        </w:rPr>
        <w:t>Sales</w:t>
      </w:r>
      <w:r>
        <w:rPr>
          <w:sz w:val="20"/>
          <w:szCs w:val="20"/>
          <w:color w:val="auto"/>
        </w:rPr>
        <w:tab/>
      </w:r>
      <w:r>
        <w:rPr>
          <w:rFonts w:ascii="Courier New" w:cs="Courier New" w:eastAsia="Courier New" w:hAnsi="Courier New"/>
          <w:sz w:val="16"/>
          <w:szCs w:val="16"/>
          <w:color w:val="auto"/>
        </w:rPr>
        <w:t>assets</w:t>
      </w:r>
      <w:r>
        <w:rPr>
          <w:sz w:val="20"/>
          <w:szCs w:val="20"/>
          <w:color w:val="auto"/>
        </w:rPr>
        <w:tab/>
      </w:r>
      <w:r>
        <w:rPr>
          <w:rFonts w:ascii="Courier New" w:cs="Courier New" w:eastAsia="Courier New" w:hAnsi="Courier New"/>
          <w:sz w:val="16"/>
          <w:szCs w:val="16"/>
          <w:color w:val="auto"/>
        </w:rPr>
        <w:t>Sales</w:t>
      </w:r>
      <w:r>
        <w:rPr>
          <w:sz w:val="20"/>
          <w:szCs w:val="20"/>
          <w:color w:val="auto"/>
        </w:rPr>
        <w:tab/>
      </w:r>
      <w:r>
        <w:rPr>
          <w:rFonts w:ascii="Courier New" w:cs="Courier New" w:eastAsia="Courier New" w:hAnsi="Courier New"/>
          <w:sz w:val="16"/>
          <w:szCs w:val="16"/>
          <w:color w:val="auto"/>
        </w:rPr>
        <w:t>assets</w:t>
      </w:r>
    </w:p>
    <w:p>
      <w:pPr>
        <w:spacing w:after="0" w:line="5"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 --------------- ----------- ------------ ------------ ------------</w:t>
      </w:r>
    </w:p>
    <w:p>
      <w:pPr>
        <w:sectPr>
          <w:pgSz w:w="11900" w:h="16838" w:orient="portrait"/>
          <w:cols w:equalWidth="0" w:num="1">
            <w:col w:w="10220"/>
          </w:cols>
          <w:pgMar w:left="239" w:top="1049" w:right="1440" w:bottom="1440" w:gutter="0" w:footer="0" w:header="0"/>
        </w:sectPr>
      </w:pPr>
    </w:p>
    <w:p>
      <w:pPr>
        <w:spacing w:after="0" w:line="37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United States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62,094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44,137</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52,907</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36,842</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39,331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30,723</w:t>
      </w:r>
    </w:p>
    <w:p>
      <w:pPr>
        <w:spacing w:after="0" w:line="191" w:lineRule="exact"/>
        <w:rPr>
          <w:sz w:val="20"/>
          <w:szCs w:val="20"/>
          <w:color w:val="auto"/>
        </w:rPr>
      </w:pPr>
    </w:p>
    <w:p>
      <w:pPr>
        <w:sectPr>
          <w:pgSz w:w="11900" w:h="16838" w:orient="portrait"/>
          <w:cols w:equalWidth="0" w:num="8">
            <w:col w:w="1461" w:space="580"/>
            <w:col w:w="100" w:space="480"/>
            <w:col w:w="580" w:space="680"/>
            <w:col w:w="580" w:space="580"/>
            <w:col w:w="580" w:space="680"/>
            <w:col w:w="580" w:space="680"/>
            <w:col w:w="580" w:space="680"/>
            <w:col w:w="1399"/>
          </w:cols>
          <w:pgMar w:left="239" w:top="1049"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Europe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46,697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46,216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21,064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6,610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23,843</w:t>
      </w:r>
    </w:p>
    <w:p>
      <w:pPr>
        <w:spacing w:after="0" w:line="20" w:lineRule="exact"/>
        <w:rPr>
          <w:sz w:val="20"/>
          <w:szCs w:val="20"/>
          <w:color w:val="auto"/>
        </w:rPr>
      </w:pPr>
      <w:r>
        <w:rPr>
          <w:sz w:val="20"/>
          <w:szCs w:val="20"/>
          <w:color w:val="auto"/>
        </w:rPr>
        <w:br w:type="column"/>
      </w:r>
    </w:p>
    <w:p>
      <w:pPr>
        <w:jc w:val="center"/>
        <w:ind w:right="819"/>
        <w:spacing w:after="0"/>
        <w:rPr>
          <w:sz w:val="20"/>
          <w:szCs w:val="20"/>
          <w:color w:val="auto"/>
        </w:rPr>
      </w:pPr>
      <w:r>
        <w:rPr>
          <w:rFonts w:ascii="Courier New" w:cs="Courier New" w:eastAsia="Courier New" w:hAnsi="Courier New"/>
          <w:sz w:val="16"/>
          <w:szCs w:val="16"/>
          <w:color w:val="auto"/>
        </w:rPr>
        <w:t>7,566</w:t>
      </w:r>
    </w:p>
    <w:p>
      <w:pPr>
        <w:spacing w:after="0" w:line="191" w:lineRule="exact"/>
        <w:rPr>
          <w:sz w:val="20"/>
          <w:szCs w:val="20"/>
          <w:color w:val="auto"/>
        </w:rPr>
      </w:pPr>
    </w:p>
    <w:p>
      <w:pPr>
        <w:sectPr>
          <w:pgSz w:w="11900" w:h="16838" w:orient="portrait"/>
          <w:cols w:equalWidth="0" w:num="7">
            <w:col w:w="1901" w:space="720"/>
            <w:col w:w="580" w:space="680"/>
            <w:col w:w="580" w:space="580"/>
            <w:col w:w="640" w:space="720"/>
            <w:col w:w="480" w:space="680"/>
            <w:col w:w="640" w:space="720"/>
            <w:col w:w="1299"/>
          </w:cols>
          <w:pgMar w:left="239" w:top="1049"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Canada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6,449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5,918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4,163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13" w:lineRule="exact"/>
        <w:rPr>
          <w:sz w:val="20"/>
          <w:szCs w:val="20"/>
          <w:color w:val="auto"/>
        </w:rPr>
      </w:pPr>
    </w:p>
    <w:p>
      <w:pPr>
        <w:sectPr>
          <w:pgSz w:w="11900" w:h="16838" w:orient="portrait"/>
          <w:cols w:equalWidth="0" w:num="7">
            <w:col w:w="2001" w:space="720"/>
            <w:col w:w="820" w:space="720"/>
            <w:col w:w="200" w:space="680"/>
            <w:col w:w="640" w:space="720"/>
            <w:col w:w="440" w:space="720"/>
            <w:col w:w="640" w:space="720"/>
            <w:col w:w="1199"/>
          </w:cols>
          <w:pgMar w:left="239" w:top="1049"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Latin/South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2,903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2,762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13" w:lineRule="exact"/>
        <w:rPr>
          <w:sz w:val="20"/>
          <w:szCs w:val="20"/>
          <w:color w:val="auto"/>
        </w:rPr>
      </w:pPr>
    </w:p>
    <w:p>
      <w:pPr>
        <w:sectPr>
          <w:pgSz w:w="11900" w:h="16838" w:orient="portrait"/>
          <w:cols w:equalWidth="0" w:num="7">
            <w:col w:w="2041" w:space="680"/>
            <w:col w:w="540" w:space="720"/>
            <w:col w:w="480" w:space="680"/>
            <w:col w:w="640" w:space="720"/>
            <w:col w:w="440" w:space="720"/>
            <w:col w:w="640" w:space="720"/>
            <w:col w:w="1199"/>
          </w:cols>
          <w:pgMar w:left="239" w:top="1049" w:right="1440" w:bottom="1440" w:gutter="0" w:footer="0" w:header="0"/>
          <w:type w:val="continuous"/>
        </w:sectPr>
      </w:pPr>
    </w:p>
    <w:p>
      <w:pPr>
        <w:ind w:left="201"/>
        <w:spacing w:after="0" w:line="495" w:lineRule="auto"/>
        <w:rPr>
          <w:sz w:val="20"/>
          <w:szCs w:val="20"/>
          <w:color w:val="auto"/>
        </w:rPr>
      </w:pPr>
      <w:r>
        <w:rPr>
          <w:rFonts w:ascii="Courier New" w:cs="Courier New" w:eastAsia="Courier New" w:hAnsi="Courier New"/>
          <w:sz w:val="16"/>
          <w:szCs w:val="16"/>
          <w:color w:val="auto"/>
        </w:rPr>
        <w:t>Other export Total</w:t>
      </w:r>
    </w:p>
    <w:p>
      <w:pPr>
        <w:spacing w:after="0" w:line="20" w:lineRule="exact"/>
        <w:rPr>
          <w:sz w:val="20"/>
          <w:szCs w:val="20"/>
          <w:color w:val="auto"/>
        </w:rPr>
      </w:pPr>
      <w:r>
        <w:rPr>
          <w:sz w:val="20"/>
          <w:szCs w:val="20"/>
          <w:color w:val="auto"/>
        </w:rPr>
        <w:br w:type="column"/>
      </w:r>
    </w:p>
    <w:p>
      <w:pPr>
        <w:ind w:left="580"/>
        <w:spacing w:after="0"/>
        <w:tabs>
          <w:tab w:leader="none" w:pos="2200" w:val="left"/>
          <w:tab w:leader="none" w:pos="3080" w:val="left"/>
          <w:tab w:leader="none" w:pos="4440" w:val="left"/>
          <w:tab w:leader="none" w:pos="5600" w:val="left"/>
          <w:tab w:leader="none" w:pos="6960" w:val="left"/>
        </w:tabs>
        <w:rPr>
          <w:sz w:val="20"/>
          <w:szCs w:val="20"/>
          <w:color w:val="auto"/>
        </w:rPr>
      </w:pPr>
      <w:r>
        <w:rPr>
          <w:rFonts w:ascii="Courier New" w:cs="Courier New" w:eastAsia="Courier New" w:hAnsi="Courier New"/>
          <w:sz w:val="16"/>
          <w:szCs w:val="16"/>
          <w:color w:val="auto"/>
        </w:rPr>
        <w:t>10,789</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2,502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2,907</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 ------------ ------------ ------------</w:t>
      </w:r>
    </w:p>
    <w:p>
      <w:pPr>
        <w:spacing w:after="0" w:line="5" w:lineRule="exact"/>
        <w:rPr>
          <w:sz w:val="20"/>
          <w:szCs w:val="20"/>
          <w:color w:val="auto"/>
        </w:rPr>
      </w:pPr>
    </w:p>
    <w:p>
      <w:pPr>
        <w:spacing w:after="0"/>
        <w:tabs>
          <w:tab w:leader="none" w:pos="460" w:val="left"/>
          <w:tab w:leader="none" w:pos="1820" w:val="left"/>
          <w:tab w:leader="none" w:pos="2980" w:val="left"/>
          <w:tab w:leader="none" w:pos="4240" w:val="left"/>
          <w:tab w:leader="none" w:pos="5500" w:val="left"/>
          <w:tab w:leader="none" w:pos="6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132,129</w:t>
      </w:r>
      <w:r>
        <w:rPr>
          <w:sz w:val="20"/>
          <w:szCs w:val="20"/>
          <w:color w:val="auto"/>
        </w:rPr>
        <w:tab/>
      </w:r>
      <w:r>
        <w:rPr>
          <w:rFonts w:ascii="Courier New" w:cs="Courier New" w:eastAsia="Courier New" w:hAnsi="Courier New"/>
          <w:sz w:val="16"/>
          <w:szCs w:val="16"/>
          <w:color w:val="auto"/>
        </w:rPr>
        <w:t>91,693</w:t>
      </w:r>
      <w:r>
        <w:rPr>
          <w:sz w:val="20"/>
          <w:szCs w:val="20"/>
          <w:color w:val="auto"/>
        </w:rPr>
        <w:tab/>
      </w:r>
      <w:r>
        <w:rPr>
          <w:rFonts w:ascii="Courier New" w:cs="Courier New" w:eastAsia="Courier New" w:hAnsi="Courier New"/>
          <w:sz w:val="16"/>
          <w:szCs w:val="16"/>
          <w:color w:val="auto"/>
        </w:rPr>
        <w:t>85,294</w:t>
      </w:r>
      <w:r>
        <w:rPr>
          <w:sz w:val="20"/>
          <w:szCs w:val="20"/>
          <w:color w:val="auto"/>
        </w:rPr>
        <w:tab/>
      </w:r>
      <w:r>
        <w:rPr>
          <w:rFonts w:ascii="Courier New" w:cs="Courier New" w:eastAsia="Courier New" w:hAnsi="Courier New"/>
          <w:sz w:val="16"/>
          <w:szCs w:val="16"/>
          <w:color w:val="auto"/>
        </w:rPr>
        <w:t>43,452</w:t>
      </w:r>
      <w:r>
        <w:rPr>
          <w:sz w:val="20"/>
          <w:szCs w:val="20"/>
          <w:color w:val="auto"/>
        </w:rPr>
        <w:tab/>
      </w:r>
      <w:r>
        <w:rPr>
          <w:rFonts w:ascii="Courier New" w:cs="Courier New" w:eastAsia="Courier New" w:hAnsi="Courier New"/>
          <w:sz w:val="16"/>
          <w:szCs w:val="16"/>
          <w:color w:val="auto"/>
        </w:rPr>
        <w:t>73,006</w:t>
      </w:r>
      <w:r>
        <w:rPr>
          <w:sz w:val="20"/>
          <w:szCs w:val="20"/>
          <w:color w:val="auto"/>
        </w:rPr>
        <w:tab/>
      </w:r>
      <w:r>
        <w:rPr>
          <w:rFonts w:ascii="Courier New" w:cs="Courier New" w:eastAsia="Courier New" w:hAnsi="Courier New"/>
          <w:sz w:val="16"/>
          <w:szCs w:val="16"/>
          <w:color w:val="auto"/>
        </w:rPr>
        <w:t>38,289</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 ============ ============ ============</w:t>
      </w:r>
    </w:p>
    <w:p>
      <w:pPr>
        <w:spacing w:after="0" w:line="207" w:lineRule="exact"/>
        <w:rPr>
          <w:sz w:val="20"/>
          <w:szCs w:val="20"/>
          <w:color w:val="auto"/>
        </w:rPr>
      </w:pPr>
    </w:p>
    <w:p>
      <w:pPr>
        <w:sectPr>
          <w:pgSz w:w="11900" w:h="16838" w:orient="portrait"/>
          <w:cols w:equalWidth="0" w:num="2">
            <w:col w:w="1361" w:space="680"/>
            <w:col w:w="8179"/>
          </w:cols>
          <w:pgMar w:left="239" w:top="1049" w:right="1440" w:bottom="1440" w:gutter="0" w:footer="0" w:header="0"/>
          <w:type w:val="continuous"/>
        </w:sectPr>
      </w:pPr>
    </w:p>
    <w:p>
      <w:pPr>
        <w:spacing w:after="0" w:line="170" w:lineRule="exact"/>
        <w:rPr>
          <w:sz w:val="20"/>
          <w:szCs w:val="20"/>
          <w:color w:val="auto"/>
        </w:rPr>
      </w:pPr>
    </w:p>
    <w:p>
      <w:pPr>
        <w:ind w:left="581" w:right="2559"/>
        <w:spacing w:after="0" w:line="247" w:lineRule="auto"/>
        <w:rPr>
          <w:sz w:val="20"/>
          <w:szCs w:val="20"/>
          <w:color w:val="auto"/>
        </w:rPr>
      </w:pPr>
      <w:r>
        <w:rPr>
          <w:rFonts w:ascii="Courier New" w:cs="Courier New" w:eastAsia="Courier New" w:hAnsi="Courier New"/>
          <w:sz w:val="16"/>
          <w:szCs w:val="16"/>
          <w:color w:val="auto"/>
        </w:rPr>
        <w:t>Two customers comprised 49%, 46% and 48% of ball and roller sales during the years ended December 31, 2000, 1999, and 1998, respectively. One customer comprised 20% and 35% of plastics sales for the years ended December 31, 2000 and 1999, respectively. The Company has a supply agreement at prevailing market prices with the major plastics customer to be the exclusive supplier of all manufactured product sold by the customer. This supply agreement is effective through October 31, 2004.</w:t>
      </w:r>
    </w:p>
    <w:p>
      <w:pPr>
        <w:spacing w:after="0" w:line="185" w:lineRule="exact"/>
        <w:rPr>
          <w:sz w:val="20"/>
          <w:szCs w:val="20"/>
          <w:color w:val="auto"/>
        </w:rPr>
      </w:pPr>
    </w:p>
    <w:p>
      <w:pPr>
        <w:ind w:left="581" w:hanging="581"/>
        <w:spacing w:after="0"/>
        <w:tabs>
          <w:tab w:leader="none" w:pos="5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left="1" w:right="3039" w:firstLine="581"/>
        <w:spacing w:after="0" w:line="248" w:lineRule="auto"/>
        <w:rPr>
          <w:sz w:val="20"/>
          <w:szCs w:val="20"/>
          <w:color w:val="auto"/>
        </w:rPr>
      </w:pPr>
      <w:r>
        <w:rPr>
          <w:rFonts w:ascii="Courier New" w:cs="Courier New" w:eastAsia="Courier New" w:hAnsi="Courier New"/>
          <w:sz w:val="16"/>
          <w:szCs w:val="16"/>
          <w:color w:val="auto"/>
        </w:rPr>
        <w:t>Income tax expense attributable to income from continuing operations consists of:</w:t>
      </w:r>
    </w:p>
    <w:p>
      <w:pPr>
        <w:spacing w:after="0" w:line="184"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412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1800" w:type="dxa"/>
            <w:vAlign w:val="bottom"/>
          </w:tcPr>
          <w:p>
            <w:pPr>
              <w:spacing w:after="0"/>
              <w:rPr>
                <w:sz w:val="16"/>
                <w:szCs w:val="16"/>
                <w:color w:val="auto"/>
              </w:rPr>
            </w:pPr>
          </w:p>
        </w:tc>
        <w:tc>
          <w:tcPr>
            <w:tcW w:w="16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13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1800" w:type="dxa"/>
            <w:vAlign w:val="bottom"/>
          </w:tcPr>
          <w:p>
            <w:pPr>
              <w:spacing w:after="0"/>
              <w:rPr>
                <w:sz w:val="16"/>
                <w:szCs w:val="16"/>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3"/>
        </w:trPr>
        <w:tc>
          <w:tcPr>
            <w:tcW w:w="18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U.S. Federal</w:t>
            </w:r>
          </w:p>
        </w:tc>
        <w:tc>
          <w:tcPr>
            <w:tcW w:w="1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3,496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3,960</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3,899</w:t>
            </w:r>
          </w:p>
        </w:tc>
      </w:tr>
      <w:tr>
        <w:trPr>
          <w:trHeight w:val="186"/>
        </w:trPr>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1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452</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469</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432</w:t>
            </w:r>
          </w:p>
        </w:tc>
      </w:tr>
      <w:tr>
        <w:trPr>
          <w:trHeight w:val="186"/>
        </w:trPr>
        <w:tc>
          <w:tcPr>
            <w:tcW w:w="1800" w:type="dxa"/>
            <w:vAlign w:val="bottom"/>
          </w:tcPr>
          <w:p>
            <w:pPr>
              <w:ind w:left="200"/>
              <w:spacing w:after="0"/>
              <w:rPr>
                <w:sz w:val="20"/>
                <w:szCs w:val="20"/>
                <w:color w:val="auto"/>
              </w:rPr>
            </w:pPr>
            <w:r>
              <w:rPr>
                <w:rFonts w:ascii="Courier New" w:cs="Courier New" w:eastAsia="Courier New" w:hAnsi="Courier New"/>
                <w:sz w:val="16"/>
                <w:szCs w:val="16"/>
                <w:color w:val="auto"/>
              </w:rPr>
              <w:t>Non-U.S.</w:t>
            </w:r>
          </w:p>
        </w:tc>
        <w:tc>
          <w:tcPr>
            <w:tcW w:w="1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826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1800" w:type="dxa"/>
            <w:vAlign w:val="bottom"/>
          </w:tcPr>
          <w:p>
            <w:pPr>
              <w:spacing w:after="0"/>
              <w:rPr>
                <w:sz w:val="16"/>
                <w:szCs w:val="16"/>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3"/>
        </w:trPr>
        <w:tc>
          <w:tcPr>
            <w:tcW w:w="1800" w:type="dxa"/>
            <w:vAlign w:val="bottom"/>
          </w:tcPr>
          <w:p>
            <w:pPr>
              <w:spacing w:after="0"/>
              <w:rPr>
                <w:sz w:val="24"/>
                <w:szCs w:val="24"/>
                <w:color w:val="auto"/>
              </w:rPr>
            </w:pPr>
          </w:p>
        </w:tc>
        <w:tc>
          <w:tcPr>
            <w:tcW w:w="1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4,774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4,429</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4,331</w:t>
            </w:r>
          </w:p>
        </w:tc>
      </w:tr>
    </w:tbl>
    <w:p>
      <w:pPr>
        <w:spacing w:after="0" w:line="4"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 -------------- ---------</w:t>
      </w:r>
    </w:p>
    <w:p>
      <w:pPr>
        <w:spacing w:after="0" w:line="191" w:lineRule="exact"/>
        <w:rPr>
          <w:sz w:val="20"/>
          <w:szCs w:val="20"/>
          <w:color w:val="auto"/>
        </w:rPr>
      </w:pPr>
    </w:p>
    <w:p>
      <w:pPr>
        <w:ind w:left="6681"/>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0"/>
          </w:cols>
          <w:pgMar w:left="239" w:top="1049" w:right="1440" w:bottom="1440" w:gutter="0" w:footer="0" w:header="0"/>
          <w:type w:val="continuous"/>
        </w:sectPr>
      </w:pPr>
    </w:p>
    <w:bookmarkStart w:id="40" w:name="page41"/>
    <w:bookmarkEnd w:id="40"/>
    <w:p>
      <w:pPr>
        <w:jc w:val="center"/>
        <w:ind w:right="303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64"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Year ended December 31,</w:t>
      </w:r>
    </w:p>
    <w:p>
      <w:pPr>
        <w:spacing w:after="0" w:line="5" w:lineRule="exact"/>
        <w:rPr>
          <w:sz w:val="20"/>
          <w:szCs w:val="20"/>
          <w:color w:val="auto"/>
        </w:rPr>
      </w:pPr>
    </w:p>
    <w:p>
      <w:pPr>
        <w:ind w:left="4940"/>
        <w:spacing w:after="0"/>
        <w:tabs>
          <w:tab w:leader="none" w:pos="6180" w:val="left"/>
          <w:tab w:leader="none" w:pos="744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639"/>
          </w:cols>
          <w:pgMar w:left="820" w:top="1049" w:right="1440" w:bottom="136"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U.S. Federal</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State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Non-U.S.</w:t>
      </w:r>
    </w:p>
    <w:p>
      <w:pPr>
        <w:spacing w:after="0" w:line="19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Total deferred expense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980"/>
        <w:spacing w:after="0"/>
        <w:tabs>
          <w:tab w:leader="none" w:pos="2120" w:val="left"/>
          <w:tab w:leader="none" w:pos="3460" w:val="left"/>
        </w:tabs>
        <w:rPr>
          <w:sz w:val="20"/>
          <w:szCs w:val="20"/>
          <w:color w:val="auto"/>
        </w:rPr>
      </w:pPr>
      <w:r>
        <w:rPr>
          <w:rFonts w:ascii="Courier New" w:cs="Courier New" w:eastAsia="Courier New" w:hAnsi="Courier New"/>
          <w:sz w:val="16"/>
          <w:szCs w:val="16"/>
          <w:color w:val="auto"/>
        </w:rPr>
        <w:t>496</w:t>
      </w:r>
      <w:r>
        <w:rPr>
          <w:sz w:val="20"/>
          <w:szCs w:val="20"/>
          <w:color w:val="auto"/>
        </w:rPr>
        <w:tab/>
      </w:r>
      <w:r>
        <w:rPr>
          <w:rFonts w:ascii="Courier New" w:cs="Courier New" w:eastAsia="Courier New" w:hAnsi="Courier New"/>
          <w:sz w:val="16"/>
          <w:szCs w:val="16"/>
          <w:color w:val="auto"/>
        </w:rPr>
        <w:t>(335)</w:t>
      </w:r>
      <w:r>
        <w:rPr>
          <w:sz w:val="20"/>
          <w:szCs w:val="20"/>
          <w:color w:val="auto"/>
        </w:rPr>
        <w:tab/>
      </w:r>
      <w:r>
        <w:rPr>
          <w:rFonts w:ascii="Courier New" w:cs="Courier New" w:eastAsia="Courier New" w:hAnsi="Courier New"/>
          <w:sz w:val="16"/>
          <w:szCs w:val="16"/>
          <w:color w:val="auto"/>
        </w:rPr>
        <w:t>115</w:t>
      </w:r>
    </w:p>
    <w:p>
      <w:pPr>
        <w:spacing w:after="0" w:line="5" w:lineRule="exact"/>
        <w:rPr>
          <w:sz w:val="20"/>
          <w:szCs w:val="20"/>
          <w:color w:val="auto"/>
        </w:rPr>
      </w:pPr>
    </w:p>
    <w:p>
      <w:pPr>
        <w:ind w:left="1060"/>
        <w:spacing w:after="0"/>
        <w:tabs>
          <w:tab w:leader="none" w:pos="2220" w:val="left"/>
          <w:tab w:leader="none" w:pos="356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34</w:t>
      </w:r>
    </w:p>
    <w:p>
      <w:pPr>
        <w:spacing w:after="0" w:line="5" w:lineRule="exact"/>
        <w:rPr>
          <w:sz w:val="20"/>
          <w:szCs w:val="20"/>
          <w:color w:val="auto"/>
        </w:rPr>
      </w:pPr>
    </w:p>
    <w:p>
      <w:pPr>
        <w:ind w:left="980"/>
        <w:spacing w:after="0"/>
        <w:tabs>
          <w:tab w:leader="none" w:pos="2300" w:val="left"/>
          <w:tab w:leader="none" w:pos="3560" w:val="left"/>
        </w:tabs>
        <w:rPr>
          <w:sz w:val="20"/>
          <w:szCs w:val="20"/>
          <w:color w:val="auto"/>
        </w:rPr>
      </w:pPr>
      <w:r>
        <w:rPr>
          <w:rFonts w:ascii="Courier New" w:cs="Courier New" w:eastAsia="Courier New" w:hAnsi="Courier New"/>
          <w:sz w:val="16"/>
          <w:szCs w:val="16"/>
          <w:color w:val="auto"/>
        </w:rPr>
        <w:t>626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780"/>
        <w:spacing w:after="0"/>
        <w:tabs>
          <w:tab w:leader="none" w:pos="2120" w:val="left"/>
          <w:tab w:leader="none" w:pos="3460" w:val="left"/>
        </w:tabs>
        <w:rPr>
          <w:sz w:val="20"/>
          <w:szCs w:val="20"/>
          <w:color w:val="auto"/>
        </w:rPr>
      </w:pPr>
      <w:r>
        <w:rPr>
          <w:rFonts w:ascii="Courier New" w:cs="Courier New" w:eastAsia="Courier New" w:hAnsi="Courier New"/>
          <w:sz w:val="16"/>
          <w:szCs w:val="16"/>
          <w:color w:val="auto"/>
        </w:rPr>
        <w:t>1,185</w:t>
      </w:r>
      <w:r>
        <w:rPr>
          <w:sz w:val="20"/>
          <w:szCs w:val="20"/>
          <w:color w:val="auto"/>
        </w:rPr>
        <w:tab/>
      </w:r>
      <w:r>
        <w:rPr>
          <w:rFonts w:ascii="Courier New" w:cs="Courier New" w:eastAsia="Courier New" w:hAnsi="Courier New"/>
          <w:sz w:val="16"/>
          <w:szCs w:val="16"/>
          <w:color w:val="auto"/>
        </w:rPr>
        <w:t>(369)</w:t>
      </w:r>
      <w:r>
        <w:rPr>
          <w:sz w:val="20"/>
          <w:szCs w:val="20"/>
          <w:color w:val="auto"/>
        </w:rPr>
        <w:tab/>
      </w:r>
      <w:r>
        <w:rPr>
          <w:rFonts w:ascii="Courier New" w:cs="Courier New" w:eastAsia="Courier New" w:hAnsi="Courier New"/>
          <w:sz w:val="16"/>
          <w:szCs w:val="16"/>
          <w:color w:val="auto"/>
        </w:rPr>
        <w:t>149</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60" w:val="left"/>
          <w:tab w:leader="none" w:pos="2020" w:val="left"/>
          <w:tab w:leader="none" w:pos="3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5,959</w:t>
      </w:r>
      <w:r>
        <w:rPr>
          <w:sz w:val="20"/>
          <w:szCs w:val="20"/>
          <w:color w:val="auto"/>
        </w:rPr>
        <w:tab/>
      </w:r>
      <w:r>
        <w:rPr>
          <w:rFonts w:ascii="Courier New" w:cs="Courier New" w:eastAsia="Courier New" w:hAnsi="Courier New"/>
          <w:sz w:val="16"/>
          <w:szCs w:val="16"/>
          <w:color w:val="auto"/>
        </w:rPr>
        <w:t>4,060</w:t>
      </w:r>
      <w:r>
        <w:rPr>
          <w:sz w:val="20"/>
          <w:szCs w:val="20"/>
          <w:color w:val="auto"/>
        </w:rPr>
        <w:tab/>
      </w:r>
      <w:r>
        <w:rPr>
          <w:rFonts w:ascii="Courier New" w:cs="Courier New" w:eastAsia="Courier New" w:hAnsi="Courier New"/>
          <w:sz w:val="16"/>
          <w:szCs w:val="16"/>
          <w:color w:val="auto"/>
        </w:rPr>
        <w:t>4,480</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40" w:space="720"/>
            <w:col w:w="5279"/>
          </w:cols>
          <w:pgMar w:left="820" w:top="1049" w:right="1440" w:bottom="136" w:gutter="0" w:footer="0" w:header="0"/>
          <w:type w:val="continuous"/>
        </w:sectPr>
      </w:pPr>
    </w:p>
    <w:p>
      <w:pPr>
        <w:spacing w:after="0" w:line="178"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 reconciliation of taxes based on the U.S. federal statutory rate of 34%, 34% and 35% for the years ended December 31, 2000, 1999 and 1998, respectively, is summarized as follows: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60" w:type="dxa"/>
            <w:vAlign w:val="bottom"/>
          </w:tcPr>
          <w:p>
            <w:pPr>
              <w:spacing w:after="0"/>
              <w:rPr>
                <w:sz w:val="15"/>
                <w:szCs w:val="15"/>
                <w:color w:val="auto"/>
              </w:rPr>
            </w:pPr>
          </w:p>
        </w:tc>
        <w:tc>
          <w:tcPr>
            <w:tcW w:w="388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456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45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4560" w:type="dxa"/>
            <w:vAlign w:val="bottom"/>
          </w:tcPr>
          <w:p>
            <w:pPr>
              <w:spacing w:after="0"/>
              <w:rPr>
                <w:sz w:val="20"/>
                <w:szCs w:val="20"/>
                <w:color w:val="auto"/>
              </w:rPr>
            </w:pPr>
            <w:r>
              <w:rPr>
                <w:rFonts w:ascii="Courier New" w:cs="Courier New" w:eastAsia="Courier New" w:hAnsi="Courier New"/>
                <w:sz w:val="16"/>
                <w:szCs w:val="16"/>
                <w:color w:val="auto"/>
              </w:rPr>
              <w:t>Income taxes at the federal statutory rate   $</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5,646</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4,006</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4,247</w:t>
            </w: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State income taxes, net of federal benefit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340</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289</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309</w:t>
            </w: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Foreign sales corporation benefit, net of</w:t>
            </w:r>
          </w:p>
        </w:tc>
        <w:tc>
          <w:tcPr>
            <w:tcW w:w="1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liability</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(183)</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(256)</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(312)</w:t>
            </w: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Non-US earnings taxed at different rates</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337</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(182)</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w:t>
            </w: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(181)</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203</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192</w:t>
            </w:r>
          </w:p>
        </w:tc>
      </w:tr>
      <w:tr>
        <w:trPr>
          <w:trHeight w:val="186"/>
        </w:trPr>
        <w:tc>
          <w:tcPr>
            <w:tcW w:w="45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560" w:type="dxa"/>
            <w:vAlign w:val="bottom"/>
          </w:tcPr>
          <w:p>
            <w:pPr>
              <w:ind w:left="43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5,959</w:t>
            </w:r>
          </w:p>
        </w:tc>
        <w:tc>
          <w:tcPr>
            <w:tcW w:w="14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4,060</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4,480</w:t>
            </w:r>
          </w:p>
        </w:tc>
      </w:tr>
      <w:tr>
        <w:trPr>
          <w:trHeight w:val="186"/>
        </w:trPr>
        <w:tc>
          <w:tcPr>
            <w:tcW w:w="456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tax effects of the temporary differences are as follows: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Year ended December 31,</w:t>
            </w: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Deferred income tax liability</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Tax in excess of book depreciation</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5,050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3,565</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Duty drawback receivable</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69</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161</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Goodwill</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Other deferred tax liabilities</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123</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Gross deferred income tax liability</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5,452</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3,767</w:t>
            </w: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Deferred income tax assets</w:t>
            </w: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182</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406</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Allowance for bad debts</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279</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332</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Vacation accrual</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287</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216</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Health insurance accrual</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83</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Other working capital accruals</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230</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80</w:t>
            </w: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Gross deferred income tax assets</w:t>
            </w:r>
          </w:p>
        </w:tc>
        <w:tc>
          <w:tcPr>
            <w:tcW w:w="1160" w:type="dxa"/>
            <w:vAlign w:val="bottom"/>
          </w:tcPr>
          <w:p>
            <w:pPr>
              <w:spacing w:after="0"/>
              <w:rPr>
                <w:sz w:val="16"/>
                <w:szCs w:val="16"/>
                <w:color w:val="auto"/>
              </w:rPr>
            </w:pP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1,061</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1,156</w:t>
            </w: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Net deferred income tax liability</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4,391</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2,611</w:t>
            </w:r>
          </w:p>
        </w:tc>
      </w:tr>
      <w:tr>
        <w:trPr>
          <w:trHeight w:val="186"/>
        </w:trPr>
        <w:tc>
          <w:tcPr>
            <w:tcW w:w="4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9639"/>
          </w:cols>
          <w:pgMar w:left="820" w:top="1049" w:right="1440" w:bottom="136" w:gutter="0" w:footer="0" w:header="0"/>
          <w:type w:val="continuous"/>
        </w:sectPr>
      </w:pPr>
    </w:p>
    <w:bookmarkStart w:id="41" w:name="page42"/>
    <w:bookmarkEnd w:id="41"/>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0" w:right="2759"/>
        <w:spacing w:after="0" w:line="248" w:lineRule="auto"/>
        <w:rPr>
          <w:sz w:val="20"/>
          <w:szCs w:val="20"/>
          <w:color w:val="auto"/>
        </w:rPr>
      </w:pPr>
      <w:r>
        <w:rPr>
          <w:rFonts w:ascii="Courier New" w:cs="Courier New" w:eastAsia="Courier New" w:hAnsi="Courier New"/>
          <w:sz w:val="16"/>
          <w:szCs w:val="16"/>
          <w:color w:val="auto"/>
        </w:rPr>
        <w:t>Deferred income tax expense differs from the change in the net deferred income tax liability due to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2000</w:t>
            </w:r>
          </w:p>
        </w:tc>
        <w:tc>
          <w:tcPr>
            <w:tcW w:w="880" w:type="dxa"/>
            <w:vAlign w:val="bottom"/>
          </w:tcPr>
          <w:p>
            <w:pPr>
              <w:spacing w:after="0"/>
              <w:rPr>
                <w:sz w:val="15"/>
                <w:szCs w:val="15"/>
                <w:color w:val="auto"/>
              </w:rPr>
            </w:pP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373"/>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Change in net deferred income tax liability</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1,780</w:t>
            </w:r>
          </w:p>
        </w:tc>
        <w:tc>
          <w:tcPr>
            <w:tcW w:w="880" w:type="dxa"/>
            <w:vAlign w:val="bottom"/>
          </w:tcPr>
          <w:p>
            <w:pPr>
              <w:spacing w:after="0"/>
              <w:rPr>
                <w:sz w:val="24"/>
                <w:szCs w:val="24"/>
                <w:color w:val="auto"/>
              </w:rPr>
            </w:pPr>
          </w:p>
        </w:tc>
      </w:tr>
      <w:tr>
        <w:trPr>
          <w:trHeight w:val="186"/>
        </w:trPr>
        <w:tc>
          <w:tcPr>
            <w:tcW w:w="508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Acquisition of deferred tax liability recorded</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6"/>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under purchase accounting</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(595)</w:t>
            </w:r>
          </w:p>
        </w:tc>
        <w:tc>
          <w:tcPr>
            <w:tcW w:w="880" w:type="dxa"/>
            <w:vAlign w:val="bottom"/>
          </w:tcPr>
          <w:p>
            <w:pPr>
              <w:spacing w:after="0"/>
              <w:rPr>
                <w:sz w:val="16"/>
                <w:szCs w:val="16"/>
                <w:color w:val="auto"/>
              </w:rPr>
            </w:pP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186"/>
        </w:trPr>
        <w:tc>
          <w:tcPr>
            <w:tcW w:w="4840" w:type="dxa"/>
            <w:vAlign w:val="bottom"/>
          </w:tcPr>
          <w:p>
            <w:pPr>
              <w:ind w:left="880"/>
              <w:spacing w:after="0"/>
              <w:rPr>
                <w:sz w:val="20"/>
                <w:szCs w:val="20"/>
                <w:color w:val="auto"/>
              </w:rPr>
            </w:pPr>
            <w:r>
              <w:rPr>
                <w:rFonts w:ascii="Courier New" w:cs="Courier New" w:eastAsia="Courier New" w:hAnsi="Courier New"/>
                <w:sz w:val="16"/>
                <w:szCs w:val="16"/>
                <w:color w:val="auto"/>
              </w:rPr>
              <w:t>Deferred income tax expense</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1,185</w:t>
            </w:r>
          </w:p>
        </w:tc>
        <w:tc>
          <w:tcPr>
            <w:tcW w:w="880" w:type="dxa"/>
            <w:vAlign w:val="bottom"/>
          </w:tcPr>
          <w:p>
            <w:pPr>
              <w:spacing w:after="0"/>
              <w:rPr>
                <w:sz w:val="16"/>
                <w:szCs w:val="16"/>
                <w:color w:val="auto"/>
              </w:rPr>
            </w:pP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r>
        <w:trPr>
          <w:trHeight w:val="373"/>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Although realization of deferred tax assets is not assured, management</w:t>
            </w:r>
          </w:p>
        </w:tc>
        <w:tc>
          <w:tcPr>
            <w:tcW w:w="880" w:type="dxa"/>
            <w:vAlign w:val="bottom"/>
          </w:tcPr>
          <w:p>
            <w:pPr>
              <w:spacing w:after="0"/>
              <w:rPr>
                <w:sz w:val="24"/>
                <w:szCs w:val="24"/>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believes that it is more likely than not that all of the deferred tax</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assets will be realized. However, the amount of the deferred tax assets</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considered realizable could be reduced based on changing conditions.</w:t>
            </w:r>
          </w:p>
        </w:tc>
        <w:tc>
          <w:tcPr>
            <w:tcW w:w="880" w:type="dxa"/>
            <w:vAlign w:val="bottom"/>
          </w:tcPr>
          <w:p>
            <w:pPr>
              <w:spacing w:after="0"/>
              <w:rPr>
                <w:sz w:val="16"/>
                <w:szCs w:val="16"/>
                <w:color w:val="auto"/>
              </w:rPr>
            </w:pPr>
          </w:p>
        </w:tc>
      </w:tr>
      <w:tr>
        <w:trPr>
          <w:trHeight w:val="373"/>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The Company has not recognized a deferred tax liability for the</w:t>
            </w:r>
          </w:p>
        </w:tc>
        <w:tc>
          <w:tcPr>
            <w:tcW w:w="880" w:type="dxa"/>
            <w:vAlign w:val="bottom"/>
          </w:tcPr>
          <w:p>
            <w:pPr>
              <w:spacing w:after="0"/>
              <w:rPr>
                <w:sz w:val="24"/>
                <w:szCs w:val="24"/>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undistributed earnings of its non-U.S. subsidiaries and non-U.S. corporate</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joint ventures. The Company expects to reinvest these undistributed</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earnings indefinitely and does not expect such earnings to become subject</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to U.S. taxation in the foreseeable future. A deferred tax liability will</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be recognized when the Company expects that it will recover these</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undistributed earnings in a taxable manner, such as through the receipt of</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dividends or sale of the investments. It is not practicable to determine</w:t>
            </w:r>
          </w:p>
        </w:tc>
        <w:tc>
          <w:tcPr>
            <w:tcW w:w="880" w:type="dxa"/>
            <w:vAlign w:val="bottom"/>
          </w:tcPr>
          <w:p>
            <w:pPr>
              <w:spacing w:after="0"/>
              <w:rPr>
                <w:sz w:val="16"/>
                <w:szCs w:val="16"/>
                <w:color w:val="auto"/>
              </w:rPr>
            </w:pPr>
          </w:p>
        </w:tc>
      </w:tr>
      <w:tr>
        <w:trPr>
          <w:trHeight w:val="186"/>
        </w:trPr>
        <w:tc>
          <w:tcPr>
            <w:tcW w:w="8140" w:type="dxa"/>
            <w:vAlign w:val="bottom"/>
            <w:gridSpan w:val="5"/>
          </w:tcPr>
          <w:p>
            <w:pPr>
              <w:ind w:left="580"/>
              <w:spacing w:after="0"/>
              <w:rPr>
                <w:sz w:val="20"/>
                <w:szCs w:val="20"/>
                <w:color w:val="auto"/>
              </w:rPr>
            </w:pPr>
            <w:r>
              <w:rPr>
                <w:rFonts w:ascii="Courier New" w:cs="Courier New" w:eastAsia="Courier New" w:hAnsi="Courier New"/>
                <w:sz w:val="16"/>
                <w:szCs w:val="16"/>
                <w:color w:val="auto"/>
              </w:rPr>
              <w:t>the U.S. income tax liability, if any, that would be payable if such</w:t>
            </w:r>
          </w:p>
        </w:tc>
        <w:tc>
          <w:tcPr>
            <w:tcW w:w="880" w:type="dxa"/>
            <w:vAlign w:val="bottom"/>
          </w:tcPr>
          <w:p>
            <w:pPr>
              <w:spacing w:after="0"/>
              <w:rPr>
                <w:sz w:val="16"/>
                <w:szCs w:val="16"/>
                <w:color w:val="auto"/>
              </w:rPr>
            </w:pPr>
          </w:p>
        </w:tc>
      </w:tr>
      <w:tr>
        <w:trPr>
          <w:trHeight w:val="186"/>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earnings were not reinvested indefinitely.</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3"/>
        </w:trPr>
        <w:tc>
          <w:tcPr>
            <w:tcW w:w="630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Income tax payments were approximately $5,207, $3,123 and $</w:t>
            </w:r>
          </w:p>
        </w:tc>
        <w:tc>
          <w:tcPr>
            <w:tcW w:w="184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3,052 in 2000,</w:t>
            </w:r>
          </w:p>
        </w:tc>
        <w:tc>
          <w:tcPr>
            <w:tcW w:w="880" w:type="dxa"/>
            <w:vAlign w:val="bottom"/>
          </w:tcPr>
          <w:p>
            <w:pPr>
              <w:spacing w:after="0"/>
              <w:rPr>
                <w:sz w:val="24"/>
                <w:szCs w:val="24"/>
                <w:color w:val="auto"/>
              </w:rPr>
            </w:pPr>
          </w:p>
        </w:tc>
      </w:tr>
      <w:tr>
        <w:trPr>
          <w:trHeight w:val="186"/>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1999, 1998, respectively.</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3"/>
        </w:trPr>
        <w:tc>
          <w:tcPr>
            <w:tcW w:w="4840" w:type="dxa"/>
            <w:vAlign w:val="bottom"/>
          </w:tcPr>
          <w:p>
            <w:pPr>
              <w:spacing w:after="0"/>
              <w:rPr>
                <w:sz w:val="20"/>
                <w:szCs w:val="20"/>
                <w:color w:val="auto"/>
              </w:rPr>
            </w:pPr>
            <w:r>
              <w:rPr>
                <w:rFonts w:ascii="Courier New" w:cs="Courier New" w:eastAsia="Courier New" w:hAnsi="Courier New"/>
                <w:sz w:val="16"/>
                <w:szCs w:val="16"/>
                <w:color w:val="auto"/>
              </w:rPr>
              <w:t>(12)  Reconciliation of Net Income Per Share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45"/>
        </w:trPr>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3"/>
          </w:tcPr>
          <w:p>
            <w:pPr>
              <w:jc w:val="center"/>
              <w:ind w:left="659"/>
              <w:spacing w:after="0"/>
              <w:rPr>
                <w:sz w:val="20"/>
                <w:szCs w:val="20"/>
                <w:color w:val="auto"/>
              </w:rPr>
            </w:pPr>
            <w:r>
              <w:rPr>
                <w:rFonts w:ascii="Courier New" w:cs="Courier New" w:eastAsia="Courier New" w:hAnsi="Courier New"/>
                <w:sz w:val="16"/>
                <w:szCs w:val="16"/>
                <w:color w:val="auto"/>
              </w:rPr>
              <w:t>Years ended December 31,</w:t>
            </w:r>
          </w:p>
        </w:tc>
        <w:tc>
          <w:tcPr>
            <w:tcW w:w="880" w:type="dxa"/>
            <w:vAlign w:val="bottom"/>
          </w:tcPr>
          <w:p>
            <w:pPr>
              <w:spacing w:after="0"/>
              <w:rPr>
                <w:sz w:val="24"/>
                <w:szCs w:val="24"/>
                <w:color w:val="auto"/>
              </w:rPr>
            </w:pP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1840" w:type="dxa"/>
            <w:vAlign w:val="bottom"/>
          </w:tcPr>
          <w:p>
            <w:pPr>
              <w:jc w:val="center"/>
              <w:ind w:right="399"/>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3"/>
              </w:rPr>
              <w:t>1998</w:t>
            </w: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9,987</w:t>
            </w:r>
          </w:p>
        </w:tc>
        <w:tc>
          <w:tcPr>
            <w:tcW w:w="140" w:type="dxa"/>
            <w:vAlign w:val="bottom"/>
          </w:tcPr>
          <w:p>
            <w:pPr>
              <w:spacing w:after="0"/>
              <w:rPr>
                <w:sz w:val="24"/>
                <w:szCs w:val="24"/>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7,759</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7,656</w:t>
            </w:r>
          </w:p>
        </w:tc>
      </w:tr>
      <w:tr>
        <w:trPr>
          <w:trHeight w:val="373"/>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Weighted average shares outstanding</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15,247</w:t>
            </w:r>
          </w:p>
        </w:tc>
        <w:tc>
          <w:tcPr>
            <w:tcW w:w="140" w:type="dxa"/>
            <w:vAlign w:val="bottom"/>
          </w:tcPr>
          <w:p>
            <w:pPr>
              <w:spacing w:after="0"/>
              <w:rPr>
                <w:sz w:val="24"/>
                <w:szCs w:val="24"/>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15,021</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14,804</w:t>
            </w:r>
          </w:p>
        </w:tc>
      </w:tr>
      <w:tr>
        <w:trPr>
          <w:trHeight w:val="186"/>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Effective of dilutive stock options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284</w:t>
            </w:r>
          </w:p>
        </w:tc>
        <w:tc>
          <w:tcPr>
            <w:tcW w:w="140" w:type="dxa"/>
            <w:vAlign w:val="bottom"/>
          </w:tcPr>
          <w:p>
            <w:pPr>
              <w:spacing w:after="0"/>
              <w:rPr>
                <w:sz w:val="16"/>
                <w:szCs w:val="16"/>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w:t>
            </w: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Dilutive shares outstanding</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15,531</w:t>
            </w:r>
          </w:p>
        </w:tc>
        <w:tc>
          <w:tcPr>
            <w:tcW w:w="140" w:type="dxa"/>
            <w:vAlign w:val="bottom"/>
          </w:tcPr>
          <w:p>
            <w:pPr>
              <w:spacing w:after="0"/>
              <w:rPr>
                <w:sz w:val="16"/>
                <w:szCs w:val="16"/>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15,038</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7"/>
              </w:rPr>
              <w:t>14,804</w:t>
            </w:r>
          </w:p>
        </w:tc>
      </w:tr>
      <w:tr>
        <w:trPr>
          <w:trHeight w:val="373"/>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Basic net income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0.66</w:t>
            </w:r>
          </w:p>
        </w:tc>
        <w:tc>
          <w:tcPr>
            <w:tcW w:w="140" w:type="dxa"/>
            <w:vAlign w:val="bottom"/>
          </w:tcPr>
          <w:p>
            <w:pPr>
              <w:spacing w:after="0"/>
              <w:rPr>
                <w:sz w:val="24"/>
                <w:szCs w:val="24"/>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0.52</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0.52</w:t>
            </w:r>
          </w:p>
        </w:tc>
      </w:tr>
      <w:tr>
        <w:trPr>
          <w:trHeight w:val="373"/>
        </w:trPr>
        <w:tc>
          <w:tcPr>
            <w:tcW w:w="4840" w:type="dxa"/>
            <w:vAlign w:val="bottom"/>
          </w:tcPr>
          <w:p>
            <w:pPr>
              <w:ind w:left="580"/>
              <w:spacing w:after="0"/>
              <w:rPr>
                <w:sz w:val="20"/>
                <w:szCs w:val="20"/>
                <w:color w:val="auto"/>
              </w:rPr>
            </w:pPr>
            <w:r>
              <w:rPr>
                <w:rFonts w:ascii="Courier New" w:cs="Courier New" w:eastAsia="Courier New" w:hAnsi="Courier New"/>
                <w:sz w:val="16"/>
                <w:szCs w:val="16"/>
                <w:color w:val="auto"/>
              </w:rPr>
              <w:t>Diluted net income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0.64</w:t>
            </w:r>
          </w:p>
        </w:tc>
        <w:tc>
          <w:tcPr>
            <w:tcW w:w="140" w:type="dxa"/>
            <w:vAlign w:val="bottom"/>
          </w:tcPr>
          <w:p>
            <w:pPr>
              <w:spacing w:after="0"/>
              <w:rPr>
                <w:sz w:val="24"/>
                <w:szCs w:val="24"/>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0.52</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0.52</w:t>
            </w:r>
          </w:p>
        </w:tc>
      </w:tr>
    </w:tbl>
    <w:p>
      <w:pPr>
        <w:spacing w:after="0" w:line="200" w:lineRule="exact"/>
        <w:rPr>
          <w:sz w:val="20"/>
          <w:szCs w:val="20"/>
          <w:color w:val="auto"/>
        </w:rPr>
      </w:pPr>
    </w:p>
    <w:p>
      <w:pPr>
        <w:spacing w:after="0" w:line="363"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Excluded from the shares outstanding for the years ended December 31, 2000 and 1999 were 10 and 525 antidilutive options, respectively, which had exercise prices ranging from $9.75 to $11.50 and $6.38 to $15.50, respectively.</w:t>
      </w:r>
    </w:p>
    <w:p>
      <w:pPr>
        <w:spacing w:after="0" w:line="186" w:lineRule="exact"/>
        <w:rPr>
          <w:sz w:val="20"/>
          <w:szCs w:val="20"/>
          <w:color w:val="auto"/>
        </w:rPr>
      </w:pPr>
    </w:p>
    <w:p>
      <w:pPr>
        <w:ind w:left="6680"/>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490" w:right="1440" w:bottom="1440" w:gutter="0" w:footer="0" w:header="0"/>
        </w:sectPr>
      </w:pPr>
    </w:p>
    <w:bookmarkStart w:id="42" w:name="page43"/>
    <w:bookmarkEnd w:id="42"/>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1" w:right="2959"/>
        <w:spacing w:after="0" w:line="248" w:lineRule="auto"/>
        <w:rPr>
          <w:sz w:val="20"/>
          <w:szCs w:val="20"/>
          <w:color w:val="auto"/>
        </w:rPr>
      </w:pPr>
      <w:r>
        <w:rPr>
          <w:rFonts w:ascii="Courier New" w:cs="Courier New" w:eastAsia="Courier New" w:hAnsi="Courier New"/>
          <w:sz w:val="16"/>
          <w:szCs w:val="16"/>
          <w:color w:val="auto"/>
        </w:rPr>
        <w:t>The Company has declared a dividend of $0.32 per share in each of the years ending December 31, 2000, 1999 and 1998.</w:t>
      </w:r>
    </w:p>
    <w:p>
      <w:pPr>
        <w:spacing w:after="0" w:line="184" w:lineRule="exact"/>
        <w:rPr>
          <w:sz w:val="20"/>
          <w:szCs w:val="20"/>
          <w:color w:val="auto"/>
        </w:rPr>
      </w:pPr>
    </w:p>
    <w:p>
      <w:pPr>
        <w:ind w:left="581" w:hanging="581"/>
        <w:spacing w:after="0"/>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191" w:lineRule="exact"/>
        <w:rPr>
          <w:rFonts w:ascii="Courier New" w:cs="Courier New" w:eastAsia="Courier New" w:hAnsi="Courier New"/>
          <w:sz w:val="16"/>
          <w:szCs w:val="16"/>
          <w:color w:val="auto"/>
        </w:rPr>
      </w:pPr>
    </w:p>
    <w:p>
      <w:pPr>
        <w:ind w:left="5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operating lease commitments for machinery and office equipment, which expire on varying dates. Rent expense for 2000, 1999, and 1998 was $767, $376 and $370, respectively. The following is a schedule by year of future minimum lease payments as of December 31, 2000 under operating leases that have initial or remaining noncancelable lease terms in excess of one year.</w:t>
      </w:r>
    </w:p>
    <w:p>
      <w:pPr>
        <w:spacing w:after="0" w:line="185"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1361"/>
        <w:spacing w:after="0"/>
        <w:rPr>
          <w:sz w:val="20"/>
          <w:szCs w:val="20"/>
          <w:color w:val="auto"/>
        </w:rPr>
      </w:pPr>
      <w:r>
        <w:rPr>
          <w:rFonts w:ascii="Courier New" w:cs="Courier New" w:eastAsia="Courier New" w:hAnsi="Courier New"/>
          <w:sz w:val="16"/>
          <w:szCs w:val="16"/>
          <w:color w:val="auto"/>
        </w:rPr>
        <w:t>December 31,</w:t>
      </w:r>
    </w:p>
    <w:p>
      <w:pPr>
        <w:spacing w:after="0" w:line="5" w:lineRule="exact"/>
        <w:rPr>
          <w:sz w:val="20"/>
          <w:szCs w:val="20"/>
          <w:color w:val="auto"/>
        </w:rPr>
      </w:pPr>
    </w:p>
    <w:tbl>
      <w:tblPr>
        <w:tblLayout w:type="fixed"/>
        <w:tblInd w:w="1161" w:type="dxa"/>
        <w:tblCellMar>
          <w:top w:w="0" w:type="dxa"/>
          <w:left w:w="0" w:type="dxa"/>
          <w:bottom w:w="0" w:type="dxa"/>
          <w:right w:w="0" w:type="dxa"/>
        </w:tblCellMar>
      </w:tblP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73"/>
        </w:trPr>
        <w:tc>
          <w:tcPr>
            <w:tcW w:w="3820" w:type="dxa"/>
            <w:vAlign w:val="bottom"/>
          </w:tcPr>
          <w:p>
            <w:pPr>
              <w:ind w:left="580"/>
              <w:spacing w:after="0"/>
              <w:rPr>
                <w:sz w:val="20"/>
                <w:szCs w:val="20"/>
                <w:color w:val="auto"/>
              </w:rPr>
            </w:pPr>
            <w:r>
              <w:rPr>
                <w:rFonts w:ascii="Courier New" w:cs="Courier New" w:eastAsia="Courier New" w:hAnsi="Courier New"/>
                <w:sz w:val="16"/>
                <w:szCs w:val="16"/>
                <w:color w:val="auto"/>
              </w:rPr>
              <w:t>2001</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1,253</w:t>
            </w:r>
          </w:p>
        </w:tc>
      </w:tr>
      <w:tr>
        <w:trPr>
          <w:trHeight w:val="186"/>
        </w:trPr>
        <w:tc>
          <w:tcPr>
            <w:tcW w:w="3820" w:type="dxa"/>
            <w:vAlign w:val="bottom"/>
          </w:tcPr>
          <w:p>
            <w:pPr>
              <w:ind w:left="580"/>
              <w:spacing w:after="0"/>
              <w:rPr>
                <w:sz w:val="20"/>
                <w:szCs w:val="20"/>
                <w:color w:val="auto"/>
              </w:rPr>
            </w:pPr>
            <w:r>
              <w:rPr>
                <w:rFonts w:ascii="Courier New" w:cs="Courier New" w:eastAsia="Courier New" w:hAnsi="Courier New"/>
                <w:sz w:val="16"/>
                <w:szCs w:val="16"/>
                <w:color w:val="auto"/>
              </w:rPr>
              <w:t>2002</w:t>
            </w:r>
          </w:p>
        </w:tc>
        <w:tc>
          <w:tcPr>
            <w:tcW w:w="7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1,194</w:t>
            </w:r>
          </w:p>
        </w:tc>
      </w:tr>
      <w:tr>
        <w:trPr>
          <w:trHeight w:val="186"/>
        </w:trPr>
        <w:tc>
          <w:tcPr>
            <w:tcW w:w="3820" w:type="dxa"/>
            <w:vAlign w:val="bottom"/>
          </w:tcPr>
          <w:p>
            <w:pPr>
              <w:ind w:left="580"/>
              <w:spacing w:after="0"/>
              <w:rPr>
                <w:sz w:val="20"/>
                <w:szCs w:val="20"/>
                <w:color w:val="auto"/>
              </w:rPr>
            </w:pPr>
            <w:r>
              <w:rPr>
                <w:rFonts w:ascii="Courier New" w:cs="Courier New" w:eastAsia="Courier New" w:hAnsi="Courier New"/>
                <w:sz w:val="16"/>
                <w:szCs w:val="16"/>
                <w:color w:val="auto"/>
              </w:rPr>
              <w:t>2003</w:t>
            </w:r>
          </w:p>
        </w:tc>
        <w:tc>
          <w:tcPr>
            <w:tcW w:w="7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1,055</w:t>
            </w:r>
          </w:p>
        </w:tc>
      </w:tr>
      <w:tr>
        <w:trPr>
          <w:trHeight w:val="186"/>
        </w:trPr>
        <w:tc>
          <w:tcPr>
            <w:tcW w:w="3820" w:type="dxa"/>
            <w:vAlign w:val="bottom"/>
          </w:tcPr>
          <w:p>
            <w:pPr>
              <w:ind w:left="580"/>
              <w:spacing w:after="0"/>
              <w:rPr>
                <w:sz w:val="20"/>
                <w:szCs w:val="20"/>
                <w:color w:val="auto"/>
              </w:rPr>
            </w:pPr>
            <w:r>
              <w:rPr>
                <w:rFonts w:ascii="Courier New" w:cs="Courier New" w:eastAsia="Courier New" w:hAnsi="Courier New"/>
                <w:sz w:val="16"/>
                <w:szCs w:val="16"/>
                <w:color w:val="auto"/>
              </w:rPr>
              <w:t>2004</w:t>
            </w:r>
          </w:p>
        </w:tc>
        <w:tc>
          <w:tcPr>
            <w:tcW w:w="7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914</w:t>
            </w:r>
          </w:p>
        </w:tc>
      </w:tr>
      <w:tr>
        <w:trPr>
          <w:trHeight w:val="186"/>
        </w:trPr>
        <w:tc>
          <w:tcPr>
            <w:tcW w:w="3820" w:type="dxa"/>
            <w:vAlign w:val="bottom"/>
          </w:tcPr>
          <w:p>
            <w:pPr>
              <w:ind w:left="580"/>
              <w:spacing w:after="0"/>
              <w:rPr>
                <w:sz w:val="20"/>
                <w:szCs w:val="20"/>
                <w:color w:val="auto"/>
              </w:rPr>
            </w:pPr>
            <w:r>
              <w:rPr>
                <w:rFonts w:ascii="Courier New" w:cs="Courier New" w:eastAsia="Courier New" w:hAnsi="Courier New"/>
                <w:sz w:val="16"/>
                <w:szCs w:val="16"/>
                <w:color w:val="auto"/>
              </w:rPr>
              <w:t>2005</w:t>
            </w:r>
          </w:p>
        </w:tc>
        <w:tc>
          <w:tcPr>
            <w:tcW w:w="7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913</w:t>
            </w:r>
          </w:p>
        </w:tc>
      </w:tr>
      <w:tr>
        <w:trPr>
          <w:trHeight w:val="186"/>
        </w:trPr>
        <w:tc>
          <w:tcPr>
            <w:tcW w:w="3820" w:type="dxa"/>
            <w:vAlign w:val="bottom"/>
          </w:tcPr>
          <w:p>
            <w:pPr>
              <w:ind w:left="300"/>
              <w:spacing w:after="0"/>
              <w:rPr>
                <w:sz w:val="20"/>
                <w:szCs w:val="20"/>
                <w:color w:val="auto"/>
              </w:rPr>
            </w:pPr>
            <w:r>
              <w:rPr>
                <w:rFonts w:ascii="Courier New" w:cs="Courier New" w:eastAsia="Courier New" w:hAnsi="Courier New"/>
                <w:sz w:val="16"/>
                <w:szCs w:val="16"/>
                <w:color w:val="auto"/>
              </w:rPr>
              <w:t>Thereafter</w:t>
            </w:r>
          </w:p>
        </w:tc>
        <w:tc>
          <w:tcPr>
            <w:tcW w:w="7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w:t>
            </w:r>
          </w:p>
        </w:tc>
      </w:tr>
      <w:tr>
        <w:trPr>
          <w:trHeight w:val="186"/>
        </w:trPr>
        <w:tc>
          <w:tcPr>
            <w:tcW w:w="3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820" w:type="dxa"/>
            <w:vAlign w:val="bottom"/>
          </w:tcPr>
          <w:p>
            <w:pPr>
              <w:ind w:left="580"/>
              <w:spacing w:after="0"/>
              <w:rPr>
                <w:sz w:val="20"/>
                <w:szCs w:val="20"/>
                <w:color w:val="auto"/>
              </w:rPr>
            </w:pPr>
            <w:r>
              <w:rPr>
                <w:rFonts w:ascii="Courier New" w:cs="Courier New" w:eastAsia="Courier New" w:hAnsi="Courier New"/>
                <w:sz w:val="16"/>
                <w:szCs w:val="16"/>
                <w:color w:val="auto"/>
              </w:rPr>
              <w:t>Total minimum lease payments</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5,343</w:t>
            </w:r>
          </w:p>
        </w:tc>
      </w:tr>
      <w:tr>
        <w:trPr>
          <w:trHeight w:val="186"/>
        </w:trPr>
        <w:tc>
          <w:tcPr>
            <w:tcW w:w="3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581" w:hanging="581"/>
        <w:spacing w:after="0"/>
        <w:tabs>
          <w:tab w:leader="none" w:pos="5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Results of Operations (Unaudited):</w:t>
      </w:r>
    </w:p>
    <w:p>
      <w:pPr>
        <w:spacing w:after="0" w:line="191" w:lineRule="exact"/>
        <w:rPr>
          <w:rFonts w:ascii="Courier New" w:cs="Courier New" w:eastAsia="Courier New" w:hAnsi="Courier New"/>
          <w:sz w:val="16"/>
          <w:szCs w:val="16"/>
          <w:color w:val="auto"/>
        </w:rPr>
      </w:pPr>
    </w:p>
    <w:p>
      <w:pPr>
        <w:ind w:left="581"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summarizes the unaudited quarterly results of operations for the years ended December 31, 2000 and 1999.</w:t>
      </w:r>
    </w:p>
    <w:p>
      <w:pPr>
        <w:spacing w:after="0" w:line="200" w:lineRule="exact"/>
        <w:rPr>
          <w:sz w:val="20"/>
          <w:szCs w:val="20"/>
          <w:color w:val="auto"/>
        </w:rPr>
      </w:pPr>
    </w:p>
    <w:p>
      <w:pPr>
        <w:spacing w:after="0" w:line="357"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2000</w:t>
            </w:r>
          </w:p>
        </w:tc>
        <w:tc>
          <w:tcPr>
            <w:tcW w:w="1060" w:type="dxa"/>
            <w:vAlign w:val="bottom"/>
          </w:tcPr>
          <w:p>
            <w:pPr>
              <w:spacing w:after="0"/>
              <w:rPr>
                <w:sz w:val="15"/>
                <w:szCs w:val="15"/>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March 31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June 30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Sept.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30</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Dec. 31</w:t>
            </w: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28,002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25,643</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37,075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41,409</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0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7,656</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7,678</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10,972</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11,898</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2,110</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2,242</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2,443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3,192</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20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0.14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0.15</w:t>
            </w:r>
          </w:p>
        </w:tc>
        <w:tc>
          <w:tcPr>
            <w:tcW w:w="64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0.16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0.21</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Dilutive net income per share</w:t>
            </w:r>
          </w:p>
        </w:tc>
        <w:tc>
          <w:tcPr>
            <w:tcW w:w="20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0.14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0.15</w:t>
            </w:r>
          </w:p>
        </w:tc>
        <w:tc>
          <w:tcPr>
            <w:tcW w:w="64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0.16</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0.21</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Basic number of shares</w:t>
            </w:r>
          </w:p>
        </w:tc>
        <w:tc>
          <w:tcPr>
            <w:tcW w:w="20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15,244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15,244</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15,245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15,247</w:t>
            </w: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Effect of dilutive stock options</w:t>
            </w:r>
          </w:p>
        </w:tc>
        <w:tc>
          <w:tcPr>
            <w:tcW w:w="20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214</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w:t>
            </w:r>
          </w:p>
        </w:tc>
        <w:tc>
          <w:tcPr>
            <w:tcW w:w="64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179</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235</w:t>
            </w: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540" w:type="dxa"/>
            <w:vAlign w:val="bottom"/>
          </w:tcPr>
          <w:p>
            <w:pPr>
              <w:ind w:left="200"/>
              <w:spacing w:after="0"/>
              <w:rPr>
                <w:sz w:val="20"/>
                <w:szCs w:val="20"/>
                <w:color w:val="auto"/>
              </w:rPr>
            </w:pPr>
            <w:r>
              <w:rPr>
                <w:rFonts w:ascii="Courier New" w:cs="Courier New" w:eastAsia="Courier New" w:hAnsi="Courier New"/>
                <w:sz w:val="16"/>
                <w:szCs w:val="16"/>
                <w:color w:val="auto"/>
              </w:rPr>
              <w:t>Diluted number of shares</w:t>
            </w:r>
          </w:p>
        </w:tc>
        <w:tc>
          <w:tcPr>
            <w:tcW w:w="200" w:type="dxa"/>
            <w:vAlign w:val="bottom"/>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15,458</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15,436</w:t>
            </w:r>
          </w:p>
        </w:tc>
        <w:tc>
          <w:tcPr>
            <w:tcW w:w="12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15,424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15,482</w:t>
            </w:r>
          </w:p>
        </w:tc>
      </w:tr>
    </w:tbl>
    <w:p>
      <w:pPr>
        <w:spacing w:after="0" w:line="4" w:lineRule="exact"/>
        <w:rPr>
          <w:sz w:val="20"/>
          <w:szCs w:val="20"/>
          <w:color w:val="auto"/>
        </w:rPr>
      </w:pPr>
    </w:p>
    <w:p>
      <w:pPr>
        <w:jc w:val="right"/>
        <w:ind w:right="1019"/>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6681"/>
        <w:spacing w:after="0"/>
        <w:rPr>
          <w:sz w:val="20"/>
          <w:szCs w:val="20"/>
          <w:color w:val="auto"/>
        </w:rPr>
      </w:pPr>
      <w:r>
        <w:rPr>
          <w:rFonts w:ascii="Courier New" w:cs="Courier New" w:eastAsia="Courier New" w:hAnsi="Courier New"/>
          <w:sz w:val="16"/>
          <w:szCs w:val="16"/>
          <w:color w:val="auto"/>
        </w:rPr>
        <w:t>(Continued)</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20"/>
          </w:cols>
          <w:pgMar w:left="239" w:top="1049" w:right="1440" w:bottom="1440" w:gutter="0" w:footer="0" w:header="0"/>
        </w:sectPr>
      </w:pPr>
    </w:p>
    <w:bookmarkStart w:id="43" w:name="page44"/>
    <w:bookmarkEnd w:id="43"/>
    <w:tbl>
      <w:tblPr>
        <w:tblLayout w:type="fixed"/>
        <w:tblInd w:w="581" w:type="dxa"/>
        <w:tblCellMar>
          <w:top w:w="0" w:type="dxa"/>
          <w:left w:w="0" w:type="dxa"/>
          <w:bottom w:w="0" w:type="dxa"/>
          <w:right w:w="0" w:type="dxa"/>
        </w:tblCellMar>
      </w:tblPr>
      <w:tr>
        <w:trPr>
          <w:trHeight w:val="183"/>
        </w:trPr>
        <w:tc>
          <w:tcPr>
            <w:tcW w:w="3740" w:type="dxa"/>
            <w:vAlign w:val="bottom"/>
            <w:gridSpan w:val="2"/>
          </w:tcPr>
          <w:p>
            <w:pPr>
              <w:jc w:val="center"/>
              <w:ind w:left="2759"/>
              <w:spacing w:after="0"/>
              <w:rPr>
                <w:sz w:val="20"/>
                <w:szCs w:val="20"/>
                <w:color w:val="auto"/>
              </w:rPr>
            </w:pPr>
            <w:r>
              <w:rPr>
                <w:rFonts w:ascii="Courier New" w:cs="Courier New" w:eastAsia="Courier New" w:hAnsi="Courier New"/>
                <w:sz w:val="16"/>
                <w:szCs w:val="16"/>
                <w:color w:val="auto"/>
              </w:rPr>
              <w:t>NN, Inc.</w:t>
            </w:r>
          </w:p>
        </w:tc>
        <w:tc>
          <w:tcPr>
            <w:tcW w:w="1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73"/>
        </w:trPr>
        <w:tc>
          <w:tcPr>
            <w:tcW w:w="5380" w:type="dxa"/>
            <w:vAlign w:val="bottom"/>
            <w:gridSpan w:val="3"/>
          </w:tcPr>
          <w:p>
            <w:pPr>
              <w:jc w:val="center"/>
              <w:ind w:left="1139"/>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3"/>
        </w:trPr>
        <w:tc>
          <w:tcPr>
            <w:tcW w:w="5380" w:type="dxa"/>
            <w:vAlign w:val="bottom"/>
            <w:gridSpan w:val="3"/>
          </w:tcPr>
          <w:p>
            <w:pPr>
              <w:jc w:val="center"/>
              <w:ind w:left="1119"/>
              <w:spacing w:after="0"/>
              <w:rPr>
                <w:sz w:val="20"/>
                <w:szCs w:val="20"/>
                <w:color w:val="auto"/>
              </w:rPr>
            </w:pPr>
            <w:r>
              <w:rPr>
                <w:rFonts w:ascii="Courier New" w:cs="Courier New" w:eastAsia="Courier New" w:hAnsi="Courier New"/>
                <w:sz w:val="16"/>
                <w:szCs w:val="16"/>
                <w:color w:val="auto"/>
              </w:rPr>
              <w:t>December 31, 2000, 1999 and 1998</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5380" w:type="dxa"/>
            <w:vAlign w:val="bottom"/>
            <w:gridSpan w:val="3"/>
          </w:tcPr>
          <w:p>
            <w:pPr>
              <w:jc w:val="right"/>
              <w:ind w:right="159"/>
              <w:spacing w:after="0"/>
              <w:rPr>
                <w:sz w:val="20"/>
                <w:szCs w:val="20"/>
                <w:color w:val="auto"/>
              </w:rPr>
            </w:pPr>
            <w:r>
              <w:rPr>
                <w:rFonts w:ascii="Courier New" w:cs="Courier New" w:eastAsia="Courier New" w:hAnsi="Courier New"/>
                <w:sz w:val="16"/>
                <w:szCs w:val="16"/>
                <w:color w:val="auto"/>
              </w:rPr>
              <w:t>(In thousands, except per share data)</w:t>
            </w: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3"/>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December 31, 1999</w:t>
            </w:r>
          </w:p>
        </w:tc>
        <w:tc>
          <w:tcPr>
            <w:tcW w:w="1060" w:type="dxa"/>
            <w:vAlign w:val="bottom"/>
          </w:tcPr>
          <w:p>
            <w:pPr>
              <w:spacing w:after="0"/>
              <w:rPr>
                <w:sz w:val="24"/>
                <w:szCs w:val="24"/>
                <w:color w:val="auto"/>
              </w:rPr>
            </w:pPr>
          </w:p>
        </w:tc>
      </w:tr>
      <w:tr>
        <w:trPr>
          <w:trHeight w:val="186"/>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March 31</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June 30</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Sept. 30</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Dec. 31</w:t>
            </w:r>
          </w:p>
        </w:tc>
      </w:tr>
      <w:tr>
        <w:trPr>
          <w:trHeight w:val="186"/>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4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17,912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17,475</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25,601</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24,306</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6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5,389</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4,884</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7,312</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7,742</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6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1,962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1,715</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1,944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2,138</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26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0.13</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0.12</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0.13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Dilutive net income per share</w:t>
            </w:r>
          </w:p>
        </w:tc>
        <w:tc>
          <w:tcPr>
            <w:tcW w:w="26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0.13</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0.12</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0.13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Weighed average shares outstanding;</w:t>
            </w: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Basic number of shares</w:t>
            </w:r>
          </w:p>
        </w:tc>
        <w:tc>
          <w:tcPr>
            <w:tcW w:w="26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14,804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14,804</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15,244</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15,244</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Effect of dilutive stock options</w:t>
            </w:r>
          </w:p>
        </w:tc>
        <w:tc>
          <w:tcPr>
            <w:tcW w:w="260" w:type="dxa"/>
            <w:vAlign w:val="bottom"/>
          </w:tcPr>
          <w:p>
            <w:pPr>
              <w:spacing w:after="0"/>
              <w:rPr>
                <w:sz w:val="16"/>
                <w:szCs w:val="16"/>
                <w:color w:val="auto"/>
              </w:rPr>
            </w:pPr>
          </w:p>
        </w:tc>
        <w:tc>
          <w:tcPr>
            <w:tcW w:w="16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73</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66</w:t>
            </w:r>
          </w:p>
        </w:tc>
      </w:tr>
      <w:tr>
        <w:trPr>
          <w:trHeight w:val="186"/>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ind w:left="200"/>
              <w:spacing w:after="0"/>
              <w:rPr>
                <w:sz w:val="20"/>
                <w:szCs w:val="20"/>
                <w:color w:val="auto"/>
              </w:rPr>
            </w:pPr>
            <w:r>
              <w:rPr>
                <w:rFonts w:ascii="Courier New" w:cs="Courier New" w:eastAsia="Courier New" w:hAnsi="Courier New"/>
                <w:sz w:val="16"/>
                <w:szCs w:val="16"/>
                <w:color w:val="auto"/>
              </w:rPr>
              <w:t>Diluted number of shares</w:t>
            </w:r>
          </w:p>
        </w:tc>
        <w:tc>
          <w:tcPr>
            <w:tcW w:w="26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14,804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14,808</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15,317</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15,310</w:t>
            </w:r>
          </w:p>
        </w:tc>
      </w:tr>
      <w:tr>
        <w:trPr>
          <w:trHeight w:val="186"/>
        </w:trPr>
        <w:tc>
          <w:tcPr>
            <w:tcW w:w="3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581" w:hanging="581"/>
        <w:spacing w:after="0"/>
        <w:tabs>
          <w:tab w:leader="none" w:pos="5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Financial Instruments</w:t>
      </w:r>
    </w:p>
    <w:p>
      <w:pPr>
        <w:spacing w:after="0" w:line="191" w:lineRule="exact"/>
        <w:rPr>
          <w:rFonts w:ascii="Courier New" w:cs="Courier New" w:eastAsia="Courier New" w:hAnsi="Courier New"/>
          <w:sz w:val="16"/>
          <w:szCs w:val="16"/>
          <w:color w:val="auto"/>
        </w:rPr>
      </w:pPr>
    </w:p>
    <w:p>
      <w:pPr>
        <w:ind w:left="5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believes the fair value of financial instruments approximate their carrying value due to the short maturity of these instruments or in the case of the Company's debt, due to the variable interest rates. The following table presents the carrying amounts and estimated fair</w:t>
      </w:r>
    </w:p>
    <w:p>
      <w:pPr>
        <w:spacing w:after="0" w:line="2" w:lineRule="exact"/>
        <w:rPr>
          <w:rFonts w:ascii="Courier New" w:cs="Courier New" w:eastAsia="Courier New" w:hAnsi="Courier New"/>
          <w:sz w:val="16"/>
          <w:szCs w:val="16"/>
          <w:color w:val="auto"/>
        </w:rPr>
      </w:pPr>
    </w:p>
    <w:p>
      <w:pPr>
        <w:ind w:left="581" w:right="32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values of the Company's financial instruments at December 31, 2000 and 1999:</w:t>
      </w:r>
    </w:p>
    <w:p>
      <w:pPr>
        <w:spacing w:after="0" w:line="200" w:lineRule="exact"/>
        <w:rPr>
          <w:sz w:val="20"/>
          <w:szCs w:val="20"/>
          <w:color w:val="auto"/>
        </w:rPr>
      </w:pPr>
    </w:p>
    <w:p>
      <w:pPr>
        <w:spacing w:after="0" w:line="357" w:lineRule="exact"/>
        <w:rPr>
          <w:sz w:val="20"/>
          <w:szCs w:val="20"/>
          <w:color w:val="auto"/>
        </w:rPr>
      </w:pPr>
    </w:p>
    <w:tbl>
      <w:tblPr>
        <w:tblLayout w:type="fixed"/>
        <w:tblInd w:w="581"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tcPr>
          <w:p>
            <w:pPr>
              <w:jc w:val="right"/>
              <w:ind w:right="1139"/>
              <w:spacing w:after="0"/>
              <w:rPr>
                <w:sz w:val="20"/>
                <w:szCs w:val="20"/>
                <w:color w:val="auto"/>
              </w:rPr>
            </w:pPr>
            <w:r>
              <w:rPr>
                <w:rFonts w:ascii="Courier New" w:cs="Courier New" w:eastAsia="Courier New" w:hAnsi="Courier New"/>
                <w:sz w:val="16"/>
                <w:szCs w:val="16"/>
                <w:color w:val="auto"/>
                <w:w w:val="93"/>
              </w:rPr>
              <w:t>2000</w:t>
            </w:r>
          </w:p>
        </w:tc>
        <w:tc>
          <w:tcPr>
            <w:tcW w:w="1020" w:type="dxa"/>
            <w:vAlign w:val="bottom"/>
          </w:tcPr>
          <w:p>
            <w:pPr>
              <w:spacing w:after="0"/>
              <w:rPr>
                <w:sz w:val="15"/>
                <w:szCs w:val="15"/>
                <w:color w:val="auto"/>
              </w:rPr>
            </w:pPr>
          </w:p>
        </w:tc>
        <w:tc>
          <w:tcPr>
            <w:tcW w:w="1540" w:type="dxa"/>
            <w:vAlign w:val="bottom"/>
          </w:tcPr>
          <w:p>
            <w:pPr>
              <w:jc w:val="right"/>
              <w:ind w:right="1079"/>
              <w:spacing w:after="0"/>
              <w:rPr>
                <w:sz w:val="20"/>
                <w:szCs w:val="20"/>
                <w:color w:val="auto"/>
              </w:rPr>
            </w:pPr>
            <w:r>
              <w:rPr>
                <w:rFonts w:ascii="Courier New" w:cs="Courier New" w:eastAsia="Courier New" w:hAnsi="Courier New"/>
                <w:sz w:val="16"/>
                <w:szCs w:val="16"/>
                <w:color w:val="auto"/>
                <w:w w:val="93"/>
              </w:rPr>
              <w:t>1999</w:t>
            </w:r>
          </w:p>
        </w:tc>
      </w:tr>
      <w:tr>
        <w:trPr>
          <w:trHeight w:val="186"/>
        </w:trPr>
        <w:tc>
          <w:tcPr>
            <w:tcW w:w="2860" w:type="dxa"/>
            <w:vAlign w:val="bottom"/>
          </w:tcPr>
          <w:p>
            <w:pPr>
              <w:spacing w:after="0"/>
              <w:rPr>
                <w:sz w:val="16"/>
                <w:szCs w:val="16"/>
                <w:color w:val="auto"/>
              </w:rPr>
            </w:pPr>
          </w:p>
        </w:tc>
        <w:tc>
          <w:tcPr>
            <w:tcW w:w="5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Carrying</w:t>
            </w: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Fair</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Carrying</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Fair</w:t>
            </w:r>
          </w:p>
        </w:tc>
      </w:tr>
      <w:tr>
        <w:trPr>
          <w:trHeight w:val="186"/>
        </w:trPr>
        <w:tc>
          <w:tcPr>
            <w:tcW w:w="286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Amount</w:t>
            </w: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Value</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Amount</w:t>
            </w:r>
          </w:p>
        </w:tc>
        <w:tc>
          <w:tcPr>
            <w:tcW w:w="15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Value</w:t>
            </w:r>
          </w:p>
        </w:tc>
      </w:tr>
      <w:tr>
        <w:trPr>
          <w:trHeight w:val="186"/>
        </w:trPr>
        <w:tc>
          <w:tcPr>
            <w:tcW w:w="2860" w:type="dxa"/>
            <w:vAlign w:val="bottom"/>
          </w:tcPr>
          <w:p>
            <w:pPr>
              <w:spacing w:after="0"/>
              <w:rPr>
                <w:sz w:val="16"/>
                <w:szCs w:val="16"/>
                <w:color w:val="auto"/>
              </w:rPr>
            </w:pPr>
          </w:p>
        </w:tc>
        <w:tc>
          <w:tcPr>
            <w:tcW w:w="5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559"/>
        </w:trPr>
        <w:tc>
          <w:tcPr>
            <w:tcW w:w="2860" w:type="dxa"/>
            <w:vAlign w:val="bottom"/>
          </w:tcPr>
          <w:p>
            <w:pPr>
              <w:spacing w:after="0"/>
              <w:rPr>
                <w:sz w:val="20"/>
                <w:szCs w:val="20"/>
                <w:color w:val="auto"/>
              </w:rPr>
            </w:pPr>
            <w:r>
              <w:rPr>
                <w:rFonts w:ascii="Courier New" w:cs="Courier New" w:eastAsia="Courier New" w:hAnsi="Courier New"/>
                <w:sz w:val="16"/>
                <w:szCs w:val="16"/>
                <w:color w:val="auto"/>
              </w:rPr>
              <w:t>Financial assets:</w:t>
            </w: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8,273</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8,273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1,409</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1,409</w:t>
            </w:r>
          </w:p>
        </w:tc>
      </w:tr>
      <w:tr>
        <w:trPr>
          <w:trHeight w:val="186"/>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29,549</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29,549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18,183</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18,183</w:t>
            </w:r>
          </w:p>
        </w:tc>
      </w:tr>
      <w:tr>
        <w:trPr>
          <w:trHeight w:val="186"/>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1,512</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1,512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688</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688</w:t>
            </w:r>
          </w:p>
        </w:tc>
      </w:tr>
      <w:tr>
        <w:trPr>
          <w:trHeight w:val="186"/>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Other non-current assets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6,712</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6,712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735</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735</w:t>
            </w: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Financial liabilities:</w:t>
            </w: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and bank</w:t>
            </w: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2860" w:type="dxa"/>
            <w:vAlign w:val="bottom"/>
          </w:tcPr>
          <w:p>
            <w:pPr>
              <w:ind w:left="300"/>
              <w:spacing w:after="0"/>
              <w:rPr>
                <w:sz w:val="20"/>
                <w:szCs w:val="20"/>
                <w:color w:val="auto"/>
              </w:rPr>
            </w:pPr>
            <w:r>
              <w:rPr>
                <w:rFonts w:ascii="Courier New" w:cs="Courier New" w:eastAsia="Courier New" w:hAnsi="Courier New"/>
                <w:sz w:val="16"/>
                <w:szCs w:val="16"/>
                <w:color w:val="auto"/>
              </w:rPr>
              <w:t>Overdraft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17,337</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17,337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5,343</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5,343</w:t>
            </w:r>
          </w:p>
        </w:tc>
      </w:tr>
      <w:tr>
        <w:trPr>
          <w:trHeight w:val="186"/>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Accrued expenses and other</w:t>
            </w:r>
          </w:p>
        </w:tc>
        <w:tc>
          <w:tcPr>
            <w:tcW w:w="1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6"/>
        </w:trPr>
        <w:tc>
          <w:tcPr>
            <w:tcW w:w="2860" w:type="dxa"/>
            <w:vAlign w:val="bottom"/>
          </w:tcPr>
          <w:p>
            <w:pPr>
              <w:ind w:left="300"/>
              <w:spacing w:after="0"/>
              <w:rPr>
                <w:sz w:val="20"/>
                <w:szCs w:val="20"/>
                <w:color w:val="auto"/>
              </w:rPr>
            </w:pPr>
            <w:r>
              <w:rPr>
                <w:rFonts w:ascii="Courier New" w:cs="Courier New" w:eastAsia="Courier New" w:hAnsi="Courier New"/>
                <w:sz w:val="16"/>
                <w:szCs w:val="16"/>
                <w:color w:val="auto"/>
              </w:rPr>
              <w:t>Payables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9,708</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9,708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5,135</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5,135</w:t>
            </w:r>
          </w:p>
        </w:tc>
      </w:tr>
      <w:tr>
        <w:trPr>
          <w:trHeight w:val="186"/>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Short-term loan</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6"/>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Long-term debt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52,515</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52,515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17,151</w:t>
            </w:r>
          </w:p>
        </w:tc>
        <w:tc>
          <w:tcPr>
            <w:tcW w:w="1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17,151</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81"/>
        <w:spacing w:after="0"/>
        <w:rPr>
          <w:sz w:val="20"/>
          <w:szCs w:val="20"/>
          <w:color w:val="auto"/>
        </w:rPr>
      </w:pPr>
      <w:r>
        <w:rPr>
          <w:rFonts w:ascii="Courier New" w:cs="Courier New" w:eastAsia="Courier New" w:hAnsi="Courier New"/>
          <w:sz w:val="16"/>
          <w:szCs w:val="16"/>
          <w:color w:val="auto"/>
        </w:rPr>
        <w:t>(Continued)</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0"/>
          </w:cols>
          <w:pgMar w:left="239" w:top="1049" w:right="1440" w:bottom="1440" w:gutter="0" w:footer="0" w:header="0"/>
        </w:sectPr>
      </w:pPr>
    </w:p>
    <w:bookmarkStart w:id="44" w:name="page45"/>
    <w:bookmarkEnd w:id="44"/>
    <w:p>
      <w:pPr>
        <w:jc w:val="center"/>
        <w:ind w:right="2459"/>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December 31, 2000, 1999 and 1998</w:t>
      </w:r>
    </w:p>
    <w:p>
      <w:pPr>
        <w:spacing w:after="0" w:line="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1" w:lineRule="exact"/>
        <w:rPr>
          <w:sz w:val="20"/>
          <w:szCs w:val="20"/>
          <w:color w:val="auto"/>
        </w:rPr>
      </w:pPr>
    </w:p>
    <w:p>
      <w:pPr>
        <w:ind w:left="581" w:hanging="581"/>
        <w:spacing w:after="0"/>
        <w:tabs>
          <w:tab w:leader="none" w:pos="5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Fire</w:t>
      </w:r>
    </w:p>
    <w:p>
      <w:pPr>
        <w:spacing w:after="0" w:line="191" w:lineRule="exact"/>
        <w:rPr>
          <w:rFonts w:ascii="Courier New" w:cs="Courier New" w:eastAsia="Courier New" w:hAnsi="Courier New"/>
          <w:sz w:val="16"/>
          <w:szCs w:val="16"/>
          <w:color w:val="auto"/>
        </w:rPr>
      </w:pPr>
    </w:p>
    <w:p>
      <w:pPr>
        <w:ind w:left="5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12, 2000, a fire damaged a portion of the Company's manufacturing plant in Erwin, Tennessee. The fire was contained to approximately 30% of the productions area and did not result in serious injury to any employee. Effected production was shifted to the Company's other facilities as possible as well as the use of other suppliers to protect product supply to customers. Insurance coverage for the loss provides for reimbursement of the replacement value of property and equipment damaged in the fire. At December 31, 2000 the Company is in the process of settling the insurance claim. For the year ended December 31, 2000, the net gain on involuntary conversion of $728 represents insurance proceeds received in excess of costs incurred to date.</w:t>
      </w:r>
    </w:p>
    <w:p>
      <w:pPr>
        <w:spacing w:after="0" w:line="192"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191" w:lineRule="exact"/>
        <w:rPr>
          <w:rFonts w:ascii="Courier New" w:cs="Courier New" w:eastAsia="Courier New" w:hAnsi="Courier New"/>
          <w:sz w:val="16"/>
          <w:szCs w:val="16"/>
          <w:color w:val="auto"/>
        </w:rPr>
      </w:pPr>
    </w:p>
    <w:p>
      <w:pPr>
        <w:ind w:left="5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16, 2001, the Company completed the acquisition of all of the outstanding stock of The Delta Rubber Company, a Connecticut corporation ("Delta"). Delta provides high quality engineered bearing seals and other precision-molded rubber products to original equipment manufacturers. NN plans to continue the operation of the Delta business, which consists of one manufacturing facility located in Danielson, Connecticut.</w:t>
      </w:r>
    </w:p>
    <w:p>
      <w:pPr>
        <w:spacing w:after="0" w:line="185" w:lineRule="exact"/>
        <w:rPr>
          <w:rFonts w:ascii="Courier New" w:cs="Courier New" w:eastAsia="Courier New" w:hAnsi="Courier New"/>
          <w:sz w:val="16"/>
          <w:szCs w:val="16"/>
          <w:color w:val="auto"/>
        </w:rPr>
      </w:pPr>
    </w:p>
    <w:p>
      <w:pPr>
        <w:ind w:left="581"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NN acquired Delta by purchasing the outstanding stock from Delta's shareholders for $22,500 in cash, of which $500 is to be held in escrow for one year from the date of closing. The purchase price was based on Delta' existing base, financial performance and the expectation that Delta's products and customers will compliment the Company's existing businesses.</w:t>
      </w:r>
    </w:p>
    <w:p>
      <w:pPr>
        <w:spacing w:after="0" w:line="185"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91" w:lineRule="exact"/>
        <w:rPr>
          <w:rFonts w:ascii="Courier New" w:cs="Courier New" w:eastAsia="Courier New" w:hAnsi="Courier New"/>
          <w:sz w:val="16"/>
          <w:szCs w:val="16"/>
          <w:color w:val="auto"/>
        </w:rPr>
      </w:pPr>
    </w:p>
    <w:p>
      <w:pPr>
        <w:ind w:left="5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minority shareholders of NN Euroball ApS, SKF and FAG, are significant customers of the Company. For the year ended December 31, 2000, sales to SKF and FAG amounted to $64,064. At December 31, 2000, accounts receivable from SKF and FAG amounted to $4,983.</w:t>
      </w:r>
    </w:p>
    <w:p>
      <w:pPr>
        <w:spacing w:after="0" w:line="185" w:lineRule="exact"/>
        <w:rPr>
          <w:rFonts w:ascii="Courier New" w:cs="Courier New" w:eastAsia="Courier New" w:hAnsi="Courier New"/>
          <w:sz w:val="16"/>
          <w:szCs w:val="16"/>
          <w:color w:val="auto"/>
        </w:rPr>
      </w:pPr>
    </w:p>
    <w:p>
      <w:pPr>
        <w:ind w:left="5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Euroball transaction described in note 2, SKF and FAG provided administrative services to NN Euroball ApS. Charges for these services amounted to approximately $1,150 from the transaction date to December 31, 2000. At December 31, 2000, amounts payable to SKF and FAG amounted to $1,762.</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0"/>
          </w:cols>
          <w:pgMar w:left="239" w:top="1049" w:right="1440" w:bottom="1440" w:gutter="0" w:footer="0" w:header="0"/>
        </w:sectPr>
      </w:pPr>
    </w:p>
    <w:bookmarkStart w:id="45" w:name="page46"/>
    <w:bookmarkEnd w:id="45"/>
    <w:p>
      <w:pPr>
        <w:ind w:left="680" w:right="2459" w:hanging="677"/>
        <w:spacing w:after="0" w:line="248"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4"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On November 27, 2000, the Company retained the services of KPMG LLP as its principal accountants to audit the Company's consolidated financial statements, replacing PricewaterhouseCoopers LLP. The decision to retain KPMG LLP was based upon a reevaluation by the Company of its current professional relationships and was approved by the Company's Board of Directors at the recommendation of the Company's Audit Committee.</w:t>
      </w:r>
    </w:p>
    <w:p>
      <w:pPr>
        <w:spacing w:after="0" w:line="185"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During the Company's two most recent fiscal years and through November 27, 2000, there have been no disagreements with PricewaterhouseCoopers LLP on any matter of accounting principles or practices, financial statement disclosure, or auditing scope or procedure. PricewaterhouseCoopers LLP reports on the financial statements of the Company for the past two years contained no adverse opinion or disclaimer of opinion and were not qualified or modified as to uncertainty, audit scope or accounting principles.</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 III</w:t>
      </w:r>
    </w:p>
    <w:p>
      <w:pPr>
        <w:spacing w:after="0" w:line="191"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191"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Directors. The information required by Item 401 of Regulation S-K concerning the Company's directors is contained in the section entitled "Election of Directors -- Information about the Directors" of the Company's definitive Proxy Statement (to be filed with the Securities and Exchange Commission within 120 days after December 31, 2000, in accordance with General Instruction G to Form 10-K, is hereby incorporated herein by reference.</w:t>
      </w:r>
    </w:p>
    <w:p>
      <w:pPr>
        <w:spacing w:after="0" w:line="185" w:lineRule="exact"/>
        <w:rPr>
          <w:sz w:val="20"/>
          <w:szCs w:val="20"/>
          <w:color w:val="auto"/>
        </w:rPr>
      </w:pPr>
    </w:p>
    <w:p>
      <w:pPr>
        <w:jc w:val="both"/>
        <w:ind w:right="2559" w:firstLine="775"/>
        <w:spacing w:after="0" w:line="247" w:lineRule="auto"/>
        <w:rPr>
          <w:sz w:val="20"/>
          <w:szCs w:val="20"/>
          <w:color w:val="auto"/>
        </w:rPr>
      </w:pPr>
      <w:r>
        <w:rPr>
          <w:rFonts w:ascii="Courier New" w:cs="Courier New" w:eastAsia="Courier New" w:hAnsi="Courier New"/>
          <w:sz w:val="16"/>
          <w:szCs w:val="16"/>
          <w:color w:val="auto"/>
        </w:rPr>
        <w:t>Executive Officers. Information required by Item 401 of Regulation S-K concerning the Company's executive officers is set forth in Item 1 hereof under the caption "Executive Officers of the Registrant."</w:t>
      </w:r>
    </w:p>
    <w:p>
      <w:pPr>
        <w:spacing w:after="0" w:line="186"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Compliance with Section 16(a) of the Securities Exchange Act. The 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The information required by Item 402 of Regulation S-K is contained in the sections entitled "Election of Directors -- Compensation of Directors" and "Executive Compensation" of the Company's definitive Proxy Statement and, in accordance with General Instruction G to Form 10-K, is hereby incorporated herein by reference.</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191" w:lineRule="exact"/>
        <w:rPr>
          <w:sz w:val="20"/>
          <w:szCs w:val="20"/>
          <w:color w:val="auto"/>
        </w:rPr>
      </w:pPr>
    </w:p>
    <w:p>
      <w:pPr>
        <w:ind w:right="2459" w:firstLine="775"/>
        <w:spacing w:after="0" w:line="247" w:lineRule="auto"/>
        <w:rPr>
          <w:sz w:val="20"/>
          <w:szCs w:val="20"/>
          <w:color w:val="auto"/>
        </w:rPr>
      </w:pPr>
      <w:r>
        <w:rPr>
          <w:rFonts w:ascii="Courier New" w:cs="Courier New" w:eastAsia="Courier New" w:hAnsi="Courier New"/>
          <w:sz w:val="16"/>
          <w:szCs w:val="16"/>
          <w:color w:val="auto"/>
        </w:rPr>
        <w:t>The information required by Item 403 of Regulation S-K is contained in the section entitled "Beneficial Ownership of Common Stock" of the Company's definitive Proxy Statement and, in accordance with General Instruction G to Form 10-K, is hereby incorporated herein by reference.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Related Party Relationships</w:t>
      </w:r>
    </w:p>
    <w:p>
      <w:pPr>
        <w:spacing w:after="0" w:line="191" w:lineRule="exact"/>
        <w:rPr>
          <w:sz w:val="20"/>
          <w:szCs w:val="20"/>
          <w:color w:val="auto"/>
        </w:rPr>
      </w:pPr>
    </w:p>
    <w:p>
      <w:pPr>
        <w:ind w:right="2659" w:firstLine="775"/>
        <w:spacing w:after="0" w:line="247" w:lineRule="auto"/>
        <w:rPr>
          <w:sz w:val="20"/>
          <w:szCs w:val="20"/>
          <w:color w:val="auto"/>
        </w:rPr>
      </w:pPr>
      <w:r>
        <w:rPr>
          <w:rFonts w:ascii="Courier New" w:cs="Courier New" w:eastAsia="Courier New" w:hAnsi="Courier New"/>
          <w:sz w:val="16"/>
          <w:szCs w:val="16"/>
          <w:color w:val="auto"/>
        </w:rPr>
        <w:t>The information required by Item 404 of Regulation S-K is contained in the section entitled "Compensation Committee Interlocks and Insider Participation" of the Company's definitive Proxy Statement and, in accordance with General Instruction G to Form 10-K, is hereby incorporated herein by reference.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Part IV</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9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(a)1.</w:t>
      </w:r>
      <w:r>
        <w:rPr>
          <w:sz w:val="20"/>
          <w:szCs w:val="20"/>
          <w:color w:val="auto"/>
        </w:rPr>
        <w:tab/>
      </w:r>
      <w:r>
        <w:rPr>
          <w:rFonts w:ascii="Courier New" w:cs="Courier New" w:eastAsia="Courier New" w:hAnsi="Courier New"/>
          <w:sz w:val="16"/>
          <w:szCs w:val="16"/>
          <w:color w:val="auto"/>
        </w:rPr>
        <w:t>Financial Statements</w:t>
      </w:r>
    </w:p>
    <w:p>
      <w:pPr>
        <w:spacing w:after="0" w:line="191" w:lineRule="exact"/>
        <w:rPr>
          <w:sz w:val="20"/>
          <w:szCs w:val="20"/>
          <w:color w:val="auto"/>
        </w:rPr>
      </w:pPr>
    </w:p>
    <w:p>
      <w:pPr>
        <w:ind w:right="2859" w:firstLine="775"/>
        <w:spacing w:after="0" w:line="248" w:lineRule="auto"/>
        <w:rPr>
          <w:sz w:val="20"/>
          <w:szCs w:val="20"/>
          <w:color w:val="auto"/>
        </w:rPr>
      </w:pPr>
      <w:r>
        <w:rPr>
          <w:rFonts w:ascii="Courier New" w:cs="Courier New" w:eastAsia="Courier New" w:hAnsi="Courier New"/>
          <w:sz w:val="16"/>
          <w:szCs w:val="16"/>
          <w:color w:val="auto"/>
        </w:rPr>
        <w:t>The financial statements of the Company filed as part of this Annual Report on Form 10-K begin on the following pages hereof:</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w w:val="93"/>
              </w:rPr>
              <w:t>Page</w:t>
            </w:r>
          </w:p>
        </w:tc>
      </w:tr>
      <w:tr>
        <w:trPr>
          <w:trHeight w:val="186"/>
        </w:trPr>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w w:val="93"/>
              </w:rPr>
              <w:t>----</w:t>
            </w:r>
          </w:p>
        </w:tc>
      </w:tr>
      <w:tr>
        <w:trPr>
          <w:trHeight w:val="559"/>
        </w:trPr>
        <w:tc>
          <w:tcPr>
            <w:tcW w:w="620" w:type="dxa"/>
            <w:vAlign w:val="bottom"/>
          </w:tcPr>
          <w:p>
            <w:pPr>
              <w:spacing w:after="0"/>
              <w:rPr>
                <w:sz w:val="24"/>
                <w:szCs w:val="24"/>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Report of Independent Accountants for the year ended December 31, 2000</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20</w:t>
            </w:r>
          </w:p>
        </w:tc>
      </w:tr>
      <w:tr>
        <w:trPr>
          <w:trHeight w:val="373"/>
        </w:trPr>
        <w:tc>
          <w:tcPr>
            <w:tcW w:w="620" w:type="dxa"/>
            <w:vAlign w:val="bottom"/>
          </w:tcPr>
          <w:p>
            <w:pPr>
              <w:spacing w:after="0"/>
              <w:rPr>
                <w:sz w:val="24"/>
                <w:szCs w:val="24"/>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Report of Independent Accountants for the years ended December 31, 1999</w:t>
            </w:r>
          </w:p>
        </w:tc>
        <w:tc>
          <w:tcPr>
            <w:tcW w:w="860" w:type="dxa"/>
            <w:vAlign w:val="bottom"/>
          </w:tcPr>
          <w:p>
            <w:pPr>
              <w:spacing w:after="0"/>
              <w:rPr>
                <w:sz w:val="24"/>
                <w:szCs w:val="24"/>
                <w:color w:val="auto"/>
              </w:rPr>
            </w:pPr>
          </w:p>
        </w:tc>
      </w:tr>
      <w:tr>
        <w:trPr>
          <w:trHeight w:val="186"/>
        </w:trPr>
        <w:tc>
          <w:tcPr>
            <w:tcW w:w="620" w:type="dxa"/>
            <w:vAlign w:val="bottom"/>
          </w:tcPr>
          <w:p>
            <w:pPr>
              <w:spacing w:after="0"/>
              <w:rPr>
                <w:sz w:val="16"/>
                <w:szCs w:val="16"/>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December 31, 1998</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21</w:t>
            </w:r>
          </w:p>
        </w:tc>
      </w:tr>
      <w:tr>
        <w:trPr>
          <w:trHeight w:val="373"/>
        </w:trPr>
        <w:tc>
          <w:tcPr>
            <w:tcW w:w="620" w:type="dxa"/>
            <w:vAlign w:val="bottom"/>
          </w:tcPr>
          <w:p>
            <w:pPr>
              <w:spacing w:after="0"/>
              <w:rPr>
                <w:sz w:val="24"/>
                <w:szCs w:val="24"/>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Balance Sheets at December 31, 2000 and 1999</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22</w:t>
            </w:r>
          </w:p>
        </w:tc>
      </w:tr>
      <w:tr>
        <w:trPr>
          <w:trHeight w:val="373"/>
        </w:trPr>
        <w:tc>
          <w:tcPr>
            <w:tcW w:w="620" w:type="dxa"/>
            <w:vAlign w:val="bottom"/>
          </w:tcPr>
          <w:p>
            <w:pPr>
              <w:spacing w:after="0"/>
              <w:rPr>
                <w:sz w:val="24"/>
                <w:szCs w:val="24"/>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Statements of Income and Comprehensive Income for the Three Years ended</w:t>
            </w:r>
          </w:p>
        </w:tc>
        <w:tc>
          <w:tcPr>
            <w:tcW w:w="860" w:type="dxa"/>
            <w:vAlign w:val="bottom"/>
          </w:tcPr>
          <w:p>
            <w:pPr>
              <w:spacing w:after="0"/>
              <w:rPr>
                <w:sz w:val="24"/>
                <w:szCs w:val="24"/>
                <w:color w:val="auto"/>
              </w:rPr>
            </w:pPr>
          </w:p>
        </w:tc>
      </w:tr>
      <w:tr>
        <w:trPr>
          <w:trHeight w:val="186"/>
        </w:trPr>
        <w:tc>
          <w:tcPr>
            <w:tcW w:w="620" w:type="dxa"/>
            <w:vAlign w:val="bottom"/>
          </w:tcPr>
          <w:p>
            <w:pPr>
              <w:spacing w:after="0"/>
              <w:rPr>
                <w:sz w:val="16"/>
                <w:szCs w:val="16"/>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December 31, 2000.</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23</w:t>
            </w:r>
          </w:p>
        </w:tc>
      </w:tr>
      <w:tr>
        <w:trPr>
          <w:trHeight w:val="373"/>
        </w:trPr>
        <w:tc>
          <w:tcPr>
            <w:tcW w:w="620" w:type="dxa"/>
            <w:vAlign w:val="bottom"/>
          </w:tcPr>
          <w:p>
            <w:pPr>
              <w:spacing w:after="0"/>
              <w:rPr>
                <w:sz w:val="24"/>
                <w:szCs w:val="24"/>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Statements of Changes in Stockholders' Equity for the Three Years</w:t>
            </w:r>
          </w:p>
        </w:tc>
        <w:tc>
          <w:tcPr>
            <w:tcW w:w="860" w:type="dxa"/>
            <w:vAlign w:val="bottom"/>
          </w:tcPr>
          <w:p>
            <w:pPr>
              <w:spacing w:after="0"/>
              <w:rPr>
                <w:sz w:val="24"/>
                <w:szCs w:val="24"/>
                <w:color w:val="auto"/>
              </w:rPr>
            </w:pPr>
          </w:p>
        </w:tc>
      </w:tr>
      <w:tr>
        <w:trPr>
          <w:trHeight w:val="186"/>
        </w:trPr>
        <w:tc>
          <w:tcPr>
            <w:tcW w:w="620" w:type="dxa"/>
            <w:vAlign w:val="bottom"/>
          </w:tcPr>
          <w:p>
            <w:pPr>
              <w:spacing w:after="0"/>
              <w:rPr>
                <w:sz w:val="16"/>
                <w:szCs w:val="16"/>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Ended December 31, 2000</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24</w:t>
            </w:r>
          </w:p>
        </w:tc>
      </w:tr>
      <w:tr>
        <w:trPr>
          <w:trHeight w:val="373"/>
        </w:trPr>
        <w:tc>
          <w:tcPr>
            <w:tcW w:w="620" w:type="dxa"/>
            <w:vAlign w:val="bottom"/>
          </w:tcPr>
          <w:p>
            <w:pPr>
              <w:spacing w:after="0"/>
              <w:rPr>
                <w:sz w:val="24"/>
                <w:szCs w:val="24"/>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Statements of Cash Flows for the Three Years Ended December 31, 2000</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25</w:t>
            </w:r>
          </w:p>
        </w:tc>
      </w:tr>
      <w:tr>
        <w:trPr>
          <w:trHeight w:val="373"/>
        </w:trPr>
        <w:tc>
          <w:tcPr>
            <w:tcW w:w="620" w:type="dxa"/>
            <w:vAlign w:val="bottom"/>
          </w:tcPr>
          <w:p>
            <w:pPr>
              <w:spacing w:after="0"/>
              <w:rPr>
                <w:sz w:val="24"/>
                <w:szCs w:val="24"/>
                <w:color w:val="auto"/>
              </w:rPr>
            </w:pP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Notes to Financial Statements</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26</w:t>
            </w:r>
          </w:p>
        </w:tc>
      </w:tr>
      <w:tr>
        <w:trPr>
          <w:trHeight w:val="559"/>
        </w:trPr>
        <w:tc>
          <w:tcPr>
            <w:tcW w:w="620" w:type="dxa"/>
            <w:vAlign w:val="bottom"/>
          </w:tcPr>
          <w:p>
            <w:pPr>
              <w:spacing w:after="0"/>
              <w:rPr>
                <w:sz w:val="20"/>
                <w:szCs w:val="20"/>
                <w:color w:val="auto"/>
              </w:rPr>
            </w:pPr>
            <w:r>
              <w:rPr>
                <w:rFonts w:ascii="Courier New" w:cs="Courier New" w:eastAsia="Courier New" w:hAnsi="Courier New"/>
                <w:sz w:val="16"/>
                <w:szCs w:val="16"/>
                <w:color w:val="auto"/>
              </w:rPr>
              <w:t>(a)2.</w:t>
            </w:r>
          </w:p>
        </w:tc>
        <w:tc>
          <w:tcPr>
            <w:tcW w:w="76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Exhibits Required by Item 601 of Regulation S-K</w:t>
            </w:r>
          </w:p>
        </w:tc>
        <w:tc>
          <w:tcPr>
            <w:tcW w:w="860" w:type="dxa"/>
            <w:vAlign w:val="bottom"/>
          </w:tcPr>
          <w:p>
            <w:pPr>
              <w:spacing w:after="0"/>
              <w:rPr>
                <w:sz w:val="24"/>
                <w:szCs w:val="24"/>
                <w:color w:val="auto"/>
              </w:rPr>
            </w:pPr>
          </w:p>
        </w:tc>
      </w:tr>
      <w:tr>
        <w:trPr>
          <w:trHeight w:val="373"/>
        </w:trPr>
        <w:tc>
          <w:tcPr>
            <w:tcW w:w="6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6"/>
                <w:szCs w:val="16"/>
                <w:color w:val="auto"/>
              </w:rPr>
              <w:t>3.1</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Certificate of Incorporation of the Company, as amended</w:t>
            </w:r>
          </w:p>
        </w:tc>
        <w:tc>
          <w:tcPr>
            <w:tcW w:w="860" w:type="dxa"/>
            <w:vAlign w:val="bottom"/>
          </w:tcPr>
          <w:p>
            <w:pPr>
              <w:spacing w:after="0"/>
              <w:rPr>
                <w:sz w:val="24"/>
                <w:szCs w:val="24"/>
                <w:color w:val="auto"/>
              </w:rPr>
            </w:pPr>
          </w:p>
        </w:tc>
      </w:tr>
      <w:tr>
        <w:trPr>
          <w:trHeight w:val="186"/>
        </w:trPr>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(incorporated by reference to Exhibit 3.1 to the Company's</w:t>
            </w:r>
          </w:p>
        </w:tc>
        <w:tc>
          <w:tcPr>
            <w:tcW w:w="860" w:type="dxa"/>
            <w:vAlign w:val="bottom"/>
          </w:tcPr>
          <w:p>
            <w:pPr>
              <w:spacing w:after="0"/>
              <w:rPr>
                <w:sz w:val="16"/>
                <w:szCs w:val="16"/>
                <w:color w:val="auto"/>
              </w:rPr>
            </w:pPr>
          </w:p>
        </w:tc>
      </w:tr>
      <w:tr>
        <w:trPr>
          <w:trHeight w:val="186"/>
        </w:trPr>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Registration Statement on Form S-1--File No. 33-74694).</w:t>
            </w:r>
          </w:p>
        </w:tc>
        <w:tc>
          <w:tcPr>
            <w:tcW w:w="860" w:type="dxa"/>
            <w:vAlign w:val="bottom"/>
          </w:tcPr>
          <w:p>
            <w:pPr>
              <w:spacing w:after="0"/>
              <w:rPr>
                <w:sz w:val="16"/>
                <w:szCs w:val="16"/>
                <w:color w:val="auto"/>
              </w:rPr>
            </w:pPr>
          </w:p>
        </w:tc>
      </w:tr>
      <w:tr>
        <w:trPr>
          <w:trHeight w:val="373"/>
        </w:trPr>
        <w:tc>
          <w:tcPr>
            <w:tcW w:w="6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6"/>
                <w:szCs w:val="16"/>
                <w:color w:val="auto"/>
              </w:rPr>
              <w:t>3.2</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Bylaws of the Company, as amended (incorporated by reference to</w:t>
            </w:r>
          </w:p>
        </w:tc>
        <w:tc>
          <w:tcPr>
            <w:tcW w:w="860" w:type="dxa"/>
            <w:vAlign w:val="bottom"/>
          </w:tcPr>
          <w:p>
            <w:pPr>
              <w:spacing w:after="0"/>
              <w:rPr>
                <w:sz w:val="24"/>
                <w:szCs w:val="24"/>
                <w:color w:val="auto"/>
              </w:rPr>
            </w:pPr>
          </w:p>
        </w:tc>
      </w:tr>
      <w:tr>
        <w:trPr>
          <w:trHeight w:val="186"/>
        </w:trPr>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Exhibit 3.2 to the Company's registration Statement on Form S-1 -</w:t>
            </w:r>
          </w:p>
        </w:tc>
        <w:tc>
          <w:tcPr>
            <w:tcW w:w="860" w:type="dxa"/>
            <w:vAlign w:val="bottom"/>
          </w:tcPr>
          <w:p>
            <w:pPr>
              <w:spacing w:after="0"/>
              <w:rPr>
                <w:sz w:val="16"/>
                <w:szCs w:val="16"/>
                <w:color w:val="auto"/>
              </w:rPr>
            </w:pPr>
          </w:p>
        </w:tc>
      </w:tr>
      <w:tr>
        <w:trPr>
          <w:trHeight w:val="186"/>
        </w:trPr>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File No. 33-74694).</w:t>
            </w:r>
          </w:p>
        </w:tc>
        <w:tc>
          <w:tcPr>
            <w:tcW w:w="860" w:type="dxa"/>
            <w:vAlign w:val="bottom"/>
          </w:tcPr>
          <w:p>
            <w:pPr>
              <w:spacing w:after="0"/>
              <w:rPr>
                <w:sz w:val="16"/>
                <w:szCs w:val="16"/>
                <w:color w:val="auto"/>
              </w:rPr>
            </w:pPr>
          </w:p>
        </w:tc>
      </w:tr>
      <w:tr>
        <w:trPr>
          <w:trHeight w:val="373"/>
        </w:trPr>
        <w:tc>
          <w:tcPr>
            <w:tcW w:w="6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6"/>
                <w:szCs w:val="16"/>
                <w:color w:val="auto"/>
              </w:rPr>
              <w:t>4.1</w:t>
            </w: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Form of Common Stock certificate (incorporated by reference to</w:t>
            </w:r>
          </w:p>
        </w:tc>
        <w:tc>
          <w:tcPr>
            <w:tcW w:w="860" w:type="dxa"/>
            <w:vAlign w:val="bottom"/>
          </w:tcPr>
          <w:p>
            <w:pPr>
              <w:spacing w:after="0"/>
              <w:rPr>
                <w:sz w:val="24"/>
                <w:szCs w:val="24"/>
                <w:color w:val="auto"/>
              </w:rPr>
            </w:pPr>
          </w:p>
        </w:tc>
      </w:tr>
      <w:tr>
        <w:trPr>
          <w:trHeight w:val="186"/>
        </w:trPr>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Exhibit 4 to the Company's Registration Statement on Form S-1 -</w:t>
            </w:r>
          </w:p>
        </w:tc>
        <w:tc>
          <w:tcPr>
            <w:tcW w:w="860" w:type="dxa"/>
            <w:vAlign w:val="bottom"/>
          </w:tcPr>
          <w:p>
            <w:pPr>
              <w:spacing w:after="0"/>
              <w:rPr>
                <w:sz w:val="16"/>
                <w:szCs w:val="16"/>
                <w:color w:val="auto"/>
              </w:rPr>
            </w:pPr>
          </w:p>
        </w:tc>
      </w:tr>
      <w:tr>
        <w:trPr>
          <w:trHeight w:val="186"/>
        </w:trPr>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80" w:type="dxa"/>
            <w:vAlign w:val="bottom"/>
          </w:tcPr>
          <w:p>
            <w:pPr>
              <w:ind w:left="100"/>
              <w:spacing w:after="0"/>
              <w:rPr>
                <w:sz w:val="20"/>
                <w:szCs w:val="20"/>
                <w:color w:val="auto"/>
              </w:rPr>
            </w:pPr>
            <w:r>
              <w:rPr>
                <w:rFonts w:ascii="Courier New" w:cs="Courier New" w:eastAsia="Courier New" w:hAnsi="Courier New"/>
                <w:sz w:val="16"/>
                <w:szCs w:val="16"/>
                <w:color w:val="auto"/>
              </w:rPr>
              <w:t>File No. 33-74694).</w:t>
            </w:r>
          </w:p>
        </w:tc>
        <w:tc>
          <w:tcPr>
            <w:tcW w:w="860" w:type="dxa"/>
            <w:vAlign w:val="bottom"/>
          </w:tcPr>
          <w:p>
            <w:pPr>
              <w:spacing w:after="0"/>
              <w:rPr>
                <w:sz w:val="16"/>
                <w:szCs w:val="16"/>
                <w:color w:val="auto"/>
              </w:rPr>
            </w:pPr>
          </w:p>
        </w:tc>
      </w:tr>
    </w:tbl>
    <w:p>
      <w:pPr>
        <w:spacing w:after="0" w:line="190" w:lineRule="exact"/>
        <w:rPr>
          <w:sz w:val="20"/>
          <w:szCs w:val="20"/>
          <w:color w:val="auto"/>
        </w:rPr>
      </w:pPr>
    </w:p>
    <w:p>
      <w:pPr>
        <w:ind w:left="1460" w:right="2459" w:hanging="483"/>
        <w:spacing w:after="0" w:line="247" w:lineRule="auto"/>
        <w:rPr>
          <w:sz w:val="20"/>
          <w:szCs w:val="20"/>
          <w:color w:val="auto"/>
        </w:rPr>
      </w:pPr>
      <w:r>
        <w:rPr>
          <w:rFonts w:ascii="Courier New" w:cs="Courier New" w:eastAsia="Courier New" w:hAnsi="Courier New"/>
          <w:sz w:val="16"/>
          <w:szCs w:val="16"/>
          <w:color w:val="auto"/>
        </w:rPr>
        <w:t>10.1* NN Ball &amp; Roller, Inc. Stock Incentive Plan (incorporated by reference to Exhibit 10.1 to the Company's Registration Statement on Form S-1 - File No. 33-74694).</w:t>
      </w:r>
    </w:p>
    <w:p>
      <w:pPr>
        <w:spacing w:after="0" w:line="186" w:lineRule="exact"/>
        <w:rPr>
          <w:sz w:val="20"/>
          <w:szCs w:val="20"/>
          <w:color w:val="auto"/>
        </w:rPr>
      </w:pPr>
    </w:p>
    <w:p>
      <w:pPr>
        <w:ind w:left="1460" w:right="2459" w:hanging="483"/>
        <w:spacing w:after="0" w:line="247" w:lineRule="auto"/>
        <w:rPr>
          <w:sz w:val="20"/>
          <w:szCs w:val="20"/>
          <w:color w:val="auto"/>
        </w:rPr>
      </w:pPr>
      <w:r>
        <w:rPr>
          <w:rFonts w:ascii="Courier New" w:cs="Courier New" w:eastAsia="Courier New" w:hAnsi="Courier New"/>
          <w:sz w:val="16"/>
          <w:szCs w:val="16"/>
          <w:color w:val="auto"/>
        </w:rPr>
        <w:t>10.3* $1.2 million Life Insurance Policy purchased by Mr. Ennen, the premiums of which are paid for by the Company (incorporated by reference to Exhibit 10.3 to the Company's Registration Statement on Form S-1-File No. 33-74694).</w:t>
      </w:r>
    </w:p>
    <w:p>
      <w:pPr>
        <w:spacing w:after="0" w:line="186" w:lineRule="exact"/>
        <w:rPr>
          <w:sz w:val="20"/>
          <w:szCs w:val="20"/>
          <w:color w:val="auto"/>
        </w:rPr>
      </w:pPr>
    </w:p>
    <w:p>
      <w:pPr>
        <w:ind w:left="1460" w:right="2559" w:hanging="483"/>
        <w:spacing w:after="0" w:line="247" w:lineRule="auto"/>
        <w:rPr>
          <w:sz w:val="20"/>
          <w:szCs w:val="20"/>
          <w:color w:val="auto"/>
        </w:rPr>
      </w:pPr>
      <w:r>
        <w:rPr>
          <w:rFonts w:ascii="Courier New" w:cs="Courier New" w:eastAsia="Courier New" w:hAnsi="Courier New"/>
          <w:sz w:val="16"/>
          <w:szCs w:val="16"/>
          <w:color w:val="auto"/>
        </w:rPr>
        <w:t>10.5 Form of Confidentiality and Non-Compete Agreements for Executive Officers of the Company (incorporated by reference to Exhibit 10.17 to the Company's Registration Statement on Form S-1 - File No. 33-74694).</w:t>
      </w:r>
    </w:p>
    <w:p>
      <w:pPr>
        <w:spacing w:after="0" w:line="186" w:lineRule="exact"/>
        <w:rPr>
          <w:sz w:val="20"/>
          <w:szCs w:val="20"/>
          <w:color w:val="auto"/>
        </w:rPr>
      </w:pPr>
    </w:p>
    <w:p>
      <w:pPr>
        <w:ind w:left="1460" w:right="2459" w:hanging="483"/>
        <w:spacing w:after="0" w:line="247" w:lineRule="auto"/>
        <w:rPr>
          <w:sz w:val="20"/>
          <w:szCs w:val="20"/>
          <w:color w:val="auto"/>
        </w:rPr>
      </w:pPr>
      <w:r>
        <w:rPr>
          <w:rFonts w:ascii="Courier New" w:cs="Courier New" w:eastAsia="Courier New" w:hAnsi="Courier New"/>
          <w:sz w:val="16"/>
          <w:szCs w:val="16"/>
          <w:color w:val="auto"/>
        </w:rPr>
        <w:t>10.6 Stockholder Agreement, dated February 22, 1994, among certain stockholders of the Company (incorporated by reference to Exhibit 10.18 to the Company's Registration Statement on Form S-1 - File No. 33-74694).</w:t>
      </w:r>
    </w:p>
    <w:p>
      <w:pPr>
        <w:spacing w:after="0" w:line="186" w:lineRule="exact"/>
        <w:rPr>
          <w:sz w:val="20"/>
          <w:szCs w:val="20"/>
          <w:color w:val="auto"/>
        </w:rPr>
      </w:pPr>
    </w:p>
    <w:p>
      <w:pPr>
        <w:ind w:left="1460" w:right="2659" w:hanging="483"/>
        <w:spacing w:after="0" w:line="246" w:lineRule="auto"/>
        <w:rPr>
          <w:sz w:val="20"/>
          <w:szCs w:val="20"/>
          <w:color w:val="auto"/>
        </w:rPr>
      </w:pPr>
      <w:r>
        <w:rPr>
          <w:rFonts w:ascii="Courier New" w:cs="Courier New" w:eastAsia="Courier New" w:hAnsi="Courier New"/>
          <w:sz w:val="16"/>
          <w:szCs w:val="16"/>
          <w:color w:val="auto"/>
        </w:rPr>
        <w:t>10.7 Form of Indemnification Agreement for officers and directors of the Company (incorporated by reference to Exhibit 10.19 to the Company's Registration Statement on Form S-1 - File No.</w:t>
      </w:r>
    </w:p>
    <w:p>
      <w:pPr>
        <w:spacing w:after="0" w:line="2"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33-74694).</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1049" w:right="1440" w:bottom="1440" w:gutter="0" w:footer="0" w:header="0"/>
        </w:sectPr>
      </w:pPr>
    </w:p>
    <w:bookmarkStart w:id="47" w:name="page48"/>
    <w:bookmarkEnd w:id="47"/>
    <w:p>
      <w:pPr>
        <w:ind w:left="1461" w:right="2459" w:hanging="483"/>
        <w:spacing w:after="0" w:line="247" w:lineRule="auto"/>
        <w:rPr>
          <w:sz w:val="20"/>
          <w:szCs w:val="20"/>
          <w:color w:val="auto"/>
        </w:rPr>
      </w:pPr>
      <w:r>
        <w:rPr>
          <w:rFonts w:ascii="Courier New" w:cs="Courier New" w:eastAsia="Courier New" w:hAnsi="Courier New"/>
          <w:sz w:val="16"/>
          <w:szCs w:val="16"/>
          <w:color w:val="auto"/>
        </w:rPr>
        <w:t>10.8 Lease, dated as of September 5, 1995, between the Company and the State of Tennessee Department of Economic and Community Development and the County of Johnson County, Tennessee (incorporated by reference to Exhibit 10.9 of the Company's Annual Report on Form 10-K for the fiscal year ended December 31, 1995).</w:t>
      </w:r>
    </w:p>
    <w:p>
      <w:pPr>
        <w:spacing w:after="0" w:line="185" w:lineRule="exact"/>
        <w:rPr>
          <w:sz w:val="20"/>
          <w:szCs w:val="20"/>
          <w:color w:val="auto"/>
        </w:rPr>
      </w:pPr>
    </w:p>
    <w:p>
      <w:pPr>
        <w:ind w:left="1461" w:right="2459" w:hanging="483"/>
        <w:spacing w:after="0" w:line="247" w:lineRule="auto"/>
        <w:rPr>
          <w:sz w:val="20"/>
          <w:szCs w:val="20"/>
          <w:color w:val="auto"/>
        </w:rPr>
      </w:pPr>
      <w:r>
        <w:rPr>
          <w:rFonts w:ascii="Courier New" w:cs="Courier New" w:eastAsia="Courier New" w:hAnsi="Courier New"/>
          <w:sz w:val="16"/>
          <w:szCs w:val="16"/>
          <w:color w:val="auto"/>
        </w:rPr>
        <w:t>10.9 Lease, dated as of March 22, 1996, between the Company and the State of Tennessee Department of Economic and Community Development and the County of Johnson County, Tennessee (incorporated by reference to Exhibit 10.10 of the Company's Annual Report on Form 10-K for the fiscal year ended December 31, 1995).</w:t>
      </w:r>
    </w:p>
    <w:p>
      <w:pPr>
        <w:spacing w:after="0" w:line="18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10.10* Stock Option Agreement, dated as of July 3, 1995, between the</w:t>
      </w:r>
    </w:p>
    <w:p>
      <w:pPr>
        <w:spacing w:after="0" w:line="5" w:lineRule="exact"/>
        <w:rPr>
          <w:sz w:val="20"/>
          <w:szCs w:val="20"/>
          <w:color w:val="auto"/>
        </w:rPr>
      </w:pPr>
    </w:p>
    <w:p>
      <w:pPr>
        <w:ind w:left="1461" w:right="2459"/>
        <w:spacing w:after="0" w:line="247" w:lineRule="auto"/>
        <w:rPr>
          <w:sz w:val="20"/>
          <w:szCs w:val="20"/>
          <w:color w:val="auto"/>
        </w:rPr>
      </w:pPr>
      <w:r>
        <w:rPr>
          <w:rFonts w:ascii="Courier New" w:cs="Courier New" w:eastAsia="Courier New" w:hAnsi="Courier New"/>
          <w:sz w:val="16"/>
          <w:szCs w:val="16"/>
          <w:color w:val="auto"/>
        </w:rPr>
        <w:t>Company and Roderick R. Baty (incorporated by reference to Exhibit 10.11 of the Company's Annual Report on Form 10-K for the fiscal year ended December 31, 1995).</w:t>
      </w:r>
    </w:p>
    <w:p>
      <w:pPr>
        <w:spacing w:after="0" w:line="186" w:lineRule="exact"/>
        <w:rPr>
          <w:sz w:val="20"/>
          <w:szCs w:val="20"/>
          <w:color w:val="auto"/>
        </w:rPr>
      </w:pPr>
    </w:p>
    <w:p>
      <w:pPr>
        <w:ind w:left="1461" w:right="2559" w:hanging="483"/>
        <w:spacing w:after="0" w:line="247" w:lineRule="auto"/>
        <w:rPr>
          <w:sz w:val="20"/>
          <w:szCs w:val="20"/>
          <w:color w:val="auto"/>
        </w:rPr>
      </w:pPr>
      <w:r>
        <w:rPr>
          <w:rFonts w:ascii="Courier New" w:cs="Courier New" w:eastAsia="Courier New" w:hAnsi="Courier New"/>
          <w:sz w:val="16"/>
          <w:szCs w:val="16"/>
          <w:color w:val="auto"/>
        </w:rPr>
        <w:t>10.11 Loan Agreement, dated as of July 25, 1997, between the Company and First American National Bank (incorporated by reference to Exhibit 10.13 of the Company's Quarterly Report on Form 10-Q for the quarterly period ended June 30, 1997).</w:t>
      </w:r>
    </w:p>
    <w:p>
      <w:pPr>
        <w:spacing w:after="0" w:line="186" w:lineRule="exact"/>
        <w:rPr>
          <w:sz w:val="20"/>
          <w:szCs w:val="20"/>
          <w:color w:val="auto"/>
        </w:rPr>
      </w:pPr>
    </w:p>
    <w:p>
      <w:pPr>
        <w:ind w:left="1461" w:right="2459" w:hanging="483"/>
        <w:spacing w:after="0" w:line="247" w:lineRule="auto"/>
        <w:rPr>
          <w:sz w:val="20"/>
          <w:szCs w:val="20"/>
          <w:color w:val="auto"/>
        </w:rPr>
      </w:pPr>
      <w:r>
        <w:rPr>
          <w:rFonts w:ascii="Courier New" w:cs="Courier New" w:eastAsia="Courier New" w:hAnsi="Courier New"/>
          <w:sz w:val="16"/>
          <w:szCs w:val="16"/>
          <w:color w:val="auto"/>
        </w:rPr>
        <w:t>10.12* Employment Agreement, dated August 1, 1997, between the Company and Roderick R. Baty (incorporated by reference to Exhibit 10.14 of the Company's Quarterly Report on Form 10-Q for the quarterly period ended September 30, 1997).</w:t>
      </w:r>
    </w:p>
    <w:p>
      <w:pPr>
        <w:spacing w:after="0" w:line="186" w:lineRule="exact"/>
        <w:rPr>
          <w:sz w:val="20"/>
          <w:szCs w:val="20"/>
          <w:color w:val="auto"/>
        </w:rPr>
      </w:pPr>
    </w:p>
    <w:p>
      <w:pPr>
        <w:ind w:left="1461" w:right="2759" w:hanging="483"/>
        <w:spacing w:after="0" w:line="248" w:lineRule="auto"/>
        <w:rPr>
          <w:sz w:val="20"/>
          <w:szCs w:val="20"/>
          <w:color w:val="auto"/>
        </w:rPr>
      </w:pPr>
      <w:r>
        <w:rPr>
          <w:rFonts w:ascii="Courier New" w:cs="Courier New" w:eastAsia="Courier New" w:hAnsi="Courier New"/>
          <w:sz w:val="16"/>
          <w:szCs w:val="16"/>
          <w:color w:val="auto"/>
        </w:rPr>
        <w:t>10.13* Employment Agreement, dated May 7, 1998, between the Company and Frank T. Gentry.</w:t>
      </w:r>
    </w:p>
    <w:p>
      <w:pPr>
        <w:spacing w:after="0" w:line="184" w:lineRule="exact"/>
        <w:rPr>
          <w:sz w:val="20"/>
          <w:szCs w:val="20"/>
          <w:color w:val="auto"/>
        </w:rPr>
      </w:pPr>
    </w:p>
    <w:p>
      <w:pPr>
        <w:ind w:left="1461" w:right="2459" w:hanging="483"/>
        <w:spacing w:after="0" w:line="247" w:lineRule="auto"/>
        <w:rPr>
          <w:sz w:val="20"/>
          <w:szCs w:val="20"/>
          <w:color w:val="auto"/>
        </w:rPr>
      </w:pPr>
      <w:r>
        <w:rPr>
          <w:rFonts w:ascii="Courier New" w:cs="Courier New" w:eastAsia="Courier New" w:hAnsi="Courier New"/>
          <w:sz w:val="16"/>
          <w:szCs w:val="16"/>
          <w:color w:val="auto"/>
        </w:rPr>
        <w:t>10.14* Form of Stock Option Agreement, dated December 7, 1998, between the Company and the non-employee directors of the Company (incorporated by reference to Exhibit 10.15 of the Company's Quarterly Report on Form 10-K for the fiscal year ended December 31, 1999).</w:t>
      </w:r>
    </w:p>
    <w:p>
      <w:pPr>
        <w:spacing w:after="0" w:line="185" w:lineRule="exact"/>
        <w:rPr>
          <w:sz w:val="20"/>
          <w:szCs w:val="20"/>
          <w:color w:val="auto"/>
        </w:rPr>
      </w:pPr>
    </w:p>
    <w:p>
      <w:pPr>
        <w:ind w:left="1461" w:right="2459" w:hanging="483"/>
        <w:spacing w:after="0" w:line="247" w:lineRule="auto"/>
        <w:rPr>
          <w:sz w:val="20"/>
          <w:szCs w:val="20"/>
          <w:color w:val="auto"/>
        </w:rPr>
      </w:pPr>
      <w:r>
        <w:rPr>
          <w:rFonts w:ascii="Courier New" w:cs="Courier New" w:eastAsia="Courier New" w:hAnsi="Courier New"/>
          <w:sz w:val="16"/>
          <w:szCs w:val="16"/>
          <w:color w:val="auto"/>
        </w:rPr>
        <w:t>10.15* Elective Deferred Compensation Plan, dated February 26, 1999 (incorporated by reference to Exhibit 10.16 of the Company's Annual Report on Form 10-K for the fiscal year ended December 31, 1999).</w:t>
      </w:r>
    </w:p>
    <w:p>
      <w:pPr>
        <w:spacing w:after="0" w:line="372"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23.1 Consent of PricewaterhouseCoopers LLP (filed herewith).</w:t>
      </w:r>
    </w:p>
    <w:p>
      <w:pPr>
        <w:spacing w:after="0" w:line="191"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23.2 Consent of KPMG LLP (filed herewith).</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781" w:hanging="781"/>
        <w:spacing w:after="0"/>
        <w:tabs>
          <w:tab w:leader="none" w:pos="7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w:t>
      </w:r>
    </w:p>
    <w:p>
      <w:pPr>
        <w:spacing w:after="0" w:line="191" w:lineRule="exact"/>
        <w:rPr>
          <w:sz w:val="20"/>
          <w:szCs w:val="20"/>
          <w:color w:val="auto"/>
        </w:rPr>
      </w:pPr>
    </w:p>
    <w:p>
      <w:pPr>
        <w:ind w:left="781" w:hanging="781"/>
        <w:spacing w:after="0"/>
        <w:tabs>
          <w:tab w:leader="none" w:pos="7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rFonts w:ascii="Courier New" w:cs="Courier New" w:eastAsia="Courier New" w:hAnsi="Courier New"/>
          <w:sz w:val="16"/>
          <w:szCs w:val="16"/>
          <w:color w:val="auto"/>
        </w:rPr>
      </w:pPr>
    </w:p>
    <w:p>
      <w:pPr>
        <w:ind w:left="7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Form 8-K on October 16, 2000 which included further details of the transaction entered into with FAG Kugelfischer Georg Schafer AG and AB SKF to form a new Danish holding company, NN Euroball ApS.</w:t>
      </w:r>
    </w:p>
    <w:p>
      <w:pPr>
        <w:spacing w:after="0" w:line="185" w:lineRule="exact"/>
        <w:rPr>
          <w:rFonts w:ascii="Courier New" w:cs="Courier New" w:eastAsia="Courier New" w:hAnsi="Courier New"/>
          <w:sz w:val="16"/>
          <w:szCs w:val="16"/>
          <w:color w:val="auto"/>
        </w:rPr>
      </w:pPr>
    </w:p>
    <w:p>
      <w:pPr>
        <w:ind w:left="781"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Form 8-K on November 3, 2000 announcing its third quarter 2000 results.</w:t>
      </w:r>
    </w:p>
    <w:p>
      <w:pPr>
        <w:spacing w:after="0" w:line="184" w:lineRule="exact"/>
        <w:rPr>
          <w:rFonts w:ascii="Courier New" w:cs="Courier New" w:eastAsia="Courier New" w:hAnsi="Courier New"/>
          <w:sz w:val="16"/>
          <w:szCs w:val="16"/>
          <w:color w:val="auto"/>
        </w:rPr>
      </w:pPr>
    </w:p>
    <w:p>
      <w:pPr>
        <w:ind w:left="781" w:right="28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Form 8-K on December 4, 2000 announcing that the Company had retained the services of KPMG LLP replacing PricewaterhouseCoopers LLP as independent auditors.</w:t>
      </w:r>
    </w:p>
    <w:p>
      <w:pPr>
        <w:spacing w:after="0" w:line="185" w:lineRule="exact"/>
        <w:rPr>
          <w:rFonts w:ascii="Courier New" w:cs="Courier New" w:eastAsia="Courier New" w:hAnsi="Courier New"/>
          <w:sz w:val="16"/>
          <w:szCs w:val="16"/>
          <w:color w:val="auto"/>
        </w:rPr>
      </w:pPr>
    </w:p>
    <w:p>
      <w:pPr>
        <w:ind w:left="781" w:hanging="781"/>
        <w:spacing w:after="0"/>
        <w:tabs>
          <w:tab w:leader="none" w:pos="7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See Index to Exhibits (attached hereto).</w:t>
      </w:r>
    </w:p>
    <w:p>
      <w:pPr>
        <w:spacing w:after="0" w:line="5" w:lineRule="exact"/>
        <w:rPr>
          <w:rFonts w:ascii="Courier New" w:cs="Courier New" w:eastAsia="Courier New" w:hAnsi="Courier New"/>
          <w:sz w:val="16"/>
          <w:szCs w:val="16"/>
          <w:color w:val="auto"/>
        </w:rPr>
      </w:pPr>
    </w:p>
    <w:p>
      <w:pPr>
        <w:ind w:left="781"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provide without charge to any person, upon the written request of such person, a copy of any of the Exhibits to this Form 10-K.</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20"/>
          </w:cols>
          <w:pgMar w:left="239" w:top="1049" w:right="1440" w:bottom="1440" w:gutter="0" w:footer="0" w:header="0"/>
        </w:sectPr>
      </w:pPr>
    </w:p>
    <w:bookmarkStart w:id="48" w:name="page49"/>
    <w:bookmarkEnd w:id="48"/>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1" w:right="2459" w:firstLine="775"/>
        <w:spacing w:after="0" w:line="24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20"/>
          </w:cols>
          <w:pgMar w:left="239" w:top="104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 RICHARD D. ENNEN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Richard D. Ennen</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Chairman and Director</w:t>
      </w:r>
    </w:p>
    <w:p>
      <w:pPr>
        <w:spacing w:after="0" w:line="191" w:lineRule="exact"/>
        <w:rPr>
          <w:sz w:val="20"/>
          <w:szCs w:val="20"/>
          <w:color w:val="auto"/>
        </w:rPr>
      </w:pPr>
    </w:p>
    <w:p>
      <w:pPr>
        <w:sectPr>
          <w:pgSz w:w="11900" w:h="16838" w:orient="portrait"/>
          <w:cols w:equalWidth="0" w:num="2">
            <w:col w:w="3781" w:space="200"/>
            <w:col w:w="6239"/>
          </w:cols>
          <w:pgMar w:left="239" w:top="1049" w:right="1440" w:bottom="1440" w:gutter="0" w:footer="0" w:header="0"/>
          <w:type w:val="continuous"/>
        </w:sectPr>
      </w:pPr>
    </w:p>
    <w:p>
      <w:pPr>
        <w:ind w:left="5141"/>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29, 2001</w:t>
      </w:r>
    </w:p>
    <w:p>
      <w:pPr>
        <w:spacing w:after="0" w:line="202" w:lineRule="exact"/>
        <w:rPr>
          <w:sz w:val="20"/>
          <w:szCs w:val="20"/>
          <w:color w:val="auto"/>
        </w:rPr>
      </w:pPr>
    </w:p>
    <w:p>
      <w:pPr>
        <w:sectPr>
          <w:pgSz w:w="11900" w:h="16838" w:orient="portrait"/>
          <w:cols w:equalWidth="0" w:num="2">
            <w:col w:w="5721" w:space="200"/>
            <w:col w:w="4299"/>
          </w:cols>
          <w:pgMar w:left="239" w:top="1049" w:right="1440" w:bottom="1440" w:gutter="0" w:footer="0" w:header="0"/>
          <w:type w:val="continuous"/>
        </w:sectPr>
      </w:pPr>
    </w:p>
    <w:p>
      <w:pPr>
        <w:ind w:left="1" w:right="2859" w:firstLine="775"/>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20"/>
          </w:cols>
          <w:pgMar w:left="239" w:top="10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Name and Signature</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1" w:lineRule="exact"/>
        <w:rPr>
          <w:sz w:val="20"/>
          <w:szCs w:val="20"/>
          <w:color w:val="auto"/>
        </w:rPr>
      </w:pPr>
    </w:p>
    <w:p>
      <w:pPr>
        <w:sectPr>
          <w:pgSz w:w="11900" w:h="16838" w:orient="portrait"/>
          <w:cols w:equalWidth="0" w:num="3">
            <w:col w:w="4121" w:space="720"/>
            <w:col w:w="2200" w:space="720"/>
            <w:col w:w="2459"/>
          </w:cols>
          <w:pgMar w:left="239" w:top="1049" w:right="1440" w:bottom="1440" w:gutter="0" w:footer="0" w:header="0"/>
          <w:type w:val="continuous"/>
        </w:sectPr>
      </w:pPr>
    </w:p>
    <w:p>
      <w:pPr>
        <w:spacing w:after="0" w:line="178" w:lineRule="exact"/>
        <w:rPr>
          <w:sz w:val="20"/>
          <w:szCs w:val="20"/>
          <w:color w:val="auto"/>
        </w:rPr>
      </w:pPr>
    </w:p>
    <w:p>
      <w:pPr>
        <w:ind w:left="961"/>
        <w:spacing w:after="0"/>
        <w:tabs>
          <w:tab w:leader="none" w:pos="4040" w:val="left"/>
        </w:tabs>
        <w:rPr>
          <w:sz w:val="20"/>
          <w:szCs w:val="20"/>
          <w:color w:val="auto"/>
        </w:rPr>
      </w:pPr>
      <w:r>
        <w:rPr>
          <w:rFonts w:ascii="Courier New" w:cs="Courier New" w:eastAsia="Courier New" w:hAnsi="Courier New"/>
          <w:sz w:val="16"/>
          <w:szCs w:val="16"/>
          <w:color w:val="auto"/>
        </w:rPr>
        <w:t>/S/ RICHARD D. ENNEN</w:t>
      </w:r>
      <w:r>
        <w:rPr>
          <w:sz w:val="20"/>
          <w:szCs w:val="20"/>
          <w:color w:val="auto"/>
        </w:rPr>
        <w:tab/>
      </w:r>
      <w:r>
        <w:rPr>
          <w:rFonts w:ascii="Courier New" w:cs="Courier New" w:eastAsia="Courier New" w:hAnsi="Courier New"/>
          <w:sz w:val="16"/>
          <w:szCs w:val="16"/>
          <w:color w:val="auto"/>
        </w:rPr>
        <w:t>Chairman and Director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6"/>
          <w:szCs w:val="16"/>
          <w:color w:val="auto"/>
        </w:rPr>
        <w:t>March 29, 2001</w:t>
      </w:r>
    </w:p>
    <w:p>
      <w:pPr>
        <w:spacing w:after="0" w:line="5" w:lineRule="exact"/>
        <w:rPr>
          <w:sz w:val="20"/>
          <w:szCs w:val="20"/>
          <w:color w:val="auto"/>
        </w:rPr>
      </w:pPr>
    </w:p>
    <w:p>
      <w:pPr>
        <w:sectPr>
          <w:pgSz w:w="11900" w:h="16838" w:orient="portrait"/>
          <w:cols w:equalWidth="0" w:num="2">
            <w:col w:w="6741" w:space="720"/>
            <w:col w:w="2759"/>
          </w:cols>
          <w:pgMar w:left="239" w:top="1049" w:right="1440" w:bottom="1440" w:gutter="0" w:footer="0" w:header="0"/>
          <w:type w:val="continuous"/>
        </w:sect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 Ennen</w:t>
      </w:r>
    </w:p>
    <w:p>
      <w:pPr>
        <w:sectPr>
          <w:pgSz w:w="11900" w:h="16838" w:orient="portrait"/>
          <w:cols w:equalWidth="0" w:num="1">
            <w:col w:w="10220"/>
          </w:cols>
          <w:pgMar w:left="239" w:top="1049" w:right="1440"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left="961"/>
        <w:spacing w:after="0"/>
        <w:tabs>
          <w:tab w:leader="none" w:pos="4040" w:val="left"/>
        </w:tabs>
        <w:rPr>
          <w:sz w:val="20"/>
          <w:szCs w:val="20"/>
          <w:color w:val="auto"/>
        </w:rPr>
      </w:pPr>
      <w:r>
        <w:rPr>
          <w:rFonts w:ascii="Courier New" w:cs="Courier New" w:eastAsia="Courier New" w:hAnsi="Courier New"/>
          <w:sz w:val="16"/>
          <w:szCs w:val="16"/>
          <w:color w:val="auto"/>
        </w:rPr>
        <w:t>/S/ RODERICK R. BATY</w:t>
      </w:r>
      <w:r>
        <w:rPr>
          <w:sz w:val="20"/>
          <w:szCs w:val="20"/>
          <w:color w:val="auto"/>
        </w:rPr>
        <w:tab/>
      </w:r>
      <w:r>
        <w:rPr>
          <w:rFonts w:ascii="Courier New" w:cs="Courier New" w:eastAsia="Courier New" w:hAnsi="Courier New"/>
          <w:sz w:val="16"/>
          <w:szCs w:val="16"/>
          <w:color w:val="auto"/>
        </w:rPr>
        <w:t>President, Chief Executive</w:t>
      </w:r>
    </w:p>
    <w:p>
      <w:pPr>
        <w:spacing w:after="0" w:line="5" w:lineRule="exact"/>
        <w:rPr>
          <w:sz w:val="20"/>
          <w:szCs w:val="20"/>
          <w:color w:val="auto"/>
        </w:rPr>
      </w:pPr>
    </w:p>
    <w:p>
      <w:pPr>
        <w:ind w:left="1"/>
        <w:spacing w:after="0"/>
        <w:tabs>
          <w:tab w:leader="none" w:pos="44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Officer and Director</w:t>
      </w:r>
    </w:p>
    <w:p>
      <w:pPr>
        <w:spacing w:after="0" w:line="5" w:lineRule="exact"/>
        <w:rPr>
          <w:sz w:val="20"/>
          <w:szCs w:val="20"/>
          <w:color w:val="auto"/>
        </w:rPr>
      </w:pPr>
    </w:p>
    <w:p>
      <w:pPr>
        <w:ind w:left="1161"/>
        <w:spacing w:after="0"/>
        <w:tabs>
          <w:tab w:leader="none" w:pos="4240" w:val="left"/>
        </w:tabs>
        <w:rPr>
          <w:sz w:val="20"/>
          <w:szCs w:val="20"/>
          <w:color w:val="auto"/>
        </w:rPr>
      </w:pPr>
      <w:r>
        <w:rPr>
          <w:rFonts w:ascii="Courier New" w:cs="Courier New" w:eastAsia="Courier New" w:hAnsi="Courier New"/>
          <w:sz w:val="16"/>
          <w:szCs w:val="16"/>
          <w:color w:val="auto"/>
        </w:rPr>
        <w:t>Roderick R. Baty</w:t>
      </w:r>
      <w:r>
        <w:rPr>
          <w:sz w:val="20"/>
          <w:szCs w:val="20"/>
          <w:color w:val="auto"/>
        </w:rPr>
        <w:tab/>
      </w: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29, 2001</w:t>
      </w:r>
    </w:p>
    <w:p>
      <w:pPr>
        <w:spacing w:after="0" w:line="200" w:lineRule="exact"/>
        <w:rPr>
          <w:sz w:val="20"/>
          <w:szCs w:val="20"/>
          <w:color w:val="auto"/>
        </w:rPr>
      </w:pPr>
    </w:p>
    <w:p>
      <w:pPr>
        <w:sectPr>
          <w:pgSz w:w="11900" w:h="16838" w:orient="portrait"/>
          <w:cols w:equalWidth="0" w:num="2">
            <w:col w:w="7081" w:space="380"/>
            <w:col w:w="2759"/>
          </w:cols>
          <w:pgMar w:left="239" w:top="1049" w:right="1440" w:bottom="1440" w:gutter="0" w:footer="0" w:header="0"/>
          <w:type w:val="continuous"/>
        </w:sectPr>
      </w:pPr>
    </w:p>
    <w:p>
      <w:pPr>
        <w:spacing w:after="0" w:line="364" w:lineRule="exact"/>
        <w:rPr>
          <w:sz w:val="20"/>
          <w:szCs w:val="20"/>
          <w:color w:val="auto"/>
        </w:rPr>
      </w:pPr>
    </w:p>
    <w:p>
      <w:pPr>
        <w:ind w:left="681"/>
        <w:spacing w:after="0"/>
        <w:tabs>
          <w:tab w:leader="none" w:pos="4040" w:val="left"/>
        </w:tabs>
        <w:rPr>
          <w:sz w:val="20"/>
          <w:szCs w:val="20"/>
          <w:color w:val="auto"/>
        </w:rPr>
      </w:pPr>
      <w:r>
        <w:rPr>
          <w:rFonts w:ascii="Courier New" w:cs="Courier New" w:eastAsia="Courier New" w:hAnsi="Courier New"/>
          <w:sz w:val="16"/>
          <w:szCs w:val="16"/>
          <w:color w:val="auto"/>
        </w:rPr>
        <w:t>/S/ WILLIAM C. KELLY, JR.</w:t>
      </w:r>
      <w:r>
        <w:rPr>
          <w:sz w:val="20"/>
          <w:szCs w:val="20"/>
          <w:color w:val="auto"/>
        </w:rPr>
        <w:tab/>
      </w:r>
      <w:r>
        <w:rPr>
          <w:rFonts w:ascii="Courier New" w:cs="Courier New" w:eastAsia="Courier New" w:hAnsi="Courier New"/>
          <w:sz w:val="16"/>
          <w:szCs w:val="16"/>
          <w:color w:val="auto"/>
        </w:rPr>
        <w:t>Treasurer, Secretary and Chief</w:t>
      </w:r>
    </w:p>
    <w:p>
      <w:pPr>
        <w:spacing w:after="0" w:line="5" w:lineRule="exact"/>
        <w:rPr>
          <w:sz w:val="20"/>
          <w:szCs w:val="20"/>
          <w:color w:val="auto"/>
        </w:rPr>
      </w:pPr>
    </w:p>
    <w:p>
      <w:pPr>
        <w:ind w:left="1"/>
        <w:spacing w:after="0"/>
        <w:tabs>
          <w:tab w:leader="none" w:pos="44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Accounting Officer (Principle</w:t>
      </w:r>
    </w:p>
    <w:p>
      <w:pPr>
        <w:spacing w:after="0" w:line="5" w:lineRule="exact"/>
        <w:rPr>
          <w:sz w:val="20"/>
          <w:szCs w:val="20"/>
          <w:color w:val="auto"/>
        </w:rPr>
      </w:pPr>
    </w:p>
    <w:p>
      <w:pPr>
        <w:ind w:left="881"/>
        <w:spacing w:after="0"/>
        <w:tabs>
          <w:tab w:leader="none" w:pos="4240" w:val="left"/>
        </w:tabs>
        <w:rPr>
          <w:sz w:val="20"/>
          <w:szCs w:val="20"/>
          <w:color w:val="auto"/>
        </w:rPr>
      </w:pPr>
      <w:r>
        <w:rPr>
          <w:rFonts w:ascii="Courier New" w:cs="Courier New" w:eastAsia="Courier New" w:hAnsi="Courier New"/>
          <w:sz w:val="16"/>
          <w:szCs w:val="16"/>
          <w:color w:val="auto"/>
        </w:rPr>
        <w:t>William C. Kelly, Jr.</w:t>
      </w:r>
      <w:r>
        <w:rPr>
          <w:sz w:val="20"/>
          <w:szCs w:val="20"/>
          <w:color w:val="auto"/>
        </w:rPr>
        <w:tab/>
      </w: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29, 2001</w:t>
      </w:r>
    </w:p>
    <w:p>
      <w:pPr>
        <w:spacing w:after="0" w:line="200" w:lineRule="exact"/>
        <w:rPr>
          <w:sz w:val="20"/>
          <w:szCs w:val="20"/>
          <w:color w:val="auto"/>
        </w:rPr>
      </w:pPr>
    </w:p>
    <w:p>
      <w:pPr>
        <w:sectPr>
          <w:pgSz w:w="11900" w:h="16838" w:orient="portrait"/>
          <w:cols w:equalWidth="0" w:num="2">
            <w:col w:w="7261" w:space="200"/>
            <w:col w:w="2759"/>
          </w:cols>
          <w:pgMar w:left="239" w:top="1049" w:right="1440"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961"/>
        <w:spacing w:after="0"/>
        <w:tabs>
          <w:tab w:leader="none" w:pos="4040" w:val="left"/>
        </w:tabs>
        <w:rPr>
          <w:sz w:val="20"/>
          <w:szCs w:val="20"/>
          <w:color w:val="auto"/>
        </w:rPr>
      </w:pPr>
      <w:r>
        <w:rPr>
          <w:rFonts w:ascii="Courier New" w:cs="Courier New" w:eastAsia="Courier New" w:hAnsi="Courier New"/>
          <w:sz w:val="16"/>
          <w:szCs w:val="16"/>
          <w:color w:val="auto"/>
        </w:rPr>
        <w:t>/S/ DAVID L. DYCKMAN</w:t>
      </w:r>
      <w:r>
        <w:rPr>
          <w:sz w:val="20"/>
          <w:szCs w:val="20"/>
          <w:color w:val="auto"/>
        </w:rPr>
        <w:tab/>
      </w:r>
      <w:r>
        <w:rPr>
          <w:rFonts w:ascii="Courier New" w:cs="Courier New" w:eastAsia="Courier New" w:hAnsi="Courier New"/>
          <w:sz w:val="16"/>
          <w:szCs w:val="16"/>
          <w:color w:val="auto"/>
        </w:rPr>
        <w:t>Vice President - Business</w:t>
      </w:r>
    </w:p>
    <w:p>
      <w:pPr>
        <w:spacing w:after="0" w:line="5" w:lineRule="exact"/>
        <w:rPr>
          <w:sz w:val="20"/>
          <w:szCs w:val="20"/>
          <w:color w:val="auto"/>
        </w:rPr>
      </w:pPr>
    </w:p>
    <w:p>
      <w:pPr>
        <w:ind w:left="1"/>
        <w:spacing w:after="0"/>
        <w:tabs>
          <w:tab w:leader="none" w:pos="44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Development and Chief</w:t>
      </w:r>
    </w:p>
    <w:p>
      <w:pPr>
        <w:spacing w:after="0" w:line="5" w:lineRule="exact"/>
        <w:rPr>
          <w:sz w:val="20"/>
          <w:szCs w:val="20"/>
          <w:color w:val="auto"/>
        </w:rPr>
      </w:pPr>
    </w:p>
    <w:p>
      <w:pPr>
        <w:ind w:left="1161"/>
        <w:spacing w:after="0"/>
        <w:tabs>
          <w:tab w:leader="none" w:pos="4240" w:val="left"/>
        </w:tabs>
        <w:rPr>
          <w:sz w:val="20"/>
          <w:szCs w:val="20"/>
          <w:color w:val="auto"/>
        </w:rPr>
      </w:pPr>
      <w:r>
        <w:rPr>
          <w:rFonts w:ascii="Courier New" w:cs="Courier New" w:eastAsia="Courier New" w:hAnsi="Courier New"/>
          <w:sz w:val="16"/>
          <w:szCs w:val="16"/>
          <w:color w:val="auto"/>
        </w:rPr>
        <w:t>David L. Dyckman</w:t>
      </w:r>
      <w:r>
        <w:rPr>
          <w:sz w:val="20"/>
          <w:szCs w:val="20"/>
          <w:color w:val="auto"/>
        </w:rPr>
        <w:tab/>
      </w:r>
      <w:r>
        <w:rPr>
          <w:rFonts w:ascii="Courier New" w:cs="Courier New" w:eastAsia="Courier New" w:hAnsi="Courier New"/>
          <w:sz w:val="16"/>
          <w:szCs w:val="16"/>
          <w:color w:val="auto"/>
        </w:rPr>
        <w:t>Financial Officer (Principal</w:t>
      </w:r>
    </w:p>
    <w:p>
      <w:pPr>
        <w:spacing w:after="0" w:line="5"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29, 2001</w:t>
      </w:r>
    </w:p>
    <w:p>
      <w:pPr>
        <w:spacing w:after="0" w:line="200" w:lineRule="exact"/>
        <w:rPr>
          <w:sz w:val="20"/>
          <w:szCs w:val="20"/>
          <w:color w:val="auto"/>
        </w:rPr>
      </w:pPr>
    </w:p>
    <w:p>
      <w:pPr>
        <w:sectPr>
          <w:pgSz w:w="11900" w:h="16838" w:orient="portrait"/>
          <w:cols w:equalWidth="0" w:num="2">
            <w:col w:w="6981" w:space="480"/>
            <w:col w:w="2759"/>
          </w:cols>
          <w:pgMar w:left="239" w:top="1049" w:right="1440" w:bottom="1440" w:gutter="0" w:footer="0" w:header="0"/>
          <w:type w:val="continuous"/>
        </w:sectPr>
      </w:pPr>
    </w:p>
    <w:p>
      <w:pPr>
        <w:spacing w:after="0" w:line="178" w:lineRule="exact"/>
        <w:rPr>
          <w:sz w:val="20"/>
          <w:szCs w:val="20"/>
          <w:color w:val="auto"/>
        </w:rPr>
      </w:pPr>
    </w:p>
    <w:p>
      <w:pPr>
        <w:ind w:left="961"/>
        <w:spacing w:after="0"/>
        <w:tabs>
          <w:tab w:leader="none" w:pos="4040" w:val="left"/>
        </w:tabs>
        <w:rPr>
          <w:sz w:val="20"/>
          <w:szCs w:val="20"/>
          <w:color w:val="auto"/>
        </w:rPr>
      </w:pPr>
      <w:r>
        <w:rPr>
          <w:rFonts w:ascii="Courier New" w:cs="Courier New" w:eastAsia="Courier New" w:hAnsi="Courier New"/>
          <w:sz w:val="16"/>
          <w:szCs w:val="16"/>
          <w:color w:val="auto"/>
        </w:rPr>
        <w:t>/S/ MICHAEL D. HUFF</w:t>
      </w:r>
      <w:r>
        <w:rPr>
          <w:sz w:val="20"/>
          <w:szCs w:val="20"/>
          <w:color w:val="auto"/>
        </w:rPr>
        <w:tab/>
      </w: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29, 2001</w:t>
      </w:r>
    </w:p>
    <w:p>
      <w:pPr>
        <w:spacing w:after="0" w:line="5" w:lineRule="exact"/>
        <w:rPr>
          <w:sz w:val="20"/>
          <w:szCs w:val="20"/>
          <w:color w:val="auto"/>
        </w:rPr>
      </w:pPr>
    </w:p>
    <w:p>
      <w:pPr>
        <w:sectPr>
          <w:pgSz w:w="11900" w:h="16838" w:orient="portrait"/>
          <w:cols w:equalWidth="0" w:num="2">
            <w:col w:w="6741" w:space="720"/>
            <w:col w:w="2759"/>
          </w:cols>
          <w:pgMar w:left="239" w:top="1049" w:right="1440" w:bottom="1440" w:gutter="0" w:footer="0" w:header="0"/>
          <w:type w:val="continuous"/>
        </w:sect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D. Huff</w:t>
      </w:r>
    </w:p>
    <w:p>
      <w:pPr>
        <w:spacing w:after="0" w:line="191" w:lineRule="exact"/>
        <w:rPr>
          <w:sz w:val="20"/>
          <w:szCs w:val="20"/>
          <w:color w:val="auto"/>
        </w:rPr>
      </w:pPr>
    </w:p>
    <w:p>
      <w:pPr>
        <w:jc w:val="right"/>
        <w:ind w:right="1399"/>
        <w:spacing w:after="0"/>
        <w:tabs>
          <w:tab w:leader="none" w:pos="4740" w:val="left"/>
          <w:tab w:leader="none" w:pos="1340" w:val="left"/>
        </w:tabs>
        <w:rPr>
          <w:sz w:val="20"/>
          <w:szCs w:val="20"/>
          <w:color w:val="auto"/>
        </w:rPr>
      </w:pPr>
      <w:r>
        <w:rPr>
          <w:rFonts w:ascii="Courier New" w:cs="Courier New" w:eastAsia="Courier New" w:hAnsi="Courier New"/>
          <w:sz w:val="16"/>
          <w:szCs w:val="16"/>
          <w:color w:val="auto"/>
        </w:rPr>
        <w:t>/S/ G. RONALD MORRIS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March 29, 2001</w:t>
      </w:r>
    </w:p>
    <w:p>
      <w:pPr>
        <w:spacing w:after="0" w:line="5" w:lineRule="exact"/>
        <w:rPr>
          <w:sz w:val="20"/>
          <w:szCs w:val="20"/>
          <w:color w:val="auto"/>
        </w:rPr>
      </w:pPr>
    </w:p>
    <w:p>
      <w:pPr>
        <w:ind w:left="201" w:hanging="201"/>
        <w:spacing w:after="0"/>
        <w:tabs>
          <w:tab w:leader="none" w:pos="2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Ronald Morris</w:t>
      </w:r>
    </w:p>
    <w:p>
      <w:pPr>
        <w:spacing w:after="0" w:line="191" w:lineRule="exact"/>
        <w:rPr>
          <w:sz w:val="20"/>
          <w:szCs w:val="20"/>
          <w:color w:val="auto"/>
        </w:rPr>
      </w:pPr>
    </w:p>
    <w:p>
      <w:pPr>
        <w:ind w:left="881"/>
        <w:spacing w:after="0"/>
        <w:tabs>
          <w:tab w:leader="none" w:pos="4040" w:val="left"/>
          <w:tab w:leader="none" w:pos="7440" w:val="left"/>
        </w:tabs>
        <w:rPr>
          <w:sz w:val="20"/>
          <w:szCs w:val="20"/>
          <w:color w:val="auto"/>
        </w:rPr>
      </w:pPr>
      <w:r>
        <w:rPr>
          <w:rFonts w:ascii="Courier New" w:cs="Courier New" w:eastAsia="Courier New" w:hAnsi="Courier New"/>
          <w:sz w:val="16"/>
          <w:szCs w:val="16"/>
          <w:color w:val="auto"/>
        </w:rPr>
        <w:t>/S/ MICHAEL E. WERNER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March 29, 2001</w:t>
      </w:r>
    </w:p>
    <w:p>
      <w:pPr>
        <w:spacing w:after="0" w:line="5" w:lineRule="exact"/>
        <w:rPr>
          <w:sz w:val="20"/>
          <w:szCs w:val="20"/>
          <w:color w:val="auto"/>
        </w:rPr>
      </w:pPr>
    </w:p>
    <w:p>
      <w:pPr>
        <w:ind w:left="201" w:hanging="201"/>
        <w:spacing w:after="0"/>
        <w:tabs>
          <w:tab w:leader="none" w:pos="20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0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E. Werner</w:t>
      </w:r>
    </w:p>
    <w:p>
      <w:pPr>
        <w:spacing w:after="0" w:line="191" w:lineRule="exact"/>
        <w:rPr>
          <w:sz w:val="20"/>
          <w:szCs w:val="20"/>
          <w:color w:val="auto"/>
        </w:rPr>
      </w:pPr>
    </w:p>
    <w:p>
      <w:pPr>
        <w:ind w:left="881"/>
        <w:spacing w:after="0"/>
        <w:tabs>
          <w:tab w:leader="none" w:pos="4040" w:val="left"/>
          <w:tab w:leader="none" w:pos="7440" w:val="left"/>
        </w:tabs>
        <w:rPr>
          <w:sz w:val="20"/>
          <w:szCs w:val="20"/>
          <w:color w:val="auto"/>
        </w:rPr>
      </w:pPr>
      <w:r>
        <w:rPr>
          <w:rFonts w:ascii="Courier New" w:cs="Courier New" w:eastAsia="Courier New" w:hAnsi="Courier New"/>
          <w:sz w:val="16"/>
          <w:szCs w:val="16"/>
          <w:color w:val="auto"/>
        </w:rPr>
        <w:t>/S/ STEVEN T. WARSHAW</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March 29, 2001</w:t>
      </w:r>
    </w:p>
    <w:p>
      <w:pPr>
        <w:spacing w:after="0" w:line="5" w:lineRule="exact"/>
        <w:rPr>
          <w:sz w:val="20"/>
          <w:szCs w:val="20"/>
          <w:color w:val="auto"/>
        </w:rPr>
      </w:pPr>
    </w:p>
    <w:p>
      <w:pPr>
        <w:ind w:left="201" w:hanging="201"/>
        <w:spacing w:after="0"/>
        <w:tabs>
          <w:tab w:leader="none" w:pos="2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0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T. Warshaw</w:t>
      </w:r>
    </w:p>
    <w:p>
      <w:pPr>
        <w:spacing w:after="0" w:line="191" w:lineRule="exact"/>
        <w:rPr>
          <w:sz w:val="20"/>
          <w:szCs w:val="20"/>
          <w:color w:val="auto"/>
        </w:rPr>
      </w:pPr>
    </w:p>
    <w:p>
      <w:pPr>
        <w:jc w:val="right"/>
        <w:ind w:right="1399"/>
        <w:spacing w:after="0"/>
        <w:tabs>
          <w:tab w:leader="none" w:pos="4740" w:val="left"/>
          <w:tab w:leader="none" w:pos="1340" w:val="left"/>
        </w:tabs>
        <w:rPr>
          <w:sz w:val="20"/>
          <w:szCs w:val="20"/>
          <w:color w:val="auto"/>
        </w:rPr>
      </w:pPr>
      <w:r>
        <w:rPr>
          <w:rFonts w:ascii="Courier New" w:cs="Courier New" w:eastAsia="Courier New" w:hAnsi="Courier New"/>
          <w:sz w:val="16"/>
          <w:szCs w:val="16"/>
          <w:color w:val="auto"/>
        </w:rPr>
        <w:t>/S/ JAMES L. EARSLEY</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March 29, 2001</w:t>
      </w:r>
    </w:p>
    <w:p>
      <w:pPr>
        <w:spacing w:after="0" w:line="5" w:lineRule="exact"/>
        <w:rPr>
          <w:sz w:val="20"/>
          <w:szCs w:val="20"/>
          <w:color w:val="auto"/>
        </w:rPr>
      </w:pPr>
    </w:p>
    <w:p>
      <w:pPr>
        <w:ind w:left="201" w:hanging="201"/>
        <w:spacing w:after="0"/>
        <w:tabs>
          <w:tab w:leader="none" w:pos="20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L. Earsley</w:t>
      </w:r>
    </w:p>
    <w:p>
      <w:pPr>
        <w:spacing w:after="0" w:line="200" w:lineRule="exact"/>
        <w:rPr>
          <w:sz w:val="20"/>
          <w:szCs w:val="20"/>
          <w:color w:val="auto"/>
        </w:rPr>
      </w:pPr>
    </w:p>
    <w:p>
      <w:pPr>
        <w:spacing w:after="0" w:line="36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20"/>
          </w:cols>
          <w:pgMar w:left="239" w:top="1049" w:right="1440" w:bottom="1440" w:gutter="0" w:footer="0" w:header="0"/>
          <w:type w:val="continuous"/>
        </w:sectPr>
      </w:pPr>
    </w:p>
    <w:bookmarkStart w:id="49" w:name="page50"/>
    <w:bookmarkEnd w:id="49"/>
    <w:p>
      <w:pPr>
        <w:jc w:val="right"/>
        <w:ind w:right="5479"/>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3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6"/>
          <w:szCs w:val="16"/>
          <w:color w:val="auto"/>
        </w:rPr>
        <w:t>Consent of PricewaterhouseCoopers LLP</w:t>
      </w:r>
    </w:p>
    <w:p>
      <w:pPr>
        <w:spacing w:after="0" w:line="19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6"/>
          <w:szCs w:val="16"/>
          <w:color w:val="auto"/>
        </w:rPr>
        <w:t>Consent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1049" w:right="1440" w:bottom="1440" w:gutter="0" w:footer="0" w:header="0"/>
        </w:sectPr>
      </w:pPr>
    </w:p>
    <w:bookmarkStart w:id="50" w:name="page51"/>
    <w:bookmarkEnd w:id="50"/>
    <w:p>
      <w:pPr>
        <w:ind w:left="6200"/>
        <w:spacing w:after="0"/>
        <w:rPr>
          <w:sz w:val="20"/>
          <w:szCs w:val="20"/>
          <w:color w:val="auto"/>
        </w:rPr>
      </w:pPr>
      <w:r>
        <w:rPr>
          <w:rFonts w:ascii="Courier New" w:cs="Courier New" w:eastAsia="Courier New" w:hAnsi="Courier New"/>
          <w:sz w:val="16"/>
          <w:szCs w:val="16"/>
          <w:color w:val="auto"/>
        </w:rPr>
        <w:t>Exhibit 23.1</w:t>
      </w:r>
    </w:p>
    <w:p>
      <w:pPr>
        <w:spacing w:after="0" w:line="37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8"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S-8 (No. 33-74694 and No. 33-50934) of NN, Inc. (formerly known as NN Ball &amp; Roller, Inc.) of our report dated February 4, 2000 relating to the financial statements and financial statement schedule, which appears in this Form 10-K.</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Greensboro,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2001</w:t>
      </w:r>
    </w:p>
    <w:p>
      <w:pPr>
        <w:sectPr>
          <w:pgSz w:w="11900" w:h="16838" w:orient="portrait"/>
          <w:cols w:equalWidth="0" w:num="1">
            <w:col w:w="10219"/>
          </w:cols>
          <w:pgMar w:left="240" w:top="142" w:right="1440" w:bottom="1440" w:gutter="0" w:footer="0" w:header="0"/>
        </w:sectPr>
      </w:pPr>
    </w:p>
    <w:bookmarkStart w:id="51" w:name="page52"/>
    <w:bookmarkEnd w:id="51"/>
    <w:p>
      <w:pPr>
        <w:jc w:val="right"/>
        <w:ind w:right="2459"/>
        <w:spacing w:after="0"/>
        <w:rPr>
          <w:sz w:val="20"/>
          <w:szCs w:val="20"/>
          <w:color w:val="auto"/>
        </w:rPr>
      </w:pPr>
      <w:r>
        <w:rPr>
          <w:rFonts w:ascii="Courier New" w:cs="Courier New" w:eastAsia="Courier New" w:hAnsi="Courier New"/>
          <w:sz w:val="16"/>
          <w:szCs w:val="16"/>
          <w:color w:val="auto"/>
        </w:rPr>
        <w:t>Exhibit 23.2</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We consent to incorporation by reference in the registration statement (No. 333-50934) on Form S-8 of NN, Inc. of our report dated February 27, 2001, relating to the consolidated balance sheet of NN, Inc. as of December 31, 2000, and the related consolidated statement of income and comprehensive income, consolidated statement of changes in stockholders' equity, and consolidated statement of cash flows for the year then ended, which report appears in the December 31, 2000, annual report on Form 10-K of NN, Inc.</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29, 2001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lowerLetter"/>
      <w:start w:val="1"/>
    </w:lvl>
  </w:abstractNum>
  <w:abstractNum w:abstractNumId="2">
    <w:nsid w:val="7FDCC233"/>
    <w:multiLevelType w:val="hybridMultilevel"/>
    <w:lvl w:ilvl="0">
      <w:lvlJc w:val="left"/>
      <w:lvlText w:val="(%1)"/>
      <w:numFmt w:val="lowerLetter"/>
      <w:start w:val="2"/>
    </w:lvl>
  </w:abstractNum>
  <w:abstractNum w:abstractNumId="3">
    <w:nsid w:val="1BEFD79F"/>
    <w:multiLevelType w:val="hybridMultilevel"/>
    <w:lvl w:ilvl="0">
      <w:lvlJc w:val="left"/>
      <w:lvlText w:val="(%1)"/>
      <w:numFmt w:val="lowerLetter"/>
      <w:start w:val="5"/>
    </w:lvl>
  </w:abstractNum>
  <w:abstractNum w:abstractNumId="4">
    <w:nsid w:val="41A7C4C9"/>
    <w:multiLevelType w:val="hybridMultilevel"/>
    <w:lvl w:ilvl="0">
      <w:lvlJc w:val="left"/>
      <w:lvlText w:val="(%1)"/>
      <w:numFmt w:val="lowerLetter"/>
      <w:start w:val="9"/>
    </w:lvl>
  </w:abstractNum>
  <w:abstractNum w:abstractNumId="5">
    <w:nsid w:val="6B68079A"/>
    <w:multiLevelType w:val="hybridMultilevel"/>
    <w:lvl w:ilvl="0">
      <w:lvlJc w:val="left"/>
      <w:lvlText w:val="%1"/>
      <w:numFmt w:val="decimal"/>
      <w:start w:val="1"/>
    </w:lvl>
    <w:lvl w:ilvl="1">
      <w:lvlJc w:val="left"/>
      <w:lvlText w:val="(%2)"/>
      <w:numFmt w:val="lowerLetter"/>
      <w:start w:val="13"/>
    </w:lvl>
  </w:abstractNum>
  <w:abstractNum w:abstractNumId="6">
    <w:nsid w:val="4E6AFB66"/>
    <w:multiLevelType w:val="hybridMultilevel"/>
    <w:lvl w:ilvl="0">
      <w:lvlJc w:val="left"/>
      <w:lvlText w:val="(%1)"/>
      <w:numFmt w:val="decimal"/>
      <w:start w:val="2"/>
    </w:lvl>
    <w:lvl w:ilvl="1">
      <w:lvlJc w:val="left"/>
      <w:lvlText w:val="%2"/>
      <w:numFmt w:val="lowerLetter"/>
      <w:start w:val="1"/>
    </w:lvl>
  </w:abstractNum>
  <w:abstractNum w:abstractNumId="7">
    <w:nsid w:val="25E45D32"/>
    <w:multiLevelType w:val="hybridMultilevel"/>
    <w:lvl w:ilvl="0">
      <w:lvlJc w:val="left"/>
      <w:lvlText w:val="(%1)"/>
      <w:numFmt w:val="decimal"/>
      <w:start w:val="3"/>
    </w:lvl>
  </w:abstractNum>
  <w:abstractNum w:abstractNumId="8">
    <w:nsid w:val="519B500D"/>
    <w:multiLevelType w:val="hybridMultilevel"/>
    <w:lvl w:ilvl="0">
      <w:lvlJc w:val="left"/>
      <w:lvlText w:val="(%1)"/>
      <w:numFmt w:val="decimal"/>
      <w:start w:val="7"/>
    </w:lvl>
    <w:lvl w:ilvl="1">
      <w:lvlJc w:val="left"/>
      <w:lvlText w:val="(%2)"/>
      <w:numFmt w:val="lowerLetter"/>
      <w:start w:val="1"/>
    </w:lvl>
  </w:abstractNum>
  <w:abstractNum w:abstractNumId="9">
    <w:nsid w:val="431BD7B7"/>
    <w:multiLevelType w:val="hybridMultilevel"/>
    <w:lvl w:ilvl="0">
      <w:lvlJc w:val="left"/>
      <w:lvlText w:val="(%1)"/>
      <w:numFmt w:val="lowerLetter"/>
      <w:start w:val="2"/>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decimal"/>
      <w:start w:val="13"/>
    </w:lvl>
  </w:abstractNum>
  <w:abstractNum w:abstractNumId="15">
    <w:nsid w:val="628C895D"/>
    <w:multiLevelType w:val="hybridMultilevel"/>
    <w:lvl w:ilvl="0">
      <w:lvlJc w:val="left"/>
      <w:lvlText w:val="(%1)"/>
      <w:numFmt w:val="decimal"/>
      <w:start w:val="14"/>
    </w:lvl>
  </w:abstractNum>
  <w:abstractNum w:abstractNumId="16">
    <w:nsid w:val="333AB105"/>
    <w:multiLevelType w:val="hybridMultilevel"/>
    <w:lvl w:ilvl="0">
      <w:lvlJc w:val="left"/>
      <w:lvlText w:val="(%1)"/>
      <w:numFmt w:val="decimal"/>
      <w:start w:val="15"/>
    </w:lvl>
  </w:abstractNum>
  <w:abstractNum w:abstractNumId="17">
    <w:nsid w:val="721DA317"/>
    <w:multiLevelType w:val="hybridMultilevel"/>
    <w:lvl w:ilvl="0">
      <w:lvlJc w:val="left"/>
      <w:lvlText w:val="(%1)"/>
      <w:numFmt w:val="decimal"/>
      <w:start w:val="16"/>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lvl w:ilvl="1">
      <w:lvlJc w:val="left"/>
      <w:lvlText w:val="%2"/>
      <w:numFmt w:val="upperLetter"/>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2019-12-14T03:16:34Z</dcterms:created>
  <dcterms:modified xsi:type="dcterms:W3CDTF">2019-12-14T03:16:34Z</dcterms:modified>
</cp:coreProperties>
</file>