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160020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jc w:val="center"/>
        <w:ind w:left="44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780"/>
        <w:spacing w:after="0"/>
        <w:rPr>
          <w:sz w:val="20"/>
          <w:szCs w:val="20"/>
          <w:color w:val="auto"/>
        </w:rPr>
      </w:pPr>
      <w:r>
        <w:rPr>
          <w:rFonts w:ascii="Arial" w:cs="Arial" w:eastAsia="Arial" w:hAnsi="Arial"/>
          <w:sz w:val="15"/>
          <w:szCs w:val="15"/>
          <w:b w:val="1"/>
          <w:bCs w:val="1"/>
          <w:color w:val="auto"/>
        </w:rPr>
        <w:t>28277</w:t>
      </w:r>
    </w:p>
    <w:p>
      <w:pPr>
        <w:spacing w:after="0" w:line="101" w:lineRule="exact"/>
        <w:rPr>
          <w:sz w:val="24"/>
          <w:szCs w:val="24"/>
          <w:color w:val="auto"/>
        </w:rPr>
      </w:pPr>
    </w:p>
    <w:p>
      <w:pPr>
        <w:sectPr>
          <w:pgSz w:w="11900" w:h="16838" w:orient="portrait"/>
          <w:cols w:equalWidth="0" w:num="2">
            <w:col w:w="7320" w:space="720"/>
            <w:col w:w="3200"/>
          </w:cols>
          <w:pgMar w:left="320" w:top="1295" w:right="339" w:bottom="1440" w:gutter="0" w:footer="0" w:header="0"/>
          <w:type w:val="continuous"/>
        </w:sectPr>
      </w:pPr>
    </w:p>
    <w:p>
      <w:pPr>
        <w:jc w:val="center"/>
        <w:ind w:left="6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7180" w:space="720"/>
            <w:col w:w="3340"/>
          </w:cols>
          <w:pgMar w:left="320" w:top="1295"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March 10, 2022, NN, Inc. (the “Company”) issued a press release announcing the Company’s financial results for the quarter and year ended December 31, 2021. The full text of the press release is furnished as Exhibit 99.1 and is incorporated herein by reference.</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08"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Exhibit</w:t>
      </w:r>
    </w:p>
    <w:p>
      <w:pPr>
        <w:ind w:left="240"/>
        <w:spacing w:after="0"/>
        <w:tabs>
          <w:tab w:leader="none" w:pos="82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p>
    <w:p>
      <w:pPr>
        <w:ind w:left="2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NN, Inc., dated March 10, 2022</w:t>
        </w:r>
      </w:hyperlink>
    </w:p>
    <w:p>
      <w:pPr>
        <w:spacing w:after="0" w:line="2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39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4360" w:type="dxa"/>
            <w:vAlign w:val="bottom"/>
          </w:tcPr>
          <w:p>
            <w:pPr>
              <w:spacing w:after="0"/>
              <w:rPr>
                <w:sz w:val="20"/>
                <w:szCs w:val="20"/>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285875"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1003300</wp:posOffset>
            </wp:positionV>
            <wp:extent cx="192849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FOURTH QUARTER AND FULL YEAR 2021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Provides Outlook for Full Year 2022</w:t>
      </w:r>
    </w:p>
    <w:p>
      <w:pPr>
        <w:spacing w:after="0" w:line="394"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b w:val="1"/>
          <w:bCs w:val="1"/>
          <w:color w:val="auto"/>
        </w:rPr>
        <w:t xml:space="preserve">CHARLOTTE, N.C., March 10, 2022 </w:t>
      </w:r>
      <w:r>
        <w:rPr>
          <w:rFonts w:ascii="Arial" w:cs="Arial" w:eastAsia="Arial" w:hAnsi="Arial"/>
          <w:sz w:val="20"/>
          <w:szCs w:val="20"/>
          <w:color w:val="auto"/>
        </w:rPr>
        <w:t>– NN, Inc. (NASDAQ: NNBR), a diversified industrial company, today reported its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fourth quarter and full year ended December 31, 2021.</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Warren Veltman, President and Chief Executive Officer, said “Our team made meaningful progress towards achieving our long-term goals during fiscal year 2021. Despite the ongoing challenges facing our Company and the industries we serve, we are optimistic given the trends in our businesses, including the continued growth in our sales pipeline and in new business wins heading into the new year. In January 2022, we welcomed Andrew Wall as our Chief Commercial Officer who will be responsible for advancing our business growth strategy and capturing additional market share driven by end market megatrends. Our sales pipeline includes several new programs of meaningful size that utilize capabilities across Mobile and Power Solutions in strategic growth areas such as electric vehicles and the power grid. Subsequent to year-end, we successfully adjusted our debt covenants with no increase in interest rate and announced the closure of our Taunton facility to rationalize our manufacturing footprint and cost structure. We are confident that these actions provide the platform we need to achieve growth and deliver increased shareholder value during 2022.”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GAAP Results</w:t>
      </w:r>
    </w:p>
    <w:p>
      <w:pPr>
        <w:spacing w:after="0" w:line="78"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Net sales were $110.4 million, a decrease of 7.3% from the fourth quarter of 2020, primarily driven by lower sales in Mobile Solutions which was partially offset by an increase in Power Solutions sales.</w:t>
      </w:r>
    </w:p>
    <w:p>
      <w:pPr>
        <w:spacing w:after="0" w:line="236"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Loss from operations was $3.8 million compared to an operating loss of $1.0 million in the fourth quarter of 2020, primarily as a result of lower sales, irregular customer production scheduling due to supply chain constraints, and material and labor cost inflation.</w:t>
      </w:r>
    </w:p>
    <w:p>
      <w:pPr>
        <w:spacing w:after="0" w:line="233"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Income from operations in the Mobile Solutions segment was $0.7 million compared to $4.6 million for the same period in 2020. Loss from operations for Power Solutions segment was $0.1 million compared to income from operations of $1.8 million for the same period in 2020.</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Net income was $0.5 million compared to net income of $147.4 million for the same period in 2020. The reduction in net income was primarily driven by the gain on sale of the former Life Sciences business in 2020, partially offset by the</w:t>
      </w:r>
    </w:p>
    <w:p>
      <w:pPr>
        <w:sectPr>
          <w:pgSz w:w="11900" w:h="16838" w:orient="portrait"/>
          <w:cols w:equalWidth="0" w:num="1">
            <w:col w:w="11240"/>
          </w:cols>
          <w:pgMar w:left="320" w:top="125" w:right="339" w:bottom="1440" w:gutter="0" w:footer="0" w:header="0"/>
        </w:sect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ind w:right="20"/>
        <w:spacing w:after="0" w:line="261" w:lineRule="auto"/>
        <w:rPr>
          <w:sz w:val="20"/>
          <w:szCs w:val="20"/>
          <w:color w:val="auto"/>
        </w:rPr>
      </w:pPr>
      <w:r>
        <w:rPr>
          <w:rFonts w:ascii="Arial" w:cs="Arial" w:eastAsia="Arial" w:hAnsi="Arial"/>
          <w:sz w:val="20"/>
          <w:szCs w:val="20"/>
          <w:color w:val="auto"/>
        </w:rPr>
        <w:t>discontinuation of hedge accounting on an interest rate swap which resulted in a loss of $14.8 million during the fourth quarter of 2020.</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Adjusted Results</w:t>
      </w:r>
    </w:p>
    <w:p>
      <w:pPr>
        <w:spacing w:after="0" w:line="91" w:lineRule="exact"/>
        <w:rPr>
          <w:sz w:val="20"/>
          <w:szCs w:val="20"/>
          <w:color w:val="auto"/>
        </w:rPr>
      </w:pPr>
    </w:p>
    <w:p>
      <w:pPr>
        <w:ind w:right="920"/>
        <w:spacing w:after="0" w:line="261" w:lineRule="auto"/>
        <w:rPr>
          <w:sz w:val="20"/>
          <w:szCs w:val="20"/>
          <w:color w:val="auto"/>
        </w:rPr>
      </w:pPr>
      <w:r>
        <w:rPr>
          <w:rFonts w:ascii="Arial" w:cs="Arial" w:eastAsia="Arial" w:hAnsi="Arial"/>
          <w:sz w:val="20"/>
          <w:szCs w:val="20"/>
          <w:color w:val="auto"/>
        </w:rPr>
        <w:t>Adjusted income from operations for the fourth quarter of 2021 was $0.8 million compared to an adjusted income from operations of $7.3 million for the same period in 2020.</w:t>
      </w:r>
    </w:p>
    <w:p>
      <w:pPr>
        <w:spacing w:after="0" w:line="161"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Adjusted EBITDA was $12.1 million, or 10.9% of sales, compared to $16.8 million, or 14.2% of sales, for the same period in 2020.</w:t>
      </w:r>
    </w:p>
    <w:p>
      <w:pPr>
        <w:spacing w:after="0" w:line="161"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Adjusted net loss was $0.8 million, or $0.01 per diluted share, compared to adjusted net income of $7.0 million, or $0.17 per diluted share, for the same period in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was $6.2 million compared to use of cash of $7.1 million for the same period in 2020.</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"Sales in our Power Solutions business increased year over year on top of a strong rebound from COVID-19 that occurred in the fourth quarter of 2020. Our Mobile Solutions business was adversely impacted by the ongoing semiconductor chip shortages reducing our customers’ production schedules. We are in the process of implementing price increases to mitigate cost increases which we expect to be in place for most of 2022. We generated $6.2 million of free cash flow during the fourth quarter of 2021 which included the negative impact of a $1.4 million repayment of deferred FICA amounts from 2020 CARES Act initiatives.” said Veltman.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Mobile Solutions</w:t>
      </w:r>
    </w:p>
    <w:p>
      <w:pPr>
        <w:spacing w:after="0" w:line="9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Net sales for the fourth quarter of 2021 were $65.6 million compared to $75.1 million in the fourth quarter of 2020, a decrease of 12.6% or $9.5 million. The decrease in sales was primarily driven by the ongoing impact of the semiconductor shortage’s affecting the automotive industry, resulting in production shutdowns at a number of our customers’ facilities during the quarter. Adjusted income from operations was $1.5 million compared to $6.8 million of adjusted income from operations in the fourth quarter of 2020. Adjusted income from operations decreased as a result of lower sales volume, an increase in input costs, the reintroduction of expenses and benefits temporarily suspended in the prior year due to the COVID-19 pandemic, and operating inefficiencies which were partially offset by a customer pricing settlement.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Solutions</w:t>
      </w:r>
    </w:p>
    <w:p>
      <w:pPr>
        <w:spacing w:after="0" w:line="9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Net sales for the fourth quarter of 2021 were $44.8 million compared to $44.0 million in the fourth quarter of 2020, an increase of 1.8% or $0.8 million. The increase in sales was primarily driven by stronger demand from continued recovery within end markets that were adversely impacted by the COVID-19 pandemic in the prior year. Adjusted income from operations was $2.7 million compared to $5.1 million in the fourth quarter of 2020. The decrease in adjusted income from operations was primarily due to an increase in input costs as a result of inflation, operating inefficiencies in our Aerospace, Defense &amp; Medical (“AD&amp;M”) business, and the reintroduction of expenses and benefits temporarily suspended in the prior year due to the COVID-19 pandemic, partially offset by higher sales volumes.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 Year Results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Key highlights from the year include:</w:t>
      </w:r>
    </w:p>
    <w:p>
      <w:pPr>
        <w:spacing w:after="0" w:line="243"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Net sales increased $50.1 million, or 11.7%, to $477.6 million compared to $427.5 million for 2020, driven by an increase in net sales of 12% in both the Power Solutions and Mobile Solutions segments.</w:t>
      </w:r>
    </w:p>
    <w:p>
      <w:pPr>
        <w:spacing w:after="0" w:line="236" w:lineRule="exact"/>
        <w:rPr>
          <w:sz w:val="20"/>
          <w:szCs w:val="20"/>
          <w:color w:val="auto"/>
        </w:rPr>
      </w:pPr>
    </w:p>
    <w:p>
      <w:pPr>
        <w:ind w:right="480"/>
        <w:spacing w:after="0" w:line="261" w:lineRule="auto"/>
        <w:rPr>
          <w:sz w:val="20"/>
          <w:szCs w:val="20"/>
          <w:color w:val="auto"/>
        </w:rPr>
      </w:pPr>
      <w:r>
        <w:rPr>
          <w:rFonts w:ascii="Arial" w:cs="Arial" w:eastAsia="Arial" w:hAnsi="Arial"/>
          <w:sz w:val="20"/>
          <w:szCs w:val="20"/>
          <w:color w:val="auto"/>
        </w:rPr>
        <w:t>GAAP operating loss was $9.0 million compared to a GAAP operating loss of $117.5 million in 2020, primarily driven by the $92.9 million impairment of goodwill in Power Solutions in 2020.</w:t>
      </w: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Income from operations for 2021 in Mobile Solutions was $9.0 million. Income from operations for 2021 in Power Solutions was $6.5 million.</w:t>
      </w:r>
    </w:p>
    <w:p>
      <w:pPr>
        <w:sectPr>
          <w:pgSz w:w="11900" w:h="16838" w:orient="portrait"/>
          <w:cols w:equalWidth="0" w:num="1">
            <w:col w:w="11240"/>
          </w:cols>
          <w:pgMar w:left="320" w:top="1418" w:right="339" w:bottom="1440" w:gutter="0" w:footer="0" w:header="0"/>
        </w:sect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8" w:right="339" w:bottom="1440" w:gutter="0" w:footer="0" w:header="0"/>
          <w:type w:val="continuous"/>
        </w:sectPr>
      </w:pPr>
    </w:p>
    <w:bookmarkStart w:id="5" w:name="page6"/>
    <w:bookmarkEnd w:id="5"/>
    <w:p>
      <w:pPr>
        <w:jc w:val="both"/>
        <w:ind w:right="100"/>
        <w:spacing w:after="0" w:line="253" w:lineRule="auto"/>
        <w:rPr>
          <w:sz w:val="20"/>
          <w:szCs w:val="20"/>
          <w:color w:val="auto"/>
        </w:rPr>
      </w:pPr>
      <w:r>
        <w:rPr>
          <w:rFonts w:ascii="Arial" w:cs="Arial" w:eastAsia="Arial" w:hAnsi="Arial"/>
          <w:sz w:val="20"/>
          <w:szCs w:val="20"/>
          <w:color w:val="auto"/>
        </w:rPr>
        <w:t>On an adjusted basis, income from operations for 2021 was $10.1 million compared to adjusted income from operations of $7.8 million in 2020. Adjusted EBITDA for 2021 was $52.1 million, or 10.9% of sales, versus $46.5 million, or 10.9% of sales, for the same period in 2020. Free cash flow was a use of $2.6 million compared to a use of cash of $8.2 million in 2020.</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Mike Felcher, NN Senior Vice President and CFO, commented, “We are pleased with the progress we made during 2021 and look forward to building on the momentum in our operations during 2022. Our successfully completed financing strengthens our balance sheet and provides us with a solid foundation to pursue opportunistic initiatives that will drive long-term growth. While our team faced several challenges during the second half of fiscal 2021, the recovery in Mobile Solutions and continued momentum in Power Solutions reinforces our confidence in our 2025 sales growth targets.”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Mobile Solutions</w:t>
      </w:r>
    </w:p>
    <w:p>
      <w:pPr>
        <w:spacing w:after="0" w:line="9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Net sales for 2021 were $285.9 million compared to $256.4 million in 2020, an increase of 12% or $29.5 million. The increase in sales was driven by stronger demand from the COVID-19 pandemic recovery in the first half of the year, offset by the ongoing impact of the semiconductor shortage’s affecting the automotive industry, resulting in production shutdowns at a number of customer facilities during the third and fourth quarter. Adjusted income from operations for 2021 was $13.0 million compared to $11.2 million of adjusted operating income in 2020. Adjusted operating income increased as a result of improved sales volume and a customer pricing settlement, partially offset by the reintroduction of costs suspended in the prior year due to the COVID-19 pandemic and material and labor inflation.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Solutions</w:t>
      </w:r>
    </w:p>
    <w:p>
      <w:pPr>
        <w:spacing w:after="0" w:line="91"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Net sales for 2021 were $191.8 million compared to $171.3 million in 2020, an increase of 12% or $20.5 million. The increase in sales was primarily driven by stronger demand within the end markets which were adversely impacted by the COVID-19 pandemic in the prior year. Adjusted income from operations for 2021 was $17.9 million compared to $22.2 million in 2020. The decrease in adjusted operating income was primarily due to an adverse shift in sales mix, increased input costs, operating inefficiencies in our AD&amp;M business, and the reintroduction of expenses and benefits that were temporarily suspended in the prior year due to the COVID-19 pandemic, partially offset by higher sales volumes.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2022 Outlook</w:t>
      </w:r>
    </w:p>
    <w:p>
      <w:pPr>
        <w:spacing w:after="0" w:line="28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in the range of $515 million to $540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$57 million to $63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in the range of $14 million to $20 million</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guidance does not include CARES Act tax refund of ~$10 million due to uncertain timing</w:t>
      </w:r>
    </w:p>
    <w:p>
      <w:pPr>
        <w:spacing w:after="0" w:line="243"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The 2022 Outlook assumes normal supply of semiconductor chips in the second half of 2022 and that we will not experience significant production or supply disruptions as a result of the Russia-Ukraine conflict or COVID-19.</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91" w:lineRule="exact"/>
        <w:rPr>
          <w:sz w:val="20"/>
          <w:szCs w:val="20"/>
          <w:color w:val="auto"/>
        </w:rPr>
      </w:pPr>
    </w:p>
    <w:p>
      <w:pPr>
        <w:ind w:right="260" w:firstLine="8"/>
        <w:spacing w:after="0" w:line="256"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March 11, 2022, at 9:00 a.m. ET. The call and supplemental presentation may be accessed via NN's website, www.nninc.com. The conference call can also be accessed by dialing 1-877-317-6789 or 1-412-317-6789, Conference ID: 10155662. For those who are unavailable to listen to the live broadcast, a replay will be available shortly after the call until March 11, 2023.</w:t>
      </w:r>
    </w:p>
    <w:p>
      <w:pPr>
        <w:spacing w:after="0" w:line="166" w:lineRule="exact"/>
        <w:rPr>
          <w:sz w:val="20"/>
          <w:szCs w:val="20"/>
          <w:color w:val="auto"/>
        </w:rPr>
      </w:pPr>
    </w:p>
    <w:p>
      <w:pPr>
        <w:ind w:right="100" w:firstLine="8"/>
        <w:spacing w:after="0" w:line="255" w:lineRule="auto"/>
        <w:tabs>
          <w:tab w:leader="none" w:pos="341"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ectPr>
          <w:pgSz w:w="11900" w:h="16838" w:orient="portrait"/>
          <w:cols w:equalWidth="0" w:num="1">
            <w:col w:w="11240"/>
          </w:cols>
          <w:pgMar w:left="320" w:top="1418" w:right="339" w:bottom="1440" w:gutter="0" w:footer="0" w:header="0"/>
        </w:sectPr>
      </w:pPr>
    </w:p>
    <w:p>
      <w:pPr>
        <w:spacing w:after="0" w:line="39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18" w:right="339" w:bottom="1440" w:gutter="0" w:footer="0" w:header="0"/>
          <w:type w:val="continuous"/>
        </w:sectPr>
      </w:pPr>
    </w:p>
    <w:bookmarkStart w:id="6" w:name="page7"/>
    <w:bookmarkEnd w:id="6"/>
    <w:p>
      <w:pPr>
        <w:ind w:right="20"/>
        <w:spacing w:after="0" w:line="256"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 (loss) per diluted share, and free cash flow to the U.S. GAAP financial measures of income (loss) from operations, net income (loss), net income (loss) per diluted common share, and cash provided (used) by operating activities.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pacing w:after="0" w:line="91"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China.</w:t>
      </w:r>
    </w:p>
    <w:p>
      <w:pPr>
        <w:spacing w:after="0" w:line="13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and 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340"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 the Company’s Quarterly Report on Form 10-Q for the three months ended September 30, 2021, and, when filed, the Company’s Annual Report on Form 10-K for the fiscal year ended December 31, 2021. Except as required by law, we undertake no obligation to update or revise any forward-looking statements we make in our press releases, whether as a result of new information, future events or otherwise.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rPr>
          <w:sz w:val="20"/>
          <w:szCs w:val="20"/>
          <w:color w:val="auto"/>
        </w:rPr>
      </w:pPr>
      <w:r>
        <w:rPr>
          <w:rFonts w:ascii="Arial" w:cs="Arial" w:eastAsia="Arial" w:hAnsi="Arial"/>
          <w:sz w:val="20"/>
          <w:szCs w:val="20"/>
          <w:color w:val="auto"/>
        </w:rPr>
        <w:t>Investor Relations Contact</w:t>
      </w: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 258-5766</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320" w:type="dxa"/>
            <w:vAlign w:val="bottom"/>
            <w:gridSpan w:val="4"/>
          </w:tcPr>
          <w:p>
            <w:pPr>
              <w:jc w:val="right"/>
              <w:ind w:right="458"/>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110,379</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119,028</w:t>
            </w:r>
          </w:p>
        </w:tc>
        <w:tc>
          <w:tcPr>
            <w:tcW w:w="120" w:type="dxa"/>
            <w:vAlign w:val="bottom"/>
            <w:shd w:val="clear" w:color="auto" w:fill="BFE4FF"/>
          </w:tcPr>
          <w:p>
            <w:pPr>
              <w:spacing w:after="0"/>
              <w:rPr>
                <w:sz w:val="18"/>
                <w:szCs w:val="18"/>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477,584</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427,534</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w w:val="95"/>
              </w:rPr>
              <w:t>Cost of sales (exclusive of depreciation and amortization shown separately below)</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91,868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93,982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389,995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343,594</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13,877</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51,489</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58,055</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45,680</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Goodwill impairment</w:t>
            </w:r>
          </w:p>
        </w:tc>
        <w:tc>
          <w:tcPr>
            <w:tcW w:w="2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92,942</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13"/>
        </w:trPr>
        <w:tc>
          <w:tcPr>
            <w:tcW w:w="5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(3,782)</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(9,004)</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(117,457)</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18,898</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Loss on interest rate swap</w:t>
            </w:r>
          </w:p>
        </w:tc>
        <w:tc>
          <w:tcPr>
            <w:tcW w:w="2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11,669</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11,669</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(5,366)</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49"/>
        </w:trPr>
        <w:tc>
          <w:tcPr>
            <w:tcW w:w="5940" w:type="dxa"/>
            <w:vAlign w:val="bottom"/>
            <w:shd w:val="clear" w:color="auto" w:fill="BFE4FF"/>
          </w:tcPr>
          <w:p>
            <w:pPr>
              <w:ind w:left="20"/>
              <w:spacing w:after="0" w:line="148" w:lineRule="exact"/>
              <w:rPr>
                <w:sz w:val="20"/>
                <w:szCs w:val="20"/>
                <w:color w:val="auto"/>
              </w:rPr>
            </w:pPr>
            <w:r>
              <w:rPr>
                <w:rFonts w:ascii="Arial" w:cs="Arial" w:eastAsia="Arial" w:hAnsi="Arial"/>
                <w:sz w:val="16"/>
                <w:szCs w:val="16"/>
                <w:color w:val="auto"/>
                <w:w w:val="94"/>
              </w:rPr>
              <w:t>Loss from continuing operations before benefit (provision) for income taxes and share of</w:t>
            </w:r>
          </w:p>
        </w:tc>
        <w:tc>
          <w:tcPr>
            <w:tcW w:w="28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(4,693)</w:t>
            </w:r>
          </w:p>
        </w:tc>
        <w:tc>
          <w:tcPr>
            <w:tcW w:w="100" w:type="dxa"/>
            <w:vAlign w:val="bottom"/>
            <w:shd w:val="clear" w:color="auto" w:fill="BFE4FF"/>
          </w:tcPr>
          <w:p>
            <w:pPr>
              <w:spacing w:after="0"/>
              <w:rPr>
                <w:sz w:val="12"/>
                <w:szCs w:val="12"/>
                <w:color w:val="auto"/>
              </w:rPr>
            </w:pPr>
          </w:p>
        </w:tc>
        <w:tc>
          <w:tcPr>
            <w:tcW w:w="440" w:type="dxa"/>
            <w:vAlign w:val="bottom"/>
            <w:shd w:val="clear" w:color="auto" w:fill="BFE4FF"/>
          </w:tcPr>
          <w:p>
            <w:pPr>
              <w:spacing w:after="0"/>
              <w:rPr>
                <w:sz w:val="12"/>
                <w:szCs w:val="12"/>
                <w:color w:val="auto"/>
              </w:rPr>
            </w:pPr>
          </w:p>
        </w:tc>
        <w:tc>
          <w:tcPr>
            <w:tcW w:w="8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(18,358)</w:t>
            </w:r>
          </w:p>
        </w:tc>
        <w:tc>
          <w:tcPr>
            <w:tcW w:w="120" w:type="dxa"/>
            <w:vAlign w:val="bottom"/>
            <w:shd w:val="clear" w:color="auto" w:fill="BFE4FF"/>
          </w:tcPr>
          <w:p>
            <w:pPr>
              <w:spacing w:after="0"/>
              <w:rPr>
                <w:sz w:val="12"/>
                <w:szCs w:val="12"/>
                <w:color w:val="auto"/>
              </w:rPr>
            </w:pPr>
          </w:p>
        </w:tc>
        <w:tc>
          <w:tcPr>
            <w:tcW w:w="28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(22,442)</w:t>
            </w:r>
          </w:p>
        </w:tc>
        <w:tc>
          <w:tcPr>
            <w:tcW w:w="100" w:type="dxa"/>
            <w:vAlign w:val="bottom"/>
            <w:shd w:val="clear" w:color="auto" w:fill="BFE4FF"/>
          </w:tcPr>
          <w:p>
            <w:pPr>
              <w:spacing w:after="0"/>
              <w:rPr>
                <w:sz w:val="12"/>
                <w:szCs w:val="12"/>
                <w:color w:val="auto"/>
              </w:rPr>
            </w:pPr>
          </w:p>
        </w:tc>
        <w:tc>
          <w:tcPr>
            <w:tcW w:w="440" w:type="dxa"/>
            <w:vAlign w:val="bottom"/>
            <w:shd w:val="clear" w:color="auto" w:fill="BFE4FF"/>
          </w:tcPr>
          <w:p>
            <w:pPr>
              <w:spacing w:after="0"/>
              <w:rPr>
                <w:sz w:val="12"/>
                <w:szCs w:val="12"/>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(152,088)</w:t>
            </w:r>
          </w:p>
        </w:tc>
        <w:tc>
          <w:tcPr>
            <w:tcW w:w="0" w:type="dxa"/>
            <w:vAlign w:val="bottom"/>
          </w:tcPr>
          <w:p>
            <w:pPr>
              <w:spacing w:after="0"/>
              <w:rPr>
                <w:sz w:val="1"/>
                <w:szCs w:val="1"/>
                <w:color w:val="auto"/>
              </w:rPr>
            </w:pPr>
          </w:p>
        </w:tc>
      </w:tr>
      <w:tr>
        <w:trPr>
          <w:trHeight w:val="212"/>
        </w:trPr>
        <w:tc>
          <w:tcPr>
            <w:tcW w:w="5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income from joint venture</w:t>
            </w:r>
          </w:p>
        </w:tc>
        <w:tc>
          <w:tcPr>
            <w:tcW w:w="280" w:type="dxa"/>
            <w:vAlign w:val="bottom"/>
            <w:shd w:val="clear" w:color="auto" w:fill="BFE4FF"/>
          </w:tcPr>
          <w:p>
            <w:pPr>
              <w:spacing w:after="0"/>
              <w:rPr>
                <w:sz w:val="18"/>
                <w:szCs w:val="18"/>
                <w:color w:val="auto"/>
              </w:rPr>
            </w:pPr>
          </w:p>
        </w:tc>
        <w:tc>
          <w:tcPr>
            <w:tcW w:w="96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0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6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8,972</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1,834</w:t>
            </w:r>
          </w:p>
        </w:tc>
        <w:tc>
          <w:tcPr>
            <w:tcW w:w="12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3,626</w:t>
            </w:r>
          </w:p>
        </w:tc>
        <w:tc>
          <w:tcPr>
            <w:tcW w:w="0" w:type="dxa"/>
            <w:vAlign w:val="bottom"/>
          </w:tcPr>
          <w:p>
            <w:pPr>
              <w:spacing w:after="0"/>
              <w:rPr>
                <w:sz w:val="1"/>
                <w:szCs w:val="1"/>
                <w:color w:val="auto"/>
              </w:rPr>
            </w:pPr>
          </w:p>
        </w:tc>
      </w:tr>
      <w:tr>
        <w:trPr>
          <w:trHeight w:val="207"/>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Loss from continuing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(139,490)</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 (Note 2)</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162,864</w:t>
            </w:r>
          </w:p>
        </w:tc>
        <w:tc>
          <w:tcPr>
            <w:tcW w:w="12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38,898</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BFE4FF"/>
            </w:tcBorders>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147,377</w:t>
            </w:r>
          </w:p>
        </w:tc>
        <w:tc>
          <w:tcPr>
            <w:tcW w:w="120" w:type="dxa"/>
            <w:vAlign w:val="bottom"/>
            <w:tcBorders>
              <w:bottom w:val="single" w:sz="8" w:color="BFE4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(13,225)</w:t>
            </w:r>
          </w:p>
        </w:tc>
        <w:tc>
          <w:tcPr>
            <w:tcW w:w="100" w:type="dxa"/>
            <w:vAlign w:val="bottom"/>
            <w:tcBorders>
              <w:bottom w:val="single" w:sz="8" w:color="BFE4FF"/>
            </w:tcBorders>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(100,592)</w:t>
            </w:r>
          </w:p>
        </w:tc>
        <w:tc>
          <w:tcPr>
            <w:tcW w:w="0" w:type="dxa"/>
            <w:vAlign w:val="bottom"/>
          </w:tcPr>
          <w:p>
            <w:pPr>
              <w:spacing w:after="0"/>
              <w:rPr>
                <w:sz w:val="1"/>
                <w:szCs w:val="1"/>
                <w:color w:val="auto"/>
              </w:rPr>
            </w:pPr>
          </w:p>
        </w:tc>
      </w:tr>
      <w:tr>
        <w:trPr>
          <w:trHeight w:val="199"/>
        </w:trPr>
        <w:tc>
          <w:tcPr>
            <w:tcW w:w="5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44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28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44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Reclassification adjustment for discontinued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5,961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Foreign currency translation loss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4,953</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Interest rate swap:</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560"/>
              <w:spacing w:after="0"/>
              <w:rPr>
                <w:sz w:val="20"/>
                <w:szCs w:val="20"/>
                <w:color w:val="auto"/>
              </w:rPr>
            </w:pPr>
            <w:r>
              <w:rPr>
                <w:rFonts w:ascii="Arial" w:cs="Arial" w:eastAsia="Arial" w:hAnsi="Arial"/>
                <w:sz w:val="16"/>
                <w:szCs w:val="16"/>
                <w:color w:val="auto"/>
              </w:rPr>
              <w:t>Change in fair value, net of tax</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(12,443)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BFE4FF"/>
            </w:tcBorders>
          </w:tcPr>
          <w:p>
            <w:pPr>
              <w:ind w:left="560"/>
              <w:spacing w:after="0"/>
              <w:rPr>
                <w:sz w:val="20"/>
                <w:szCs w:val="20"/>
                <w:color w:val="auto"/>
              </w:rPr>
            </w:pPr>
            <w:r>
              <w:rPr>
                <w:rFonts w:ascii="Arial" w:cs="Arial" w:eastAsia="Arial" w:hAnsi="Arial"/>
                <w:sz w:val="16"/>
                <w:szCs w:val="16"/>
                <w:color w:val="auto"/>
              </w:rPr>
              <w:t>Reclassification adjustment for losses included in net loss, net of tax</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12,149</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18,987</w:t>
            </w:r>
          </w:p>
        </w:tc>
        <w:tc>
          <w:tcPr>
            <w:tcW w:w="0" w:type="dxa"/>
            <w:vAlign w:val="bottom"/>
          </w:tcPr>
          <w:p>
            <w:pPr>
              <w:spacing w:after="0"/>
              <w:rPr>
                <w:sz w:val="1"/>
                <w:szCs w:val="1"/>
                <w:color w:val="auto"/>
              </w:rPr>
            </w:pPr>
          </w:p>
        </w:tc>
      </w:tr>
      <w:tr>
        <w:trPr>
          <w:trHeight w:val="213"/>
        </w:trPr>
        <w:tc>
          <w:tcPr>
            <w:tcW w:w="594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BFE4FF"/>
          </w:tcPr>
          <w:p>
            <w:pPr>
              <w:spacing w:after="0"/>
              <w:rPr>
                <w:sz w:val="18"/>
                <w:szCs w:val="18"/>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23,063</w:t>
            </w:r>
          </w:p>
        </w:tc>
        <w:tc>
          <w:tcPr>
            <w:tcW w:w="120" w:type="dxa"/>
            <w:vAlign w:val="bottom"/>
            <w:shd w:val="clear" w:color="auto" w:fill="BFE4FF"/>
          </w:tcPr>
          <w:p>
            <w:pPr>
              <w:spacing w:after="0"/>
              <w:rPr>
                <w:sz w:val="18"/>
                <w:szCs w:val="18"/>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BFE4FF"/>
          </w:tcPr>
          <w:p>
            <w:pPr>
              <w:spacing w:after="0"/>
              <w:rPr>
                <w:sz w:val="18"/>
                <w:szCs w:val="18"/>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10,822</w:t>
            </w:r>
          </w:p>
        </w:tc>
        <w:tc>
          <w:tcPr>
            <w:tcW w:w="0" w:type="dxa"/>
            <w:vAlign w:val="bottom"/>
          </w:tcPr>
          <w:p>
            <w:pPr>
              <w:spacing w:after="0"/>
              <w:rPr>
                <w:sz w:val="1"/>
                <w:szCs w:val="1"/>
                <w:color w:val="auto"/>
              </w:rPr>
            </w:pPr>
          </w:p>
        </w:tc>
      </w:tr>
      <w:tr>
        <w:trPr>
          <w:trHeight w:val="207"/>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170,440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(89,770)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4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Basic net loss per common share:</w:t>
            </w:r>
          </w:p>
        </w:tc>
        <w:tc>
          <w:tcPr>
            <w:tcW w:w="280" w:type="dxa"/>
            <w:vAlign w:val="bottom"/>
            <w:shd w:val="clear" w:color="auto" w:fill="BFE4FF"/>
          </w:tcPr>
          <w:p>
            <w:pPr>
              <w:spacing w:after="0"/>
              <w:rPr>
                <w:sz w:val="16"/>
                <w:szCs w:val="16"/>
                <w:color w:val="auto"/>
              </w:rPr>
            </w:pPr>
          </w:p>
        </w:tc>
        <w:tc>
          <w:tcPr>
            <w:tcW w:w="9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440" w:type="dxa"/>
            <w:vAlign w:val="bottom"/>
            <w:shd w:val="clear" w:color="auto" w:fill="BFE4FF"/>
          </w:tcPr>
          <w:p>
            <w:pPr>
              <w:spacing w:after="0"/>
              <w:rPr>
                <w:sz w:val="16"/>
                <w:szCs w:val="16"/>
                <w:color w:val="auto"/>
              </w:rPr>
            </w:pPr>
          </w:p>
        </w:tc>
        <w:tc>
          <w:tcPr>
            <w:tcW w:w="8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280" w:type="dxa"/>
            <w:vAlign w:val="bottom"/>
            <w:shd w:val="clear" w:color="auto" w:fill="BFE4FF"/>
          </w:tcPr>
          <w:p>
            <w:pPr>
              <w:spacing w:after="0"/>
              <w:rPr>
                <w:sz w:val="16"/>
                <w:szCs w:val="16"/>
                <w:color w:val="auto"/>
              </w:rPr>
            </w:pPr>
          </w:p>
        </w:tc>
        <w:tc>
          <w:tcPr>
            <w:tcW w:w="9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440" w:type="dxa"/>
            <w:vAlign w:val="bottom"/>
            <w:shd w:val="clear" w:color="auto" w:fill="BFE4FF"/>
          </w:tcPr>
          <w:p>
            <w:pPr>
              <w:spacing w:after="0"/>
              <w:rPr>
                <w:sz w:val="16"/>
                <w:szCs w:val="16"/>
                <w:color w:val="auto"/>
              </w:rPr>
            </w:pPr>
          </w:p>
        </w:tc>
        <w:tc>
          <w:tcPr>
            <w:tcW w:w="82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Income (loss) from discontinued operations per common share</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6"/>
        </w:trPr>
        <w:tc>
          <w:tcPr>
            <w:tcW w:w="5940" w:type="dxa"/>
            <w:vAlign w:val="bottom"/>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44,454</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42,285</w:t>
            </w:r>
          </w:p>
        </w:tc>
        <w:tc>
          <w:tcPr>
            <w:tcW w:w="12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44,011</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42,199</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Diluted net loss per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Income (loss) from discontinued operations per common share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35"/>
        </w:trPr>
        <w:tc>
          <w:tcPr>
            <w:tcW w:w="59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BFE4FF"/>
            </w:tcBorders>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BFE4FF"/>
            </w:tcBorders>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5940" w:type="dxa"/>
            <w:vAlign w:val="bottom"/>
            <w:tcBorders>
              <w:top w:val="single" w:sz="8" w:color="BFE4FF"/>
              <w:bottom w:val="single" w:sz="8" w:color="BFE4FF"/>
            </w:tcBorders>
            <w:vMerge w:val="restart"/>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44,454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42,199</w:t>
            </w:r>
          </w:p>
        </w:tc>
        <w:tc>
          <w:tcPr>
            <w:tcW w:w="0" w:type="dxa"/>
            <w:vAlign w:val="bottom"/>
          </w:tcPr>
          <w:p>
            <w:pPr>
              <w:spacing w:after="0"/>
              <w:rPr>
                <w:sz w:val="1"/>
                <w:szCs w:val="1"/>
                <w:color w:val="auto"/>
              </w:rPr>
            </w:pPr>
          </w:p>
        </w:tc>
      </w:tr>
      <w:tr>
        <w:trPr>
          <w:trHeight w:val="604"/>
        </w:trPr>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8" w:name="page9"/>
    <w:bookmarkEnd w:id="8"/>
    <w:p>
      <w:pPr>
        <w:ind w:left="5300"/>
        <w:spacing w:after="0"/>
        <w:rPr>
          <w:sz w:val="20"/>
          <w:szCs w:val="20"/>
          <w:color w:val="auto"/>
        </w:rPr>
      </w:pPr>
      <w:r>
        <w:rPr>
          <w:rFonts w:ascii="Arial" w:cs="Arial" w:eastAsia="Arial" w:hAnsi="Arial"/>
          <w:sz w:val="18"/>
          <w:szCs w:val="18"/>
          <w:b w:val="1"/>
          <w:bCs w:val="1"/>
          <w:color w:val="auto"/>
        </w:rPr>
        <w:t>NN, Inc.</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6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48,138</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84,615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75,027</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62,517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8,800</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9,372</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11,148</w:t>
            </w:r>
          </w:p>
        </w:tc>
        <w:tc>
          <w:tcPr>
            <w:tcW w:w="0" w:type="dxa"/>
            <w:vAlign w:val="bottom"/>
          </w:tcPr>
          <w:p>
            <w:pPr>
              <w:spacing w:after="0"/>
              <w:rPr>
                <w:sz w:val="1"/>
                <w:szCs w:val="1"/>
                <w:color w:val="auto"/>
              </w:rPr>
            </w:pPr>
          </w:p>
        </w:tc>
      </w:tr>
      <w:tr>
        <w:trPr>
          <w:trHeight w:val="207"/>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196,282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215,218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209,105</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223,690</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50,264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88,718</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103,065</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Investment in joint venture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26,983</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579,101</w:t>
            </w:r>
          </w:p>
        </w:tc>
        <w:tc>
          <w:tcPr>
            <w:tcW w:w="1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624,962</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36,710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37,435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salaries, wages and benefits</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17,739</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21,296</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3,074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4,885</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8,718</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31,261</w:t>
            </w:r>
          </w:p>
        </w:tc>
        <w:tc>
          <w:tcPr>
            <w:tcW w:w="0" w:type="dxa"/>
            <w:vAlign w:val="bottom"/>
          </w:tcPr>
          <w:p>
            <w:pPr>
              <w:spacing w:after="0"/>
              <w:rPr>
                <w:sz w:val="1"/>
                <w:szCs w:val="1"/>
                <w:color w:val="auto"/>
              </w:rPr>
            </w:pPr>
          </w:p>
        </w:tc>
      </w:tr>
      <w:tr>
        <w:trPr>
          <w:trHeight w:val="206"/>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103,231</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liabilities</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7,456</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11,178</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79,025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51,295</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55,053</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17,289</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17,237</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BFE4FF"/>
          </w:tcPr>
          <w:p>
            <w:pPr>
              <w:spacing w:after="0"/>
              <w:rPr>
                <w:sz w:val="18"/>
                <w:szCs w:val="18"/>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301,109</w:t>
            </w:r>
          </w:p>
        </w:tc>
        <w:tc>
          <w:tcPr>
            <w:tcW w:w="120" w:type="dxa"/>
            <w:vAlign w:val="bottom"/>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265,724</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BFE4FF"/>
          </w:tcPr>
          <w:p>
            <w:pPr>
              <w:ind w:left="140"/>
              <w:spacing w:after="0" w:line="169" w:lineRule="exact"/>
              <w:rPr>
                <w:sz w:val="20"/>
                <w:szCs w:val="20"/>
                <w:color w:val="auto"/>
              </w:rPr>
            </w:pPr>
            <w:r>
              <w:rPr>
                <w:rFonts w:ascii="Arial" w:cs="Arial" w:eastAsia="Arial" w:hAnsi="Arial"/>
                <w:sz w:val="16"/>
                <w:szCs w:val="16"/>
                <w:color w:val="auto"/>
                <w:w w:val="94"/>
              </w:rPr>
              <w:t>Series D perpetual preferred stock - $0.01 par value per share, 65 shares authorized, issued and outstanding at December 31,</w:t>
            </w:r>
          </w:p>
        </w:tc>
        <w:tc>
          <w:tcPr>
            <w:tcW w:w="140" w:type="dxa"/>
            <w:vAlign w:val="bottom"/>
            <w:shd w:val="clear" w:color="auto" w:fill="BFE4FF"/>
          </w:tcPr>
          <w:p>
            <w:pPr>
              <w:spacing w:after="0"/>
              <w:rPr>
                <w:sz w:val="14"/>
                <w:szCs w:val="14"/>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53,807</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BFE4FF"/>
          </w:tcPr>
          <w:p>
            <w:pPr>
              <w:spacing w:after="0"/>
              <w:rPr>
                <w:sz w:val="18"/>
                <w:szCs w:val="18"/>
                <w:color w:val="auto"/>
              </w:rPr>
            </w:pPr>
          </w:p>
        </w:tc>
        <w:tc>
          <w:tcPr>
            <w:tcW w:w="110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140"/>
              <w:spacing w:after="0" w:line="166" w:lineRule="exact"/>
              <w:rPr>
                <w:sz w:val="20"/>
                <w:szCs w:val="20"/>
                <w:color w:val="auto"/>
              </w:rPr>
            </w:pPr>
            <w:r>
              <w:rPr>
                <w:rFonts w:ascii="Arial" w:cs="Arial" w:eastAsia="Arial" w:hAnsi="Arial"/>
                <w:sz w:val="16"/>
                <w:szCs w:val="16"/>
                <w:color w:val="auto"/>
                <w:w w:val="92"/>
              </w:rPr>
              <w:t>Series B convertible preferred stock - $0.01 par value per share, 100 shares authorized, issued and outstanding at December 31,</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105,086</w:t>
            </w: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 $0.01 par value per share, 90,000 shares authorized, 42,686 and 43,027 shares issued and outstanding at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9"/>
        </w:trPr>
        <w:tc>
          <w:tcPr>
            <w:tcW w:w="8600" w:type="dxa"/>
            <w:vAlign w:val="bottom"/>
          </w:tcPr>
          <w:p>
            <w:pPr>
              <w:ind w:left="360"/>
              <w:spacing w:after="0"/>
              <w:rPr>
                <w:sz w:val="20"/>
                <w:szCs w:val="20"/>
                <w:color w:val="auto"/>
              </w:rPr>
            </w:pPr>
            <w:r>
              <w:rPr>
                <w:rFonts w:ascii="Arial" w:cs="Arial" w:eastAsia="Arial" w:hAnsi="Arial"/>
                <w:sz w:val="16"/>
                <w:szCs w:val="16"/>
                <w:color w:val="auto"/>
              </w:rPr>
              <w:t>December 31, 2020 and 2021, respectively</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474,757</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493,332</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(205,875)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(31,902)</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(33,732)</w:t>
            </w:r>
          </w:p>
        </w:tc>
        <w:tc>
          <w:tcPr>
            <w:tcW w:w="0" w:type="dxa"/>
            <w:vAlign w:val="bottom"/>
          </w:tcPr>
          <w:p>
            <w:pPr>
              <w:spacing w:after="0"/>
              <w:rPr>
                <w:sz w:val="1"/>
                <w:szCs w:val="1"/>
                <w:color w:val="auto"/>
              </w:rPr>
            </w:pPr>
          </w:p>
        </w:tc>
      </w:tr>
      <w:tr>
        <w:trPr>
          <w:trHeight w:val="206"/>
        </w:trPr>
        <w:tc>
          <w:tcPr>
            <w:tcW w:w="8600" w:type="dxa"/>
            <w:vAlign w:val="bottom"/>
            <w:tcBorders>
              <w:bottom w:val="single" w:sz="8" w:color="BFE4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224,185</w:t>
            </w:r>
          </w:p>
        </w:tc>
        <w:tc>
          <w:tcPr>
            <w:tcW w:w="120" w:type="dxa"/>
            <w:vAlign w:val="bottom"/>
            <w:tcBorders>
              <w:bottom w:val="single" w:sz="8" w:color="BFE4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254,152</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579,101</w:t>
            </w:r>
          </w:p>
        </w:tc>
        <w:tc>
          <w:tcPr>
            <w:tcW w:w="1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624,962</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Twelve Months Ended</w:t>
            </w:r>
          </w:p>
        </w:tc>
      </w:tr>
      <w:tr>
        <w:trPr>
          <w:trHeight w:val="210"/>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12"/>
        </w:trPr>
        <w:tc>
          <w:tcPr>
            <w:tcW w:w="83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9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(13,225)</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(100,592)</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Depreciation and amortization of continuing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46,195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45,680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Depreciation and amortization of discontinued operations</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35,731</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15,692</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Goodwill impairment of continuing operations</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92,942</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Goodwill impairment of discontinued operations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146,757</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Other impairments</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4,148</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Total derivative loss (gain), net of cash settlements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(3,259)</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15,309</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Share of net income from joint venture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(3,626)</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Gain on disposal of discontinued operations, net of tax and cost to sell</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(233,824)</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4,226</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(4,845)</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(21,697)</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13,698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10,831</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(12,959)</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5,114</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(8,606)</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(4,516)</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8380" w:type="dxa"/>
            <w:vAlign w:val="bottom"/>
            <w:tcBorders>
              <w:bottom w:val="single" w:sz="8" w:color="BFE4FF"/>
            </w:tcBorders>
          </w:tcPr>
          <w:p>
            <w:pPr>
              <w:ind w:left="8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11,295</w:t>
            </w:r>
          </w:p>
        </w:tc>
      </w:tr>
      <w:tr>
        <w:trPr>
          <w:trHeight w:val="213"/>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15,586</w:t>
            </w:r>
          </w:p>
        </w:tc>
        <w:tc>
          <w:tcPr>
            <w:tcW w:w="14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15,549</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(18,221)</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(23,773)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3,317</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(cash paid for post-closing adjustments on) sale of business, net of cash sold</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(3,880)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743,178</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(15,420)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(4,133)</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695</w:t>
            </w:r>
          </w:p>
        </w:tc>
      </w:tr>
      <w:tr>
        <w:trPr>
          <w:trHeight w:val="206"/>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(36,103)</w:t>
            </w:r>
          </w:p>
        </w:tc>
        <w:tc>
          <w:tcPr>
            <w:tcW w:w="140" w:type="dxa"/>
            <w:vAlign w:val="bottom"/>
            <w:tcBorders>
              <w:bottom w:val="single" w:sz="8" w:color="BFE4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719,284</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9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Cash paid for debt issuance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61,793</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Redemption of preferred stock</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(122,434)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long-term debt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171,000</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66,195</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(93,729)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(776,331)</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short-term debt, net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(1,563)</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(924)</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w:t>
            </w:r>
          </w:p>
        </w:tc>
      </w:tr>
      <w:tr>
        <w:trPr>
          <w:trHeight w:val="213"/>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2,557</w:t>
            </w:r>
          </w:p>
        </w:tc>
        <w:tc>
          <w:tcPr>
            <w:tcW w:w="14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(714,854)</w:t>
            </w:r>
          </w:p>
        </w:tc>
      </w:tr>
      <w:tr>
        <w:trPr>
          <w:trHeight w:val="206"/>
        </w:trPr>
        <w:tc>
          <w:tcPr>
            <w:tcW w:w="8380" w:type="dxa"/>
            <w:vAlign w:val="bottom"/>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(3,544)</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(19,482)</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16,435</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Cash and cash equivalents at beginning of period (1)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48,138</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31,703</w:t>
            </w:r>
          </w:p>
        </w:tc>
      </w:tr>
      <w:tr>
        <w:trPr>
          <w:trHeight w:val="234"/>
        </w:trPr>
        <w:tc>
          <w:tcPr>
            <w:tcW w:w="83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14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48,138</w:t>
            </w:r>
          </w:p>
        </w:tc>
      </w:tr>
      <w:tr>
        <w:trPr>
          <w:trHeight w:val="20"/>
        </w:trPr>
        <w:tc>
          <w:tcPr>
            <w:tcW w:w="838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59" w:lineRule="exact"/>
        <w:rPr>
          <w:sz w:val="20"/>
          <w:szCs w:val="20"/>
          <w:color w:val="auto"/>
        </w:rPr>
      </w:pPr>
    </w:p>
    <w:p>
      <w:pPr>
        <w:ind w:left="900" w:right="900" w:hanging="244"/>
        <w:spacing w:after="0" w:line="275" w:lineRule="auto"/>
        <w:tabs>
          <w:tab w:leader="none" w:pos="886"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and cash equivalents include $13.8 million of cash and cash equivalents that were included in current assets of discontinued operations as of December 31, 2019.</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Reconciliation of GAAP Income (Loss) from Operations to Non-GAAP Adjusted Income (Loss) from Operations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$000s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29210</wp:posOffset>
            </wp:positionV>
            <wp:extent cx="33858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5820" cy="154305"/>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26670</wp:posOffset>
            </wp:positionV>
            <wp:extent cx="33858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5820"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Fixed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26670</wp:posOffset>
            </wp:positionV>
            <wp:extent cx="33858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85820" cy="274320"/>
                    </a:xfrm>
                    <a:prstGeom prst="rect">
                      <a:avLst/>
                    </a:prstGeom>
                    <a:noFill/>
                  </pic:spPr>
                </pic:pic>
              </a:graphicData>
            </a:graphic>
          </wp:anchor>
        </w:drawing>
      </w:r>
    </w:p>
    <w:p>
      <w:pPr>
        <w:spacing w:after="0" w:line="39" w:lineRule="exact"/>
        <w:rPr>
          <w:sz w:val="20"/>
          <w:szCs w:val="20"/>
          <w:color w:val="auto"/>
        </w:rPr>
      </w:pPr>
    </w:p>
    <w:p>
      <w:pPr>
        <w:ind w:left="28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132715</wp:posOffset>
            </wp:positionV>
            <wp:extent cx="33858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85820" cy="274320"/>
                    </a:xfrm>
                    <a:prstGeom prst="rect">
                      <a:avLst/>
                    </a:prstGeom>
                    <a:noFill/>
                  </pic:spPr>
                </pic:pic>
              </a:graphicData>
            </a:graphic>
          </wp:anchor>
        </w:drawing>
      </w:r>
    </w:p>
    <w:p>
      <w:pPr>
        <w:spacing w:after="0" w:line="206" w:lineRule="exact"/>
        <w:rPr>
          <w:sz w:val="20"/>
          <w:szCs w:val="20"/>
          <w:color w:val="auto"/>
        </w:rPr>
      </w:pPr>
    </w:p>
    <w:p>
      <w:pPr>
        <w:ind w:left="280" w:right="140"/>
        <w:spacing w:after="0" w:line="275" w:lineRule="auto"/>
        <w:rPr>
          <w:sz w:val="20"/>
          <w:szCs w:val="20"/>
          <w:color w:val="auto"/>
        </w:rPr>
      </w:pPr>
      <w:r>
        <w:rPr>
          <w:rFonts w:ascii="Arial" w:cs="Arial" w:eastAsia="Arial" w:hAnsi="Arial"/>
          <w:sz w:val="16"/>
          <w:szCs w:val="16"/>
          <w:color w:val="auto"/>
        </w:rPr>
        <w:t>Non-GAAP adjusted operating margin (1)</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GAAP net sales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$000s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29210</wp:posOffset>
            </wp:positionV>
            <wp:extent cx="33858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85820" cy="154305"/>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26670</wp:posOffset>
            </wp:positionV>
            <wp:extent cx="33858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85820"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28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-3810</wp:posOffset>
            </wp:positionV>
            <wp:extent cx="33858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85820" cy="137160"/>
                    </a:xfrm>
                    <a:prstGeom prst="rect">
                      <a:avLst/>
                    </a:prstGeom>
                    <a:noFill/>
                  </pic:spPr>
                </pic:pic>
              </a:graphicData>
            </a:graphic>
          </wp:anchor>
        </w:drawing>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Non-GAAP adjusted operating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36195</wp:posOffset>
            </wp:positionV>
            <wp:extent cx="1645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4"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77" w:lineRule="exact"/>
        <w:rPr>
          <w:sz w:val="20"/>
          <w:szCs w:val="20"/>
          <w:color w:val="auto"/>
        </w:rPr>
      </w:pPr>
    </w:p>
    <w:p>
      <w:pPr>
        <w:spacing w:after="0"/>
        <w:tabs>
          <w:tab w:leader="none" w:pos="580" w:val="left"/>
          <w:tab w:leader="none" w:pos="1340" w:val="left"/>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(3,782)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(974)</w:t>
      </w:r>
    </w:p>
    <w:p>
      <w:pPr>
        <w:spacing w:after="0" w:line="5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6"/>
          <w:szCs w:val="16"/>
          <w:color w:val="auto"/>
        </w:rPr>
        <w:t>1,030</w:t>
      </w:r>
      <w:r>
        <w:rPr>
          <w:sz w:val="20"/>
          <w:szCs w:val="20"/>
          <w:color w:val="auto"/>
        </w:rPr>
        <w:tab/>
      </w:r>
      <w:r>
        <w:rPr>
          <w:rFonts w:ascii="Arial" w:cs="Arial" w:eastAsia="Arial" w:hAnsi="Arial"/>
          <w:sz w:val="16"/>
          <w:szCs w:val="16"/>
          <w:color w:val="auto"/>
        </w:rPr>
        <w:t>3,694</w:t>
      </w:r>
    </w:p>
    <w:p>
      <w:pPr>
        <w:spacing w:after="0" w:line="5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6"/>
          <w:szCs w:val="16"/>
          <w:color w:val="auto"/>
        </w:rPr>
        <w:t>3,587</w:t>
      </w:r>
      <w:r>
        <w:rPr>
          <w:sz w:val="20"/>
          <w:szCs w:val="20"/>
          <w:color w:val="auto"/>
        </w:rPr>
        <w:tab/>
      </w:r>
      <w:r>
        <w:rPr>
          <w:rFonts w:ascii="Arial" w:cs="Arial" w:eastAsia="Arial" w:hAnsi="Arial"/>
          <w:sz w:val="16"/>
          <w:szCs w:val="16"/>
          <w:color w:val="auto"/>
        </w:rPr>
        <w:t>3,587</w:t>
      </w:r>
    </w:p>
    <w:p>
      <w:pPr>
        <w:spacing w:after="0" w:line="5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1,019</w:t>
      </w:r>
    </w:p>
    <w:p>
      <w:pPr>
        <w:spacing w:after="0" w:line="221" w:lineRule="exact"/>
        <w:rPr>
          <w:sz w:val="20"/>
          <w:szCs w:val="20"/>
          <w:color w:val="auto"/>
        </w:rPr>
      </w:pPr>
    </w:p>
    <w:p>
      <w:pPr>
        <w:spacing w:after="0"/>
        <w:tabs>
          <w:tab w:leader="none" w:pos="760" w:val="left"/>
          <w:tab w:leader="none" w:pos="1340" w:val="left"/>
          <w:tab w:leader="none" w:pos="2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835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wp:posOffset>
            </wp:positionV>
            <wp:extent cx="1645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6"/>
          <w:szCs w:val="16"/>
          <w:color w:val="auto"/>
        </w:rPr>
        <w:t>0.8 %</w:t>
      </w:r>
      <w:r>
        <w:rPr>
          <w:sz w:val="20"/>
          <w:szCs w:val="20"/>
          <w:color w:val="auto"/>
        </w:rPr>
        <w:tab/>
      </w:r>
      <w:r>
        <w:rPr>
          <w:rFonts w:ascii="Arial" w:cs="Arial" w:eastAsia="Arial" w:hAnsi="Arial"/>
          <w:sz w:val="14"/>
          <w:szCs w:val="14"/>
          <w:color w:val="auto"/>
        </w:rPr>
        <w:t>6.2 %</w:t>
      </w:r>
    </w:p>
    <w:p>
      <w:pPr>
        <w:spacing w:after="0" w:line="73" w:lineRule="exact"/>
        <w:rPr>
          <w:sz w:val="20"/>
          <w:szCs w:val="20"/>
          <w:color w:val="auto"/>
        </w:rPr>
      </w:pPr>
    </w:p>
    <w:p>
      <w:pPr>
        <w:spacing w:after="0"/>
        <w:tabs>
          <w:tab w:leader="none" w:pos="480" w:val="left"/>
          <w:tab w:leader="none" w:pos="1340" w:val="left"/>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110,379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119,028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36195</wp:posOffset>
            </wp:positionV>
            <wp:extent cx="16459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4"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77" w:lineRule="exact"/>
        <w:rPr>
          <w:sz w:val="20"/>
          <w:szCs w:val="20"/>
          <w:color w:val="auto"/>
        </w:rPr>
      </w:pPr>
    </w:p>
    <w:p>
      <w:pPr>
        <w:spacing w:after="0"/>
        <w:tabs>
          <w:tab w:leader="none" w:pos="780" w:val="left"/>
          <w:tab w:leader="none" w:pos="1340" w:val="left"/>
          <w:tab w:leader="none" w:pos="2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1,754</w:t>
      </w:r>
    </w:p>
    <w:p>
      <w:pPr>
        <w:spacing w:after="0" w:line="5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592</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2,749</w:t>
      </w:r>
      <w:r>
        <w:rPr>
          <w:rFonts w:ascii="Arial" w:cs="Arial" w:eastAsia="Arial" w:hAnsi="Arial"/>
          <w:sz w:val="14"/>
          <w:szCs w:val="14"/>
          <w:color w:val="auto"/>
        </w:rPr>
        <w:t>2,748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1645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1" w:lineRule="exact"/>
        <w:rPr>
          <w:sz w:val="20"/>
          <w:szCs w:val="20"/>
          <w:color w:val="auto"/>
        </w:rPr>
      </w:pPr>
    </w:p>
    <w:p>
      <w:pPr>
        <w:spacing w:after="0"/>
        <w:tabs>
          <w:tab w:leader="none" w:pos="640" w:val="left"/>
          <w:tab w:leader="none" w:pos="1340" w:val="left"/>
          <w:tab w:leader="none" w:pos="2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2,683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5,094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1645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$000s</w:t>
            </w: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Three Months Ended December 31,</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color w:val="auto"/>
              </w:rPr>
              <w:t>Mobile Solutions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9"/>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GAAP income (loss) from operations</w:t>
            </w:r>
          </w:p>
        </w:tc>
        <w:tc>
          <w:tcPr>
            <w:tcW w:w="260" w:type="dxa"/>
            <w:vAlign w:val="bottom"/>
            <w:shd w:val="clear" w:color="auto" w:fill="BFE4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4,603</w:t>
            </w: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r>
              <w:rPr>
                <w:rFonts w:ascii="Arial" w:cs="Arial" w:eastAsia="Arial" w:hAnsi="Arial"/>
                <w:sz w:val="16"/>
                <w:szCs w:val="16"/>
                <w:color w:val="auto"/>
              </w:rPr>
              <w:t>Acquisition and transition expense</w:t>
            </w: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46"/>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r>
              <w:rPr>
                <w:rFonts w:ascii="Arial" w:cs="Arial" w:eastAsia="Arial" w:hAnsi="Arial"/>
                <w:sz w:val="16"/>
                <w:szCs w:val="16"/>
                <w:color w:val="auto"/>
              </w:rPr>
              <w:t>Fixed asset impairments</w:t>
            </w: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189"/>
        </w:trPr>
        <w:tc>
          <w:tcPr>
            <w:tcW w:w="2740" w:type="dxa"/>
            <w:vAlign w:val="bottom"/>
            <w:tcBorders>
              <w:top w:val="single" w:sz="8" w:color="BFE4FF"/>
            </w:tcBorders>
            <w:shd w:val="clear" w:color="auto" w:fill="BFE4FF"/>
          </w:tcPr>
          <w:p>
            <w:pPr>
              <w:spacing w:after="0"/>
              <w:rPr>
                <w:sz w:val="20"/>
                <w:szCs w:val="20"/>
                <w:color w:val="auto"/>
              </w:rPr>
            </w:pPr>
            <w:r>
              <w:rPr>
                <w:rFonts w:ascii="Arial" w:cs="Arial" w:eastAsia="Arial" w:hAnsi="Arial"/>
                <w:sz w:val="16"/>
                <w:szCs w:val="16"/>
                <w:color w:val="auto"/>
                <w:w w:val="97"/>
              </w:rPr>
              <w:t>Non-GAAP adjusted income (loss) from</w:t>
            </w:r>
          </w:p>
        </w:tc>
        <w:tc>
          <w:tcPr>
            <w:tcW w:w="260" w:type="dxa"/>
            <w:vAlign w:val="bottom"/>
            <w:tcBorders>
              <w:top w:val="single" w:sz="8" w:color="auto"/>
            </w:tcBorders>
            <w:shd w:val="clear" w:color="auto" w:fill="BFE4FF"/>
          </w:tcPr>
          <w:p>
            <w:pPr>
              <w:spacing w:after="0"/>
              <w:rPr>
                <w:sz w:val="16"/>
                <w:szCs w:val="16"/>
                <w:color w:val="auto"/>
              </w:rPr>
            </w:pPr>
          </w:p>
        </w:tc>
        <w:tc>
          <w:tcPr>
            <w:tcW w:w="98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280" w:type="dxa"/>
            <w:vAlign w:val="bottom"/>
            <w:tcBorders>
              <w:top w:val="single" w:sz="8" w:color="auto"/>
            </w:tcBorders>
            <w:shd w:val="clear" w:color="auto" w:fill="BFE4FF"/>
          </w:tcPr>
          <w:p>
            <w:pPr>
              <w:spacing w:after="0"/>
              <w:rPr>
                <w:sz w:val="16"/>
                <w:szCs w:val="16"/>
                <w:color w:val="auto"/>
              </w:rPr>
            </w:pPr>
          </w:p>
        </w:tc>
        <w:tc>
          <w:tcPr>
            <w:tcW w:w="960" w:type="dxa"/>
            <w:vAlign w:val="bottom"/>
            <w:tcBorders>
              <w:top w:val="single" w:sz="8" w:color="auto"/>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operations (a)</w:t>
            </w:r>
          </w:p>
        </w:tc>
        <w:tc>
          <w:tcPr>
            <w:tcW w:w="2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6,819</w:t>
            </w: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Share of net income from joint venture</w:t>
            </w:r>
          </w:p>
        </w:tc>
        <w:tc>
          <w:tcPr>
            <w:tcW w:w="260" w:type="dxa"/>
            <w:vAlign w:val="bottom"/>
            <w:tcBorders>
              <w:bottom w:val="single" w:sz="8" w:color="auto"/>
            </w:tcBorders>
            <w:shd w:val="clear" w:color="auto" w:fill="BFE4FF"/>
          </w:tcPr>
          <w:p>
            <w:pPr>
              <w:spacing w:after="0"/>
              <w:rPr>
                <w:sz w:val="18"/>
                <w:szCs w:val="18"/>
                <w:color w:val="auto"/>
              </w:rPr>
            </w:pPr>
          </w:p>
        </w:tc>
        <w:tc>
          <w:tcPr>
            <w:tcW w:w="98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BFE4FF"/>
          </w:tcPr>
          <w:p>
            <w:pPr>
              <w:spacing w:after="0"/>
              <w:rPr>
                <w:sz w:val="18"/>
                <w:szCs w:val="18"/>
                <w:color w:val="auto"/>
              </w:rPr>
            </w:pPr>
          </w:p>
        </w:tc>
        <w:tc>
          <w:tcPr>
            <w:tcW w:w="280" w:type="dxa"/>
            <w:vAlign w:val="bottom"/>
            <w:tcBorders>
              <w:bottom w:val="single" w:sz="8" w:color="auto"/>
            </w:tcBorders>
            <w:shd w:val="clear" w:color="auto" w:fill="BFE4FF"/>
          </w:tcPr>
          <w:p>
            <w:pPr>
              <w:spacing w:after="0"/>
              <w:rPr>
                <w:sz w:val="18"/>
                <w:szCs w:val="18"/>
                <w:color w:val="auto"/>
              </w:rPr>
            </w:pPr>
          </w:p>
        </w:tc>
        <w:tc>
          <w:tcPr>
            <w:tcW w:w="9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1,834</w:t>
            </w:r>
          </w:p>
        </w:tc>
        <w:tc>
          <w:tcPr>
            <w:tcW w:w="0" w:type="dxa"/>
            <w:vAlign w:val="bottom"/>
          </w:tcPr>
          <w:p>
            <w:pPr>
              <w:spacing w:after="0"/>
              <w:rPr>
                <w:sz w:val="1"/>
                <w:szCs w:val="1"/>
                <w:color w:val="auto"/>
              </w:rPr>
            </w:pPr>
          </w:p>
        </w:tc>
      </w:tr>
      <w:tr>
        <w:trPr>
          <w:trHeight w:val="146"/>
        </w:trPr>
        <w:tc>
          <w:tcPr>
            <w:tcW w:w="2740" w:type="dxa"/>
            <w:vAlign w:val="bottom"/>
          </w:tcPr>
          <w:p>
            <w:pPr>
              <w:spacing w:after="0" w:line="146" w:lineRule="exact"/>
              <w:rPr>
                <w:sz w:val="20"/>
                <w:szCs w:val="20"/>
                <w:color w:val="auto"/>
              </w:rPr>
            </w:pPr>
            <w:r>
              <w:rPr>
                <w:rFonts w:ascii="Arial" w:cs="Arial" w:eastAsia="Arial" w:hAnsi="Arial"/>
                <w:sz w:val="16"/>
                <w:szCs w:val="16"/>
                <w:color w:val="auto"/>
                <w:w w:val="97"/>
              </w:rPr>
              <w:t>Non-GAAP adjusted income (loss) from</w:t>
            </w:r>
          </w:p>
        </w:tc>
        <w:tc>
          <w:tcPr>
            <w:tcW w:w="260" w:type="dxa"/>
            <w:vAlign w:val="bottom"/>
            <w:vMerge w:val="restart"/>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20"/>
                <w:szCs w:val="20"/>
                <w:color w:val="auto"/>
              </w:rPr>
            </w:pPr>
            <w:r>
              <w:rPr>
                <w:rFonts w:ascii="Arial" w:cs="Arial" w:eastAsia="Arial" w:hAnsi="Arial"/>
                <w:sz w:val="16"/>
                <w:szCs w:val="16"/>
                <w:color w:val="auto"/>
              </w:rPr>
              <w:t>operations with JV</w:t>
            </w:r>
          </w:p>
        </w:tc>
        <w:tc>
          <w:tcPr>
            <w:tcW w:w="2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BFE4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shd w:val="clear" w:color="auto" w:fill="BFE4FF"/>
          </w:tcPr>
          <w:p>
            <w:pPr>
              <w:spacing w:after="0"/>
              <w:rPr>
                <w:sz w:val="15"/>
                <w:szCs w:val="15"/>
                <w:color w:val="auto"/>
              </w:rPr>
            </w:pPr>
          </w:p>
        </w:tc>
        <w:tc>
          <w:tcPr>
            <w:tcW w:w="260" w:type="dxa"/>
            <w:vAlign w:val="bottom"/>
            <w:shd w:val="clear" w:color="auto" w:fill="BFE4FF"/>
          </w:tcPr>
          <w:p>
            <w:pPr>
              <w:spacing w:after="0"/>
              <w:rPr>
                <w:sz w:val="15"/>
                <w:szCs w:val="15"/>
                <w:color w:val="auto"/>
              </w:rPr>
            </w:pPr>
          </w:p>
        </w:tc>
        <w:tc>
          <w:tcPr>
            <w:tcW w:w="98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6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40" w:type="dxa"/>
            <w:vAlign w:val="bottom"/>
          </w:tcPr>
          <w:p>
            <w:pPr>
              <w:spacing w:after="0" w:line="166" w:lineRule="exact"/>
              <w:rPr>
                <w:sz w:val="20"/>
                <w:szCs w:val="20"/>
                <w:color w:val="auto"/>
              </w:rPr>
            </w:pPr>
            <w:r>
              <w:rPr>
                <w:rFonts w:ascii="Arial" w:cs="Arial" w:eastAsia="Arial" w:hAnsi="Arial"/>
                <w:sz w:val="16"/>
                <w:szCs w:val="16"/>
                <w:color w:val="auto"/>
              </w:rPr>
              <w:t>Non-GAAP adjusted operating margin</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GAAP net sales</w:t>
            </w:r>
          </w:p>
        </w:tc>
        <w:tc>
          <w:tcPr>
            <w:tcW w:w="260" w:type="dxa"/>
            <w:vAlign w:val="bottom"/>
            <w:shd w:val="clear" w:color="auto" w:fill="BFE4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65,615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75,068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$000s</w:t>
            </w: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Three Months Ended December 31,</w:t>
            </w:r>
          </w:p>
        </w:tc>
      </w:tr>
      <w:tr>
        <w:trPr>
          <w:trHeight w:val="236"/>
        </w:trPr>
        <w:tc>
          <w:tcPr>
            <w:tcW w:w="274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color w:val="auto"/>
              </w:rPr>
              <w:t>Elimination</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30"/>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GAAP net sales</w:t>
            </w:r>
          </w:p>
        </w:tc>
        <w:tc>
          <w:tcPr>
            <w:tcW w:w="260" w:type="dxa"/>
            <w:vAlign w:val="bottom"/>
            <w:shd w:val="clear" w:color="auto" w:fill="BFE4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r>
    </w:tbl>
    <w:p>
      <w:pPr>
        <w:spacing w:after="0" w:line="85" w:lineRule="exact"/>
        <w:rPr>
          <w:sz w:val="20"/>
          <w:szCs w:val="20"/>
          <w:color w:val="auto"/>
        </w:rPr>
      </w:pPr>
    </w:p>
    <w:p>
      <w:pPr>
        <w:sectPr>
          <w:pgSz w:w="11900" w:h="16838" w:orient="portrait"/>
          <w:cols w:equalWidth="0" w:num="3">
            <w:col w:w="2920" w:space="100"/>
            <w:col w:w="2560" w:space="80"/>
            <w:col w:w="5580"/>
          </w:cols>
          <w:pgMar w:left="320" w:top="1390"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(1)</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GAAP net sales</w:t>
      </w:r>
    </w:p>
    <w:p>
      <w:pPr>
        <w:spacing w:after="0" w:line="20" w:lineRule="exact"/>
        <w:rPr>
          <w:sz w:val="20"/>
          <w:szCs w:val="20"/>
          <w:color w:val="auto"/>
        </w:rPr>
      </w:pPr>
      <w:r>
        <w:rPr>
          <w:sz w:val="20"/>
          <w:szCs w:val="20"/>
          <w:color w:val="auto"/>
        </w:rPr>
        <w:br w:type="column"/>
      </w:r>
    </w:p>
    <w:p>
      <w:pPr>
        <w:jc w:val="right"/>
        <w:ind w:right="5660"/>
        <w:spacing w:after="0"/>
        <w:tabs>
          <w:tab w:leader="none" w:pos="440" w:val="left"/>
        </w:tabs>
        <w:rPr>
          <w:sz w:val="20"/>
          <w:szCs w:val="20"/>
          <w:color w:val="auto"/>
        </w:rPr>
      </w:pPr>
      <w:r>
        <w:rPr>
          <w:rFonts w:ascii="Arial" w:cs="Arial" w:eastAsia="Arial" w:hAnsi="Arial"/>
          <w:sz w:val="16"/>
          <w:szCs w:val="16"/>
          <w:color w:val="auto"/>
        </w:rPr>
        <w:t>6.0 %</w:t>
      </w:r>
      <w:r>
        <w:rPr>
          <w:sz w:val="20"/>
          <w:szCs w:val="20"/>
          <w:color w:val="auto"/>
        </w:rPr>
        <w:tab/>
      </w:r>
      <w:r>
        <w:rPr>
          <w:rFonts w:ascii="Arial" w:cs="Arial" w:eastAsia="Arial" w:hAnsi="Arial"/>
          <w:sz w:val="14"/>
          <w:szCs w:val="14"/>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17780</wp:posOffset>
            </wp:positionV>
            <wp:extent cx="33858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85820" cy="154305"/>
                    </a:xfrm>
                    <a:prstGeom prst="rect">
                      <a:avLst/>
                    </a:prstGeom>
                    <a:noFill/>
                  </pic:spPr>
                </pic:pic>
              </a:graphicData>
            </a:graphic>
          </wp:anchor>
        </w:drawing>
      </w:r>
    </w:p>
    <w:p>
      <w:pPr>
        <w:spacing w:after="0" w:line="39" w:lineRule="exact"/>
        <w:rPr>
          <w:sz w:val="20"/>
          <w:szCs w:val="20"/>
          <w:color w:val="auto"/>
        </w:rPr>
      </w:pPr>
    </w:p>
    <w:p>
      <w:pPr>
        <w:spacing w:after="0"/>
        <w:tabs>
          <w:tab w:leader="none" w:pos="560" w:val="left"/>
          <w:tab w:leader="none" w:pos="1340" w:val="left"/>
          <w:tab w:leader="none" w:pos="1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44,774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43,962</w:t>
      </w:r>
    </w:p>
    <w:p>
      <w:pPr>
        <w:spacing w:after="0" w:line="200" w:lineRule="exact"/>
        <w:rPr>
          <w:sz w:val="20"/>
          <w:szCs w:val="20"/>
          <w:color w:val="auto"/>
        </w:rPr>
      </w:pPr>
    </w:p>
    <w:p>
      <w:pPr>
        <w:sectPr>
          <w:pgSz w:w="11900" w:h="16838" w:orient="portrait"/>
          <w:cols w:equalWidth="0" w:num="2">
            <w:col w:w="2300" w:space="720"/>
            <w:col w:w="8220"/>
          </w:cols>
          <w:pgMar w:left="320" w:top="1390" w:right="339" w:bottom="1440" w:gutter="0" w:footer="0" w:header="0"/>
          <w:type w:val="continuous"/>
        </w:sectPr>
      </w:pPr>
    </w:p>
    <w:p>
      <w:pPr>
        <w:spacing w:after="0" w:line="3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59" w:lineRule="exact"/>
        <w:rPr>
          <w:sz w:val="20"/>
          <w:szCs w:val="20"/>
          <w:color w:val="auto"/>
        </w:rPr>
      </w:pPr>
    </w:p>
    <w:p>
      <w:pPr>
        <w:ind w:left="80" w:right="520" w:hanging="80"/>
        <w:spacing w:after="0" w:line="275" w:lineRule="auto"/>
        <w:rPr>
          <w:sz w:val="20"/>
          <w:szCs w:val="20"/>
          <w:color w:val="auto"/>
        </w:rPr>
      </w:pPr>
      <w:r>
        <w:rPr>
          <w:rFonts w:ascii="Arial" w:cs="Arial" w:eastAsia="Arial" w:hAnsi="Arial"/>
          <w:sz w:val="16"/>
          <w:szCs w:val="16"/>
          <w:color w:val="auto"/>
        </w:rPr>
        <w:t>*2021 expense includes $1.0 million of professional fees, and 2020 expense includes $0.6 million of capacity and capabilities development expenses, $0.5 million of professional fees, and $2.6 million of integration and transformation fees.</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Reconciliation of GAAP Income (Loss) from Operations to Non-GAAP Adjusted Income (Loss) from Operations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$000s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29210</wp:posOffset>
            </wp:positionV>
            <wp:extent cx="347154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26670</wp:posOffset>
            </wp:positionV>
            <wp:extent cx="347154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Impairments (Goodwill and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33655</wp:posOffset>
            </wp:positionV>
            <wp:extent cx="347154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1545" cy="274320"/>
                    </a:xfrm>
                    <a:prstGeom prst="rect">
                      <a:avLst/>
                    </a:prstGeom>
                    <a:noFill/>
                  </pic:spPr>
                </pic:pic>
              </a:graphicData>
            </a:graphic>
          </wp:anchor>
        </w:drawing>
      </w:r>
    </w:p>
    <w:p>
      <w:pPr>
        <w:spacing w:after="0" w:line="51" w:lineRule="exact"/>
        <w:rPr>
          <w:sz w:val="20"/>
          <w:szCs w:val="20"/>
          <w:color w:val="auto"/>
        </w:rPr>
      </w:pPr>
    </w:p>
    <w:p>
      <w:pPr>
        <w:ind w:left="160" w:right="10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132715</wp:posOffset>
            </wp:positionV>
            <wp:extent cx="347154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206" w:lineRule="exact"/>
        <w:rPr>
          <w:sz w:val="20"/>
          <w:szCs w:val="20"/>
          <w:color w:val="auto"/>
        </w:rPr>
      </w:pPr>
    </w:p>
    <w:p>
      <w:pPr>
        <w:ind w:left="160"/>
        <w:spacing w:after="0" w:line="346" w:lineRule="auto"/>
        <w:rPr>
          <w:sz w:val="20"/>
          <w:szCs w:val="20"/>
          <w:color w:val="auto"/>
        </w:rPr>
      </w:pPr>
      <w:r>
        <w:rPr>
          <w:rFonts w:ascii="Arial" w:cs="Arial" w:eastAsia="Arial" w:hAnsi="Arial"/>
          <w:sz w:val="16"/>
          <w:szCs w:val="16"/>
          <w:color w:val="auto"/>
        </w:rPr>
        <w:t>Non-GAAP adjusted operating margin (1) GAAP net sales</w:t>
      </w: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$000s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29210</wp:posOffset>
            </wp:positionV>
            <wp:extent cx="347154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wp:posOffset>
            </wp:positionV>
            <wp:extent cx="1654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6"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77"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6"/>
          <w:szCs w:val="16"/>
          <w:color w:val="auto"/>
        </w:rPr>
        <w:t>(9,004)</w:t>
      </w:r>
      <w:r>
        <w:rPr>
          <w:sz w:val="20"/>
          <w:szCs w:val="20"/>
          <w:color w:val="auto"/>
        </w:rPr>
        <w:tab/>
      </w:r>
      <w:r>
        <w:rPr>
          <w:rFonts w:ascii="Arial" w:cs="Arial" w:eastAsia="Arial" w:hAnsi="Arial"/>
          <w:sz w:val="16"/>
          <w:szCs w:val="16"/>
          <w:color w:val="auto"/>
        </w:rPr>
        <w:t>(117,457)</w:t>
      </w:r>
    </w:p>
    <w:p>
      <w:pPr>
        <w:spacing w:after="0" w:line="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6"/>
          <w:szCs w:val="16"/>
          <w:color w:val="auto"/>
        </w:rPr>
        <w:t>4,802</w:t>
      </w:r>
      <w:r>
        <w:rPr>
          <w:sz w:val="20"/>
          <w:szCs w:val="20"/>
          <w:color w:val="auto"/>
        </w:rPr>
        <w:tab/>
      </w:r>
      <w:r>
        <w:rPr>
          <w:rFonts w:ascii="Arial" w:cs="Arial" w:eastAsia="Arial" w:hAnsi="Arial"/>
          <w:sz w:val="16"/>
          <w:szCs w:val="16"/>
          <w:color w:val="auto"/>
        </w:rPr>
        <w:t>16,939</w:t>
      </w:r>
    </w:p>
    <w:p>
      <w:pPr>
        <w:spacing w:after="0" w:line="59" w:lineRule="exact"/>
        <w:rPr>
          <w:sz w:val="20"/>
          <w:szCs w:val="20"/>
          <w:color w:val="auto"/>
        </w:rPr>
      </w:pPr>
    </w:p>
    <w:p>
      <w:pPr>
        <w:ind w:left="580"/>
        <w:spacing w:after="0"/>
        <w:tabs>
          <w:tab w:leader="none" w:pos="1920" w:val="left"/>
        </w:tabs>
        <w:rPr>
          <w:sz w:val="20"/>
          <w:szCs w:val="20"/>
          <w:color w:val="auto"/>
        </w:rPr>
      </w:pPr>
      <w:r>
        <w:rPr>
          <w:rFonts w:ascii="Arial" w:cs="Arial" w:eastAsia="Arial" w:hAnsi="Arial"/>
          <w:sz w:val="16"/>
          <w:szCs w:val="16"/>
          <w:color w:val="auto"/>
        </w:rPr>
        <w:t>14,348</w:t>
      </w:r>
      <w:r>
        <w:rPr>
          <w:sz w:val="20"/>
          <w:szCs w:val="20"/>
          <w:color w:val="auto"/>
        </w:rPr>
        <w:tab/>
      </w:r>
      <w:r>
        <w:rPr>
          <w:rFonts w:ascii="Arial" w:cs="Arial" w:eastAsia="Arial" w:hAnsi="Arial"/>
          <w:sz w:val="16"/>
          <w:szCs w:val="16"/>
          <w:color w:val="auto"/>
        </w:rPr>
        <w:t>14,348</w:t>
      </w:r>
    </w:p>
    <w:p>
      <w:pPr>
        <w:spacing w:after="0" w:line="5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93,967</w:t>
      </w:r>
    </w:p>
    <w:p>
      <w:pPr>
        <w:spacing w:after="0" w:line="208" w:lineRule="exact"/>
        <w:rPr>
          <w:sz w:val="20"/>
          <w:szCs w:val="20"/>
          <w:color w:val="auto"/>
        </w:rPr>
      </w:pPr>
    </w:p>
    <w:p>
      <w:pPr>
        <w:spacing w:after="0"/>
        <w:tabs>
          <w:tab w:leader="none" w:pos="560" w:val="left"/>
          <w:tab w:leader="none" w:pos="1320" w:val="left"/>
          <w:tab w:leader="none" w:pos="2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10,146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1654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8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6"/>
          <w:szCs w:val="16"/>
          <w:color w:val="auto"/>
        </w:rPr>
        <w:t>2.1 %</w:t>
      </w:r>
      <w:r>
        <w:rPr>
          <w:sz w:val="20"/>
          <w:szCs w:val="20"/>
          <w:color w:val="auto"/>
        </w:rPr>
        <w:tab/>
      </w:r>
      <w:r>
        <w:rPr>
          <w:rFonts w:ascii="Arial" w:cs="Arial" w:eastAsia="Arial" w:hAnsi="Arial"/>
          <w:sz w:val="14"/>
          <w:szCs w:val="14"/>
          <w:color w:val="auto"/>
        </w:rPr>
        <w:t>1.8 %</w:t>
      </w:r>
    </w:p>
    <w:p>
      <w:pPr>
        <w:spacing w:after="0" w:line="73" w:lineRule="exact"/>
        <w:rPr>
          <w:sz w:val="20"/>
          <w:szCs w:val="20"/>
          <w:color w:val="auto"/>
        </w:rPr>
      </w:pPr>
    </w:p>
    <w:p>
      <w:pPr>
        <w:ind w:left="500"/>
        <w:spacing w:after="0"/>
        <w:tabs>
          <w:tab w:leader="none" w:pos="1840" w:val="left"/>
        </w:tabs>
        <w:rPr>
          <w:sz w:val="20"/>
          <w:szCs w:val="20"/>
          <w:color w:val="auto"/>
        </w:rPr>
      </w:pPr>
      <w:r>
        <w:rPr>
          <w:rFonts w:ascii="Arial" w:cs="Arial" w:eastAsia="Arial" w:hAnsi="Arial"/>
          <w:sz w:val="16"/>
          <w:szCs w:val="16"/>
          <w:color w:val="auto"/>
        </w:rPr>
        <w:t>477,584</w:t>
      </w:r>
      <w:r>
        <w:rPr>
          <w:sz w:val="20"/>
          <w:szCs w:val="20"/>
          <w:color w:val="auto"/>
        </w:rPr>
        <w:tab/>
      </w:r>
      <w:r>
        <w:rPr>
          <w:rFonts w:ascii="Arial" w:cs="Arial" w:eastAsia="Arial" w:hAnsi="Arial"/>
          <w:sz w:val="16"/>
          <w:szCs w:val="16"/>
          <w:color w:val="auto"/>
        </w:rPr>
        <w:t>427,534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wp:posOffset>
            </wp:positionV>
            <wp:extent cx="1654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6"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1"/>
              </w:rPr>
              <w:t>Twelve Months Ended December 31,</w:t>
            </w:r>
          </w:p>
        </w:tc>
        <w:tc>
          <w:tcPr>
            <w:tcW w:w="0" w:type="dxa"/>
            <w:vAlign w:val="bottom"/>
          </w:tcPr>
          <w:p>
            <w:pPr>
              <w:spacing w:after="0"/>
              <w:rPr>
                <w:sz w:val="1"/>
                <w:szCs w:val="1"/>
                <w:color w:val="auto"/>
              </w:rPr>
            </w:pPr>
          </w:p>
        </w:tc>
      </w:tr>
      <w:tr>
        <w:trPr>
          <w:trHeight w:val="237"/>
        </w:trPr>
        <w:tc>
          <w:tcPr>
            <w:tcW w:w="286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Mobile Solutions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9"/>
        </w:trPr>
        <w:tc>
          <w:tcPr>
            <w:tcW w:w="28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9,039</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5,229</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Arial" w:cs="Arial" w:eastAsia="Arial" w:hAnsi="Arial"/>
                <w:sz w:val="16"/>
                <w:szCs w:val="16"/>
                <w:color w:val="auto"/>
              </w:rPr>
              <w:t>Acquisition and transition expense</w:t>
            </w: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46"/>
        </w:trPr>
        <w:tc>
          <w:tcPr>
            <w:tcW w:w="286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3,353</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3,352</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w w:val="99"/>
              </w:rPr>
              <w:t>Impairments (Goodwill and fixed assets)</w:t>
            </w:r>
          </w:p>
        </w:tc>
        <w:tc>
          <w:tcPr>
            <w:tcW w:w="2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193"/>
        </w:trPr>
        <w:tc>
          <w:tcPr>
            <w:tcW w:w="286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income (loss) from</w:t>
            </w:r>
          </w:p>
        </w:tc>
        <w:tc>
          <w:tcPr>
            <w:tcW w:w="280" w:type="dxa"/>
            <w:vAlign w:val="bottom"/>
            <w:tcBorders>
              <w:top w:val="single" w:sz="8" w:color="auto"/>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12,958</w:t>
            </w:r>
          </w:p>
        </w:tc>
        <w:tc>
          <w:tcPr>
            <w:tcW w:w="100" w:type="dxa"/>
            <w:vAlign w:val="bottom"/>
            <w:tcBorders>
              <w:top w:val="single" w:sz="8" w:color="BFE4FF"/>
            </w:tcBorders>
            <w:shd w:val="clear" w:color="auto" w:fill="BFE4FF"/>
          </w:tcPr>
          <w:p>
            <w:pPr>
              <w:spacing w:after="0"/>
              <w:rPr>
                <w:sz w:val="16"/>
                <w:szCs w:val="16"/>
                <w:color w:val="auto"/>
              </w:rPr>
            </w:pPr>
          </w:p>
        </w:tc>
        <w:tc>
          <w:tcPr>
            <w:tcW w:w="280" w:type="dxa"/>
            <w:vAlign w:val="bottom"/>
            <w:tcBorders>
              <w:top w:val="single" w:sz="8" w:color="auto"/>
            </w:tcBorders>
            <w:vMerge w:val="restart"/>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11,194</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operations (a)</w:t>
            </w:r>
          </w:p>
        </w:tc>
        <w:tc>
          <w:tcPr>
            <w:tcW w:w="280" w:type="dxa"/>
            <w:vAlign w:val="bottom"/>
            <w:tcBorders>
              <w:bottom w:val="single" w:sz="8" w:color="auto"/>
            </w:tcBorders>
            <w:vMerge w:val="continue"/>
            <w:shd w:val="clear" w:color="auto" w:fill="BFE4FF"/>
          </w:tcPr>
          <w:p>
            <w:pPr>
              <w:spacing w:after="0"/>
              <w:rPr>
                <w:sz w:val="19"/>
                <w:szCs w:val="19"/>
                <w:color w:val="auto"/>
              </w:rPr>
            </w:pPr>
          </w:p>
        </w:tc>
        <w:tc>
          <w:tcPr>
            <w:tcW w:w="960" w:type="dxa"/>
            <w:vAlign w:val="bottom"/>
            <w:tcBorders>
              <w:bottom w:val="single" w:sz="8" w:color="auto"/>
            </w:tcBorders>
            <w:vMerge w:val="continue"/>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auto"/>
            </w:tcBorders>
            <w:vMerge w:val="continue"/>
            <w:shd w:val="clear" w:color="auto" w:fill="BFE4FF"/>
          </w:tcPr>
          <w:p>
            <w:pPr>
              <w:spacing w:after="0"/>
              <w:rPr>
                <w:sz w:val="19"/>
                <w:szCs w:val="19"/>
                <w:color w:val="auto"/>
              </w:rPr>
            </w:pPr>
          </w:p>
        </w:tc>
        <w:tc>
          <w:tcPr>
            <w:tcW w:w="96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BFE4FF"/>
          </w:tcPr>
          <w:p>
            <w:pPr>
              <w:ind w:left="2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shd w:val="clear" w:color="auto" w:fill="BFE4FF"/>
          </w:tcPr>
          <w:p>
            <w:pPr>
              <w:spacing w:after="0"/>
              <w:rPr>
                <w:sz w:val="21"/>
                <w:szCs w:val="21"/>
                <w:color w:val="auto"/>
              </w:rPr>
            </w:pPr>
          </w:p>
        </w:tc>
        <w:tc>
          <w:tcPr>
            <w:tcW w:w="9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BFE4FF"/>
          </w:tcPr>
          <w:p>
            <w:pPr>
              <w:spacing w:after="0"/>
              <w:rPr>
                <w:sz w:val="21"/>
                <w:szCs w:val="21"/>
                <w:color w:val="auto"/>
              </w:rPr>
            </w:pPr>
          </w:p>
        </w:tc>
        <w:tc>
          <w:tcPr>
            <w:tcW w:w="280" w:type="dxa"/>
            <w:vAlign w:val="bottom"/>
            <w:tcBorders>
              <w:bottom w:val="single" w:sz="8" w:color="auto"/>
            </w:tcBorders>
            <w:shd w:val="clear" w:color="auto" w:fill="BFE4FF"/>
          </w:tcPr>
          <w:p>
            <w:pPr>
              <w:spacing w:after="0"/>
              <w:rPr>
                <w:sz w:val="21"/>
                <w:szCs w:val="21"/>
                <w:color w:val="auto"/>
              </w:rPr>
            </w:pPr>
          </w:p>
        </w:tc>
        <w:tc>
          <w:tcPr>
            <w:tcW w:w="9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6"/>
                <w:szCs w:val="16"/>
                <w:color w:val="auto"/>
              </w:rPr>
              <w:t>Non-GAAP adjusted income (loss) from</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19,219</w:t>
            </w:r>
          </w:p>
        </w:tc>
        <w:tc>
          <w:tcPr>
            <w:tcW w:w="10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14,821</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Arial" w:cs="Arial" w:eastAsia="Arial" w:hAnsi="Arial"/>
                <w:sz w:val="16"/>
                <w:szCs w:val="16"/>
                <w:color w:val="auto"/>
              </w:rPr>
              <w:t>operations with JV</w:t>
            </w: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6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6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color w:val="auto"/>
                <w:w w:val="96"/>
              </w:rPr>
              <w:t>Non-GAAP adjusted operating margin (1)</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53"/>
        </w:trPr>
        <w:tc>
          <w:tcPr>
            <w:tcW w:w="28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285,863</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256,360</w:t>
            </w: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3">
            <w:col w:w="2880" w:space="140"/>
            <w:col w:w="2560" w:space="80"/>
            <w:col w:w="5580"/>
          </w:cols>
          <w:pgMar w:left="320" w:top="1390" w:right="33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26670</wp:posOffset>
            </wp:positionV>
            <wp:extent cx="347154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Impairments (Goodwill and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33655</wp:posOffset>
            </wp:positionV>
            <wp:extent cx="347154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1545" cy="274320"/>
                    </a:xfrm>
                    <a:prstGeom prst="rect">
                      <a:avLst/>
                    </a:prstGeom>
                    <a:noFill/>
                  </pic:spPr>
                </pic:pic>
              </a:graphicData>
            </a:graphic>
          </wp:anchor>
        </w:drawing>
      </w:r>
    </w:p>
    <w:p>
      <w:pPr>
        <w:spacing w:after="0" w:line="51" w:lineRule="exact"/>
        <w:rPr>
          <w:sz w:val="20"/>
          <w:szCs w:val="20"/>
          <w:color w:val="auto"/>
        </w:rPr>
      </w:pPr>
    </w:p>
    <w:p>
      <w:pPr>
        <w:ind w:left="160" w:right="10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132715</wp:posOffset>
            </wp:positionV>
            <wp:extent cx="347154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206" w:lineRule="exact"/>
        <w:rPr>
          <w:sz w:val="20"/>
          <w:szCs w:val="20"/>
          <w:color w:val="auto"/>
        </w:rPr>
      </w:pPr>
    </w:p>
    <w:p>
      <w:pPr>
        <w:ind w:left="160"/>
        <w:spacing w:after="0" w:line="346" w:lineRule="auto"/>
        <w:rPr>
          <w:sz w:val="20"/>
          <w:szCs w:val="20"/>
          <w:color w:val="auto"/>
        </w:rPr>
      </w:pPr>
      <w:r>
        <w:rPr>
          <w:rFonts w:ascii="Arial" w:cs="Arial" w:eastAsia="Arial" w:hAnsi="Arial"/>
          <w:sz w:val="16"/>
          <w:szCs w:val="16"/>
          <w:color w:val="auto"/>
        </w:rPr>
        <w:t>Non-GAAP adjusted operating margin (1) GAAP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6,493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(85,983)</w:t>
            </w: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4,235</w:t>
            </w:r>
          </w:p>
        </w:tc>
        <w:tc>
          <w:tcPr>
            <w:tcW w:w="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10,994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10,993</w:t>
            </w:r>
          </w:p>
        </w:tc>
        <w:tc>
          <w:tcPr>
            <w:tcW w:w="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92,948</w:t>
            </w:r>
          </w:p>
        </w:tc>
        <w:tc>
          <w:tcPr>
            <w:tcW w:w="4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Twelve Months Ended December 31,</w:t>
            </w:r>
          </w:p>
        </w:tc>
        <w:tc>
          <w:tcPr>
            <w:tcW w:w="0" w:type="dxa"/>
            <w:vAlign w:val="bottom"/>
          </w:tcPr>
          <w:p>
            <w:pPr>
              <w:spacing w:after="0"/>
              <w:rPr>
                <w:sz w:val="1"/>
                <w:szCs w:val="1"/>
                <w:color w:val="auto"/>
              </w:rPr>
            </w:pPr>
          </w:p>
        </w:tc>
      </w:tr>
      <w:tr>
        <w:trPr>
          <w:trHeight w:val="67"/>
        </w:trPr>
        <w:tc>
          <w:tcPr>
            <w:tcW w:w="3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17,873</w:t>
            </w:r>
          </w:p>
        </w:tc>
        <w:tc>
          <w:tcPr>
            <w:tcW w:w="12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22,193</w:t>
            </w:r>
          </w:p>
        </w:tc>
        <w:tc>
          <w:tcPr>
            <w:tcW w:w="40" w:type="dxa"/>
            <w:vAlign w:val="bottom"/>
          </w:tcPr>
          <w:p>
            <w:pPr>
              <w:spacing w:after="0"/>
              <w:rPr>
                <w:sz w:val="20"/>
                <w:szCs w:val="20"/>
                <w:color w:val="auto"/>
              </w:rPr>
            </w:pPr>
          </w:p>
        </w:tc>
        <w:tc>
          <w:tcPr>
            <w:tcW w:w="286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Elimination</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20"/>
                <w:szCs w:val="20"/>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8"/>
        </w:trPr>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860" w:type="dxa"/>
            <w:vAlign w:val="bottom"/>
            <w:tcBorders>
              <w:bottom w:val="single" w:sz="8" w:color="BFE4FF"/>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1240" w:type="dxa"/>
            <w:vAlign w:val="bottom"/>
            <w:tcBorders>
              <w:bottom w:val="single" w:sz="8" w:color="BFE4FF"/>
            </w:tcBorders>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BFE4FF"/>
            </w:tcBorders>
            <w:vMerge w:val="restart"/>
            <w:shd w:val="clear" w:color="auto" w:fill="BFE4FF"/>
          </w:tcPr>
          <w:p>
            <w:pPr>
              <w:spacing w:after="0"/>
              <w:rPr>
                <w:sz w:val="4"/>
                <w:szCs w:val="4"/>
                <w:color w:val="auto"/>
              </w:rPr>
            </w:pPr>
          </w:p>
        </w:tc>
        <w:tc>
          <w:tcPr>
            <w:tcW w:w="1240" w:type="dxa"/>
            <w:vAlign w:val="bottom"/>
            <w:tcBorders>
              <w:bottom w:val="single" w:sz="8" w:color="BFE4FF"/>
            </w:tcBorders>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860" w:type="dxa"/>
            <w:vAlign w:val="bottom"/>
            <w:tcBorders>
              <w:bottom w:val="single" w:sz="8" w:color="BFE4FF"/>
            </w:tcBorders>
            <w:vMerge w:val="continue"/>
            <w:shd w:val="clear" w:color="auto" w:fill="BFE4FF"/>
          </w:tcPr>
          <w:p>
            <w:pPr>
              <w:spacing w:after="0" w:line="20" w:lineRule="exact"/>
              <w:rPr>
                <w:sz w:val="1"/>
                <w:szCs w:val="1"/>
                <w:color w:val="auto"/>
              </w:rPr>
            </w:pPr>
          </w:p>
        </w:tc>
        <w:tc>
          <w:tcPr>
            <w:tcW w:w="1240" w:type="dxa"/>
            <w:vAlign w:val="bottom"/>
            <w:tcBorders>
              <w:bottom w:val="single" w:sz="8" w:color="BFE4FF"/>
            </w:tcBorders>
            <w:vMerge w:val="continue"/>
            <w:shd w:val="clear" w:color="auto" w:fill="BFE4FF"/>
          </w:tcPr>
          <w:p>
            <w:pPr>
              <w:spacing w:after="0" w:line="20" w:lineRule="exact"/>
              <w:rPr>
                <w:sz w:val="1"/>
                <w:szCs w:val="1"/>
                <w:color w:val="auto"/>
              </w:rPr>
            </w:pPr>
          </w:p>
        </w:tc>
        <w:tc>
          <w:tcPr>
            <w:tcW w:w="100" w:type="dxa"/>
            <w:vAlign w:val="bottom"/>
            <w:tcBorders>
              <w:bottom w:val="single" w:sz="8" w:color="BFE4FF"/>
            </w:tcBorders>
            <w:vMerge w:val="continue"/>
            <w:shd w:val="clear" w:color="auto" w:fill="BFE4FF"/>
          </w:tcPr>
          <w:p>
            <w:pPr>
              <w:spacing w:after="0" w:line="20" w:lineRule="exact"/>
              <w:rPr>
                <w:sz w:val="1"/>
                <w:szCs w:val="1"/>
                <w:color w:val="auto"/>
              </w:rPr>
            </w:pPr>
          </w:p>
        </w:tc>
        <w:tc>
          <w:tcPr>
            <w:tcW w:w="1240" w:type="dxa"/>
            <w:vAlign w:val="bottom"/>
            <w:tcBorders>
              <w:bottom w:val="single" w:sz="8" w:color="BFE4FF"/>
            </w:tcBorders>
            <w:vMerge w:val="continue"/>
            <w:shd w:val="clear" w:color="auto" w:fill="BFE4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13.0 %</w:t>
            </w:r>
          </w:p>
        </w:tc>
        <w:tc>
          <w:tcPr>
            <w:tcW w:w="40" w:type="dxa"/>
            <w:vAlign w:val="bottom"/>
            <w:vMerge w:val="continue"/>
          </w:tcPr>
          <w:p>
            <w:pPr>
              <w:spacing w:after="0"/>
              <w:rPr>
                <w:sz w:val="11"/>
                <w:szCs w:val="11"/>
                <w:color w:val="auto"/>
              </w:rPr>
            </w:pPr>
          </w:p>
        </w:tc>
        <w:tc>
          <w:tcPr>
            <w:tcW w:w="2860" w:type="dxa"/>
            <w:vAlign w:val="bottom"/>
            <w:vMerge w:val="continue"/>
            <w:shd w:val="clear" w:color="auto" w:fill="BFE4FF"/>
          </w:tcPr>
          <w:p>
            <w:pPr>
              <w:spacing w:after="0"/>
              <w:rPr>
                <w:sz w:val="11"/>
                <w:szCs w:val="11"/>
                <w:color w:val="auto"/>
              </w:rPr>
            </w:pPr>
          </w:p>
        </w:tc>
        <w:tc>
          <w:tcPr>
            <w:tcW w:w="1240" w:type="dxa"/>
            <w:vAlign w:val="bottom"/>
            <w:vMerge w:val="continue"/>
            <w:shd w:val="clear" w:color="auto" w:fill="BFE4FF"/>
          </w:tcPr>
          <w:p>
            <w:pPr>
              <w:spacing w:after="0"/>
              <w:rPr>
                <w:sz w:val="11"/>
                <w:szCs w:val="11"/>
                <w:color w:val="auto"/>
              </w:rPr>
            </w:pPr>
          </w:p>
        </w:tc>
        <w:tc>
          <w:tcPr>
            <w:tcW w:w="100" w:type="dxa"/>
            <w:vAlign w:val="bottom"/>
            <w:vMerge w:val="continue"/>
            <w:shd w:val="clear" w:color="auto" w:fill="BFE4FF"/>
          </w:tcPr>
          <w:p>
            <w:pPr>
              <w:spacing w:after="0"/>
              <w:rPr>
                <w:sz w:val="11"/>
                <w:szCs w:val="11"/>
                <w:color w:val="auto"/>
              </w:rPr>
            </w:pPr>
          </w:p>
        </w:tc>
        <w:tc>
          <w:tcPr>
            <w:tcW w:w="124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3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191,800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171,269</w:t>
            </w:r>
          </w:p>
        </w:tc>
        <w:tc>
          <w:tcPr>
            <w:tcW w:w="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ectPr>
          <w:pgSz w:w="11900" w:h="16838" w:orient="portrait"/>
          <w:cols w:equalWidth="0" w:num="2">
            <w:col w:w="2880" w:space="120"/>
            <w:col w:w="8240"/>
          </w:cols>
          <w:pgMar w:left="320" w:top="1390"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59" w:lineRule="exact"/>
        <w:rPr>
          <w:sz w:val="20"/>
          <w:szCs w:val="20"/>
          <w:color w:val="auto"/>
        </w:rPr>
      </w:pPr>
    </w:p>
    <w:p>
      <w:pPr>
        <w:ind w:right="220" w:hanging="40"/>
        <w:spacing w:after="0" w:line="310" w:lineRule="auto"/>
        <w:rPr>
          <w:sz w:val="20"/>
          <w:szCs w:val="20"/>
          <w:color w:val="auto"/>
        </w:rPr>
      </w:pPr>
      <w:r>
        <w:rPr>
          <w:rFonts w:ascii="Arial" w:cs="Arial" w:eastAsia="Arial" w:hAnsi="Arial"/>
          <w:sz w:val="15"/>
          <w:szCs w:val="15"/>
          <w:color w:val="auto"/>
        </w:rPr>
        <w:t>expense includes $2.3 million in professional fees and $2.5 million in integration and transformation fees while 2020 expense is comprised of $2.4 million of capacity and capabilities development fees, $3.2 million professional fees, $7.5 million integration and transformation fees, and $3.9 million of asset write-downs</w:t>
      </w:r>
    </w:p>
    <w:p>
      <w:pPr>
        <w:sectPr>
          <w:pgSz w:w="11900" w:h="16838" w:orient="portrait"/>
          <w:cols w:equalWidth="0" w:num="1">
            <w:col w:w="11240"/>
          </w:cols>
          <w:pgMar w:left="320" w:top="13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90" w:right="339" w:bottom="1440" w:gutter="0" w:footer="0" w:header="0"/>
          <w:type w:val="continuous"/>
        </w:sectPr>
      </w:pPr>
    </w:p>
    <w:bookmarkStart w:id="12" w:name="page13"/>
    <w:bookmarkEnd w:id="12"/>
    <w:p>
      <w:pPr>
        <w:spacing w:after="0" w:line="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Reconciliation of Net Income (Loss) to Non-GAAP Adjusted EBITDA</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34"/>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000's</w:t>
            </w:r>
          </w:p>
        </w:tc>
        <w:tc>
          <w:tcPr>
            <w:tcW w:w="64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6"/>
                <w:szCs w:val="16"/>
                <w:color w:val="auto"/>
              </w:rPr>
              <w:t>GAAP net income (loss)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147,377</w:t>
            </w:r>
          </w:p>
        </w:tc>
        <w:tc>
          <w:tcPr>
            <w:tcW w:w="0" w:type="dxa"/>
            <w:vAlign w:val="bottom"/>
          </w:tcPr>
          <w:p>
            <w:pPr>
              <w:spacing w:after="0"/>
              <w:rPr>
                <w:sz w:val="1"/>
                <w:szCs w:val="1"/>
                <w:color w:val="auto"/>
              </w:rPr>
            </w:pPr>
          </w:p>
        </w:tc>
      </w:tr>
      <w:tr>
        <w:trPr>
          <w:trHeight w:val="473"/>
        </w:trPr>
        <w:tc>
          <w:tcPr>
            <w:tcW w:w="446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9"/>
        </w:trPr>
        <w:tc>
          <w:tcPr>
            <w:tcW w:w="44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20"/>
                <w:szCs w:val="20"/>
                <w:color w:val="auto"/>
              </w:rPr>
            </w:pPr>
            <w:r>
              <w:rPr>
                <w:rFonts w:ascii="Arial" w:cs="Arial" w:eastAsia="Arial" w:hAnsi="Arial"/>
                <w:sz w:val="16"/>
                <w:szCs w:val="16"/>
                <w:color w:val="auto"/>
                <w:w w:val="99"/>
              </w:rPr>
              <w:t>Pre-</w:t>
            </w:r>
          </w:p>
        </w:tc>
        <w:tc>
          <w:tcPr>
            <w:tcW w:w="4140" w:type="dxa"/>
            <w:vAlign w:val="bottom"/>
            <w:shd w:val="clear" w:color="auto" w:fill="BFE4FF"/>
          </w:tcPr>
          <w:p>
            <w:pPr>
              <w:spacing w:after="0"/>
              <w:rPr>
                <w:sz w:val="20"/>
                <w:szCs w:val="20"/>
                <w:color w:val="auto"/>
              </w:rPr>
            </w:pPr>
            <w:r>
              <w:rPr>
                <w:rFonts w:ascii="Arial" w:cs="Arial" w:eastAsia="Arial" w:hAnsi="Arial"/>
                <w:sz w:val="16"/>
                <w:szCs w:val="16"/>
                <w:color w:val="auto"/>
              </w:rPr>
              <w:t>tax derivative loss, net of cash settlements</w:t>
            </w:r>
          </w:p>
        </w:tc>
        <w:tc>
          <w:tcPr>
            <w:tcW w:w="64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15,802</w:t>
            </w:r>
          </w:p>
        </w:tc>
        <w:tc>
          <w:tcPr>
            <w:tcW w:w="0" w:type="dxa"/>
            <w:vAlign w:val="bottom"/>
          </w:tcPr>
          <w:p>
            <w:pPr>
              <w:spacing w:after="0"/>
              <w:rPr>
                <w:sz w:val="1"/>
                <w:szCs w:val="1"/>
                <w:color w:val="auto"/>
              </w:rPr>
            </w:pPr>
          </w:p>
        </w:tc>
      </w:tr>
      <w:tr>
        <w:trPr>
          <w:trHeight w:val="237"/>
        </w:trPr>
        <w:tc>
          <w:tcPr>
            <w:tcW w:w="4460" w:type="dxa"/>
            <w:vAlign w:val="bottom"/>
            <w:gridSpan w:val="2"/>
          </w:tcPr>
          <w:p>
            <w:pPr>
              <w:spacing w:after="0"/>
              <w:rPr>
                <w:sz w:val="20"/>
                <w:szCs w:val="20"/>
                <w:color w:val="auto"/>
              </w:rPr>
            </w:pPr>
            <w:r>
              <w:rPr>
                <w:rFonts w:ascii="Arial" w:cs="Arial" w:eastAsia="Arial" w:hAnsi="Arial"/>
                <w:sz w:val="16"/>
                <w:szCs w:val="16"/>
                <w:color w:val="auto"/>
                <w:w w:val="98"/>
              </w:rPr>
              <w:t>Change in fair value of preferred stock derivatives and warrants</w:t>
            </w: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11,335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11,561</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Acquisition and transition expense</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3,694</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Non-cash stock compensation</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6"/>
        </w:trPr>
        <w:tc>
          <w:tcPr>
            <w:tcW w:w="4460" w:type="dxa"/>
            <w:vAlign w:val="bottom"/>
            <w:gridSpan w:val="2"/>
          </w:tcPr>
          <w:p>
            <w:pPr>
              <w:spacing w:after="0"/>
              <w:rPr>
                <w:sz w:val="20"/>
                <w:szCs w:val="20"/>
                <w:color w:val="auto"/>
              </w:rPr>
            </w:pPr>
            <w:r>
              <w:rPr>
                <w:rFonts w:ascii="Arial" w:cs="Arial" w:eastAsia="Arial" w:hAnsi="Arial"/>
                <w:sz w:val="16"/>
                <w:szCs w:val="16"/>
                <w:color w:val="auto"/>
                <w:w w:val="99"/>
              </w:rPr>
              <w:t>Non-cash foreign exchange (gain) loss on inter-company loans</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46"/>
        </w:trPr>
        <w:tc>
          <w:tcPr>
            <w:tcW w:w="320" w:type="dxa"/>
            <w:vAlign w:val="bottom"/>
          </w:tcPr>
          <w:p>
            <w:pPr>
              <w:spacing w:after="0"/>
              <w:rPr>
                <w:sz w:val="20"/>
                <w:szCs w:val="20"/>
                <w:color w:val="auto"/>
              </w:rPr>
            </w:pPr>
            <w:r>
              <w:rPr>
                <w:rFonts w:ascii="Arial" w:cs="Arial" w:eastAsia="Arial" w:hAnsi="Arial"/>
                <w:sz w:val="16"/>
                <w:szCs w:val="16"/>
                <w:color w:val="auto"/>
                <w:w w:val="73"/>
              </w:rPr>
              <w:t>Costs</w:t>
            </w:r>
          </w:p>
        </w:tc>
        <w:tc>
          <w:tcPr>
            <w:tcW w:w="4140" w:type="dxa"/>
            <w:vAlign w:val="bottom"/>
            <w:shd w:val="clear" w:color="auto" w:fill="BFE4FF"/>
          </w:tcPr>
          <w:p>
            <w:pPr>
              <w:ind w:left="100"/>
              <w:spacing w:after="0"/>
              <w:rPr>
                <w:sz w:val="20"/>
                <w:szCs w:val="20"/>
                <w:color w:val="auto"/>
              </w:rPr>
            </w:pPr>
            <w:r>
              <w:rPr>
                <w:rFonts w:ascii="Arial" w:cs="Arial" w:eastAsia="Arial" w:hAnsi="Arial"/>
                <w:sz w:val="16"/>
                <w:szCs w:val="16"/>
                <w:color w:val="auto"/>
              </w:rPr>
              <w:t>related to divested businesses and litigation settlement</w:t>
            </w:r>
          </w:p>
        </w:tc>
        <w:tc>
          <w:tcPr>
            <w:tcW w:w="640" w:type="dxa"/>
            <w:vAlign w:val="bottom"/>
            <w:shd w:val="clear" w:color="auto" w:fill="BFE4FF"/>
          </w:tcPr>
          <w:p>
            <w:pPr>
              <w:spacing w:after="0"/>
              <w:rPr>
                <w:sz w:val="21"/>
                <w:szCs w:val="21"/>
                <w:color w:val="auto"/>
              </w:rPr>
            </w:pPr>
          </w:p>
        </w:tc>
        <w:tc>
          <w:tcPr>
            <w:tcW w:w="142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(Income) loss from discontinued operations, net of tax</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(162,864)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6"/>
                <w:szCs w:val="16"/>
                <w:color w:val="auto"/>
                <w:w w:val="76"/>
              </w:rPr>
              <w:t>Fixed</w:t>
            </w:r>
          </w:p>
        </w:tc>
        <w:tc>
          <w:tcPr>
            <w:tcW w:w="4140" w:type="dxa"/>
            <w:vAlign w:val="bottom"/>
            <w:shd w:val="clear" w:color="auto" w:fill="BFE4FF"/>
          </w:tcPr>
          <w:p>
            <w:pPr>
              <w:ind w:left="100"/>
              <w:spacing w:after="0"/>
              <w:rPr>
                <w:sz w:val="20"/>
                <w:szCs w:val="20"/>
                <w:color w:val="auto"/>
              </w:rPr>
            </w:pPr>
            <w:r>
              <w:rPr>
                <w:rFonts w:ascii="Arial" w:cs="Arial" w:eastAsia="Arial" w:hAnsi="Arial"/>
                <w:sz w:val="16"/>
                <w:szCs w:val="16"/>
                <w:color w:val="auto"/>
              </w:rPr>
              <w:t>asset impairments</w:t>
            </w:r>
          </w:p>
        </w:tc>
        <w:tc>
          <w:tcPr>
            <w:tcW w:w="640" w:type="dxa"/>
            <w:vAlign w:val="bottom"/>
            <w:shd w:val="clear" w:color="auto" w:fill="BFE4FF"/>
          </w:tcPr>
          <w:p>
            <w:pPr>
              <w:spacing w:after="0"/>
              <w:rPr>
                <w:sz w:val="18"/>
                <w:szCs w:val="18"/>
                <w:color w:val="auto"/>
              </w:rPr>
            </w:pPr>
          </w:p>
        </w:tc>
        <w:tc>
          <w:tcPr>
            <w:tcW w:w="142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Non-GAAP adjusted EBITDA (b)</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12,081$</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40" w:type="dxa"/>
            <w:vAlign w:val="bottom"/>
            <w:tcBorders>
              <w:bottom w:val="single" w:sz="8" w:color="BFE4FF"/>
            </w:tcBorders>
          </w:tcPr>
          <w:p>
            <w:pPr>
              <w:spacing w:after="0" w:line="20" w:lineRule="exact"/>
              <w:rPr>
                <w:sz w:val="1"/>
                <w:szCs w:val="1"/>
                <w:color w:val="auto"/>
              </w:rPr>
            </w:pPr>
          </w:p>
        </w:tc>
        <w:tc>
          <w:tcPr>
            <w:tcW w:w="640" w:type="dxa"/>
            <w:vAlign w:val="bottom"/>
            <w:tcBorders>
              <w:bottom w:val="single" w:sz="8" w:color="BFE4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4140" w:type="dxa"/>
            <w:vAlign w:val="bottom"/>
            <w:shd w:val="clear" w:color="auto" w:fill="BFE4FF"/>
          </w:tcPr>
          <w:p>
            <w:pPr>
              <w:spacing w:after="0"/>
              <w:rPr>
                <w:sz w:val="19"/>
                <w:szCs w:val="19"/>
                <w:color w:val="auto"/>
              </w:rPr>
            </w:pPr>
          </w:p>
        </w:tc>
        <w:tc>
          <w:tcPr>
            <w:tcW w:w="64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6"/>
                <w:szCs w:val="16"/>
                <w:color w:val="auto"/>
              </w:rPr>
              <w:t>Non-GAAP adjusted EBITDA margin (2)</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GAAP net sales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110,379$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-2515870</wp:posOffset>
            </wp:positionV>
            <wp:extent cx="478345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8345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-2207260</wp:posOffset>
            </wp:positionV>
            <wp:extent cx="478345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83455"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-1641475</wp:posOffset>
            </wp:positionV>
            <wp:extent cx="478345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83455"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-1350010</wp:posOffset>
            </wp:positionV>
            <wp:extent cx="478345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-149860</wp:posOffset>
            </wp:positionV>
            <wp:extent cx="478345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83455" cy="154305"/>
                    </a:xfrm>
                    <a:prstGeom prst="rect">
                      <a:avLst/>
                    </a:prstGeom>
                    <a:noFill/>
                  </pic:spPr>
                </pic:pic>
              </a:graphicData>
            </a:graphic>
          </wp:anchor>
        </w:drawing>
      </w:r>
    </w:p>
    <w:p>
      <w:pPr>
        <w:spacing w:after="0" w:line="197" w:lineRule="exact"/>
        <w:rPr>
          <w:sz w:val="20"/>
          <w:szCs w:val="20"/>
          <w:color w:val="auto"/>
        </w:rPr>
      </w:pPr>
    </w:p>
    <w:p>
      <w:pPr>
        <w:ind w:left="820" w:hanging="312"/>
        <w:spacing w:after="0"/>
        <w:tabs>
          <w:tab w:leader="none" w:pos="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Twelve Months Ended December 31,</w:t>
            </w:r>
          </w:p>
        </w:tc>
        <w:tc>
          <w:tcPr>
            <w:tcW w:w="0" w:type="dxa"/>
            <w:vAlign w:val="bottom"/>
          </w:tcPr>
          <w:p>
            <w:pPr>
              <w:spacing w:after="0"/>
              <w:rPr>
                <w:sz w:val="1"/>
                <w:szCs w:val="1"/>
                <w:color w:val="auto"/>
              </w:rPr>
            </w:pPr>
          </w:p>
        </w:tc>
      </w:tr>
      <w:tr>
        <w:trPr>
          <w:trHeight w:val="133"/>
        </w:trPr>
        <w:tc>
          <w:tcPr>
            <w:tcW w:w="41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180" w:type="dxa"/>
            <w:vAlign w:val="bottom"/>
            <w:tcBorders>
              <w:bottom w:val="single" w:sz="8" w:color="BFE4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(13,225)</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(100,592)</w:t>
            </w: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rPr>
              <w:t>Benefit for income taxes</w:t>
            </w:r>
          </w:p>
        </w:tc>
        <w:tc>
          <w:tcPr>
            <w:tcW w:w="180" w:type="dxa"/>
            <w:vAlign w:val="bottom"/>
            <w:shd w:val="clear" w:color="auto" w:fill="BFE4FF"/>
          </w:tcPr>
          <w:p>
            <w:pPr>
              <w:spacing w:after="0"/>
              <w:rPr>
                <w:sz w:val="18"/>
                <w:szCs w:val="18"/>
                <w:color w:val="auto"/>
              </w:rPr>
            </w:pPr>
          </w:p>
        </w:tc>
        <w:tc>
          <w:tcPr>
            <w:tcW w:w="116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(1,756)</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4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(8,972)</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12,664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18,898</w:t>
            </w:r>
          </w:p>
        </w:tc>
        <w:tc>
          <w:tcPr>
            <w:tcW w:w="0" w:type="dxa"/>
            <w:vAlign w:val="bottom"/>
          </w:tcPr>
          <w:p>
            <w:pPr>
              <w:spacing w:after="0"/>
              <w:rPr>
                <w:sz w:val="1"/>
                <w:szCs w:val="1"/>
                <w:color w:val="auto"/>
              </w:rPr>
            </w:pPr>
          </w:p>
        </w:tc>
      </w:tr>
      <w:tr>
        <w:trPr>
          <w:trHeight w:val="219"/>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rPr>
              <w:t>Write-off of unamortized debt issuance cost</w:t>
            </w:r>
          </w:p>
        </w:tc>
        <w:tc>
          <w:tcPr>
            <w:tcW w:w="18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Pre-tax derivative loss, net of cash settlements</w:t>
            </w: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3,750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15,802</w:t>
            </w:r>
          </w:p>
        </w:tc>
        <w:tc>
          <w:tcPr>
            <w:tcW w:w="0" w:type="dxa"/>
            <w:vAlign w:val="bottom"/>
          </w:tcPr>
          <w:p>
            <w:pPr>
              <w:spacing w:after="0"/>
              <w:rPr>
                <w:sz w:val="1"/>
                <w:szCs w:val="1"/>
                <w:color w:val="auto"/>
              </w:rPr>
            </w:pPr>
          </w:p>
        </w:tc>
      </w:tr>
      <w:tr>
        <w:trPr>
          <w:trHeight w:val="219"/>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w w:val="92"/>
              </w:rPr>
              <w:t>Change in fair value of preferred stock derivatives and warrants</w:t>
            </w:r>
          </w:p>
        </w:tc>
        <w:tc>
          <w:tcPr>
            <w:tcW w:w="18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(7,009)</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46,195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45,680</w:t>
            </w:r>
          </w:p>
        </w:tc>
        <w:tc>
          <w:tcPr>
            <w:tcW w:w="0" w:type="dxa"/>
            <w:vAlign w:val="bottom"/>
          </w:tcPr>
          <w:p>
            <w:pPr>
              <w:spacing w:after="0"/>
              <w:rPr>
                <w:sz w:val="1"/>
                <w:szCs w:val="1"/>
                <w:color w:val="auto"/>
              </w:rPr>
            </w:pPr>
          </w:p>
        </w:tc>
      </w:tr>
      <w:tr>
        <w:trPr>
          <w:trHeight w:val="219"/>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rPr>
              <w:t>Acquisition and transition expense</w:t>
            </w:r>
          </w:p>
        </w:tc>
        <w:tc>
          <w:tcPr>
            <w:tcW w:w="18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4,802</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16,850</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Non-cash stock compensation</w:t>
            </w: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19"/>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w w:val="93"/>
              </w:rPr>
              <w:t>Non-cash foreign exchange (gain) loss on inter-company loans</w:t>
            </w:r>
          </w:p>
        </w:tc>
        <w:tc>
          <w:tcPr>
            <w:tcW w:w="18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w w:val="95"/>
              </w:rPr>
              <w:t>Costs related to divested businesses and litigation settlement</w:t>
            </w: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8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80"/>
              <w:spacing w:after="0"/>
              <w:rPr>
                <w:sz w:val="20"/>
                <w:szCs w:val="20"/>
                <w:color w:val="auto"/>
              </w:rPr>
            </w:pPr>
            <w:r>
              <w:rPr>
                <w:rFonts w:ascii="Arial" w:cs="Arial" w:eastAsia="Arial" w:hAnsi="Arial"/>
                <w:sz w:val="16"/>
                <w:szCs w:val="16"/>
                <w:color w:val="auto"/>
              </w:rPr>
              <w:t>(38,898)</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Fixed asset and goodwill impairments</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93,967</w:t>
            </w:r>
          </w:p>
        </w:tc>
        <w:tc>
          <w:tcPr>
            <w:tcW w:w="0" w:type="dxa"/>
            <w:vAlign w:val="bottom"/>
          </w:tcPr>
          <w:p>
            <w:pPr>
              <w:spacing w:after="0"/>
              <w:rPr>
                <w:sz w:val="1"/>
                <w:szCs w:val="1"/>
                <w:color w:val="auto"/>
              </w:rPr>
            </w:pPr>
          </w:p>
        </w:tc>
      </w:tr>
      <w:tr>
        <w:trPr>
          <w:trHeight w:val="238"/>
        </w:trPr>
        <w:tc>
          <w:tcPr>
            <w:tcW w:w="41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EBITDA (b)</w:t>
            </w:r>
          </w:p>
        </w:tc>
        <w:tc>
          <w:tcPr>
            <w:tcW w:w="1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BFE4FF"/>
          </w:tcPr>
          <w:p>
            <w:pPr>
              <w:jc w:val="right"/>
              <w:ind w:right="120"/>
              <w:spacing w:after="0"/>
              <w:rPr>
                <w:sz w:val="20"/>
                <w:szCs w:val="20"/>
                <w:color w:val="auto"/>
              </w:rPr>
            </w:pPr>
            <w:r>
              <w:rPr>
                <w:rFonts w:ascii="Arial" w:cs="Arial" w:eastAsia="Arial" w:hAnsi="Arial"/>
                <w:sz w:val="16"/>
                <w:szCs w:val="16"/>
                <w:color w:val="auto"/>
              </w:rPr>
              <w:t>52,114</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300" w:type="dxa"/>
            <w:vAlign w:val="bottom"/>
            <w:tcBorders>
              <w:top w:val="single" w:sz="8" w:color="auto"/>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BFE4FF"/>
          </w:tcPr>
          <w:p>
            <w:pPr>
              <w:jc w:val="right"/>
              <w:ind w:right="120"/>
              <w:spacing w:after="0"/>
              <w:rPr>
                <w:sz w:val="20"/>
                <w:szCs w:val="20"/>
                <w:color w:val="auto"/>
              </w:rPr>
            </w:pPr>
            <w:r>
              <w:rPr>
                <w:rFonts w:ascii="Arial" w:cs="Arial" w:eastAsia="Arial" w:hAnsi="Arial"/>
                <w:sz w:val="16"/>
                <w:szCs w:val="16"/>
                <w:color w:val="auto"/>
              </w:rPr>
              <w:t>46,482</w:t>
            </w:r>
          </w:p>
        </w:tc>
        <w:tc>
          <w:tcPr>
            <w:tcW w:w="0" w:type="dxa"/>
            <w:vAlign w:val="bottom"/>
          </w:tcPr>
          <w:p>
            <w:pPr>
              <w:spacing w:after="0"/>
              <w:rPr>
                <w:sz w:val="1"/>
                <w:szCs w:val="1"/>
                <w:color w:val="auto"/>
              </w:rPr>
            </w:pPr>
          </w:p>
        </w:tc>
      </w:tr>
      <w:tr>
        <w:trPr>
          <w:trHeight w:val="20"/>
        </w:trPr>
        <w:tc>
          <w:tcPr>
            <w:tcW w:w="41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1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Non-GAAP adjusted EBITDA margin (2)</w:t>
            </w:r>
          </w:p>
        </w:tc>
        <w:tc>
          <w:tcPr>
            <w:tcW w:w="180" w:type="dxa"/>
            <w:vAlign w:val="bottom"/>
            <w:shd w:val="clear" w:color="auto" w:fill="BFE4FF"/>
          </w:tcPr>
          <w:p>
            <w:pPr>
              <w:spacing w:after="0"/>
              <w:rPr>
                <w:sz w:val="18"/>
                <w:szCs w:val="18"/>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color w:val="auto"/>
              </w:rPr>
              <w:t>GAAP net sales</w:t>
            </w:r>
          </w:p>
        </w:tc>
        <w:tc>
          <w:tcPr>
            <w:tcW w:w="18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477,584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427,534</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0" w:hanging="312"/>
        <w:spacing w:after="0"/>
        <w:tabs>
          <w:tab w:leader="none" w:pos="8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9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20"/>
          </w:cols>
          <w:pgMar w:left="1440" w:top="1440"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Reconciliation of Net Income (Loss) to Non-GAAP Adjusted Net Income and Net Income (Loss) per</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Diluted Common Share to Non-GAAP Adjusted Net Income (Loss) per Diluted Common Share</w:t>
      </w:r>
    </w:p>
    <w:p>
      <w:pPr>
        <w:spacing w:after="0" w:line="200" w:lineRule="exact"/>
        <w:rPr>
          <w:sz w:val="20"/>
          <w:szCs w:val="20"/>
          <w:color w:val="auto"/>
        </w:rPr>
      </w:pP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199"/>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i w:val="1"/>
                <w:iCs w:val="1"/>
                <w:color w:val="auto"/>
              </w:rPr>
              <w:t>000's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3"/>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GAAP net income (loss)</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147,377</w:t>
            </w:r>
          </w:p>
        </w:tc>
      </w:tr>
      <w:tr>
        <w:trPr>
          <w:trHeight w:val="256"/>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acquisition and transition expense</w:t>
            </w:r>
          </w:p>
        </w:tc>
        <w:tc>
          <w:tcPr>
            <w:tcW w:w="220" w:type="dxa"/>
            <w:vAlign w:val="bottom"/>
            <w:shd w:val="clear" w:color="auto" w:fill="BFE4FF"/>
          </w:tcPr>
          <w:p>
            <w:pPr>
              <w:spacing w:after="0"/>
              <w:rPr>
                <w:sz w:val="18"/>
                <w:szCs w:val="18"/>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3,694</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foreign exchange (gain) loss on inter-company loans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2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(338)</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amortization of intangibles and deferred financing costs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derivative loss, net of cash settlements</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15,802</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impairments of fixed asset costs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Tax effect of adjustments reflected above (c)</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(5,019)</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Non-GAAP discrete tax adjustments</w:t>
            </w:r>
          </w:p>
        </w:tc>
        <w:tc>
          <w:tcPr>
            <w:tcW w:w="22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3,629</w:t>
            </w:r>
          </w:p>
        </w:tc>
      </w:tr>
      <w:tr>
        <w:trPr>
          <w:trHeight w:val="213"/>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(162,864)</w:t>
            </w:r>
          </w:p>
        </w:tc>
      </w:tr>
      <w:tr>
        <w:trPr>
          <w:trHeight w:val="238"/>
        </w:trPr>
        <w:tc>
          <w:tcPr>
            <w:tcW w:w="582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Non-GAAP adjusted net income (loss) (d)</w:t>
            </w: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7,013</w:t>
            </w:r>
          </w:p>
        </w:tc>
      </w:tr>
      <w:tr>
        <w:trPr>
          <w:trHeight w:val="20"/>
        </w:trPr>
        <w:tc>
          <w:tcPr>
            <w:tcW w:w="582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1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380" w:type="dxa"/>
            <w:vAlign w:val="bottom"/>
            <w:tcBorders>
              <w:top w:val="single" w:sz="8" w:color="BFE4FF"/>
              <w:bottom w:val="single" w:sz="8" w:color="auto"/>
            </w:tcBorders>
            <w:gridSpan w:val="2"/>
          </w:tcPr>
          <w:p>
            <w:pPr>
              <w:spacing w:after="0" w:line="20" w:lineRule="exact"/>
              <w:rPr>
                <w:sz w:val="1"/>
                <w:szCs w:val="1"/>
                <w:color w:val="auto"/>
              </w:rPr>
            </w:pPr>
          </w:p>
        </w:tc>
      </w:tr>
      <w:tr>
        <w:trPr>
          <w:trHeight w:val="345"/>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200"/>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i w:val="1"/>
                <w:iCs w:val="1"/>
                <w:color w:val="auto"/>
              </w:rPr>
              <w:t>Per diluted common share</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3"/>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GAAP net income (loss) per diluted common share</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3.41</w:t>
            </w:r>
          </w:p>
        </w:tc>
      </w:tr>
      <w:tr>
        <w:trPr>
          <w:trHeight w:val="257"/>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acquisition and transition expense</w:t>
            </w:r>
          </w:p>
        </w:tc>
        <w:tc>
          <w:tcPr>
            <w:tcW w:w="220" w:type="dxa"/>
            <w:vAlign w:val="bottom"/>
            <w:shd w:val="clear" w:color="auto" w:fill="BFE4FF"/>
          </w:tcPr>
          <w:p>
            <w:pPr>
              <w:spacing w:after="0"/>
              <w:rPr>
                <w:sz w:val="18"/>
                <w:szCs w:val="18"/>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0.09</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foreign exchange (gain) loss on inter-company loans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2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amortization of intangibles and deferred financing costs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interest rate swap payments and change in fair value</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0.37</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impairments of fixed asset costs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Tax effect of adjustments reflected above (c)</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(0.12)</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Non-GAAP discrete tax adjustments</w:t>
            </w:r>
          </w:p>
        </w:tc>
        <w:tc>
          <w:tcPr>
            <w:tcW w:w="22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0.09</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Preferred stock cumulative dividends and deemed dividends</w:t>
            </w:r>
          </w:p>
        </w:tc>
        <w:tc>
          <w:tcPr>
            <w:tcW w:w="220" w:type="dxa"/>
            <w:vAlign w:val="bottom"/>
            <w:tcBorders>
              <w:bottom w:val="single" w:sz="8" w:color="auto"/>
            </w:tcBorders>
            <w:shd w:val="clear" w:color="auto" w:fill="BFE4FF"/>
          </w:tcPr>
          <w:p>
            <w:pPr>
              <w:spacing w:after="0"/>
              <w:rPr>
                <w:sz w:val="18"/>
                <w:szCs w:val="18"/>
                <w:color w:val="auto"/>
              </w:rPr>
            </w:pP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0.08</w:t>
            </w:r>
          </w:p>
        </w:tc>
      </w:tr>
      <w:tr>
        <w:trPr>
          <w:trHeight w:val="212"/>
        </w:trPr>
        <w:tc>
          <w:tcPr>
            <w:tcW w:w="5820" w:type="dxa"/>
            <w:vAlign w:val="bottom"/>
          </w:tcPr>
          <w:p>
            <w:pPr>
              <w:spacing w:after="0"/>
              <w:rPr>
                <w:sz w:val="20"/>
                <w:szCs w:val="20"/>
                <w:color w:val="auto"/>
              </w:rPr>
            </w:pPr>
            <w:r>
              <w:rPr>
                <w:rFonts w:ascii="Arial" w:cs="Arial" w:eastAsia="Arial" w:hAnsi="Arial"/>
                <w:sz w:val="16"/>
                <w:szCs w:val="16"/>
                <w:color w:val="auto"/>
              </w:rPr>
              <w:t>Non-GAAP adjusted net income (loss) per diluted common share (d)</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0"/>
        </w:trPr>
        <w:tc>
          <w:tcPr>
            <w:tcW w:w="582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BFE4FF"/>
          </w:tcPr>
          <w:p>
            <w:pPr>
              <w:spacing w:after="0"/>
              <w:rPr>
                <w:sz w:val="18"/>
                <w:szCs w:val="18"/>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44,454</w:t>
            </w:r>
          </w:p>
        </w:tc>
        <w:tc>
          <w:tcPr>
            <w:tcW w:w="1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42,285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20"/>
          </w:cols>
          <w:pgMar w:left="1440" w:top="1440" w:right="339" w:bottom="1440" w:gutter="0" w:footer="0" w:header="0"/>
        </w:sectPr>
      </w:pPr>
    </w:p>
    <w:bookmarkStart w:id="14" w:name="page15"/>
    <w:bookmarkEnd w:id="14"/>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Reconciliation of Net Income (Loss) to Non-GAAP Adjusted Net Income and Net Income (Loss) per</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Diluted Common Share to Non-GAAP Adjusted Net Income (Loss) per Diluted Common Share</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Twelve Months Ended December 31,</w:t>
            </w:r>
          </w:p>
        </w:tc>
      </w:tr>
      <w:tr>
        <w:trPr>
          <w:trHeight w:val="199"/>
        </w:trPr>
        <w:tc>
          <w:tcPr>
            <w:tcW w:w="60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3"/>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(13,225)</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(100,592)</w:t>
            </w:r>
          </w:p>
        </w:tc>
      </w:tr>
      <w:tr>
        <w:trPr>
          <w:trHeight w:val="257"/>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20" w:type="dxa"/>
            <w:vAlign w:val="bottom"/>
            <w:shd w:val="clear" w:color="auto" w:fill="BFE4FF"/>
          </w:tcPr>
          <w:p>
            <w:pPr>
              <w:spacing w:after="0"/>
              <w:rPr>
                <w:sz w:val="18"/>
                <w:szCs w:val="18"/>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16,939</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write-off of unamortized debt issuance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15,729</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16,056</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derivative loss, net of cash settlements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15,802</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impairments of fixed asset costs</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1,026</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(4,569)</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(10,432)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(38,898)</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Goodwill impairments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92,942</w:t>
            </w:r>
          </w:p>
        </w:tc>
      </w:tr>
      <w:tr>
        <w:trPr>
          <w:trHeight w:val="237"/>
        </w:trPr>
        <w:tc>
          <w:tcPr>
            <w:tcW w:w="60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net income (loss) (d)</w:t>
            </w:r>
          </w:p>
        </w:tc>
        <w:tc>
          <w:tcPr>
            <w:tcW w:w="220" w:type="dxa"/>
            <w:vAlign w:val="bottom"/>
            <w:tcBorders>
              <w:top w:val="single" w:sz="8" w:color="auto"/>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(6,960)</w:t>
            </w:r>
          </w:p>
        </w:tc>
      </w:tr>
      <w:tr>
        <w:trPr>
          <w:trHeight w:val="20"/>
        </w:trPr>
        <w:tc>
          <w:tcPr>
            <w:tcW w:w="60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1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0" w:type="dxa"/>
            <w:vAlign w:val="bottom"/>
            <w:tcBorders>
              <w:top w:val="single" w:sz="8" w:color="BFE4FF"/>
              <w:bottom w:val="single" w:sz="8" w:color="auto"/>
            </w:tcBorders>
            <w:gridSpan w:val="2"/>
          </w:tcPr>
          <w:p>
            <w:pPr>
              <w:spacing w:after="0" w:line="20" w:lineRule="exact"/>
              <w:rPr>
                <w:sz w:val="1"/>
                <w:szCs w:val="1"/>
                <w:color w:val="auto"/>
              </w:rPr>
            </w:pPr>
          </w:p>
        </w:tc>
      </w:tr>
      <w:tr>
        <w:trPr>
          <w:trHeight w:val="346"/>
        </w:trPr>
        <w:tc>
          <w:tcPr>
            <w:tcW w:w="6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Twelve Months Ended December 31,</w:t>
            </w:r>
          </w:p>
        </w:tc>
      </w:tr>
      <w:tr>
        <w:trPr>
          <w:trHeight w:val="199"/>
        </w:trPr>
        <w:tc>
          <w:tcPr>
            <w:tcW w:w="60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Per diluted common share</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3"/>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 per diluted common share</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(2.68)</w:t>
            </w:r>
          </w:p>
        </w:tc>
      </w:tr>
      <w:tr>
        <w:trPr>
          <w:trHeight w:val="256"/>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20" w:type="dxa"/>
            <w:vAlign w:val="bottom"/>
            <w:shd w:val="clear" w:color="auto" w:fill="BFE4FF"/>
          </w:tcPr>
          <w:p>
            <w:pPr>
              <w:spacing w:after="0"/>
              <w:rPr>
                <w:sz w:val="18"/>
                <w:szCs w:val="18"/>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0.42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write-off of unamortized debt issuance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0.38</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interest rate swap payments and change in fair value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impairments of fixed asset costs</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(0.25)</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(0.92)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Goodwill impairments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Preferred stock cumulative dividends and deemed dividends</w:t>
            </w:r>
          </w:p>
        </w:tc>
        <w:tc>
          <w:tcPr>
            <w:tcW w:w="220" w:type="dxa"/>
            <w:vAlign w:val="bottom"/>
            <w:tcBorders>
              <w:bottom w:val="single" w:sz="8" w:color="auto"/>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0.29</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Non-GAAP adjusted net income (loss) per diluted common share (d)</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600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BFE4FF"/>
          </w:tcPr>
          <w:p>
            <w:pPr>
              <w:spacing w:after="0"/>
              <w:rPr>
                <w:sz w:val="18"/>
                <w:szCs w:val="18"/>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44,011</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42,199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20"/>
          </w:cols>
          <w:pgMar w:left="1440" w:top="1440" w:right="339" w:bottom="1440" w:gutter="0" w:footer="0" w:header="0"/>
        </w:sectPr>
      </w:pPr>
    </w:p>
    <w:bookmarkStart w:id="15" w:name="page16"/>
    <w:bookmarkEnd w:id="1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293"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Three Months Ended</w:t>
      </w:r>
    </w:p>
    <w:tbl>
      <w:tblPr>
        <w:tblLayout w:type="fixed"/>
        <w:tblInd w:w="1600" w:type="dxa"/>
        <w:tblCellMar>
          <w:top w:w="0" w:type="dxa"/>
          <w:left w:w="0" w:type="dxa"/>
          <w:bottom w:w="0" w:type="dxa"/>
          <w:right w:w="0" w:type="dxa"/>
        </w:tblCellMar>
      </w:tblPr>
      <w:tr>
        <w:trPr>
          <w:trHeight w:val="198"/>
        </w:trPr>
        <w:tc>
          <w:tcPr>
            <w:tcW w:w="3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3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000’s</w:t>
            </w:r>
          </w:p>
        </w:tc>
        <w:tc>
          <w:tcPr>
            <w:tcW w:w="860" w:type="dxa"/>
            <w:vAlign w:val="bottom"/>
          </w:tcPr>
          <w:p>
            <w:pPr>
              <w:spacing w:after="0"/>
              <w:rPr>
                <w:sz w:val="17"/>
                <w:szCs w:val="17"/>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320" w:type="dxa"/>
            <w:vAlign w:val="bottom"/>
          </w:tcPr>
          <w:p>
            <w:pPr>
              <w:spacing w:after="0"/>
              <w:rPr>
                <w:sz w:val="20"/>
                <w:szCs w:val="20"/>
                <w:color w:val="auto"/>
              </w:rPr>
            </w:pPr>
            <w:r>
              <w:rPr>
                <w:rFonts w:ascii="Arial" w:cs="Arial" w:eastAsia="Arial" w:hAnsi="Arial"/>
                <w:sz w:val="16"/>
                <w:szCs w:val="16"/>
                <w:color w:val="auto"/>
              </w:rPr>
              <w:t>Net</w:t>
            </w:r>
          </w:p>
        </w:tc>
        <w:tc>
          <w:tcPr>
            <w:tcW w:w="3500" w:type="dxa"/>
            <w:vAlign w:val="bottom"/>
            <w:tcBorders>
              <w:top w:val="single" w:sz="8" w:color="BFE4FF"/>
            </w:tcBorders>
            <w:shd w:val="clear" w:color="auto" w:fill="BFE4FF"/>
          </w:tcPr>
          <w:p>
            <w:pPr>
              <w:spacing w:after="0"/>
              <w:rPr>
                <w:sz w:val="20"/>
                <w:szCs w:val="20"/>
                <w:color w:val="auto"/>
              </w:rPr>
            </w:pPr>
            <w:r>
              <w:rPr>
                <w:rFonts w:ascii="Arial" w:cs="Arial" w:eastAsia="Arial" w:hAnsi="Arial"/>
                <w:sz w:val="16"/>
                <w:szCs w:val="16"/>
                <w:color w:val="auto"/>
              </w:rPr>
              <w:t>cash provided by (used in) operating activities</w:t>
            </w:r>
          </w:p>
        </w:tc>
        <w:tc>
          <w:tcPr>
            <w:tcW w:w="860" w:type="dxa"/>
            <w:vAlign w:val="bottom"/>
            <w:tcBorders>
              <w:top w:val="single" w:sz="8" w:color="BFE4FF"/>
            </w:tcBorders>
            <w:shd w:val="clear" w:color="auto" w:fill="BFE4FF"/>
          </w:tcPr>
          <w:p>
            <w:pPr>
              <w:spacing w:after="0"/>
              <w:rPr>
                <w:sz w:val="18"/>
                <w:szCs w:val="18"/>
                <w:color w:val="auto"/>
              </w:rPr>
            </w:pPr>
          </w:p>
        </w:tc>
        <w:tc>
          <w:tcPr>
            <w:tcW w:w="1320" w:type="dxa"/>
            <w:vAlign w:val="bottom"/>
            <w:tcBorders>
              <w:top w:val="single" w:sz="8" w:color="auto"/>
            </w:tcBorders>
            <w:shd w:val="clear" w:color="auto" w:fill="BFE4FF"/>
          </w:tcPr>
          <w:p>
            <w:pPr>
              <w:ind w:left="880"/>
              <w:spacing w:after="0"/>
              <w:rPr>
                <w:sz w:val="20"/>
                <w:szCs w:val="20"/>
                <w:color w:val="auto"/>
              </w:rPr>
            </w:pPr>
            <w:r>
              <w:rPr>
                <w:rFonts w:ascii="Arial" w:cs="Arial" w:eastAsia="Arial" w:hAnsi="Arial"/>
                <w:sz w:val="16"/>
                <w:szCs w:val="16"/>
                <w:color w:val="auto"/>
              </w:rPr>
              <w:t>9,895</w:t>
            </w:r>
          </w:p>
        </w:tc>
        <w:tc>
          <w:tcPr>
            <w:tcW w:w="100" w:type="dxa"/>
            <w:vAlign w:val="bottom"/>
            <w:tcBorders>
              <w:top w:val="single" w:sz="8" w:color="BFE4FF"/>
            </w:tcBorders>
            <w:shd w:val="clear" w:color="auto" w:fill="BFE4FF"/>
          </w:tcPr>
          <w:p>
            <w:pPr>
              <w:spacing w:after="0"/>
              <w:rPr>
                <w:sz w:val="18"/>
                <w:szCs w:val="18"/>
                <w:color w:val="auto"/>
              </w:rPr>
            </w:pP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(3,795)</w:t>
            </w:r>
          </w:p>
        </w:tc>
      </w:tr>
      <w:tr>
        <w:trPr>
          <w:trHeight w:val="213"/>
        </w:trPr>
        <w:tc>
          <w:tcPr>
            <w:tcW w:w="3820" w:type="dxa"/>
            <w:vAlign w:val="bottom"/>
            <w:gridSpan w:val="2"/>
          </w:tcPr>
          <w:p>
            <w:pPr>
              <w:spacing w:after="0"/>
              <w:rPr>
                <w:sz w:val="20"/>
                <w:szCs w:val="20"/>
                <w:color w:val="auto"/>
              </w:rPr>
            </w:pPr>
            <w:r>
              <w:rPr>
                <w:rFonts w:ascii="Arial" w:cs="Arial" w:eastAsia="Arial" w:hAnsi="Arial"/>
                <w:sz w:val="16"/>
                <w:szCs w:val="16"/>
                <w:color w:val="auto"/>
              </w:rPr>
              <w:t>Acquisition of property, plant and equipment</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(3,255)</w:t>
            </w:r>
          </w:p>
        </w:tc>
      </w:tr>
      <w:tr>
        <w:trPr>
          <w:trHeight w:val="238"/>
        </w:trPr>
        <w:tc>
          <w:tcPr>
            <w:tcW w:w="320" w:type="dxa"/>
            <w:vAlign w:val="bottom"/>
          </w:tcPr>
          <w:p>
            <w:pPr>
              <w:spacing w:after="0"/>
              <w:rPr>
                <w:sz w:val="20"/>
                <w:szCs w:val="20"/>
                <w:color w:val="auto"/>
              </w:rPr>
            </w:pPr>
            <w:r>
              <w:rPr>
                <w:rFonts w:ascii="Arial" w:cs="Arial" w:eastAsia="Arial" w:hAnsi="Arial"/>
                <w:sz w:val="16"/>
                <w:szCs w:val="16"/>
                <w:color w:val="auto"/>
                <w:w w:val="91"/>
              </w:rPr>
              <w:t>Free</w:t>
            </w:r>
          </w:p>
        </w:tc>
        <w:tc>
          <w:tcPr>
            <w:tcW w:w="3500" w:type="dxa"/>
            <w:vAlign w:val="bottom"/>
            <w:tcBorders>
              <w:top w:val="single" w:sz="8" w:color="BFE4FF"/>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cash flow</w:t>
            </w:r>
          </w:p>
        </w:tc>
        <w:tc>
          <w:tcPr>
            <w:tcW w:w="860" w:type="dxa"/>
            <w:vAlign w:val="bottom"/>
            <w:tcBorders>
              <w:top w:val="single" w:sz="8" w:color="BFE4FF"/>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BFE4FF"/>
          </w:tcPr>
          <w:p>
            <w:pPr>
              <w:ind w:left="880"/>
              <w:spacing w:after="0"/>
              <w:rPr>
                <w:sz w:val="20"/>
                <w:szCs w:val="20"/>
                <w:color w:val="auto"/>
              </w:rPr>
            </w:pPr>
            <w:r>
              <w:rPr>
                <w:rFonts w:ascii="Arial" w:cs="Arial" w:eastAsia="Arial" w:hAnsi="Arial"/>
                <w:sz w:val="16"/>
                <w:szCs w:val="16"/>
                <w:color w:val="auto"/>
                <w:w w:val="85"/>
              </w:rPr>
              <w:t>6,230$</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3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(7,050)</w:t>
            </w:r>
          </w:p>
        </w:tc>
      </w:tr>
      <w:tr>
        <w:trPr>
          <w:trHeight w:val="20"/>
        </w:trPr>
        <w:tc>
          <w:tcPr>
            <w:tcW w:w="320" w:type="dxa"/>
            <w:vAlign w:val="bottom"/>
          </w:tcPr>
          <w:p>
            <w:pPr>
              <w:spacing w:after="0" w:line="20" w:lineRule="exact"/>
              <w:rPr>
                <w:sz w:val="1"/>
                <w:szCs w:val="1"/>
                <w:color w:val="auto"/>
              </w:rPr>
            </w:pPr>
          </w:p>
        </w:tc>
        <w:tc>
          <w:tcPr>
            <w:tcW w:w="3500" w:type="dxa"/>
            <w:vAlign w:val="bottom"/>
            <w:tcBorders>
              <w:top w:val="single" w:sz="8" w:color="BFE4FF"/>
            </w:tcBorders>
          </w:tcPr>
          <w:p>
            <w:pPr>
              <w:spacing w:after="0" w:line="20" w:lineRule="exact"/>
              <w:rPr>
                <w:sz w:val="1"/>
                <w:szCs w:val="1"/>
                <w:color w:val="auto"/>
              </w:rPr>
            </w:pPr>
          </w:p>
        </w:tc>
        <w:tc>
          <w:tcPr>
            <w:tcW w:w="86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Twelve Months Ended</w:t>
            </w:r>
          </w:p>
        </w:tc>
      </w:tr>
      <w:tr>
        <w:trPr>
          <w:trHeight w:val="210"/>
        </w:trPr>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2"/>
        </w:trPr>
        <w:tc>
          <w:tcPr>
            <w:tcW w:w="44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444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15,586</w:t>
            </w:r>
          </w:p>
        </w:tc>
        <w:tc>
          <w:tcPr>
            <w:tcW w:w="100" w:type="dxa"/>
            <w:vAlign w:val="bottom"/>
            <w:shd w:val="clear" w:color="auto" w:fill="BFE4FF"/>
          </w:tcPr>
          <w:p>
            <w:pPr>
              <w:spacing w:after="0"/>
              <w:rPr>
                <w:sz w:val="18"/>
                <w:szCs w:val="18"/>
                <w:color w:val="auto"/>
              </w:rPr>
            </w:pPr>
          </w:p>
        </w:tc>
        <w:tc>
          <w:tcPr>
            <w:tcW w:w="480" w:type="dxa"/>
            <w:vAlign w:val="bottom"/>
            <w:shd w:val="clear" w:color="auto" w:fill="BFE4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15,549</w:t>
            </w:r>
          </w:p>
        </w:tc>
      </w:tr>
      <w:tr>
        <w:trPr>
          <w:trHeight w:val="213"/>
        </w:trPr>
        <w:tc>
          <w:tcPr>
            <w:tcW w:w="444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Acquisition of property, plant and equipment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(18,221)</w:t>
            </w:r>
          </w:p>
        </w:tc>
        <w:tc>
          <w:tcPr>
            <w:tcW w:w="100" w:type="dxa"/>
            <w:vAlign w:val="bottom"/>
            <w:tcBorders>
              <w:bottom w:val="single" w:sz="8" w:color="BFE4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(23,773)</w:t>
            </w:r>
          </w:p>
        </w:tc>
      </w:tr>
      <w:tr>
        <w:trPr>
          <w:trHeight w:val="238"/>
        </w:trPr>
        <w:tc>
          <w:tcPr>
            <w:tcW w:w="44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Free cash flow</w:t>
            </w:r>
          </w:p>
        </w:tc>
        <w:tc>
          <w:tcPr>
            <w:tcW w:w="32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auto"/>
            </w:tcBorders>
            <w:shd w:val="clear" w:color="auto" w:fill="BFE4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(8,224)</w:t>
            </w:r>
          </w:p>
        </w:tc>
      </w:tr>
      <w:tr>
        <w:trPr>
          <w:trHeight w:val="20"/>
        </w:trPr>
        <w:tc>
          <w:tcPr>
            <w:tcW w:w="444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59" w:lineRule="exact"/>
        <w:rPr>
          <w:sz w:val="20"/>
          <w:szCs w:val="20"/>
          <w:color w:val="auto"/>
        </w:rPr>
      </w:pPr>
    </w:p>
    <w:p>
      <w:pPr>
        <w:ind w:right="140" w:firstLine="8"/>
        <w:spacing w:after="0" w:line="269" w:lineRule="auto"/>
        <w:tabs>
          <w:tab w:leader="none" w:pos="243"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49" w:lineRule="exact"/>
        <w:rPr>
          <w:rFonts w:ascii="Arial" w:cs="Arial" w:eastAsia="Arial" w:hAnsi="Arial"/>
          <w:sz w:val="16"/>
          <w:szCs w:val="16"/>
          <w:i w:val="1"/>
          <w:iCs w:val="1"/>
          <w:color w:val="auto"/>
        </w:rPr>
      </w:pPr>
    </w:p>
    <w:p>
      <w:pPr>
        <w:ind w:right="40" w:firstLine="8"/>
        <w:spacing w:after="0" w:line="269" w:lineRule="auto"/>
        <w:tabs>
          <w:tab w:leader="none" w:pos="243"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50" w:lineRule="exact"/>
        <w:rPr>
          <w:rFonts w:ascii="Arial" w:cs="Arial" w:eastAsia="Arial" w:hAnsi="Arial"/>
          <w:sz w:val="16"/>
          <w:szCs w:val="16"/>
          <w:i w:val="1"/>
          <w:iCs w:val="1"/>
          <w:color w:val="auto"/>
        </w:rPr>
      </w:pPr>
    </w:p>
    <w:p>
      <w:pPr>
        <w:ind w:right="20" w:firstLine="8"/>
        <w:spacing w:after="0" w:line="269" w:lineRule="auto"/>
        <w:tabs>
          <w:tab w:leader="none" w:pos="243"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upperLetter"/>
      <w:start w:val="40"/>
    </w:lvl>
  </w:abstractNum>
  <w:abstractNum w:abstractNumId="4">
    <w:nsid w:val="515F007C"/>
    <w:multiLevelType w:val="hybridMultilevel"/>
    <w:lvl w:ilvl="0">
      <w:lvlJc w:val="left"/>
      <w:lvlText w:val="%1"/>
      <w:numFmt w:val="upperLetter"/>
      <w:start w:val="40"/>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emdash "/>
      <w:numFmt w:val="bullet"/>
      <w:start w:val="1"/>
    </w:lvl>
  </w:abstractNum>
  <w:abstractNum w:abstractNumId="7">
    <w:nsid w:val="4DB127F8"/>
    <w:multiLevelType w:val="hybridMultilevel"/>
    <w:lvl w:ilvl="0">
      <w:lvlJc w:val="left"/>
      <w:lvlText w:val="\emdash "/>
      <w:numFmt w:val="bullet"/>
      <w:start w:val="1"/>
    </w:lvl>
  </w:abstractNum>
  <w:abstractNum w:abstractNumId="8">
    <w:nsid w:val="216231B"/>
    <w:multiLevelType w:val="hybridMultilevel"/>
    <w:lvl w:ilvl="0">
      <w:lvlJc w:val="left"/>
      <w:lvlText w:val="\emdash "/>
      <w:numFmt w:val="bullet"/>
      <w:start w:val="1"/>
    </w:lvl>
  </w:abstractNum>
  <w:abstractNum w:abstractNumId="9">
    <w:nsid w:val="1F16E9E8"/>
    <w:multiLevelType w:val="hybridMultilevel"/>
    <w:lvl w:ilvl="0">
      <w:lvlJc w:val="left"/>
      <w:lvlText w:val="(%1)"/>
      <w:numFmt w:val="decimal"/>
      <w:start w:val="2"/>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2022-03-10T15:52:34Z</dcterms:created>
  <dcterms:modified xsi:type="dcterms:W3CDTF">2022-03-10T15:52:34Z</dcterms:modified>
</cp:coreProperties>
</file>