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79"/>
        <w:spacing w:after="0"/>
        <w:rPr>
          <w:sz w:val="20"/>
          <w:szCs w:val="20"/>
          <w:color w:val="auto"/>
        </w:rPr>
      </w:pPr>
      <w:r>
        <w:rPr>
          <w:rFonts w:ascii="Courier New" w:cs="Courier New" w:eastAsia="Courier New" w:hAnsi="Courier New"/>
          <w:sz w:val="18"/>
          <w:szCs w:val="18"/>
          <w:color w:val="auto"/>
        </w:rPr>
        <w:t>UNITED STATES</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ind w:left="2220"/>
        <w:spacing w:after="0"/>
        <w:rPr>
          <w:sz w:val="20"/>
          <w:szCs w:val="20"/>
          <w:color w:val="auto"/>
        </w:rPr>
      </w:pPr>
      <w:r>
        <w:rPr>
          <w:rFonts w:ascii="Courier New" w:cs="Courier New" w:eastAsia="Courier New" w:hAnsi="Courier New"/>
          <w:sz w:val="16"/>
          <w:szCs w:val="16"/>
          <w:color w:val="auto"/>
        </w:rPr>
        <w:t>Pursuant to Section 13 or 15(d) of the</w:t>
      </w:r>
    </w:p>
    <w:p>
      <w:pPr>
        <w:spacing w:after="0" w:line="16"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Securities Exchange Act of 1934</w:t>
      </w:r>
    </w:p>
    <w:p>
      <w:pPr>
        <w:sectPr>
          <w:pgSz w:w="11900" w:h="16838" w:orient="portrait"/>
          <w:cols w:equalWidth="0" w:num="1">
            <w:col w:w="10219"/>
          </w:cols>
          <w:pgMar w:left="240" w:top="447" w:right="1440" w:bottom="78"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May 2, 2003</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060" w:space="100"/>
            <w:col w:w="5059"/>
          </w:cols>
          <w:pgMar w:left="240" w:top="447" w:right="1440" w:bottom="78" w:gutter="0" w:footer="0" w:header="0"/>
          <w:type w:val="continuous"/>
        </w:sectPr>
      </w:pPr>
    </w:p>
    <w:p>
      <w:pPr>
        <w:spacing w:after="0" w:line="22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NN,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38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260" w:type="dxa"/>
            <w:vAlign w:val="bottom"/>
          </w:tcPr>
          <w:p>
            <w:pPr>
              <w:jc w:val="right"/>
              <w:ind w:right="912"/>
              <w:spacing w:after="0"/>
              <w:rPr>
                <w:sz w:val="20"/>
                <w:szCs w:val="20"/>
                <w:color w:val="auto"/>
              </w:rPr>
            </w:pPr>
            <w:r>
              <w:rPr>
                <w:rFonts w:ascii="Courier New" w:cs="Courier New" w:eastAsia="Courier New" w:hAnsi="Courier New"/>
                <w:sz w:val="18"/>
                <w:szCs w:val="18"/>
                <w:color w:val="auto"/>
              </w:rPr>
              <w:t>0-23486</w:t>
            </w:r>
          </w:p>
        </w:tc>
        <w:tc>
          <w:tcPr>
            <w:tcW w:w="206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tabs>
          <w:tab w:leader="none" w:pos="3780" w:val="left"/>
          <w:tab w:leader="none" w:pos="6520" w:val="left"/>
        </w:tabs>
        <w:rPr>
          <w:sz w:val="20"/>
          <w:szCs w:val="20"/>
          <w:color w:val="auto"/>
        </w:rPr>
      </w:pPr>
      <w:r>
        <w:rPr>
          <w:rFonts w:ascii="Courier New" w:cs="Courier New" w:eastAsia="Courier New" w:hAnsi="Courier New"/>
          <w:sz w:val="18"/>
          <w:szCs w:val="18"/>
          <w:color w:val="auto"/>
        </w:rPr>
        <w:t>(State or other jurisdiction</w:t>
      </w:r>
      <w:r>
        <w:rPr>
          <w:sz w:val="20"/>
          <w:szCs w:val="20"/>
          <w:color w:val="auto"/>
        </w:rPr>
        <w:tab/>
      </w:r>
      <w:r>
        <w:rPr>
          <w:rFonts w:ascii="Courier New" w:cs="Courier New" w:eastAsia="Courier New" w:hAnsi="Courier New"/>
          <w:sz w:val="18"/>
          <w:szCs w:val="18"/>
          <w:color w:val="auto"/>
        </w:rPr>
        <w:t>(Commission</w:t>
      </w:r>
      <w:r>
        <w:rPr>
          <w:sz w:val="20"/>
          <w:szCs w:val="20"/>
          <w:color w:val="auto"/>
        </w:rPr>
        <w:tab/>
      </w:r>
      <w:r>
        <w:rPr>
          <w:rFonts w:ascii="Courier New" w:cs="Courier New" w:eastAsia="Courier New" w:hAnsi="Courier New"/>
          <w:sz w:val="16"/>
          <w:szCs w:val="16"/>
          <w:color w:val="auto"/>
        </w:rPr>
        <w:t>(IRS Employer</w:t>
      </w:r>
    </w:p>
    <w:p>
      <w:pPr>
        <w:ind w:left="740"/>
        <w:spacing w:after="0"/>
        <w:tabs>
          <w:tab w:leader="none" w:pos="3880" w:val="left"/>
          <w:tab w:leader="none" w:pos="6420" w:val="left"/>
        </w:tabs>
        <w:rPr>
          <w:sz w:val="20"/>
          <w:szCs w:val="20"/>
          <w:color w:val="auto"/>
        </w:rPr>
      </w:pPr>
      <w:r>
        <w:rPr>
          <w:rFonts w:ascii="Courier New" w:cs="Courier New" w:eastAsia="Courier New" w:hAnsi="Courier New"/>
          <w:sz w:val="18"/>
          <w:szCs w:val="18"/>
          <w:color w:val="auto"/>
        </w:rPr>
        <w:t>of incorporation)</w:t>
      </w:r>
      <w:r>
        <w:rPr>
          <w:sz w:val="20"/>
          <w:szCs w:val="20"/>
          <w:color w:val="auto"/>
        </w:rPr>
        <w:tab/>
      </w:r>
      <w:r>
        <w:rPr>
          <w:rFonts w:ascii="Courier New" w:cs="Courier New" w:eastAsia="Courier New" w:hAnsi="Courier New"/>
          <w:sz w:val="18"/>
          <w:szCs w:val="18"/>
          <w:color w:val="auto"/>
        </w:rPr>
        <w:t>File Number)</w:t>
      </w:r>
      <w:r>
        <w:rPr>
          <w:sz w:val="20"/>
          <w:szCs w:val="20"/>
          <w:color w:val="auto"/>
        </w:rPr>
        <w:tab/>
      </w:r>
      <w:r>
        <w:rPr>
          <w:rFonts w:ascii="Courier New" w:cs="Courier New" w:eastAsia="Courier New" w:hAnsi="Courier New"/>
          <w:sz w:val="16"/>
          <w:szCs w:val="16"/>
          <w:color w:val="auto"/>
        </w:rPr>
        <w:t>Identification No.)</w:t>
      </w:r>
    </w:p>
    <w:p>
      <w:pPr>
        <w:spacing w:after="0" w:line="200" w:lineRule="exact"/>
        <w:rPr>
          <w:sz w:val="24"/>
          <w:szCs w:val="24"/>
          <w:color w:val="auto"/>
        </w:rPr>
      </w:pPr>
    </w:p>
    <w:p>
      <w:pPr>
        <w:spacing w:after="0" w:line="204" w:lineRule="exact"/>
        <w:rPr>
          <w:sz w:val="24"/>
          <w:szCs w:val="24"/>
          <w:color w:val="auto"/>
        </w:rPr>
      </w:pPr>
    </w:p>
    <w:p>
      <w:pPr>
        <w:spacing w:after="0"/>
        <w:tabs>
          <w:tab w:leader="none" w:pos="6940" w:val="left"/>
        </w:tabs>
        <w:rPr>
          <w:sz w:val="20"/>
          <w:szCs w:val="20"/>
          <w:color w:val="auto"/>
        </w:rPr>
      </w:pPr>
      <w:r>
        <w:rPr>
          <w:rFonts w:ascii="Courier New" w:cs="Courier New" w:eastAsia="Courier New" w:hAnsi="Courier New"/>
          <w:sz w:val="18"/>
          <w:szCs w:val="18"/>
          <w:color w:val="auto"/>
        </w:rPr>
        <w:t>2000 Waters Edge Drive, Johnson City, Tennessee</w:t>
      </w:r>
      <w:r>
        <w:rPr>
          <w:sz w:val="20"/>
          <w:szCs w:val="20"/>
          <w:color w:val="auto"/>
        </w:rPr>
        <w:tab/>
      </w:r>
      <w:r>
        <w:rPr>
          <w:rFonts w:ascii="Courier New" w:cs="Courier New" w:eastAsia="Courier New" w:hAnsi="Courier New"/>
          <w:sz w:val="16"/>
          <w:szCs w:val="16"/>
          <w:color w:val="auto"/>
        </w:rPr>
        <w:t>37604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78" w:lineRule="exact"/>
        <w:rPr>
          <w:sz w:val="24"/>
          <w:szCs w:val="24"/>
          <w:color w:val="auto"/>
        </w:rPr>
      </w:pPr>
    </w:p>
    <w:p>
      <w:pPr>
        <w:ind w:left="120"/>
        <w:spacing w:after="0"/>
        <w:tabs>
          <w:tab w:leader="none" w:pos="6720" w:val="left"/>
        </w:tabs>
        <w:rPr>
          <w:sz w:val="20"/>
          <w:szCs w:val="20"/>
          <w:color w:val="auto"/>
        </w:rPr>
      </w:pPr>
      <w:r>
        <w:rPr>
          <w:rFonts w:ascii="Courier New" w:cs="Courier New" w:eastAsia="Courier New" w:hAnsi="Courier New"/>
          <w:sz w:val="18"/>
          <w:szCs w:val="18"/>
          <w:color w:val="auto"/>
        </w:rPr>
        <w:t>(Address of principal executive offices)</w:t>
      </w:r>
      <w:r>
        <w:rPr>
          <w:sz w:val="20"/>
          <w:szCs w:val="20"/>
          <w:color w:val="auto"/>
        </w:rPr>
        <w:tab/>
      </w:r>
      <w:r>
        <w:rPr>
          <w:rFonts w:ascii="Courier New" w:cs="Courier New" w:eastAsia="Courier New" w:hAnsi="Courier New"/>
          <w:sz w:val="16"/>
          <w:szCs w:val="16"/>
          <w:color w:val="auto"/>
        </w:rPr>
        <w:t>(Zip Code)</w:t>
      </w:r>
    </w:p>
    <w:p>
      <w:pPr>
        <w:sectPr>
          <w:pgSz w:w="11900" w:h="16838" w:orient="portrait"/>
          <w:cols w:equalWidth="0" w:num="1">
            <w:col w:w="10219"/>
          </w:cols>
          <w:pgMar w:left="240" w:top="447" w:right="1440" w:bottom="78"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92"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(423) 743-9151</w:t>
      </w:r>
    </w:p>
    <w:p>
      <w:pPr>
        <w:spacing w:after="0" w:line="16" w:lineRule="exact"/>
        <w:rPr>
          <w:sz w:val="24"/>
          <w:szCs w:val="24"/>
          <w:color w:val="auto"/>
        </w:rPr>
      </w:pPr>
    </w:p>
    <w:p>
      <w:pPr>
        <w:sectPr>
          <w:pgSz w:w="11900" w:h="16838" w:orient="portrait"/>
          <w:cols w:equalWidth="0" w:num="2">
            <w:col w:w="5280" w:space="420"/>
            <w:col w:w="4519"/>
          </w:cols>
          <w:pgMar w:left="240" w:top="447" w:right="1440" w:bottom="78" w:gutter="0" w:footer="0" w:header="0"/>
          <w:type w:val="continuous"/>
        </w:sectPr>
      </w:pPr>
    </w:p>
    <w:p>
      <w:pPr>
        <w:ind w:left="5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None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229235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5"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5.</w:t>
      </w:r>
      <w:r>
        <w:rPr>
          <w:sz w:val="20"/>
          <w:szCs w:val="20"/>
          <w:color w:val="auto"/>
        </w:rPr>
        <w:tab/>
      </w:r>
      <w:r>
        <w:rPr>
          <w:rFonts w:ascii="Courier New" w:cs="Courier New" w:eastAsia="Courier New" w:hAnsi="Courier New"/>
          <w:sz w:val="16"/>
          <w:szCs w:val="16"/>
          <w:b w:val="1"/>
          <w:bCs w:val="1"/>
          <w:color w:val="auto"/>
        </w:rPr>
        <w:t>Other Events and Regulation FD Disclosure.</w:t>
      </w:r>
    </w:p>
    <w:p>
      <w:pPr>
        <w:spacing w:after="0" w:line="207" w:lineRule="exact"/>
        <w:rPr>
          <w:sz w:val="24"/>
          <w:szCs w:val="24"/>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On May 2, 2003, the Company issued a press release announcing it acquired SKF's component manufacturing operating in Veenendaal, The Netherlands. A copy of the press release is attached as Exhibit 99.1 hereto and incorporated by reference.</w:t>
      </w:r>
    </w:p>
    <w:p>
      <w:pPr>
        <w:spacing w:after="0" w:line="200" w:lineRule="exact"/>
        <w:rPr>
          <w:sz w:val="24"/>
          <w:szCs w:val="24"/>
          <w:color w:val="auto"/>
        </w:rPr>
      </w:pPr>
    </w:p>
    <w:p>
      <w:pPr>
        <w:spacing w:after="0" w:line="204"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b w:val="1"/>
          <w:bCs w:val="1"/>
          <w:color w:val="auto"/>
        </w:rPr>
        <w:t>Item 7.</w:t>
      </w:r>
      <w:r>
        <w:rPr>
          <w:sz w:val="20"/>
          <w:szCs w:val="20"/>
          <w:color w:val="auto"/>
        </w:rPr>
        <w:tab/>
      </w:r>
      <w:r>
        <w:rPr>
          <w:rFonts w:ascii="Courier New" w:cs="Courier New" w:eastAsia="Courier New" w:hAnsi="Courier New"/>
          <w:sz w:val="16"/>
          <w:szCs w:val="16"/>
          <w:b w:val="1"/>
          <w:bCs w:val="1"/>
          <w:color w:val="auto"/>
        </w:rPr>
        <w:t>Financial Statements and Exhibits.</w:t>
      </w:r>
    </w:p>
    <w:p>
      <w:pPr>
        <w:spacing w:after="0" w:line="207" w:lineRule="exact"/>
        <w:rPr>
          <w:sz w:val="24"/>
          <w:szCs w:val="24"/>
          <w:color w:val="auto"/>
        </w:rPr>
      </w:pPr>
    </w:p>
    <w:p>
      <w:pPr>
        <w:ind w:left="2120" w:right="3159" w:hanging="743"/>
        <w:spacing w:after="0" w:line="558" w:lineRule="auto"/>
        <w:tabs>
          <w:tab w:leader="none" w:pos="1804"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The following exhibit is filed herewith: 99.1 Press Release dated May 2,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205105</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b w:val="1"/>
          <w:bCs w:val="1"/>
          <w:color w:val="auto"/>
        </w:rPr>
        <w:t>SIGNATURES</w:t>
      </w:r>
    </w:p>
    <w:p>
      <w:pPr>
        <w:spacing w:after="0" w:line="207" w:lineRule="exact"/>
        <w:rPr>
          <w:sz w:val="24"/>
          <w:szCs w:val="24"/>
          <w:color w:val="auto"/>
        </w:rPr>
      </w:pPr>
    </w:p>
    <w:p>
      <w:pPr>
        <w:jc w:val="both"/>
        <w:ind w:right="209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spacing w:after="0"/>
        <w:tabs>
          <w:tab w:leader="none" w:pos="720" w:val="left"/>
          <w:tab w:leader="none" w:pos="3460" w:val="left"/>
        </w:tabs>
        <w:rPr>
          <w:sz w:val="20"/>
          <w:szCs w:val="20"/>
          <w:color w:val="auto"/>
        </w:rPr>
      </w:pPr>
      <w:r>
        <w:rPr>
          <w:rFonts w:ascii="Courier New" w:cs="Courier New" w:eastAsia="Courier New" w:hAnsi="Courier New"/>
          <w:sz w:val="18"/>
          <w:szCs w:val="18"/>
          <w:color w:val="auto"/>
        </w:rPr>
        <w:t>Date:</w:t>
        <w:tab/>
        <w:t>May 2, 2003</w:t>
      </w:r>
      <w:r>
        <w:rPr>
          <w:sz w:val="20"/>
          <w:szCs w:val="20"/>
          <w:color w:val="auto"/>
        </w:rPr>
        <w:tab/>
      </w:r>
      <w:r>
        <w:rPr>
          <w:rFonts w:ascii="Courier New" w:cs="Courier New" w:eastAsia="Courier New" w:hAnsi="Courier New"/>
          <w:sz w:val="16"/>
          <w:szCs w:val="16"/>
          <w:color w:val="auto"/>
        </w:rPr>
        <w:t>NN, INC.</w:t>
      </w:r>
    </w:p>
    <w:p>
      <w:pPr>
        <w:sectPr>
          <w:pgSz w:w="11900" w:h="16838" w:orient="portrait"/>
          <w:cols w:equalWidth="0" w:num="1">
            <w:col w:w="10219"/>
          </w:cols>
          <w:pgMar w:left="240" w:top="447" w:right="1440" w:bottom="78" w:gutter="0" w:footer="0" w:header="0"/>
          <w:type w:val="continuous"/>
        </w:sectPr>
      </w:pPr>
    </w:p>
    <w:bookmarkStart w:id="1" w:name="page2"/>
    <w:bookmarkEnd w:id="1"/>
    <w:p>
      <w:pPr>
        <w:spacing w:after="0" w:line="6" w:lineRule="exact"/>
        <w:rPr>
          <w:sz w:val="20"/>
          <w:szCs w:val="20"/>
          <w:color w:val="auto"/>
        </w:rPr>
      </w:pPr>
    </w:p>
    <w:p>
      <w:pPr>
        <w:ind w:left="348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ind w:left="640"/>
        <w:spacing w:after="0"/>
        <w:rPr>
          <w:sz w:val="20"/>
          <w:szCs w:val="20"/>
          <w:color w:val="auto"/>
        </w:rPr>
      </w:pPr>
      <w:r>
        <w:rPr>
          <w:rFonts w:ascii="Courier New" w:cs="Courier New" w:eastAsia="Courier New" w:hAnsi="Courier New"/>
          <w:sz w:val="18"/>
          <w:szCs w:val="18"/>
          <w:color w:val="auto"/>
        </w:rPr>
        <w:t>/s/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William C. Kelly, Jr.</w:t>
      </w:r>
    </w:p>
    <w:p>
      <w:pPr>
        <w:ind w:left="520"/>
        <w:spacing w:after="0" w:line="238" w:lineRule="auto"/>
        <w:rPr>
          <w:sz w:val="20"/>
          <w:szCs w:val="20"/>
          <w:color w:val="auto"/>
        </w:rPr>
      </w:pPr>
      <w:r>
        <w:rPr>
          <w:rFonts w:ascii="Courier New" w:cs="Courier New" w:eastAsia="Courier New" w:hAnsi="Courier New"/>
          <w:sz w:val="18"/>
          <w:szCs w:val="18"/>
          <w:color w:val="auto"/>
        </w:rPr>
        <w:t>Treasurer, Secretary and Chief</w:t>
      </w:r>
    </w:p>
    <w:p>
      <w:pPr>
        <w:ind w:left="520"/>
        <w:spacing w:after="0"/>
        <w:rPr>
          <w:sz w:val="20"/>
          <w:szCs w:val="20"/>
          <w:color w:val="auto"/>
        </w:rPr>
      </w:pPr>
      <w:r>
        <w:rPr>
          <w:rFonts w:ascii="Courier New" w:cs="Courier New" w:eastAsia="Courier New" w:hAnsi="Courier New"/>
          <w:sz w:val="18"/>
          <w:szCs w:val="18"/>
          <w:color w:val="auto"/>
        </w:rPr>
        <w:t>Administrative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-2419985</wp:posOffset>
            </wp:positionH>
            <wp:positionV relativeFrom="paragraph">
              <wp:posOffset>227965</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800" w:space="0"/>
            <w:col w:w="6419"/>
          </w:cols>
          <w:pgMar w:left="240" w:top="339" w:right="1440" w:bottom="1440" w:gutter="0" w:footer="0" w:header="0"/>
        </w:sectPr>
      </w:pPr>
    </w:p>
    <w:p>
      <w:pPr>
        <w:spacing w:after="0" w:line="200" w:lineRule="exact"/>
        <w:rPr>
          <w:sz w:val="20"/>
          <w:szCs w:val="20"/>
          <w:color w:val="auto"/>
        </w:rPr>
      </w:pPr>
    </w:p>
    <w:p>
      <w:pPr>
        <w:spacing w:after="0" w:line="387"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b w:val="1"/>
          <w:bCs w:val="1"/>
          <w:color w:val="auto"/>
        </w:rPr>
        <w:t>EXHIBIT INDEX</w:t>
      </w:r>
    </w:p>
    <w:p>
      <w:pPr>
        <w:sectPr>
          <w:pgSz w:w="11900" w:h="16838" w:orient="portrait"/>
          <w:cols w:equalWidth="0" w:num="1">
            <w:col w:w="10219"/>
          </w:cols>
          <w:pgMar w:left="240" w:top="339" w:right="1440" w:bottom="1440" w:gutter="0" w:footer="0" w:header="0"/>
          <w:type w:val="continuous"/>
        </w:sectPr>
      </w:pPr>
    </w:p>
    <w:p>
      <w:pPr>
        <w:spacing w:after="0" w:line="200" w:lineRule="exact"/>
        <w:rPr>
          <w:sz w:val="20"/>
          <w:szCs w:val="20"/>
          <w:color w:val="auto"/>
        </w:rPr>
      </w:pPr>
    </w:p>
    <w:p>
      <w:pPr>
        <w:spacing w:after="0" w:line="226"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Exhibit Number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Description</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ectPr>
          <w:pgSz w:w="11900" w:h="16838" w:orient="portrait"/>
          <w:cols w:equalWidth="0" w:num="2">
            <w:col w:w="1700" w:space="200"/>
            <w:col w:w="8319"/>
          </w:cols>
          <w:pgMar w:left="240" w:top="339" w:right="1440" w:bottom="1440" w:gutter="0" w:footer="0" w:header="0"/>
          <w:type w:val="continuous"/>
        </w:sect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dated May 2, 2003</w:t>
      </w:r>
    </w:p>
    <w:p>
      <w:pPr>
        <w:sectPr>
          <w:pgSz w:w="11900" w:h="16838" w:orient="portrait"/>
          <w:cols w:equalWidth="0" w:num="1">
            <w:col w:w="10219"/>
          </w:cols>
          <w:pgMar w:left="240" w:top="339" w:right="1440" w:bottom="1440" w:gutter="0" w:footer="0" w:header="0"/>
          <w:type w:val="continuous"/>
        </w:sectPr>
      </w:pPr>
    </w:p>
    <w:bookmarkStart w:id="2" w:name="page3"/>
    <w:bookmarkEnd w:id="2"/>
    <w:p>
      <w:pPr>
        <w:spacing w:after="0" w:line="3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4874260</wp:posOffset>
            </wp:positionH>
            <wp:positionV relativeFrom="page">
              <wp:posOffset>88900</wp:posOffset>
            </wp:positionV>
            <wp:extent cx="2529840" cy="771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2529840" cy="77152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88900</wp:posOffset>
            </wp:positionV>
            <wp:extent cx="171513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715135" cy="42862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rPr>
                <w:sz w:val="20"/>
                <w:szCs w:val="20"/>
                <w:color w:val="auto"/>
              </w:rPr>
            </w:pPr>
            <w:r>
              <w:rPr>
                <w:rFonts w:ascii="Courier New" w:cs="Courier New" w:eastAsia="Courier New" w:hAnsi="Courier New"/>
                <w:sz w:val="18"/>
                <w:szCs w:val="18"/>
                <w:color w:val="auto"/>
              </w:rPr>
              <w:t>RE: NN, Inc.</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2000 Waters Edge Drive</w:t>
            </w:r>
          </w:p>
        </w:tc>
      </w:tr>
      <w:tr>
        <w:trPr>
          <w:trHeight w:val="203"/>
        </w:trPr>
        <w:tc>
          <w:tcPr>
            <w:tcW w:w="14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380" w:type="dxa"/>
            <w:vAlign w:val="bottom"/>
            <w:gridSpan w:val="3"/>
          </w:tcPr>
          <w:p>
            <w:pPr>
              <w:ind w:left="840"/>
              <w:spacing w:after="0" w:line="203" w:lineRule="exact"/>
              <w:rPr>
                <w:sz w:val="20"/>
                <w:szCs w:val="20"/>
                <w:color w:val="auto"/>
              </w:rPr>
            </w:pPr>
            <w:r>
              <w:rPr>
                <w:rFonts w:ascii="Courier New" w:cs="Courier New" w:eastAsia="Courier New" w:hAnsi="Courier New"/>
                <w:sz w:val="18"/>
                <w:szCs w:val="18"/>
                <w:color w:val="auto"/>
              </w:rPr>
              <w:t>Johnson City, TN  37604</w:t>
            </w:r>
          </w:p>
        </w:tc>
      </w:tr>
      <w:tr>
        <w:trPr>
          <w:trHeight w:val="608"/>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FOR FURTHER INFORMATION:</w:t>
            </w: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67"/>
        </w:trPr>
        <w:tc>
          <w:tcPr>
            <w:tcW w:w="4640" w:type="dxa"/>
            <w:vAlign w:val="bottom"/>
            <w:gridSpan w:val="2"/>
          </w:tcPr>
          <w:p>
            <w:pPr>
              <w:spacing w:after="0"/>
              <w:rPr>
                <w:sz w:val="20"/>
                <w:szCs w:val="20"/>
                <w:color w:val="auto"/>
              </w:rPr>
            </w:pPr>
            <w:r>
              <w:rPr>
                <w:rFonts w:ascii="Courier New" w:cs="Courier New" w:eastAsia="Courier New" w:hAnsi="Courier New"/>
                <w:sz w:val="18"/>
                <w:szCs w:val="18"/>
                <w:b w:val="1"/>
                <w:bCs w:val="1"/>
                <w:color w:val="auto"/>
              </w:rPr>
              <w:t>AT THE COMPANY</w:t>
            </w:r>
          </w:p>
        </w:tc>
        <w:tc>
          <w:tcPr>
            <w:tcW w:w="3700" w:type="dxa"/>
            <w:vAlign w:val="bottom"/>
            <w:gridSpan w:val="4"/>
          </w:tcPr>
          <w:p>
            <w:pPr>
              <w:ind w:left="320"/>
              <w:spacing w:after="0"/>
              <w:rPr>
                <w:sz w:val="20"/>
                <w:szCs w:val="20"/>
                <w:color w:val="auto"/>
              </w:rPr>
            </w:pPr>
            <w:r>
              <w:rPr>
                <w:rFonts w:ascii="Courier New" w:cs="Courier New" w:eastAsia="Courier New" w:hAnsi="Courier New"/>
                <w:sz w:val="18"/>
                <w:szCs w:val="18"/>
                <w:b w:val="1"/>
                <w:bCs w:val="1"/>
                <w:color w:val="auto"/>
              </w:rPr>
              <w:t>AT FRB|WEBER SHANDWICK</w:t>
            </w:r>
          </w:p>
        </w:tc>
      </w:tr>
      <w:tr>
        <w:trPr>
          <w:trHeight w:val="20"/>
        </w:trPr>
        <w:tc>
          <w:tcPr>
            <w:tcW w:w="1480" w:type="dxa"/>
            <w:vAlign w:val="bottom"/>
            <w:shd w:val="clear" w:color="auto" w:fill="000000"/>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1"/>
        </w:trPr>
        <w:tc>
          <w:tcPr>
            <w:tcW w:w="1480" w:type="dxa"/>
            <w:vAlign w:val="bottom"/>
          </w:tcPr>
          <w:p>
            <w:pPr>
              <w:spacing w:after="0"/>
              <w:rPr>
                <w:sz w:val="20"/>
                <w:szCs w:val="20"/>
                <w:color w:val="auto"/>
              </w:rPr>
            </w:pPr>
            <w:r>
              <w:rPr>
                <w:rFonts w:ascii="Courier New" w:cs="Courier New" w:eastAsia="Courier New" w:hAnsi="Courier New"/>
                <w:sz w:val="18"/>
                <w:szCs w:val="18"/>
                <w:color w:val="auto"/>
              </w:rPr>
              <w:t>Will Kelly</w:t>
            </w:r>
          </w:p>
        </w:tc>
        <w:tc>
          <w:tcPr>
            <w:tcW w:w="3160" w:type="dxa"/>
            <w:vAlign w:val="bottom"/>
          </w:tcPr>
          <w:p>
            <w:pPr>
              <w:spacing w:after="0"/>
              <w:rPr>
                <w:sz w:val="19"/>
                <w:szCs w:val="19"/>
                <w:color w:val="auto"/>
              </w:rPr>
            </w:pPr>
          </w:p>
        </w:tc>
        <w:tc>
          <w:tcPr>
            <w:tcW w:w="20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Kerry Thalheim</w:t>
            </w:r>
          </w:p>
        </w:tc>
        <w:tc>
          <w:tcPr>
            <w:tcW w:w="170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Susan Garland</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Treasurer &amp; Manager of Investor Relations</w:t>
            </w: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(General info)</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6"/>
              </w:rPr>
              <w:t>(Analyst info)</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(423) 743-9151</w:t>
            </w:r>
          </w:p>
        </w:tc>
        <w:tc>
          <w:tcPr>
            <w:tcW w:w="3160" w:type="dxa"/>
            <w:vAlign w:val="bottom"/>
          </w:tcPr>
          <w:p>
            <w:pPr>
              <w:spacing w:after="0"/>
              <w:rPr>
                <w:sz w:val="17"/>
                <w:szCs w:val="17"/>
                <w:color w:val="auto"/>
              </w:rPr>
            </w:pPr>
          </w:p>
        </w:tc>
        <w:tc>
          <w:tcPr>
            <w:tcW w:w="20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212-445-8437</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212-445-8458</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b w:val="1"/>
          <w:bCs w:val="1"/>
          <w:color w:val="auto"/>
        </w:rPr>
        <w:t>FOR IMMEDIATE RELEASE</w:t>
      </w:r>
    </w:p>
    <w:p>
      <w:pPr>
        <w:spacing w:after="0" w:line="238" w:lineRule="auto"/>
        <w:rPr>
          <w:sz w:val="20"/>
          <w:szCs w:val="20"/>
          <w:color w:val="auto"/>
        </w:rPr>
      </w:pPr>
      <w:r>
        <w:rPr>
          <w:rFonts w:ascii="Courier New" w:cs="Courier New" w:eastAsia="Courier New" w:hAnsi="Courier New"/>
          <w:sz w:val="18"/>
          <w:szCs w:val="18"/>
          <w:b w:val="1"/>
          <w:bCs w:val="1"/>
          <w:color w:val="auto"/>
        </w:rPr>
        <w:t>May 2, 2003</w:t>
      </w:r>
    </w:p>
    <w:p>
      <w:pPr>
        <w:spacing w:after="0" w:line="202"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b w:val="1"/>
          <w:bCs w:val="1"/>
          <w:color w:val="auto"/>
        </w:rPr>
        <w:t>NN, INC. ACQUIRES SKF'S COMPONENT MANUFACTURING OPERATION</w:t>
      </w:r>
    </w:p>
    <w:p>
      <w:pPr>
        <w:jc w:val="center"/>
        <w:ind w:right="1779"/>
        <w:spacing w:after="0" w:line="238" w:lineRule="auto"/>
        <w:rPr>
          <w:sz w:val="20"/>
          <w:szCs w:val="20"/>
          <w:color w:val="auto"/>
        </w:rPr>
      </w:pPr>
      <w:r>
        <w:rPr>
          <w:rFonts w:ascii="Courier New" w:cs="Courier New" w:eastAsia="Courier New" w:hAnsi="Courier New"/>
          <w:sz w:val="18"/>
          <w:szCs w:val="18"/>
          <w:b w:val="1"/>
          <w:bCs w:val="1"/>
          <w:color w:val="auto"/>
        </w:rPr>
        <w:t>IN VEENENDAAL, THE NETHERLANDS</w:t>
      </w:r>
    </w:p>
    <w:p>
      <w:pPr>
        <w:spacing w:after="0" w:line="200" w:lineRule="exact"/>
        <w:rPr>
          <w:sz w:val="20"/>
          <w:szCs w:val="20"/>
          <w:color w:val="auto"/>
        </w:rPr>
      </w:pP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b w:val="1"/>
          <w:bCs w:val="1"/>
          <w:color w:val="auto"/>
        </w:rPr>
        <w:t xml:space="preserve">Johnson City, Tenn., May 2, 2003 </w:t>
      </w:r>
      <w:r>
        <w:rPr>
          <w:rFonts w:ascii="Courier New" w:cs="Courier New" w:eastAsia="Courier New" w:hAnsi="Courier New"/>
          <w:sz w:val="18"/>
          <w:szCs w:val="18"/>
          <w:color w:val="auto"/>
        </w:rPr>
        <w:t>- NN, Inc. (Nasdaq: NNBR) today announced the</w:t>
      </w:r>
      <w:r>
        <w:rPr>
          <w:rFonts w:ascii="Courier New" w:cs="Courier New" w:eastAsia="Courier New" w:hAnsi="Courier New"/>
          <w:sz w:val="18"/>
          <w:szCs w:val="18"/>
          <w:b w:val="1"/>
          <w:bCs w:val="1"/>
          <w:color w:val="auto"/>
        </w:rPr>
        <w:t xml:space="preserve"> </w:t>
      </w:r>
      <w:r>
        <w:rPr>
          <w:rFonts w:ascii="Courier New" w:cs="Courier New" w:eastAsia="Courier New" w:hAnsi="Courier New"/>
          <w:sz w:val="18"/>
          <w:szCs w:val="18"/>
          <w:color w:val="auto"/>
        </w:rPr>
        <w:t>purchase of SKF Group's tapered roller and metal cage manufacturing operation in Veenendaal, The Netherlands for 22.2 million Euros. SKF has purchased 700,000 new common shares under NN, Inc.'s current shelf registration for an aggregate investment of $6,188,000. The remainder of the purchase price will be financed with borrowings under a new syndicated credit facility.</w:t>
      </w:r>
    </w:p>
    <w:p>
      <w:pPr>
        <w:spacing w:after="0" w:line="210"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Veenendaal operation manufactures rollers for tapered roller bearings as well as metal cages for both tapered and spherical roller bearings, and has approximately 360 employees with annual production at approximately 45.0 million Euros.</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Roderick R. Baty, Chairman and Chief Executive Officer, stated, "We continue to look for excellent opportunities to build upon existing customer relationships and our core manufacturing and service competencies. Both products represent an expansion of our bearing component offering, enabling us to further serve and bring additional value to our global bearing customers. This transaction will also increase our overall consolidated roller business to approximately 16% of total revenues from our current 4% and will be immediately accretive. We estimate the Veenendaal operation will add approximately $0.03 per share to earnings for the balance of 2003."</w:t>
      </w:r>
    </w:p>
    <w:p>
      <w:pPr>
        <w:spacing w:after="0" w:line="214"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NN, Inc. manufactures and supplies high precision bearing components consisting of balls, rollers, seals, and retainers for leading bearing manufacturers on a global basis. In addition, the Company manufactures a variety of other plastic components. NN, Inc. had sales of US $193 million in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212725</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i w:val="1"/>
          <w:iCs w:val="1"/>
          <w:color w:val="auto"/>
        </w:rPr>
        <w:t>The statements concerning additional earnings per share and increases to our consolidated roller business are forward-looking statements and are made pursuant to the safe harbor provisions of the Private Securities Litigation Reform Act of 1995. Forward-looking statements involve a number of risks and uncertainties that may cause actual results to be materially different from such forward-looking statements. Such factors include, among others, general economic conditions and economic conditions in the industrial sector, competitive influences, risks that current customers will commence or increase captive production, risks of capacity underutilization, quality issues, availability of raw materials, currency and other risks associated with international trade, the Company's dependence on certain major customers, and other risk factors and cautionary statements listed from time to time in the Company's periodic reports filed with the Securities and Exchange Commission, including, but not limited to, the Company's Annual Report on 10-K for the fiscal year ended December 31, 2001.</w:t>
      </w:r>
    </w:p>
    <w:sectPr>
      <w:pgSz w:w="11900" w:h="16838" w:orient="portrait"/>
      <w:cols w:equalWidth="0" w:num="1">
        <w:col w:w="10219"/>
      </w:cols>
      <w:pgMar w:left="2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2019-12-14T03:08:46Z</dcterms:created>
  <dcterms:modified xsi:type="dcterms:W3CDTF">2019-12-14T03:08:46Z</dcterms:modified>
</cp:coreProperties>
</file>