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92710</wp:posOffset>
            </wp:positionV>
            <wp:extent cx="26974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7480" cy="571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71120</wp:posOffset>
            </wp:positionV>
            <wp:extent cx="26974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7480" cy="571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December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75565</wp:posOffset>
            </wp:positionV>
            <wp:extent cx="26974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7480" cy="57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121285</wp:posOffset>
            </wp:positionV>
            <wp:extent cx="491490" cy="371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1490" cy="371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ectPr>
          <w:pgSz w:w="11900" w:h="16838" w:orient="portrait"/>
          <w:cols w:equalWidth="0" w:num="1">
            <w:col w:w="11300"/>
          </w:cols>
          <w:pgMar w:left="300" w:top="916" w:right="299" w:bottom="1440" w:gutter="0" w:footer="0" w:header="0"/>
        </w:sectPr>
      </w:pPr>
    </w:p>
    <w:p>
      <w:pPr>
        <w:spacing w:after="0" w:line="55" w:lineRule="exact"/>
        <w:rPr>
          <w:sz w:val="24"/>
          <w:szCs w:val="24"/>
          <w:color w:val="auto"/>
        </w:rPr>
      </w:pPr>
    </w:p>
    <w:tbl>
      <w:tblPr>
        <w:tblLayout w:type="fixed"/>
        <w:tblInd w:w="1340" w:type="dxa"/>
        <w:tblCellMar>
          <w:top w:w="0" w:type="dxa"/>
          <w:left w:w="0" w:type="dxa"/>
          <w:bottom w:w="0" w:type="dxa"/>
          <w:right w:w="0" w:type="dxa"/>
        </w:tblCellMar>
      </w:tblPr>
      <w:tr>
        <w:trPr>
          <w:trHeight w:val="142"/>
        </w:trPr>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960" w:type="dxa"/>
            <w:vAlign w:val="bottom"/>
            <w:gridSpan w:val="3"/>
          </w:tcPr>
          <w:p>
            <w:pPr>
              <w:jc w:val="center"/>
              <w:ind w:left="367"/>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c>
          <w:tcPr>
            <w:tcW w:w="0" w:type="dxa"/>
            <w:vAlign w:val="bottom"/>
          </w:tcPr>
          <w:p>
            <w:pPr>
              <w:spacing w:after="0"/>
              <w:rPr>
                <w:sz w:val="1"/>
                <w:szCs w:val="1"/>
                <w:color w:val="auto"/>
              </w:rPr>
            </w:pPr>
          </w:p>
        </w:tc>
      </w:tr>
      <w:tr>
        <w:trPr>
          <w:trHeight w:val="58"/>
        </w:trPr>
        <w:tc>
          <w:tcPr>
            <w:tcW w:w="3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240" w:type="dxa"/>
            <w:vAlign w:val="bottom"/>
            <w:gridSpan w:val="2"/>
          </w:tcPr>
          <w:p>
            <w:pPr>
              <w:jc w:val="center"/>
              <w:ind w:right="1760"/>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001-39268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20" w:type="dxa"/>
            <w:vAlign w:val="bottom"/>
            <w:gridSpan w:val="3"/>
            <w:vMerge w:val="restart"/>
          </w:tcPr>
          <w:p>
            <w:pPr>
              <w:jc w:val="center"/>
              <w:ind w:right="1360"/>
              <w:spacing w:after="0"/>
              <w:rPr>
                <w:sz w:val="20"/>
                <w:szCs w:val="20"/>
                <w:color w:val="auto"/>
              </w:rPr>
            </w:pPr>
            <w:r>
              <w:rPr>
                <w:rFonts w:ascii="Times New Roman" w:cs="Times New Roman" w:eastAsia="Times New Roman" w:hAnsi="Times New Roman"/>
                <w:sz w:val="11"/>
                <w:szCs w:val="11"/>
                <w:i w:val="1"/>
                <w:iCs w:val="1"/>
                <w:color w:val="auto"/>
                <w:w w:val="97"/>
              </w:rPr>
              <w:t>(State or other jurisdiction of</w:t>
            </w:r>
          </w:p>
        </w:tc>
        <w:tc>
          <w:tcPr>
            <w:tcW w:w="296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0" w:type="dxa"/>
            <w:vAlign w:val="bottom"/>
          </w:tcPr>
          <w:p>
            <w:pPr>
              <w:spacing w:after="0"/>
              <w:rPr>
                <w:sz w:val="1"/>
                <w:szCs w:val="1"/>
                <w:color w:val="auto"/>
              </w:rPr>
            </w:pPr>
          </w:p>
        </w:tc>
      </w:tr>
      <w:tr>
        <w:trPr>
          <w:trHeight w:val="38"/>
        </w:trPr>
        <w:tc>
          <w:tcPr>
            <w:tcW w:w="262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gridSpan w:val="3"/>
          </w:tcPr>
          <w:p>
            <w:pPr>
              <w:jc w:val="center"/>
              <w:ind w:right="1380"/>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3"/>
        </w:trPr>
        <w:tc>
          <w:tcPr>
            <w:tcW w:w="380" w:type="dxa"/>
            <w:vAlign w:val="bottom"/>
          </w:tcPr>
          <w:p>
            <w:pPr>
              <w:spacing w:after="0"/>
              <w:rPr>
                <w:sz w:val="24"/>
                <w:szCs w:val="24"/>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6210 Ardrey Kell Road, Suite 120</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Charlotte, North Carolina</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i w:val="1"/>
                <w:iCs w:val="1"/>
                <w:color w:val="auto"/>
                <w:w w:val="97"/>
              </w:rPr>
              <w:t>(Address of principal executive offices)</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60" w:type="dxa"/>
            <w:vAlign w:val="bottom"/>
            <w:gridSpan w:val="3"/>
          </w:tcPr>
          <w:p>
            <w:pPr>
              <w:jc w:val="center"/>
              <w:ind w:left="347"/>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60" w:type="dxa"/>
            <w:vAlign w:val="bottom"/>
            <w:gridSpan w:val="3"/>
          </w:tcPr>
          <w:p>
            <w:pPr>
              <w:jc w:val="center"/>
              <w:ind w:left="327"/>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960" w:type="dxa"/>
            <w:vAlign w:val="bottom"/>
            <w:gridSpan w:val="3"/>
          </w:tcPr>
          <w:p>
            <w:pPr>
              <w:jc w:val="center"/>
              <w:ind w:left="367"/>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62-1096725</w:t>
      </w:r>
    </w:p>
    <w:p>
      <w:pPr>
        <w:spacing w:after="0" w:line="7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1"/>
          <w:szCs w:val="11"/>
          <w:i w:val="1"/>
          <w:iCs w:val="1"/>
          <w:color w:val="auto"/>
        </w:rPr>
        <w:t>(I.R.S. Employer</w:t>
      </w:r>
    </w:p>
    <w:p>
      <w:pPr>
        <w:spacing w:after="0" w:line="14" w:lineRule="exact"/>
        <w:rPr>
          <w:sz w:val="24"/>
          <w:szCs w:val="24"/>
          <w:color w:val="auto"/>
        </w:rPr>
      </w:pPr>
    </w:p>
    <w:p>
      <w:pPr>
        <w:jc w:val="right"/>
        <w:ind w:right="2540"/>
        <w:spacing w:after="0"/>
        <w:rPr>
          <w:sz w:val="20"/>
          <w:szCs w:val="20"/>
          <w:color w:val="auto"/>
        </w:rPr>
      </w:pPr>
      <w:r>
        <w:rPr>
          <w:rFonts w:ascii="Times New Roman" w:cs="Times New Roman" w:eastAsia="Times New Roman" w:hAnsi="Times New Roman"/>
          <w:sz w:val="11"/>
          <w:szCs w:val="11"/>
          <w:i w:val="1"/>
          <w:iCs w:val="1"/>
          <w:color w:val="auto"/>
        </w:rPr>
        <w:t>Identification No.)</w:t>
      </w:r>
    </w:p>
    <w:p>
      <w:pPr>
        <w:spacing w:after="0" w:line="200" w:lineRule="exact"/>
        <w:rPr>
          <w:sz w:val="24"/>
          <w:szCs w:val="24"/>
          <w:color w:val="auto"/>
        </w:rPr>
      </w:pPr>
    </w:p>
    <w:p>
      <w:pPr>
        <w:spacing w:after="0" w:line="308"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1"/>
          <w:szCs w:val="11"/>
          <w:b w:val="1"/>
          <w:bCs w:val="1"/>
          <w:color w:val="auto"/>
        </w:rPr>
        <w:t>28277</w:t>
      </w:r>
    </w:p>
    <w:p>
      <w:pPr>
        <w:spacing w:after="0" w:line="18"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0"/>
          <w:szCs w:val="10"/>
          <w:i w:val="1"/>
          <w:iCs w:val="1"/>
          <w:color w:val="auto"/>
        </w:rPr>
        <w:t>(Zip Code)</w:t>
      </w:r>
    </w:p>
    <w:p>
      <w:pPr>
        <w:spacing w:after="0" w:line="1050" w:lineRule="exact"/>
        <w:rPr>
          <w:sz w:val="24"/>
          <w:szCs w:val="24"/>
          <w:color w:val="auto"/>
        </w:rPr>
      </w:pPr>
    </w:p>
    <w:p>
      <w:pPr>
        <w:sectPr>
          <w:pgSz w:w="11900" w:h="16838" w:orient="portrait"/>
          <w:cols w:equalWidth="0" w:num="2">
            <w:col w:w="6920" w:space="500"/>
            <w:col w:w="3880"/>
          </w:cols>
          <w:pgMar w:left="300" w:top="916" w:right="299" w:bottom="1440" w:gutter="0" w:footer="0" w:header="0"/>
          <w:type w:val="continuous"/>
        </w:sectPr>
      </w:pP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1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3320" w:type="dxa"/>
            <w:vAlign w:val="bottom"/>
          </w:tcPr>
          <w:p>
            <w:pPr>
              <w:spacing w:after="0"/>
              <w:rPr>
                <w:sz w:val="10"/>
                <w:szCs w:val="10"/>
                <w:color w:val="auto"/>
              </w:rPr>
            </w:pPr>
          </w:p>
        </w:tc>
        <w:tc>
          <w:tcPr>
            <w:tcW w:w="382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5"/>
              </w:rPr>
              <w:t>Securities registered pursuant to Section 12(b) of the Act:</w:t>
            </w:r>
          </w:p>
        </w:tc>
        <w:tc>
          <w:tcPr>
            <w:tcW w:w="4160" w:type="dxa"/>
            <w:vAlign w:val="bottom"/>
          </w:tcPr>
          <w:p>
            <w:pPr>
              <w:spacing w:after="0"/>
              <w:rPr>
                <w:sz w:val="10"/>
                <w:szCs w:val="10"/>
                <w:color w:val="auto"/>
              </w:rPr>
            </w:pPr>
          </w:p>
        </w:tc>
      </w:tr>
      <w:tr>
        <w:trPr>
          <w:trHeight w:val="135"/>
        </w:trPr>
        <w:tc>
          <w:tcPr>
            <w:tcW w:w="3320" w:type="dxa"/>
            <w:vAlign w:val="bottom"/>
          </w:tcPr>
          <w:p>
            <w:pPr>
              <w:jc w:val="center"/>
              <w:ind w:left="372"/>
              <w:spacing w:after="0"/>
              <w:rPr>
                <w:sz w:val="20"/>
                <w:szCs w:val="20"/>
                <w:color w:val="auto"/>
              </w:rPr>
            </w:pPr>
            <w:r>
              <w:rPr>
                <w:rFonts w:ascii="Times New Roman" w:cs="Times New Roman" w:eastAsia="Times New Roman" w:hAnsi="Times New Roman"/>
                <w:sz w:val="10"/>
                <w:szCs w:val="10"/>
                <w:i w:val="1"/>
                <w:iCs w:val="1"/>
                <w:color w:val="auto"/>
                <w:w w:val="96"/>
              </w:rPr>
              <w:t>Title of each class</w:t>
            </w:r>
          </w:p>
        </w:tc>
        <w:tc>
          <w:tcPr>
            <w:tcW w:w="3820" w:type="dxa"/>
            <w:vAlign w:val="bottom"/>
          </w:tcPr>
          <w:p>
            <w:pPr>
              <w:jc w:val="center"/>
              <w:ind w:left="52"/>
              <w:spacing w:after="0"/>
              <w:rPr>
                <w:sz w:val="20"/>
                <w:szCs w:val="20"/>
                <w:color w:val="auto"/>
              </w:rPr>
            </w:pPr>
            <w:r>
              <w:rPr>
                <w:rFonts w:ascii="Times New Roman" w:cs="Times New Roman" w:eastAsia="Times New Roman" w:hAnsi="Times New Roman"/>
                <w:sz w:val="10"/>
                <w:szCs w:val="10"/>
                <w:i w:val="1"/>
                <w:iCs w:val="1"/>
                <w:color w:val="auto"/>
                <w:w w:val="95"/>
              </w:rPr>
              <w:t>Trading symbol</w:t>
            </w:r>
          </w:p>
        </w:tc>
        <w:tc>
          <w:tcPr>
            <w:tcW w:w="4160" w:type="dxa"/>
            <w:vAlign w:val="bottom"/>
          </w:tcPr>
          <w:p>
            <w:pPr>
              <w:jc w:val="center"/>
              <w:ind w:right="1012"/>
              <w:spacing w:after="0"/>
              <w:rPr>
                <w:sz w:val="20"/>
                <w:szCs w:val="20"/>
                <w:color w:val="auto"/>
              </w:rPr>
            </w:pPr>
            <w:r>
              <w:rPr>
                <w:rFonts w:ascii="Times New Roman" w:cs="Times New Roman" w:eastAsia="Times New Roman" w:hAnsi="Times New Roman"/>
                <w:sz w:val="10"/>
                <w:szCs w:val="10"/>
                <w:i w:val="1"/>
                <w:iCs w:val="1"/>
                <w:color w:val="auto"/>
                <w:w w:val="95"/>
              </w:rPr>
              <w:t>Name of each exchange on which registered</w:t>
            </w:r>
          </w:p>
        </w:tc>
      </w:tr>
      <w:tr>
        <w:trPr>
          <w:trHeight w:val="135"/>
        </w:trPr>
        <w:tc>
          <w:tcPr>
            <w:tcW w:w="332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Common Stock, par value $0.01</w:t>
            </w:r>
          </w:p>
        </w:tc>
        <w:tc>
          <w:tcPr>
            <w:tcW w:w="382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8"/>
              </w:rPr>
              <w:t>NNBR</w:t>
            </w:r>
          </w:p>
        </w:tc>
        <w:tc>
          <w:tcPr>
            <w:tcW w:w="4160" w:type="dxa"/>
            <w:vAlign w:val="bottom"/>
          </w:tcPr>
          <w:p>
            <w:pPr>
              <w:jc w:val="center"/>
              <w:ind w:right="1012"/>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r>
        <w:trPr>
          <w:trHeight w:val="647"/>
        </w:trPr>
        <w:tc>
          <w:tcPr>
            <w:tcW w:w="3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r>
      <w:tr>
        <w:trPr>
          <w:trHeight w:val="111"/>
        </w:trPr>
        <w:tc>
          <w:tcPr>
            <w:tcW w:w="33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6" w:right="299" w:bottom="1440" w:gutter="0" w:footer="0" w:header="0"/>
          <w:type w:val="continuous"/>
        </w:sectPr>
      </w:pPr>
    </w:p>
    <w:bookmarkStart w:id="1" w:name="page2"/>
    <w:bookmarkEnd w:id="1"/>
    <w:p>
      <w:pPr>
        <w:ind w:right="60"/>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600"/>
        <w:spacing w:after="0" w:line="138" w:lineRule="exact"/>
        <w:tabs>
          <w:tab w:leader="none" w:pos="1106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34" w:lineRule="exact"/>
        <w:rPr>
          <w:sz w:val="20"/>
          <w:szCs w:val="20"/>
          <w:color w:val="auto"/>
        </w:rPr>
      </w:pPr>
    </w:p>
    <w:p>
      <w:pPr>
        <w:spacing w:after="0" w:line="13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490855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394970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412115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69" w:right="39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64" w:lineRule="exact"/>
        <w:rPr>
          <w:sz w:val="20"/>
          <w:szCs w:val="20"/>
          <w:color w:val="auto"/>
        </w:rPr>
      </w:pPr>
    </w:p>
    <w:p>
      <w:pPr>
        <w:ind w:right="20" w:firstLine="432"/>
        <w:spacing w:after="0" w:line="296" w:lineRule="auto"/>
        <w:rPr>
          <w:sz w:val="20"/>
          <w:szCs w:val="20"/>
          <w:color w:val="auto"/>
        </w:rPr>
      </w:pPr>
      <w:r>
        <w:rPr>
          <w:rFonts w:ascii="Times New Roman" w:cs="Times New Roman" w:eastAsia="Times New Roman" w:hAnsi="Times New Roman"/>
          <w:sz w:val="12"/>
          <w:szCs w:val="12"/>
          <w:color w:val="auto"/>
        </w:rPr>
        <w:t>NN, Inc., a Delaware corporation (the “Company”), will present at the Noble Capital Markets' Twenty First Annual Emerging Growth Equity Conference (the “Conference”) on December 3, 2025. The Company posted an investor presentation on the "Investor Relations" page of the Company's website at https://investors.nninc.com, which will be presented at the Conference, may be used with investors from time to time, and is included as Exhibit 99.1 to this Current Report.</w:t>
      </w:r>
    </w:p>
    <w:p>
      <w:pPr>
        <w:spacing w:after="0" w:line="128" w:lineRule="exact"/>
        <w:rPr>
          <w:sz w:val="20"/>
          <w:szCs w:val="20"/>
          <w:color w:val="auto"/>
        </w:rPr>
      </w:pPr>
    </w:p>
    <w:p>
      <w:pPr>
        <w:jc w:val="both"/>
        <w:ind w:right="40" w:firstLine="432"/>
        <w:spacing w:after="0" w:line="288"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133" w:lineRule="exact"/>
        <w:rPr>
          <w:sz w:val="20"/>
          <w:szCs w:val="20"/>
          <w:color w:val="auto"/>
        </w:rPr>
      </w:pPr>
    </w:p>
    <w:p>
      <w:pPr>
        <w:jc w:val="both"/>
        <w:ind w:right="40" w:firstLine="432"/>
        <w:spacing w:after="0" w:line="311" w:lineRule="auto"/>
        <w:rPr>
          <w:sz w:val="20"/>
          <w:szCs w:val="20"/>
          <w:color w:val="auto"/>
        </w:rPr>
      </w:pPr>
      <w:r>
        <w:rPr>
          <w:rFonts w:ascii="Times New Roman" w:cs="Times New Roman" w:eastAsia="Times New Roman" w:hAnsi="Times New Roman"/>
          <w:sz w:val="12"/>
          <w:szCs w:val="12"/>
          <w:color w:val="auto"/>
        </w:rPr>
        <w:t>The Company routinely uses its investor relations website (https://investors.nninc.com)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3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62"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No.</w:t>
            </w:r>
          </w:p>
        </w:tc>
        <w:tc>
          <w:tcPr>
            <w:tcW w:w="2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40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20"/>
        </w:trPr>
        <w:tc>
          <w:tcPr>
            <w:tcW w:w="5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060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0000FF"/>
              </w:rPr>
              <w:t>Investor Presentation, dated December 2025</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125"/>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December 1, 2025</w:t>
      </w:r>
    </w:p>
    <w:p>
      <w:pPr>
        <w:spacing w:after="0" w:line="308" w:lineRule="exact"/>
        <w:rPr>
          <w:sz w:val="20"/>
          <w:szCs w:val="20"/>
          <w:color w:val="auto"/>
        </w:rPr>
      </w:pPr>
    </w:p>
    <w:tbl>
      <w:tblPr>
        <w:tblLayout w:type="fixed"/>
        <w:tblInd w:w="546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4820" w:type="dxa"/>
            <w:vAlign w:val="bottom"/>
          </w:tcPr>
          <w:p>
            <w:pPr>
              <w:spacing w:after="0"/>
              <w:rPr>
                <w:sz w:val="13"/>
                <w:szCs w:val="13"/>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0"/>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55"/>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11300"/>
          </w:cols>
          <w:pgMar w:left="300" w:top="809"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2025-12-02T05:43:16Z</dcterms:created>
  <dcterms:modified xsi:type="dcterms:W3CDTF">2025-12-02T05:43:16Z</dcterms:modified>
</cp:coreProperties>
</file>