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502285</wp:posOffset>
            </wp:positionV>
            <wp:extent cx="626110"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2"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820" w:space="720"/>
            <w:col w:w="2900" w:space="720"/>
            <w:col w:w="1660"/>
          </w:cols>
          <w:pgMar w:left="240" w:top="362" w:right="8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780"/>
          </w:cols>
          <w:pgMar w:left="240" w:top="362" w:right="839" w:bottom="1440" w:gutter="0" w:footer="0" w:header="0"/>
          <w:type w:val="continuous"/>
        </w:sectPr>
      </w:pPr>
    </w:p>
    <w:p>
      <w:pPr>
        <w:spacing w:after="0" w:line="2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37604</w:t>
      </w:r>
    </w:p>
    <w:p>
      <w:pPr>
        <w:spacing w:after="0" w:line="43" w:lineRule="exact"/>
        <w:rPr>
          <w:sz w:val="24"/>
          <w:szCs w:val="24"/>
          <w:color w:val="auto"/>
        </w:rPr>
      </w:pPr>
    </w:p>
    <w:p>
      <w:pPr>
        <w:sectPr>
          <w:pgSz w:w="11900" w:h="16838" w:orient="portrait"/>
          <w:cols w:equalWidth="0" w:num="2">
            <w:col w:w="7680" w:space="720"/>
            <w:col w:w="2420"/>
          </w:cols>
          <w:pgMar w:left="240" w:top="362" w:right="8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580" w:space="720"/>
            <w:col w:w="2520"/>
          </w:cols>
          <w:pgMar w:left="240" w:top="362" w:right="839" w:bottom="1440" w:gutter="0" w:footer="0" w:header="0"/>
          <w:type w:val="continuous"/>
        </w:sect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(423) 743-9151</w:t>
      </w:r>
    </w:p>
    <w:p>
      <w:pPr>
        <w:spacing w:after="0" w:line="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2" w:right="8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22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On August 29, 2014, NN, Inc., a Delaware corporation (“NN”), completed the previously announced merger contemplated by that certain Agreement and Plan of Merger (the “Merger Agreement”) by and among NN, PMC Global Acquisition Corporation, a Michigan corporation and a wholly owned subsidiary of NN (“Merger Sub”), Autocam Corporation, a Michigan corporation (“Autocam”), Newport Global Advisors, L.P., a Delaware limited partnership, solely in its capacity as a shareholder representative (“Newport”), and John C. Kennedy (“Kennedy”). The events described in this Current Report on Form 8-K (this “Report”) occurred in connection with the consummation of the merger of Merger Sub with and into Autocam (the “Merger”).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Facility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August 29, 2014, NN entered into a term loan credit agreement with Bank of America, N.A., as administrative agent (“BofA”), and the several lenders from time to time a party thereto, with KeyBank National Association, as syndication agent (“KeyBank”), and Merrill Lynch, Pierce, Fenner &amp; Smith Incorporated and KeyBank, as joint lead arrangers and joint bookrunners (the “Term Loan Facility”). The Term Loan Facility provides for a $350 million senior secured term loan to NN, the proceeds of which were used to (i) finance, in part, the acquisition of Autocam; (ii) refinance existing indebtedness of NN and its subsidiaries and Autocam and its subsidiaries; and (iii) pay fees and expenses. To the extent any funds are remaining, the Term Loan Facility may be used to fund NN’s working capital and other general corporate purposes.</w:t>
      </w:r>
    </w:p>
    <w:p>
      <w:pPr>
        <w:spacing w:after="0" w:line="18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Term Loan Facility will mature, and all amounts then outstanding thereunder will be payable, on August 29, 2021. The interest rates per annum applicable to the Term Loan Facility will be LIBOR plus the Applicable Margin (defined below) or, at the option of NN, the Base Rate (defined below) plus the Applicable Margin. At no time shall the LIBOR rate used to calculate the interest rates applicable to the initial term loan be less than 1.00% per annum. “Applicable Margin” means (i) 5.00% per annum, in the case of LIBOR loans, and (ii) 4.00% per annum, in the case of Base Rate loans. “Base Rate” means the highest of (a) the Federal Funds Rate plus 1/2 of 1%; (b) the BofA prime rate; and (c) LIBOR plus 1.00%. Amounts advanced under the Term Loan Facility were issued with a 1.5% original issue discount.</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Term Loan Facility provides that, subject to certain conditions, NN may request, at any time and from time to time, the establishment of one or more additional term loan facilities, the aggregate principal amount of which may not exceed $50 million, each of which will become a part of the Term Loan Facility.</w:t>
      </w:r>
    </w:p>
    <w:p>
      <w:pPr>
        <w:spacing w:after="0" w:line="176"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NN’s obligations under the Term Loan Facility are guaranteed by each of NN’s existing and future domestic subsidiaries (other than certain inactive and immaterial subsidiaries). Pursuant to the terms of the Term Loan Facility, the obligations of NN are secured by a perfected second-priority security interest in the ABL Priority Collateral (defined below) and a perfected first-priority pledge of the Term Priority Collateral (defined below), in each case, subject to permitted liens and customary exceptions.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“ABL Priority Collateral” includes all of the current assets of NN and NN’s existing and future domestic subsidiaries, including inventory, accounts receivable, deposit and securities accounts, insurance proceeds, letters of credit and letter of credit rights, commercial tort claims, chattel paper, insurance and supporting obligations (the “Current Assets”). “Term Priority Collateral” includes but is not limited to (i) a perfected pledge of 100% of the capital stock of each direct subsidiary held by NN or any of NN’s existing and future domestic subsidiaries, and 65% of the capital stock of each first tier foreign subsidiary,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6" w:right="259" w:bottom="1440" w:gutter="0" w:footer="0" w:header="0"/>
        </w:sectPr>
      </w:pPr>
    </w:p>
    <w:bookmarkStart w:id="2" w:name="page3"/>
    <w:bookmarkEnd w:id="2"/>
    <w:p>
      <w:pPr>
        <w:ind w:right="80" w:firstLine="8"/>
        <w:spacing w:after="0" w:line="28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perfected security interests in, and mortgages on, domestic equipment, material domestic real property owned in fee simple, material domestic leased real property, domestic intellectual property, and intercompany notes in favor of NN or NN’s domestic subsidiaries.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Term Loan Facility contains certain mandatory prepayments, representations and warranties, affirmative covenants, negative covenants and conditions that are customarily required for similar financings. The Term Loan Facility also contains customary events of default including, but not limited to, the failure to make payments of interest or principal under the Term Loan Facility, the failure to comply with certain covenants and agreements specified in the Term Loan Facility for a period of time after notice has been provided, the breach of any representation or warranty, the failure to pay principal on certain other indebtedness, and bankruptcy and insolvency. If any event of default occurs, the principal, interest, and any other monetary obligation on all the then outstanding amounts under the Term Loan Facility may become due and payable immediately.</w:t>
      </w:r>
    </w:p>
    <w:p>
      <w:pPr>
        <w:spacing w:after="0" w:line="188"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Term Loan Facility is qualified in its entirety by the Term Loan Facility filed as Exhibit 10.1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On August 29, 2014, NN and its wholly owned subsidiary, NN Netherlands B.V. (“NN Netherlands”), entered into a credit agreement with the several lenders from time to time a party thereto, KeyBank, as the administrative agent, domestic swing line lender, U.S. letter of credit issuer and as a joint lead arranger and joint bookrunner, and BofA, as the syndication agent, joint lead arranger and joint bookrunner, foreign collateral agent, Dutch swing line lender and Dutch letter of credit issuer (the “ABL Facility”).</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ABL Facility consists of (i) a senior secured domestic revolving credit facility of up to $85 million (the “Domestic ABL Facility”), and (ii) a senior secured foreign revolving credit facility, available in Euros, of up to $15 million (the “Foreign ABL Facility”).</w:t>
      </w:r>
    </w:p>
    <w:p>
      <w:pPr>
        <w:spacing w:after="0" w:line="16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Domestic ABL Facility includes sublimits for the issuance of letters of credit of up to $5 million and swing line loans of up to $8.5 million. The Foreign ABL Facility includes sublimits for the issuance of foreign letters of credit of up to $2 million and swing line loans of up to $3 million. Letters of credit issued under the Domestic ABL Facility and Foreign ABL Facility will expire no later than 364 days after issuance, or 30 days prior to the maturity date for the ABL Facility. Swing line loans under the Domestic ABL Facility and Foreign ABL Facility must be repaid in full within seven days of issuance. Issuance of letters of credit or swing line loans under the Domestic ABL Facility and Foreign ABL Facility, respectively, will reduce availability under the Domestic ABL Facility and Foreign ABL Facility, respectively.</w:t>
      </w:r>
    </w:p>
    <w:p>
      <w:pPr>
        <w:spacing w:after="0" w:line="188"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proceeds of the ABL Facility will be used (i) to finance the ongoing working capital requirements of NN and NN Netherlands, and (ii) for general working capital purposes. Up to $5 million of the proceeds of the ABL Facility are permitted to be used to pay for the original issue discount under the Term Loan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ABL Facility will mature on the earlier of August 29, 2019, or the date that is six months prior to the maturity date of the Term Loan Facility.</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interest rates per annum applicable to the ABL Facility will be equal to LIBOR, the Dutch Base Rate (defined below) or the Base Rate, in each case, plus the Applicable Revolving Loan Margin (defined below). “Dutch Base Rate” means a fluctuating rate per annum as announced from time to time by Bank of America, N.A. as its “base rate” with respect to the applicable currency. The “Applicable Revolving Loan Margin” is based on the average daily availability under the total ABL Facility and ranges from .5% to 1% for Base Rate loans, from 1.5% to 2% for Dutch Base Rate loans and from 1.5% to 2% for LIBOR loans.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3" w:name="page4"/>
    <w:bookmarkEnd w:id="3"/>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ABL Facility may be increased by an uncommitted aggregate amount of up to $50 million. The increase may be applied to either the Domestic ABL Facility or the Foreign ABL Facility; provided, however, that the commitments under the Foreign ABL Facility may not exceed 15% of the total aggregate commitment amount of the ABL Facility.</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NN’s obligations under the ABL Facility are guaranteed by each of NN’s existing and future domestic subsidiaries. Pursuant to the terms of the ABL Facility, the obligations of NN and each of NN’s existing and future domestic subsidiaries are secured by (i) a perfected first-priority lien on, security interest in and pledge of the ABL Priority Collateral, and (ii) a perfected second-priority lien on, security interest in and pledge of, the Term Priorty Collateral, in each case subject to permitted liens and customary exceptions.</w:t>
      </w:r>
    </w:p>
    <w:p>
      <w:pPr>
        <w:spacing w:after="0" w:line="180" w:lineRule="exact"/>
        <w:rPr>
          <w:sz w:val="20"/>
          <w:szCs w:val="20"/>
          <w:color w:val="auto"/>
        </w:rPr>
      </w:pPr>
    </w:p>
    <w:p>
      <w:pPr>
        <w:ind w:right="20" w:firstLine="464"/>
        <w:spacing w:after="0" w:line="256" w:lineRule="auto"/>
        <w:tabs>
          <w:tab w:leader="none" w:pos="7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Netherlands’ obligations under the Foreign ABL Facility are guaranteed by each of NN’s existing and future domestic subsidiaries (other than certain inactive and immaterial subsidiaries) and may be guaranteed by certain of NN’s existing and future foreign subsidiaries. No foreign subsidiaries of NN are guaranteeing NN Netherlands’ obligations under the Foreign ABL Facility as of closing. NN Netherlands’ and each of the foreign guarantors’ (if any) obligations under the Foreign ABL Facility are secured by a perfected first-priority lien on, security interests in and pledge of, the Foreign Collateral (defined below), subject to permitted liens and customary exceptions. The “Foreign Collateral” includes collectively, the Current Assets of NN Netherlands and each of the foreign guarantors (if any).</w:t>
      </w:r>
    </w:p>
    <w:p>
      <w:pPr>
        <w:spacing w:after="0" w:line="188" w:lineRule="exact"/>
        <w:rPr>
          <w:sz w:val="20"/>
          <w:szCs w:val="20"/>
          <w:color w:val="auto"/>
        </w:rPr>
      </w:pPr>
    </w:p>
    <w:p>
      <w:pPr>
        <w:ind w:right="200" w:firstLine="456"/>
        <w:spacing w:after="0" w:line="273" w:lineRule="auto"/>
        <w:rPr>
          <w:sz w:val="20"/>
          <w:szCs w:val="20"/>
          <w:color w:val="auto"/>
        </w:rPr>
      </w:pPr>
      <w:r>
        <w:rPr>
          <w:rFonts w:ascii="Times New Roman" w:cs="Times New Roman" w:eastAsia="Times New Roman" w:hAnsi="Times New Roman"/>
          <w:sz w:val="17"/>
          <w:szCs w:val="17"/>
          <w:color w:val="auto"/>
        </w:rPr>
        <w:t>The ABL Facility contains certain mandatory prepayments, representations and warranties, affirmative covenants, negative covenants, a financial covenant to maintain a fixed charge coverage ratio of less than 1.05 to 1.00, when availability under the ABL Facility is below the lesser of 10% of the borrowing base or 10% of the total credit facility amount, and other terms and provisions that are customarily required for similar financings. The ABL Facility also contains customary events of default including, but not limited to, the failure to make payments of interest or principal under the ABL Facility, the failure to comply with certain covenants and agreements specified in the ABL Facility for a period of time after notice has been provided, the breach of any representation or warranty, the failure to pay principal on certain other indebtedness, and bankruptcy and insolvency. If any event of default occurs, the principal, interest, and any other monetary obligations on all then outstanding amounts under the ABL Facility may become due and payable immediately.</w:t>
      </w:r>
    </w:p>
    <w:p>
      <w:pPr>
        <w:spacing w:after="0" w:line="17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ABL Facility is qualified in its entirety by the ABL Facility filed as Exhibit 10.2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Agreement</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each of NN, Kennedy, Newport and Computershare Trust Company, N.A. (the “Escrow Agent”) entered into an escrow agreement, which became effective on August 29, 2014 (the “Escrow Agreement”). Pursuant to the terms of the Escrow Agreement, NN will deposit 652,174 shares (the “Escrow Shares”) of NN common stock (at a fixed value of $23 per share) with the Escrow Agent to be held in a book-entry position for the benefit of Kennedy (the “Escrow Fund”). The Escrow Shares are available to satisfy any post-closing adjustments to the purchase price as well as indemnification claims made pursuant to the Merger Agreement (in each case, an “Escrow Claim”).</w:t>
      </w:r>
    </w:p>
    <w:p>
      <w:pPr>
        <w:spacing w:after="0" w:line="184"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In the event of an Escrow Claim, Kennedy may elect to pay for such Escrow Claim by making a cash payment or by forfeiting to NN the number of Escrow Shares equal to the value of the Escrow Claim. If Kennedy elects to pay for such Escrow Claim by making a cash payment, the Escrow Agent will release to Kennedy the number of Escrow Shares equal to the value of the Escrow Claim, based on a fixed value of $23</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share. Five business days before the earlier of (i) June 30, 2015, and (ii) three months after Autocam delivers audited financial statements to NN for the fiscal year ended December 31, 2014, the Escrow Agent will release to Kennedy the number of Escrow Shares that, after giving effect to such disbursement, would leave the value of the Escrow Shares remaining in the Escrow Fund at $7,500,000, based on a fixed value of $23 per share. Any Escrow Shares remaining thereafter will be released to Kennedy on August 29, 2016.</w:t>
      </w:r>
    </w:p>
    <w:p>
      <w:pPr>
        <w:spacing w:after="0" w:line="180" w:lineRule="exact"/>
        <w:rPr>
          <w:sz w:val="20"/>
          <w:szCs w:val="20"/>
          <w:color w:val="auto"/>
        </w:rPr>
      </w:pPr>
    </w:p>
    <w:p>
      <w:pPr>
        <w:ind w:right="94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Escrow Agreement is qualified in its entirety by the Escrow Agreement filed as Exhibit 10.3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Agreement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NN, Kennedy and each of the pre-Merger shareholders of Autocam entered into an indemnity agreement, which became effective on August 29, 2014 (the “Indemnity Agreement”). Pursuant to the terms of the Indemnity Agreement, each of the pre-Merger shareholders of Autocam, severally, and not jointly, agreed to indemnify NN for certain losses that may exceed the then-current balance of the Escrow Fund. The Indemnity Agreement also provides that Kennedy has the right to forfeit to NN the number of shares of NN common stock (at a fixed value of $23 per share) equal to his pro rata share of such losses.</w:t>
      </w:r>
    </w:p>
    <w:p>
      <w:pPr>
        <w:spacing w:after="0" w:line="184"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Indemnity Agreement is qualified in its entirety by the Indemnity Agreement filed as Exhibit 10.4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Merger, each of NN and Kennedy entered into a stockholders’ agreement, which became effective on August 29, 2014 (the “Stockholders’ Agreement”). Pursuant to the terms of the Stockholders’ Agreement, Kennedy agreed to not directly or indirectly sell, pledge, assign, encumber or otherwise transfer any Escrow Shares or Registration Shares (defined below) for 180 days following the closing of the Merger (the “Restriction Period”), unless otherwise permitted by NN.</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Restriction Period, Kennedy agreed, among other things, not to: (i) deposit any Escrow Shares, Registration Shares, or any NN shares acquired by Kennedy after the closing of the Merger (collectively, the “Shares”) into a voting trust or enter into a voting agreement; (ii) grant a proxy, consent or power of attorney with respect to the Shares, make any solicitation of proxies to vote, solicit any consent or seek to advise or influence any person with respect to the voting of NN securities or become a participant in any solicitation of proxies that is not approved by the board of directors of NN (the “Board”); or (iii) acquire any additional shares of NN common stock, except by way of stock dividends or other distributions by NN to its stockholders.</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Pursuant to the terms of the Stockholders’ Agreement, Kennedy will have certain demand and piggy-back registration rights with respect to the those shares received in connection with the closing of the Merger that are not subject to the Escrow Agreement (the “Registration Shares”). Under the Stockholders’ Agreement, NN may be required, at Kennedy’s demand, to file a Form S-3 registration statement to register the Registration Shares, provided such offered shares have an anticipated aggregate offering price of at least $2.0 million, net of selling expenses. The Stockholders’ Agreement provides that Kennedy may request one such registration during any twelve month period. The Stockholders’ Agreement also provides for piggy-back registration rights to register the Registration Shares if NN initiates a registered offering of its common stock.</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Stockholders’ Agreement is qualified in its entirety by the Stockholders’ Agreement filed as Exhibit 4.1 to this Report, which is incorporated herein by reference.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 and Nondisclosure Agreement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Merger, NN and Kennedy entered into a noncompetition and nondisclosure agreement, which became effective on August 29, 2014 (the “Noncompetition and Nondisclosure Agreement”). Pursuant to the terms of the Noncompetition and Nondisclosure Agreement, Kennedy agreed, for himself and on behalf of his affiliates, for a period of three years following the closing of the Merger, to not engage in the precision metal components business for the transportation industry. Kennedy is permitted under the Noncompetition and Nondisclosure Agreement to continue engaging in the manufacture and sale of medical devices. Kennedy further agreed not to disclose or improperly use any confidential information concerning NN’s business. Kennedy has also agreed not to solicit or to interfere with NN’s relationship with any of NN’s employees or independent contractors, or to interfere with NN’s relationship with any person or entity with which NN has any contractual or business relationship.</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Noncompetition and Nondisclosure Agreement is qualified in its entirety by the Noncompetition and Nondisclosure Agreement filed as Exhibit 10.5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Autocam and Autocam Medical Devices, LLC, a Michigan limited liability company and former affiliate of Autocam (“Autocam Medical”), entered into a transition services agreement, which became effective on August 29, 2014 (the “Transition Services Agreement”). Pursuant to the terms of the Transition Services Agreement, Autocam agreed to provide Autocam Medical certain sales and marketing, information technology, accounting, finance, corporate management, human resources and other related support services for the twelve month period following the closing of the Merger for a fee of $62,500 per month. Autocam Medical has the option to extend the term of the Transition Services Agreement for an additional twelve month period, with such services being charged as the same rate.</w:t>
      </w:r>
    </w:p>
    <w:p>
      <w:pPr>
        <w:spacing w:after="0" w:line="188"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Transition Services Agreement is qualified in its entirety by the Transition Services Agreement filed as Exhibit 10.6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descriptions of the Merger Agreement, Term Loan Credit Facility, ABL Facility, Escrow Agreement, Indemnity Agreement, Stockholders’ Agreement, Noncompetition and Nondisclosure Agreement and Transition Services Agreement (collectively, the “Transaction Agreements”), and the transactions contemplated thereby, do not purport to be complete and are subject to, and qualified in their entirety by, the full text of Transaction Agreements, which are attached hereto as exhibits and incorporated by reference herein. The Transaction Agreements have been included as exhibits hereto solely to provide investors and security holders with information regarding their terms. The Transaction Agreements are not intended to be a source of financial, business or operational information about NN or its subsidiaries or affiliates. The representations, warranties and covenants contained in the Transaction Agreements are made only for purposes of such agreements and are made as of specific dates; are solely for the benefit of the parties; may be subject to qualifications and limitations agreed upon by the parties in connection with negotiating the terms of the such agreements, including being qualified by confidential disclosures made for the purpose of allocating contractual risk between the parties rather than establishing matters as facts; and may be subject to standards of materiality applicable to the contracting parties that differ from those applicable to investors or security holders. Investors and security holders should not rely on the representations, warranties and covenants or any descriptions thereof as characterizations of the actual state of facts or condition of NN or its subsidiaries or affiliates. Moreover, information concerning the subject matter of the representations, warranties and covenants may change after the date of the Transaction Agreements, which subsequent information may or may not be fully reflected in public disclosures.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66"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August 29, 2014, contemporaneously with the execution and delivery of the Term Loan Facility and the ABL Facility, (i) that certain Third Amended and Restated Credit Agreement, dated as of October 26, 2012 (the “Existing Credit Agreement”), by and among NN, the lenders party thereto and KeyBank, as administrative agent, and (ii) that certain Third Amended and Restated Note Purchase and Shelf Agreement, dated as of December 21, 2010 (the “Existing Note Purchase Agreement), by and among NN and certain note purchasers party thereto, were terminated and all amounts outstanding thereunder were repaid. NN will pay approximately $1.7 million as a make-whole interest payment in connection with the termination of the Existing Credit Agreement and the Existing Note Purchase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On August 29, 2014, pursuant to the terms of the Merger Agreement, Merger Sub merged with and into Autocam. As a result of the Merger, the separate corporate existence of Merger Sub ceased and Autocam continued as the surviving corporation of the Merger and as a wholly owned subsidiary of NN.</w:t>
      </w:r>
    </w:p>
    <w:p>
      <w:pPr>
        <w:spacing w:after="0" w:line="176" w:lineRule="exact"/>
        <w:rPr>
          <w:sz w:val="20"/>
          <w:szCs w:val="20"/>
          <w:color w:val="auto"/>
        </w:rPr>
      </w:pPr>
    </w:p>
    <w:p>
      <w:pPr>
        <w:ind w:firstLine="464"/>
        <w:spacing w:after="0" w:line="282" w:lineRule="auto"/>
        <w:tabs>
          <w:tab w:leader="none" w:pos="7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Autocam for an aggregate purchase price of $300.0 million, consisting of $245.2 million in cash, $25.0 million of NN common stock (at a fixed value of $23 per share), and the assumption of $29.8 million of indebtedness.</w:t>
      </w:r>
    </w:p>
    <w:p>
      <w:pPr>
        <w:spacing w:after="0" w:line="266"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disclosure provided under Item 1.01 of this Report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previously reported in NN’s Current Report on Form 8-K filed with the Securities and Exchange Commission (the “SEC”) on July 22, 2014, NN issued 1,086,956 shares of its common stock (at a fixed value of $23 per share) to Kennedy (the “Merger Shares”) in connection with the closing of the Merger and as a portion of the Merger consideration payable to Kennedy. The Merger Shares were issued on August 29, 2014 pursuant to the exemption from registration provided in Section 4(a)(2) of the Securities Act of 1933, as amended, as a transaction not involving a public offering.</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ELECTION OF DIRECTORS; APPOINTMENT OF CERTAIN OFFICERS; COMPENSATORY ARRANGEMENTS OF CERTAIN OFFICERS</w:t>
      </w:r>
    </w:p>
    <w:p>
      <w:pPr>
        <w:spacing w:after="0" w:line="5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Following the closing of the Merger and after giving effect to the By-law Amendment (defined below) on August 29, 2014, the Board appointed John C. Kennedy to the Board as a Class I director. The appointment of Mr. Kennedy was contemplated by and made in accordance with the Merger Agreement. Mr. Kennedy will serve on the Board’s Governance Committee.</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Mr. Kennedy, 56, served as the Chief Executive Officer of Autocam from 1988 until the closing of the Merger. Mr. Kennedy currently serves as director, President and Chief Executive Officer of Autocam Medical, a privately held contract medical device manufacturer and former affiliate of Autocam. Mr. Kennedy also serves on a number of private for-profit and non-profit boards, including Lacks Enterprises, a privately held automotive trim component manufacturer, the Van Andel Institute, a nonprofit medical research institute, and Grand Valley State University Board of Trustees. Mr. Kennedy brings to the Board expertise in the industrial and manufacturing sectors, and extensive experience in leadership and management of large multinational corporations and in mergers and acquisitions.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66" w:right="279"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director of NN, Mr. Kennedy will be entitled to the same general compensation arrangement as is provided to the other non-employee directors of</w:t>
      </w:r>
    </w:p>
    <w:p>
      <w:pPr>
        <w:spacing w:after="0" w:line="27" w:lineRule="exact"/>
        <w:rPr>
          <w:sz w:val="20"/>
          <w:szCs w:val="20"/>
          <w:color w:val="auto"/>
        </w:rPr>
      </w:pPr>
    </w:p>
    <w:p>
      <w:pPr>
        <w:ind w:right="40" w:firstLine="8"/>
        <w:spacing w:after="0" w:line="261" w:lineRule="auto"/>
        <w:tabs>
          <w:tab w:leader="none" w:pos="3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this arrangement is contained under the heading “Compensation of Directors” in NN’s definitive proxy statement filed with the SEC on April 4, 2014, and is incorporated herein by reference.</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consideration for Kennedy’s interest in Autocam, Mr. Kennedy received the Merger Shares and cash proceeds of approximately $106.6 million. Additionally, Rising Tide, LLC, a limited liability company owned by certain immediate family members of Mr. Kennedy, received cash proceeds of approximately $19.5 million in respect of its ownership interest in Autocam. In connection with the closing of the Merger, Mr. Kennedy and NN entered into the Escrow Agreement, the Indemnity Agreement and the Stockholders’ Agreement, each of which are described in Item 1.01 of this Report. Pursuant to the terms of the Escrow Agreement and Indemnity Agreement, Mr. Kennedy may be required to forfeit shares of NN common stock owned by him (or cash in lieu of stock) to satisfy certain post-closing adjustments to the purchase price or Escrow Claims made pursuant to the Merger Agreement. Pursuant to the terms of the Stockholders’ Agreement, shares of NN common stock owned by Mr. Kennedy are subject to certain restrictions and registration rights.</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closing of the Merger, Autocam and Autocam Medical entered into the Transition Services Agreement, which is described in Item 1.01 of this Report. Mr. Kennedy owns a controlling interest in Autocam Medical in addition to serving as a director and its President and Chief Executive Officer. Pursuant to the terms of the Transition Services Agreement, Autocam will be providing certain transition services to Autocam Medical for the twelve month period following the closing of the Merger in consideration for monthly payments of $62,500, subject to Autocam Medical’s right to extend the term of the Transition Services Agreement for an additional twelve month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CHANGES IN FISCAL YEAR</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August 29, 2014, the Board approved an amendment to NN’s Restated By-laws to provide for the Board to increase the size of the Board by resolution, and to authorize members of the Board to consent to actions taken by the Board without a meeting through means of an electronic transmission (the “By-law Amendment”). The By-law Amendment became effective as of the closing of the Merger, and the size of the Board was increased from seven to eight directors.</w:t>
      </w:r>
    </w:p>
    <w:p>
      <w:pPr>
        <w:spacing w:after="0" w:line="180"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The description of the By-law Amendment is qualified in its entirety by the By-law Amendment filed as Exhibit 3.1 to this Report,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September 2, 2014, NN issued a press release announcing the closing of the Merger. A copy of the press release is filed as Exhibit 99.1 to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Businesses Acquired</w:t>
      </w:r>
    </w:p>
    <w:p>
      <w:pPr>
        <w:spacing w:after="0" w:line="11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Financial statements of the business acquired will be filed by amendment to this Report no later than 71 days following the date that this Report is required to be filed.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 forma financial information will be filed by amendment to this Report no later than 71 days following the date that this Report is required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27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0" w:type="dxa"/>
            <w:vAlign w:val="bottom"/>
            <w:vMerge w:val="restart"/>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w:t>
            </w:r>
          </w:p>
        </w:tc>
        <w:tc>
          <w:tcPr>
            <w:tcW w:w="54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Agreement and Plan of Merger, dated as of July 18, 2014, by and among NN, Inc., PMC Global Acquisition Corporation, Autocam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Corporation, Newport Global Advisors, L.P., and John C. Kennedy (incorporated by reference to Exhibit 2.1 to NN, Inc.’s Current Report on</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July 22, 2014).</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Amendment to the Restated By-Laws of NN,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Stockholders’ Agreement, effective as of August 29, 2014, by and between NN, Inc. and John C. Kennedy.</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Term Loan Credit Agreement, dated as of August 29, 2014, by and among NN, Inc., Bank of America, N.A., the several lenders from time to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time a party thereto, KeyBank National Association, as syndication agent, and Merrill Lynch, Pierce, Fenner &amp; Smith Incorporated and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KeyBank National Association as joint lead arrangers and joint bookrunners.</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10.2</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Credit Agreement, dated as of August 29, 2014, by and among NN, Inc., NN Netherlands B.V., the several lenders from time to time a party</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thereto, KeyBank National Association, and Bank of America, N.A.</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10.3</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Escrow Agreement, effective as of August 29, 2014, by and among NN, Inc., Newport Global Advisors, L.P., John C. Kennedy and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Computershare Trust Company, N.A.</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10.4</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Indemnity Agreement, effective as of August 29, 2014, by and among NN, Inc. and each of the shareholders of Autocam Corporation identified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therein.</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10.5</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Noncompetition and Nondisclosure Agreement, effective as of August 29, 2014, by and between NN, Inc. and John C. Kennedy.</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10.6</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Transition Services Agreement, effective as of August 29, 2014, by and among Autocam Corporation and Autocam Medical Devices,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99.1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Press Release of NN, Inc., dated September 2, 2014.</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4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8" w:right="279" w:bottom="1440" w:gutter="0" w:footer="0" w:header="0"/>
        </w:sectPr>
      </w:pP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Date: September 2, 2014</w:t>
      </w:r>
      <w:r>
        <w:rPr>
          <w:sz w:val="20"/>
          <w:szCs w:val="20"/>
          <w:color w:val="auto"/>
        </w:rPr>
        <w:tab/>
      </w: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William C. Kelly, Jr.</w:t>
      </w:r>
    </w:p>
    <w:p>
      <w:pPr>
        <w:spacing w:after="0" w:line="27" w:lineRule="exact"/>
        <w:rPr>
          <w:sz w:val="20"/>
          <w:szCs w:val="20"/>
          <w:color w:val="auto"/>
        </w:rPr>
      </w:pPr>
    </w:p>
    <w:p>
      <w:pPr>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 and Chief Administrative Officer</w:t>
      </w:r>
    </w:p>
    <w:p>
      <w:pPr>
        <w:sectPr>
          <w:pgSz w:w="11900" w:h="16838" w:orient="portrait"/>
          <w:cols w:equalWidth="0" w:num="1">
            <w:col w:w="11220"/>
          </w:cols>
          <w:pgMar w:left="240" w:top="266"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0920" w:type="dxa"/>
            <w:vAlign w:val="bottom"/>
            <w:gridSpan w:val="3"/>
          </w:tcPr>
          <w:p>
            <w:pPr>
              <w:ind w:left="4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No.</w:t>
            </w:r>
          </w:p>
        </w:tc>
        <w:tc>
          <w:tcPr>
            <w:tcW w:w="54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Agreement and Plan of Merger, dated as of July 18, 2014, by and among NN, Inc., PMC Global Acquisition Corporation, Autocam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Corporation, Newport Global Advisors, L.P., and John C. Kennedy (incorporated by reference to Exhibit 2.1 to NN, Inc.’s Current Report on</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July 22, 2014).</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Amendment to the Restated By-Laws of NN,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Stockholders’ Agreement, effective as of August 29, 2014, by and between NN, Inc. and John C. Kennedy.</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Term Loan Credit Agreement, dated as of August 29, 2014, by and among NN, Inc., Bank of America, N.A., the several lenders from time to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time a party thereto, KeyBank National Association, as syndication agent, and Merrill Lynch, Pierce, Fenner &amp; Smith Incorporated and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KeyBank National Association as joint lead arrangers and joint bookrunners.</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10.2</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Credit Agreement, dated as of August 29, 2014, by and among NN, Inc., NN Netherlands B.V., the several lenders from time to time a party</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thereto, KeyBank National Association, and Bank of America, N.A.</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10.3</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Escrow Agreement, effective as of August 29, 2014, by and among NN, Inc., Newport Global Advisors, L.P., John C. Kennedy and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Computershare Trust Company, N.A.</w:t>
            </w:r>
          </w:p>
        </w:tc>
        <w:tc>
          <w:tcPr>
            <w:tcW w:w="0" w:type="dxa"/>
            <w:vAlign w:val="bottom"/>
          </w:tcPr>
          <w:p>
            <w:pPr>
              <w:spacing w:after="0"/>
              <w:rPr>
                <w:sz w:val="1"/>
                <w:szCs w:val="1"/>
                <w:color w:val="auto"/>
              </w:rPr>
            </w:pPr>
          </w:p>
        </w:tc>
      </w:tr>
      <w:tr>
        <w:trPr>
          <w:trHeight w:val="306"/>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10.4</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Indemnity Agreement, effective as of August 29, 2014, by and among NN, Inc. and each of the shareholders of Autocam Corporation identified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therein.</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10.5</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Noncompetition and Nondisclosure Agreement, effective as of August 29, 2014, by and between NN, Inc. and John C. Kennedy.</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10.6</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Transition Services Agreement, effective as of August 29, 2014, by and among Autocam Corporation and Autocam Medical Devices,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99.1</w:t>
            </w:r>
          </w:p>
        </w:tc>
        <w:tc>
          <w:tcPr>
            <w:tcW w:w="10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Press Release of NN, Inc., dated September 2, 2014.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66"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Effective: August 29, 2014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Restated By-Laws of NN, Inc., as amended, are further amended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Article III, Section 2 of the Corporation’s By-Laws be, and it hereby is, amended to read in its entirety as follows:</w:t>
      </w:r>
    </w:p>
    <w:p>
      <w:pPr>
        <w:spacing w:after="0" w:line="117" w:lineRule="exact"/>
        <w:rPr>
          <w:sz w:val="20"/>
          <w:szCs w:val="20"/>
          <w:color w:val="auto"/>
        </w:rPr>
      </w:pPr>
    </w:p>
    <w:p>
      <w:pPr>
        <w:ind w:left="460" w:right="20" w:firstLine="438"/>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The number of directors which shall constitute the first Board shall be the number elected by the Incorporator. Subject to the rights of the holders of any series of Preferred Stock to elect directors under specified circumstances, the number of directors which shall constitute all subsequent boards shall be fixed from time to time exclusively pursuant to a resolution adopted by a majority of the Whole Board, but shall consist of not less than three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 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Article III, Section 10 of the Corporation’s By-Laws be, and it hereby is, amended to read in its entirety as follows:</w:t>
      </w:r>
    </w:p>
    <w:p>
      <w:pPr>
        <w:spacing w:after="0" w:line="117" w:lineRule="exact"/>
        <w:rPr>
          <w:sz w:val="20"/>
          <w:szCs w:val="20"/>
          <w:color w:val="auto"/>
        </w:rPr>
      </w:pPr>
    </w:p>
    <w:p>
      <w:pPr>
        <w:jc w:val="both"/>
        <w:ind w:left="460" w:right="120" w:firstLine="43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Action by Consent of Board of Directors</w:t>
      </w:r>
      <w:r>
        <w:rPr>
          <w:rFonts w:ascii="Times New Roman" w:cs="Times New Roman" w:eastAsia="Times New Roman" w:hAnsi="Times New Roman"/>
          <w:sz w:val="18"/>
          <w:szCs w:val="18"/>
          <w:color w:val="auto"/>
        </w:rPr>
        <w:t>. Any action required or permitted to be taken at any meeting of the Board of Directors or of any committee thereof may be taken without a meeting if all members of the Board or committee, as the case may be, consent thereto in writing or electronic transmission, and the writings or electronic transmissions are filed with the minutes of proceedings of the Board or committee.”</w:t>
      </w:r>
    </w:p>
    <w:p>
      <w:pPr>
        <w:sectPr>
          <w:pgSz w:w="11900" w:h="16838" w:orient="portrait"/>
          <w:cols w:equalWidth="0" w:num="1">
            <w:col w:w="11420"/>
          </w:cols>
          <w:pgMar w:left="240" w:top="117"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STOCKHOLDERS’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July 18, 2014, by and between NN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John C. Kennedy (“</w:t>
      </w:r>
      <w:r>
        <w:rPr>
          <w:rFonts w:ascii="Times New Roman" w:cs="Times New Roman" w:eastAsia="Times New Roman" w:hAnsi="Times New Roman"/>
          <w:sz w:val="18"/>
          <w:szCs w:val="18"/>
          <w:b w:val="1"/>
          <w:bCs w:val="1"/>
          <w:color w:val="auto"/>
        </w:rPr>
        <w:t>Kennedy</w:t>
      </w:r>
      <w:r>
        <w:rPr>
          <w:rFonts w:ascii="Times New Roman" w:cs="Times New Roman" w:eastAsia="Times New Roman" w:hAnsi="Times New Roman"/>
          <w:sz w:val="18"/>
          <w:szCs w:val="18"/>
          <w:color w:val="auto"/>
        </w:rPr>
        <w:t>”). The Company and Kennedy are each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a party to an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dated July 18, 2014, by and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PMC Global Acquisition Corporation, a Michigan corporation and a wholly owned subsidiary of the Company, Autocam Corporation, a Michigan corporation (“</w:t>
      </w:r>
      <w:r>
        <w:rPr>
          <w:rFonts w:ascii="Times New Roman" w:cs="Times New Roman" w:eastAsia="Times New Roman" w:hAnsi="Times New Roman"/>
          <w:sz w:val="18"/>
          <w:szCs w:val="18"/>
          <w:b w:val="1"/>
          <w:bCs w:val="1"/>
          <w:color w:val="auto"/>
        </w:rPr>
        <w:t>Autocam</w:t>
      </w:r>
      <w:r>
        <w:rPr>
          <w:rFonts w:ascii="Times New Roman" w:cs="Times New Roman" w:eastAsia="Times New Roman" w:hAnsi="Times New Roman"/>
          <w:sz w:val="18"/>
          <w:szCs w:val="18"/>
          <w:color w:val="auto"/>
        </w:rPr>
        <w:t>”), Kennedy and certain other parties;</w:t>
      </w:r>
    </w:p>
    <w:p>
      <w:pPr>
        <w:spacing w:after="0" w:line="171"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 with the closing of the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contemplated by the Merger Agreement and as consideration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Kennedy will receive shares of common stock, par value $.01 per share, of the Company;</w:t>
      </w:r>
    </w:p>
    <w:p>
      <w:pPr>
        <w:spacing w:after="0" w:line="15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Shares will be held in escrow pursuant to the terms of the Merger Agreement and an escrow agreement entered into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Merger Agreement (the “Escrow Agreement”);</w:t>
      </w:r>
    </w:p>
    <w:p>
      <w:pPr>
        <w:spacing w:after="0" w:line="155"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Kennedy hereby agree that, upon Closing this Agreement shall govern certain rights and obligations of Kennedy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Shares, and the other matters as set forth herein.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w:t>
      </w:r>
    </w:p>
    <w:p>
      <w:pPr>
        <w:spacing w:after="0" w:line="374"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w:t>
      </w:r>
    </w:p>
    <w:p>
      <w:pPr>
        <w:spacing w:after="0" w:line="117" w:lineRule="exact"/>
        <w:rPr>
          <w:sz w:val="20"/>
          <w:szCs w:val="20"/>
          <w:color w:val="auto"/>
        </w:rPr>
      </w:pPr>
    </w:p>
    <w:p>
      <w:pPr>
        <w:ind w:right="320" w:firstLine="913"/>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w:t>
      </w:r>
    </w:p>
    <w:p>
      <w:pPr>
        <w:spacing w:after="0" w:line="155" w:lineRule="exact"/>
        <w:rPr>
          <w:sz w:val="20"/>
          <w:szCs w:val="20"/>
          <w:color w:val="auto"/>
        </w:rPr>
      </w:pPr>
    </w:p>
    <w:p>
      <w:pPr>
        <w:ind w:right="60" w:firstLine="913"/>
        <w:spacing w:after="0" w:line="26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(i) constitutions, statutes, laws, rules, regulations, ordinances, codes or orders of any Governmental Entity, (ii) any consents or approvals of any Governmental Entity, and (iii) any orders, decisions, injunctions, judgments, awards, decrees of or agreements with any Governmental Entity.</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mean the closing of the Merger contemplated by the Merger Agreement and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of Closing.</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 par value $.01 per share.</w:t>
      </w:r>
    </w:p>
    <w:p>
      <w:pPr>
        <w:spacing w:after="0" w:line="225" w:lineRule="exact"/>
        <w:rPr>
          <w:sz w:val="20"/>
          <w:szCs w:val="20"/>
          <w:color w:val="auto"/>
        </w:rPr>
      </w:pPr>
    </w:p>
    <w:p>
      <w:pPr>
        <w:ind w:right="180" w:firstLine="913"/>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or liability (joint or several) to which a party hereto may become subject under the Securities Act, the Exchange Act, or other federal or state law, insofar as such loss, damage, or liability (or any action in respect thereof)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means any Shares held in escrow pursuant to the terms of the Escrow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of the Company pursuant to a stock option, stock purchase or similar plan; (ii) a registration on any form that does not include substantially the same information as would be required to be included in a registration statement covering the sale of the Registrable Securities; or (iii) a registration in which the only Common Stock being registered is Common Stock issuable upon conversion of debt securities that are also being registered.</w:t>
      </w:r>
    </w:p>
    <w:p>
      <w:pPr>
        <w:spacing w:after="0" w:line="177"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55" w:lineRule="exact"/>
        <w:rPr>
          <w:sz w:val="20"/>
          <w:szCs w:val="20"/>
          <w:color w:val="auto"/>
        </w:rPr>
      </w:pPr>
    </w:p>
    <w:p>
      <w:pPr>
        <w:ind w:right="140" w:firstLine="913"/>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federal, state, local or foreign court, legislative, executive or regulatory authority or agency, including any exchange or market upon which the Shares of the Company are listed or traded.</w:t>
      </w:r>
    </w:p>
    <w:p>
      <w:pPr>
        <w:spacing w:after="0" w:line="155" w:lineRule="exact"/>
        <w:rPr>
          <w:sz w:val="20"/>
          <w:szCs w:val="20"/>
          <w:color w:val="auto"/>
        </w:rPr>
      </w:pPr>
    </w:p>
    <w:p>
      <w:pPr>
        <w:ind w:right="40" w:firstLine="913"/>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corporation, limited liability company, association, joint stock company, trust or other entity.</w:t>
      </w:r>
    </w:p>
    <w:p>
      <w:pPr>
        <w:spacing w:after="0" w:line="225"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any Shares held beneficially or of record by Kennedy as of the date of this Agreement, and received in connection with the Merger, excluding, however, (a) the Escrow Shares, (b) any Registrable Securities sold by Kennedy in a transaction in which the applicable rights under this Agreement are not assigned pursuant to Section 5.1 of this Agreement, or (c) any Registrable Securities sold pursuant to Section 3 or in an open market transaction pursuant to SEC Rule 144.</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14" w:name="page15"/>
    <w:bookmarkEnd w:id="14"/>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any and all expenses incident to the performance of or compliance with Section 3 including, without limitation, (i) all SEC and stock exchange or FINRA registration and filing fees, (ii) all fees and expenses of complying with securities of complying with securities or “blue sky” laws (including reasonable fees and disbursements of counsel for the underwriters), (iii) all printing, messenger and delivery expenses, (iv) the fees and disbursements of counsel for the Company and of the Company’s independent public accountants, including the expenses of any special audits or “cold comfort” letters required by or incident to such performance and compliance, (v) the reasonable fees and disbursements of Kennedy’s counsel (including and fees, charges and expenses incurred in connection with any supplements or amendments to a registration statement), (vi) any fees and disbursements of underwriters customarily paid by issuers or sellers of securities and the reasonable fees and expenses of any special experts retained in connection with the requested registration, including any fee payable to a qualified independent underwriter within the meaning of the rules of FINRA, but excluding Selling Expenses, and (vii) internal expenses of the Company (including, without limitation, all salaries and expenses of its officers and employees performing legal or accounting duties).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 as amended.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3" w:lineRule="exact"/>
        <w:rPr>
          <w:sz w:val="20"/>
          <w:szCs w:val="20"/>
          <w:color w:val="auto"/>
        </w:rPr>
      </w:pPr>
    </w:p>
    <w:p>
      <w:pPr>
        <w:ind w:firstLine="913"/>
        <w:spacing w:after="0" w:line="28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any shares of Common Stock or any other equity securities of the Company owned by Kennedy beneficially or of record as of the date hereof or acquired hereinafter.</w:t>
      </w:r>
    </w:p>
    <w:p>
      <w:pPr>
        <w:spacing w:after="0" w:line="303"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Sale and Purchase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Sale and Purchase Restrictions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20" w:firstLine="421"/>
        <w:spacing w:after="0" w:line="256" w:lineRule="auto"/>
        <w:tabs>
          <w:tab w:leader="none" w:pos="15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Kennedy will not directly or indirectly sell, pledge, assign, encumber or otherwise transfer any Escrow Shares or Registrable Securities for a period of 180 days from the Closing Date (the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xml:space="preserve">”). Any such sale or transfer permitted by the Company will be contingent on the transferee agreeing to be bound by the terms of this Agreement and executing a written agreement, substantially in the form of this Agreement. Any transfer or attempted transfer in violation of this Section 2.1(a) shall, to the fullest extent permitted by Applicable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Under no circumstances may Escrow Shares be sold, pledged, assigned, encumbered or otherwise transferred until they are released from escrow pursuant to the terms of the Escrow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6" w:right="259" w:bottom="1440" w:gutter="0" w:footer="0" w:header="0"/>
        </w:sectPr>
      </w:pPr>
    </w:p>
    <w:bookmarkStart w:id="15" w:name="page16"/>
    <w:bookmarkEnd w:id="15"/>
    <w:p>
      <w:pPr>
        <w:ind w:left="920" w:right="80" w:firstLine="421"/>
        <w:spacing w:after="0" w:line="269" w:lineRule="auto"/>
        <w:tabs>
          <w:tab w:leader="none" w:pos="159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Restriction Period, Kennedy shall not: (i) deposit any Shares into a voting trust or enter into a voting agreement (other than this Agreement), (ii) grant a proxy (except as otherwise provided herein), consent or power of attorney with respect to the Shares, (iii) make, or in any way participate, directly or indirectly, in any “solicitation” of “proxies” to vote (as such terms are defined in Rule 14a-1 under the Exchange Act), solicit any consent or seek to advise or influence any Person with respect to the voting of any securities of the Company or become a “participant” (as such term is defined in Schedule 14A under the Exchange Act) in any solicitation of proxies that is not approved by the Board, (iv) form, join, encourage or in any way participate in the formation of, any “person” or “group” within the meaning of Section 13(d)</w:t>
      </w:r>
    </w:p>
    <w:p>
      <w:pPr>
        <w:ind w:left="920" w:right="120" w:firstLine="1"/>
        <w:spacing w:after="0" w:line="261" w:lineRule="auto"/>
        <w:tabs>
          <w:tab w:leader="none" w:pos="11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with respect to any securities of the Company, (v) seek to have called any meeting of the stockholders of the Company, or (vi) advise, assist, instigate or knowingly encourage any third party to do any of the foregoing.</w:t>
      </w:r>
    </w:p>
    <w:p>
      <w:pPr>
        <w:spacing w:after="0" w:line="71" w:lineRule="exact"/>
        <w:rPr>
          <w:rFonts w:ascii="Times New Roman" w:cs="Times New Roman" w:eastAsia="Times New Roman" w:hAnsi="Times New Roman"/>
          <w:sz w:val="18"/>
          <w:szCs w:val="18"/>
          <w:color w:val="auto"/>
        </w:rPr>
      </w:pPr>
    </w:p>
    <w:p>
      <w:pPr>
        <w:ind w:left="920" w:right="20" w:firstLine="421"/>
        <w:spacing w:after="0" w:line="256" w:lineRule="auto"/>
        <w:tabs>
          <w:tab w:leader="none" w:pos="15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Restriction Period, except for the Escrow Shares and the Registrable Securities, Kennedy shall not acquire, or offer, seek, propose or agree to acquire, directly or indirectly, by purchase or otherwise, any Shares or any of the assets or businesses of the Company, or any right or option to acquire any of the foregoing (including from a third party), except by way of stock dividends or other distributions made by the Company on a pro rata basis with respect to the Registrable Securities and any securities of the Company acquired by Kennedy prior to the date of this Agreement, or make any public announcement (or request permission to make any such announcement) with respect to any of the foregoing.</w:t>
      </w:r>
    </w:p>
    <w:p>
      <w:pPr>
        <w:spacing w:after="0" w:line="186" w:lineRule="exact"/>
        <w:rPr>
          <w:sz w:val="20"/>
          <w:szCs w:val="20"/>
          <w:color w:val="auto"/>
        </w:rPr>
      </w:pPr>
    </w:p>
    <w:p>
      <w:pPr>
        <w:ind w:right="20" w:firstLine="913"/>
        <w:spacing w:after="0" w:line="28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i w:val="1"/>
          <w:iCs w:val="1"/>
          <w:color w:val="auto"/>
        </w:rPr>
        <w:t>Stock Legends</w:t>
      </w:r>
      <w:r>
        <w:rPr>
          <w:rFonts w:ascii="Times New Roman" w:cs="Times New Roman" w:eastAsia="Times New Roman" w:hAnsi="Times New Roman"/>
          <w:sz w:val="18"/>
          <w:szCs w:val="18"/>
          <w:color w:val="auto"/>
        </w:rPr>
        <w:t>. Each certificate or book-entry confirmations representing the Escrow Shares and the Registrable Securities shall be subject to stop transfer instructions and shall be stamped or otherwise imprinted with legends substantially in the following form:</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OR CONFIRMATION HAVE NOT BEEN REGISTERED UNDER THE SECURITIES ACT OF 1933, AS AMENDED (THE “ACT”), AND MAY NOT BE OFFERED, SOLD, ASSIGNED, TRANSFERRED, PLEDGED, HYPOTHECATED OR OTHERWISE DISPOSED OF (“TRANSFERRED”) EXCEPT PURSUANT TO AN EFFECTIVE REGISTRATION STATEMENT UNDER THE ACT OR AN EXEMPTION FROM REGISTRATION THEREUNDER. THE SECURITIES REPRESENTED BY THIS CERTIFICATE ARE SUBJECT TO THE TERMS OF A STOCKHOLDERS AGREEMENT BETWEEN THE COMPANY AND THE STOCKHOLDER, A COPY OF WHICH IS ON FILE WITH THE SECRETARY OF THE COMPANY AND IS AVAILABLE WITHOUT CHARGE UPON WRITTEN REQUEST THEREFOR. THE STOCKHOLDERS AGREEMENT CONTAINS RESTRICTIONS ON THE SALE OR TRANSFER OF SUCH SECURITIES. THE HOLDER OF THESE SHARES, BY ACCEPTANCE OF THIS CERTIFICATE OR CONFIRMATION, AGREES TO BE BOUND BY ALL OF THE PROVISIONS OF THE AFORESAID AGREEMENT.”</w:t>
      </w:r>
    </w:p>
    <w:p>
      <w:pPr>
        <w:spacing w:after="0" w:line="187" w:lineRule="exact"/>
        <w:rPr>
          <w:sz w:val="20"/>
          <w:szCs w:val="20"/>
          <w:color w:val="auto"/>
        </w:rPr>
      </w:pPr>
    </w:p>
    <w:p>
      <w:pPr>
        <w:ind w:right="60" w:firstLine="913"/>
        <w:spacing w:after="0" w:line="26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Subsequent Sales</w:t>
      </w:r>
      <w:r>
        <w:rPr>
          <w:rFonts w:ascii="Times New Roman" w:cs="Times New Roman" w:eastAsia="Times New Roman" w:hAnsi="Times New Roman"/>
          <w:sz w:val="18"/>
          <w:szCs w:val="18"/>
          <w:color w:val="auto"/>
        </w:rPr>
        <w:t>. After expiration of the Restriction Period, Kennedy may sell the Registrable Securities (a) pursuant to the provisions of SEC Rule 144 (including the volume limitations imposed by SEC Rule 144, whether or not Kennedy is an affiliate of the Company at such time for purposes of Rule 144, or (b) pursuant to a registration statement in accordance with the provisions of Section 3 hereof.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0" w:right="279" w:bottom="1440" w:gutter="0" w:footer="0" w:header="0"/>
        </w:sectPr>
      </w:pPr>
    </w:p>
    <w:bookmarkStart w:id="16" w:name="page17"/>
    <w:bookmarkEnd w:id="16"/>
    <w:p>
      <w:pPr>
        <w:ind w:right="260" w:firstLine="913"/>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Times New Roman" w:cs="Times New Roman" w:eastAsia="Times New Roman" w:hAnsi="Times New Roman"/>
          <w:sz w:val="18"/>
          <w:szCs w:val="18"/>
          <w:i w:val="1"/>
          <w:iCs w:val="1"/>
          <w:color w:val="auto"/>
        </w:rPr>
        <w:t>Insider Trading Policy</w:t>
      </w:r>
      <w:r>
        <w:rPr>
          <w:rFonts w:ascii="Times New Roman" w:cs="Times New Roman" w:eastAsia="Times New Roman" w:hAnsi="Times New Roman"/>
          <w:sz w:val="18"/>
          <w:szCs w:val="18"/>
          <w:color w:val="auto"/>
        </w:rPr>
        <w:t>. At any time that Kennedy is an employee or director of the Company or otherwise in possession of material nonpublic information with respect to the Company, he will comply with any applicable insider trading policy of the Company and all applicable laws and regulations with respect to the sale of any Shares.</w:t>
      </w:r>
    </w:p>
    <w:p>
      <w:pPr>
        <w:spacing w:after="0" w:line="174"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i w:val="1"/>
          <w:iCs w:val="1"/>
          <w:color w:val="auto"/>
        </w:rPr>
        <w:t>Notice of Sale; Compliance with Law</w:t>
      </w:r>
      <w:r>
        <w:rPr>
          <w:rFonts w:ascii="Times New Roman" w:cs="Times New Roman" w:eastAsia="Times New Roman" w:hAnsi="Times New Roman"/>
          <w:sz w:val="18"/>
          <w:szCs w:val="18"/>
          <w:color w:val="auto"/>
        </w:rPr>
        <w:t>. After the expiration of the Restriction Period, before any proposed sale, pledge, or transfer of any Escrow Shares or Registrable Securities, unless there is in effect a registration statement under the Securities Act covering the proposed transaction, Kennedy shall give notice to the Company of his intention to effect such sale, pledge, or transfer. Each such notice shall describe the manner and circumstances of the proposed sale, pledge, or transfer in sufficient detail and, if reasonably requested by the Company, shall be accompanied at Kennedy’s expense by either (i) a written opinion of legal counsel who shall, and whose legal opinion shall, be reasonably satisfactory to the Company, addressed to the Company, to the effect that the proposed transaction may be effected without registration under the Securities Act; or (ii) any other evidence reasonably satisfactory to counsel to the Company to the effect that the proposed sale, pledge, or transfer of the Registrable Securities may be effected without registration under the Securities Act, whereupon Kennedy shall be entitled to sell, pledge, or transfer such Registrable Securities in accordance with the terms of the notice given by Kennedy to the Company. The Company will not require such a legal opinion in any transaction in compliance with SEC Rule 144. Each certificate or instrument evidencing the Registrable Securities transferred as above provided shall bear, except if such transfer is made pursuant to SEC Rule 144, the restrictive legend provided in Section 2.2, except that such certificate shall not bear such restrictive legend if, in the opinion of counsel for Kennedy and the Company, such legend is not required in order to establish compliance with any provisions of the Securities Act.</w:t>
      </w:r>
    </w:p>
    <w:p>
      <w:pPr>
        <w:spacing w:after="0" w:line="337"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The Company covenants and agrees as follows:</w:t>
      </w:r>
    </w:p>
    <w:p>
      <w:pPr>
        <w:spacing w:after="0" w:line="119"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Demand Registration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20" w:right="60" w:firstLine="421"/>
        <w:spacing w:after="0" w:line="254" w:lineRule="auto"/>
        <w:tabs>
          <w:tab w:leader="none" w:pos="158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expiration of the Restriction Period and the Company is eligible to use a Form S-3 registration statement, the Company receives a written request from Kennedy that the Company file a Form S-3 registration statement with respect to outstanding Registrable Securities having an anticipated aggregate offering price, net of Selling Expenses, of at least $2.0 million, then the Company shall as soon as practicable, and in any event within sixty (60) days after the date such request is given, file a Form S-3 registration statement under the Securities Act covering all Registrable Securities requested to be included in such registration by Kennedy, and in each case, subject to the limitations of Section 3.1(b) and Section 3.3. Kennedy may request one such registration in any 12-month period. A registration shall not be counted against the one registration request to which Kennedy is entitled in any 12 month period (i) until the registration statement has become effective and the Company has complied in all material respects with its obligations under this Agreement with respect thereto, or (ii) if after the registration statement has become effective, either (1) the offering and/or sale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68" w:right="259" w:bottom="1440" w:gutter="0" w:footer="0" w:header="0"/>
        </w:sectPr>
      </w:pPr>
    </w:p>
    <w:bookmarkStart w:id="17" w:name="page18"/>
    <w:bookmarkEnd w:id="17"/>
    <w:p>
      <w:pPr>
        <w:ind w:left="9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Registrable Securities pursuant thereto becomes the subject of any stop order, injunction or other order or requirement of the SEC, any state securities administrator, securities exchange or self-regulatory body, or if any court or other governmental entity, securities exchange or self-regulatory body otherwise limits such offer and or sale, or (2) such registration statement does not remain effective for the time period set forth in Section 3.4(a). Kennedy may withdraw all or any part of his Registrable Securities from any demand registration hereunder at any time before the effectiveness of the applicable registration statement. In the event of such a withdrawal, such request shall be counted against the one registration request to which Kennedy is entitled in any 12 month period unless (x) the withdrawal is made as a result of the failure of the Company to comply with the provisions of this Agreement or any law, rule or regulation governing the offer or sale of securities or (y) Kennedy reimburses the Company for all Registration Expenses incurred by the Company in connection with such registration.</w:t>
      </w:r>
    </w:p>
    <w:p>
      <w:pPr>
        <w:spacing w:after="0" w:line="77" w:lineRule="exact"/>
        <w:rPr>
          <w:sz w:val="20"/>
          <w:szCs w:val="20"/>
          <w:color w:val="auto"/>
        </w:rPr>
      </w:pPr>
    </w:p>
    <w:p>
      <w:pPr>
        <w:ind w:left="920" w:right="20" w:firstLine="421"/>
        <w:spacing w:after="0" w:line="253" w:lineRule="auto"/>
        <w:tabs>
          <w:tab w:leader="none" w:pos="15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Kennedy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seventy-five (75) days after the request of Kennedy is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not invoke this right more than two times in any twelve (12) month period; and</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not register any securities for its own account or that of any other stockholder during such seventy-five (75) day period other than an Excluded Registration. If, following any such seventy-five (75) day period, Kennedy desires to exercise his registration right pursuant to Section 3.1(a), Kennedy shall resubmit a written request for registration to the Company pursuant to Section 3.1(a).</w:t>
      </w:r>
    </w:p>
    <w:p>
      <w:pPr>
        <w:spacing w:after="0" w:line="18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Company Registration</w:t>
      </w:r>
      <w:r>
        <w:rPr>
          <w:rFonts w:ascii="Times New Roman" w:cs="Times New Roman" w:eastAsia="Times New Roman" w:hAnsi="Times New Roman"/>
          <w:sz w:val="18"/>
          <w:szCs w:val="18"/>
          <w:color w:val="auto"/>
        </w:rPr>
        <w:t>. If at any time after the Restriction Period the Company proposes to register (including, for this purpose, a registration effected by the Company for stockholders other than Kennedy) any of its Common Stock under the Securities Act in connection with the public offering of such securities solely for cash (other than in an Excluded Registration), the Company shall, at such time, promptly give Kennedy notice of such registration. Upon the request of Kennedy given within five (5) days after such notice is given by the Company, the Company shall, subject to the provisions of Section 3.3, cause to be registered all of the Registrable Securities that Kennedy has requested to be included in such registration. The Company shall have the right to terminate or withdraw any registration initiated by it under this Section 3.2 before the effective date of such registration, whether or not Kennedy has elected to include Registrable Securities in such registration. The expenses (other than Selling Expenses) of such withdrawn registration shall be borne by the Company in accordance with Section 3.6.</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Times New Roman" w:cs="Times New Roman" w:eastAsia="Times New Roman" w:hAnsi="Times New Roman"/>
          <w:sz w:val="18"/>
          <w:szCs w:val="18"/>
          <w:i w:val="1"/>
          <w:iCs w:val="1"/>
          <w:color w:val="auto"/>
        </w:rPr>
        <w:t>Underwriting Requirements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421"/>
        <w:spacing w:after="0" w:line="261"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Section 3.1, Kennedy intends to distribute the Registrable Securities covered by his request by means of an underwriting, he shall so advise the Company as a part of his request made pursuant to Section 3.1. The underwriter(s) will be selected by the Company, subject to the reasonable approval of Kennedy. Kennedy shall (together with the Company as provided in Section 3.4(e)) enter into an underwriting agreement in customary form with the underwriter(s) selected for such underwriting.</w:t>
      </w:r>
    </w:p>
    <w:p>
      <w:pPr>
        <w:spacing w:after="0" w:line="71" w:lineRule="exact"/>
        <w:rPr>
          <w:rFonts w:ascii="Times New Roman" w:cs="Times New Roman" w:eastAsia="Times New Roman" w:hAnsi="Times New Roman"/>
          <w:sz w:val="18"/>
          <w:szCs w:val="18"/>
          <w:color w:val="auto"/>
        </w:rPr>
      </w:pPr>
    </w:p>
    <w:p>
      <w:pPr>
        <w:ind w:right="40" w:firstLine="421"/>
        <w:spacing w:after="0" w:line="282"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may require that a request made under Section 3.1 be made pursuant to an underwritten offering by an underwriter chosen by the Company and reasonably acceptable to Kennedy.</w:t>
      </w:r>
    </w:p>
    <w:p>
      <w:pPr>
        <w:spacing w:after="0" w:line="53" w:lineRule="exact"/>
        <w:rPr>
          <w:rFonts w:ascii="Times New Roman" w:cs="Times New Roman" w:eastAsia="Times New Roman" w:hAnsi="Times New Roman"/>
          <w:sz w:val="18"/>
          <w:szCs w:val="18"/>
          <w:color w:val="auto"/>
        </w:rPr>
      </w:pPr>
    </w:p>
    <w:p>
      <w:pPr>
        <w:ind w:firstLine="421"/>
        <w:spacing w:after="0" w:line="255"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offering involving an underwriting of shares of the Company’s Common Stock pursuant to Section 3.2, the Company shall not be required to include any of Kennedy’s Registrable Securities in such underwriting unless Kennedy accepts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Kennedy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Registrable Securities which the underwriters and the Company in their sole discretion determine will not jeopardize the success of the offering in the following priority:</w:t>
      </w:r>
    </w:p>
    <w:p>
      <w:pPr>
        <w:spacing w:after="0" w:line="90" w:lineRule="exact"/>
        <w:rPr>
          <w:rFonts w:ascii="Times New Roman" w:cs="Times New Roman" w:eastAsia="Times New Roman" w:hAnsi="Times New Roman"/>
          <w:sz w:val="18"/>
          <w:szCs w:val="18"/>
          <w:color w:val="auto"/>
        </w:rPr>
      </w:pPr>
    </w:p>
    <w:p>
      <w:pPr>
        <w:jc w:val="both"/>
        <w:ind w:left="1000" w:right="300" w:hanging="440"/>
        <w:spacing w:after="0" w:line="26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underwriting pursuant to Section 3.2 is the result of a registration initiated by the Company, (i) first, all of the securities to be registered for the Company’s account, (ii) second, any such number of Registrable Securities determined by the underwriter to be compatible with the success of the offering; or</w:t>
      </w:r>
    </w:p>
    <w:p>
      <w:pPr>
        <w:spacing w:after="0" w:line="81" w:lineRule="exact"/>
        <w:rPr>
          <w:rFonts w:ascii="Times New Roman" w:cs="Times New Roman" w:eastAsia="Times New Roman" w:hAnsi="Times New Roman"/>
          <w:sz w:val="18"/>
          <w:szCs w:val="18"/>
          <w:color w:val="auto"/>
        </w:rPr>
      </w:pPr>
    </w:p>
    <w:p>
      <w:pPr>
        <w:ind w:left="1000" w:right="200" w:hanging="440"/>
        <w:spacing w:after="0" w:line="261"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underwriting pursuant to Section 3.2 is the result of a registration initiated by any stockholder other than Kennedy exercising a contractual right to demand registration not included in this Agreement, the securities to be registered shall be allocated among Kennedy and the other stockholders on a pro rata basis, but in no event shall the number of Registrable Securities to be registered exceed that number determined by the underwriter to be compatible with the success of the offering.</w:t>
      </w:r>
    </w:p>
    <w:p>
      <w:pPr>
        <w:spacing w:after="0" w:line="1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1160" w:top="268" w:right="239" w:bottom="1440" w:gutter="0" w:footer="0" w:header="0"/>
        </w:sectPr>
      </w:pPr>
    </w:p>
    <w:bookmarkStart w:id="19" w:name="page20"/>
    <w:bookmarkEnd w:id="19"/>
    <w:p>
      <w:pPr>
        <w:ind w:right="280" w:firstLine="913"/>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Times New Roman" w:cs="Times New Roman" w:eastAsia="Times New Roman" w:hAnsi="Times New Roman"/>
          <w:sz w:val="18"/>
          <w:szCs w:val="18"/>
          <w:i w:val="1"/>
          <w:iCs w:val="1"/>
          <w:color w:val="auto"/>
        </w:rPr>
        <w:t>Obligations of the Company</w:t>
      </w:r>
      <w:r>
        <w:rPr>
          <w:rFonts w:ascii="Times New Roman" w:cs="Times New Roman" w:eastAsia="Times New Roman" w:hAnsi="Times New Roman"/>
          <w:sz w:val="18"/>
          <w:szCs w:val="18"/>
          <w:color w:val="auto"/>
        </w:rPr>
        <w:t>. Whenever required under this Section 3 to effect the registration of any Registrable Securities, the Company shall, as expeditiously as reasonably possible:</w:t>
      </w:r>
    </w:p>
    <w:p>
      <w:pPr>
        <w:spacing w:after="0" w:line="52" w:lineRule="exact"/>
        <w:rPr>
          <w:sz w:val="20"/>
          <w:szCs w:val="20"/>
          <w:color w:val="auto"/>
        </w:rPr>
      </w:pPr>
    </w:p>
    <w:p>
      <w:pPr>
        <w:jc w:val="both"/>
        <w:ind w:left="920" w:right="180" w:firstLine="421"/>
        <w:spacing w:after="0" w:line="272" w:lineRule="auto"/>
        <w:tabs>
          <w:tab w:leader="none" w:pos="158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a registration statement with respect to such Registrable Securities and use its commercially reasonable efforts to cause such registration statement to become effective and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w:t>
      </w:r>
    </w:p>
    <w:p>
      <w:pPr>
        <w:spacing w:after="0" w:line="1" w:lineRule="exact"/>
        <w:rPr>
          <w:rFonts w:ascii="Times New Roman" w:cs="Times New Roman" w:eastAsia="Times New Roman" w:hAnsi="Times New Roman"/>
          <w:sz w:val="17"/>
          <w:szCs w:val="17"/>
          <w:color w:val="auto"/>
        </w:rPr>
      </w:pPr>
    </w:p>
    <w:p>
      <w:pPr>
        <w:ind w:left="1140" w:hanging="21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one hundred twenty (120) day period shall be extended for a period of time equal to the period Kennedy refrains, at the request of an</w:t>
      </w:r>
    </w:p>
    <w:p>
      <w:pPr>
        <w:spacing w:after="0" w:line="9" w:lineRule="exact"/>
        <w:rPr>
          <w:rFonts w:ascii="Times New Roman" w:cs="Times New Roman" w:eastAsia="Times New Roman" w:hAnsi="Times New Roman"/>
          <w:sz w:val="18"/>
          <w:szCs w:val="18"/>
          <w:color w:val="auto"/>
        </w:rPr>
      </w:pPr>
    </w:p>
    <w:p>
      <w:pPr>
        <w:ind w:left="920"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77" w:lineRule="exact"/>
        <w:rPr>
          <w:rFonts w:ascii="Times New Roman" w:cs="Times New Roman" w:eastAsia="Times New Roman" w:hAnsi="Times New Roman"/>
          <w:sz w:val="18"/>
          <w:szCs w:val="18"/>
          <w:color w:val="auto"/>
        </w:rPr>
      </w:pPr>
    </w:p>
    <w:p>
      <w:pPr>
        <w:ind w:left="920" w:firstLine="421"/>
        <w:spacing w:after="0" w:line="266" w:lineRule="auto"/>
        <w:tabs>
          <w:tab w:leader="none" w:pos="15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68" w:lineRule="exact"/>
        <w:rPr>
          <w:rFonts w:ascii="Times New Roman" w:cs="Times New Roman" w:eastAsia="Times New Roman" w:hAnsi="Times New Roman"/>
          <w:sz w:val="18"/>
          <w:szCs w:val="18"/>
          <w:color w:val="auto"/>
        </w:rPr>
      </w:pPr>
    </w:p>
    <w:p>
      <w:pPr>
        <w:ind w:left="920" w:right="180" w:firstLine="421"/>
        <w:spacing w:after="0" w:line="282" w:lineRule="auto"/>
        <w:tabs>
          <w:tab w:leader="none" w:pos="15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Kennedy such numbers of copies of a prospectus, including a preliminary prospectus, as required by the Securities Act, and such other documents as Kennedy may reasonably request in order to facilitate his disposition of his Registrable Securities;</w:t>
      </w:r>
    </w:p>
    <w:p>
      <w:pPr>
        <w:spacing w:after="0" w:line="53" w:lineRule="exact"/>
        <w:rPr>
          <w:rFonts w:ascii="Times New Roman" w:cs="Times New Roman" w:eastAsia="Times New Roman" w:hAnsi="Times New Roman"/>
          <w:sz w:val="18"/>
          <w:szCs w:val="18"/>
          <w:color w:val="auto"/>
        </w:rPr>
      </w:pPr>
    </w:p>
    <w:p>
      <w:pPr>
        <w:ind w:left="920" w:right="160" w:firstLine="421"/>
        <w:spacing w:after="0" w:line="261" w:lineRule="auto"/>
        <w:tabs>
          <w:tab w:leader="none" w:pos="15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Kennedy;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1" w:lineRule="exact"/>
        <w:rPr>
          <w:rFonts w:ascii="Times New Roman" w:cs="Times New Roman" w:eastAsia="Times New Roman" w:hAnsi="Times New Roman"/>
          <w:sz w:val="18"/>
          <w:szCs w:val="18"/>
          <w:color w:val="auto"/>
        </w:rPr>
      </w:pPr>
    </w:p>
    <w:p>
      <w:pPr>
        <w:ind w:left="920" w:right="240" w:firstLine="421"/>
        <w:spacing w:after="0" w:line="282" w:lineRule="auto"/>
        <w:tabs>
          <w:tab w:leader="none" w:pos="15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53" w:lineRule="exact"/>
        <w:rPr>
          <w:rFonts w:ascii="Times New Roman" w:cs="Times New Roman" w:eastAsia="Times New Roman" w:hAnsi="Times New Roman"/>
          <w:sz w:val="18"/>
          <w:szCs w:val="18"/>
          <w:color w:val="auto"/>
        </w:rPr>
      </w:pPr>
    </w:p>
    <w:p>
      <w:pPr>
        <w:ind w:left="920" w:right="80" w:firstLine="421"/>
        <w:spacing w:after="0" w:line="266" w:lineRule="auto"/>
        <w:tabs>
          <w:tab w:leader="none" w:pos="15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68" w:lineRule="exact"/>
        <w:rPr>
          <w:rFonts w:ascii="Times New Roman" w:cs="Times New Roman" w:eastAsia="Times New Roman" w:hAnsi="Times New Roman"/>
          <w:sz w:val="18"/>
          <w:szCs w:val="18"/>
          <w:color w:val="auto"/>
        </w:rPr>
      </w:pPr>
    </w:p>
    <w:p>
      <w:pPr>
        <w:ind w:left="920" w:right="140" w:firstLine="421"/>
        <w:spacing w:after="0" w:line="282" w:lineRule="auto"/>
        <w:tabs>
          <w:tab w:leader="none" w:pos="15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53" w:lineRule="exact"/>
        <w:rPr>
          <w:rFonts w:ascii="Times New Roman" w:cs="Times New Roman" w:eastAsia="Times New Roman" w:hAnsi="Times New Roman"/>
          <w:sz w:val="18"/>
          <w:szCs w:val="18"/>
          <w:color w:val="auto"/>
        </w:rPr>
      </w:pPr>
    </w:p>
    <w:p>
      <w:pPr>
        <w:ind w:left="920" w:right="240" w:firstLine="421"/>
        <w:spacing w:after="0" w:line="282" w:lineRule="auto"/>
        <w:tabs>
          <w:tab w:leader="none" w:pos="15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any managing underwriter(s) participating in any disposition pursuant to such registration statement,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68" w:right="259" w:bottom="1440" w:gutter="0" w:footer="0" w:header="0"/>
        </w:sectPr>
      </w:pPr>
    </w:p>
    <w:bookmarkStart w:id="20" w:name="page21"/>
    <w:bookmarkEnd w:id="20"/>
    <w:p>
      <w:pPr>
        <w:ind w:left="92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any attorney or accountant or other agent retained by any such underwriter, all financial and other records, pertinent corporate documents, and properties of the Company, and cause the Company’s officers, directors, employees, and independent accountants to supply all information reasonably requested by any underwriter, attorney, accountant or agent, in each case, as necessary or advisable to verify the accuracy of the information in such registration statement and to conduct appropriate due diligence in connection therewith;</w:t>
      </w:r>
    </w:p>
    <w:p>
      <w:pPr>
        <w:spacing w:after="0" w:line="72" w:lineRule="exact"/>
        <w:rPr>
          <w:sz w:val="20"/>
          <w:szCs w:val="20"/>
          <w:color w:val="auto"/>
        </w:rPr>
      </w:pPr>
    </w:p>
    <w:p>
      <w:pPr>
        <w:ind w:left="920" w:right="220" w:firstLine="421"/>
        <w:spacing w:after="0" w:line="282" w:lineRule="auto"/>
        <w:tabs>
          <w:tab w:leader="none" w:pos="15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Kennedy promptly after the Company receives notice thereof, of the time when such registration statement has been declared effective or a supplement to any prospectus forming a part of such registration statement has been filed; and</w:t>
      </w:r>
    </w:p>
    <w:p>
      <w:pPr>
        <w:spacing w:after="0" w:line="53" w:lineRule="exact"/>
        <w:rPr>
          <w:rFonts w:ascii="Times New Roman" w:cs="Times New Roman" w:eastAsia="Times New Roman" w:hAnsi="Times New Roman"/>
          <w:sz w:val="18"/>
          <w:szCs w:val="18"/>
          <w:color w:val="auto"/>
        </w:rPr>
      </w:pPr>
    </w:p>
    <w:p>
      <w:pPr>
        <w:ind w:left="920" w:firstLine="421"/>
        <w:spacing w:after="0" w:line="282" w:lineRule="auto"/>
        <w:tabs>
          <w:tab w:leader="none" w:pos="15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Kennedy of any request by the SEC that the Company amend or supplement such registration statement or prospectus.</w:t>
      </w:r>
    </w:p>
    <w:p>
      <w:pPr>
        <w:spacing w:after="0" w:line="160" w:lineRule="exact"/>
        <w:rPr>
          <w:sz w:val="20"/>
          <w:szCs w:val="20"/>
          <w:color w:val="auto"/>
        </w:rPr>
      </w:pPr>
    </w:p>
    <w:p>
      <w:pPr>
        <w:ind w:right="20" w:firstLine="913"/>
        <w:spacing w:after="0" w:line="29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i w:val="1"/>
          <w:iCs w:val="1"/>
          <w:color w:val="auto"/>
        </w:rPr>
        <w:t>Furnish Information</w:t>
      </w:r>
      <w:r>
        <w:rPr>
          <w:rFonts w:ascii="Times New Roman" w:cs="Times New Roman" w:eastAsia="Times New Roman" w:hAnsi="Times New Roman"/>
          <w:sz w:val="17"/>
          <w:szCs w:val="17"/>
          <w:color w:val="auto"/>
        </w:rPr>
        <w:t>. It shall be a condition precedent to the obligations of the Company to take any action pursuant to this Section 3 with respect to the Registrable Securities of Kennedy that Kennedy shall furnish to the Company such information regarding Kennedy, the Registrable Securities held by him, and the intended method of disposition of such securities as is reasonably required to effect the registration of the Registrable Securities.</w:t>
      </w:r>
    </w:p>
    <w:p>
      <w:pPr>
        <w:spacing w:after="0" w:line="156" w:lineRule="exact"/>
        <w:rPr>
          <w:sz w:val="20"/>
          <w:szCs w:val="20"/>
          <w:color w:val="auto"/>
        </w:rPr>
      </w:pPr>
    </w:p>
    <w:p>
      <w:pPr>
        <w:ind w:right="120" w:firstLine="913"/>
        <w:spacing w:after="0" w:line="28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All Registration Expenses shall be borne and paid by the Company. All Selling Expenses relating to Registrable Securities registered pursuant to Section 3 shall be borne and paid by Kennedy.</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If any Registrable Securities are included in a registration statement under this Section 3:</w:t>
      </w:r>
    </w:p>
    <w:p>
      <w:pPr>
        <w:spacing w:after="0" w:line="119" w:lineRule="exact"/>
        <w:rPr>
          <w:sz w:val="20"/>
          <w:szCs w:val="20"/>
          <w:color w:val="auto"/>
        </w:rPr>
      </w:pPr>
    </w:p>
    <w:p>
      <w:pPr>
        <w:ind w:left="920" w:firstLine="421"/>
        <w:spacing w:after="0" w:line="255" w:lineRule="auto"/>
        <w:tabs>
          <w:tab w:leader="none" w:pos="15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 will indemnify and hold harmless Kennedy and any underwriter (as defined in the Securities Act), against any Damages, and the Company will pay to Kennedy and any underwriter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indemnity agreement contained in this Section 3.7(a)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Kennedy or any underwriter, expressly for use in connection with such registration.</w:t>
      </w:r>
    </w:p>
    <w:p>
      <w:pPr>
        <w:spacing w:after="0" w:line="77" w:lineRule="exact"/>
        <w:rPr>
          <w:rFonts w:ascii="Times New Roman" w:cs="Times New Roman" w:eastAsia="Times New Roman" w:hAnsi="Times New Roman"/>
          <w:sz w:val="18"/>
          <w:szCs w:val="18"/>
          <w:color w:val="auto"/>
        </w:rPr>
      </w:pPr>
    </w:p>
    <w:p>
      <w:pPr>
        <w:ind w:left="920" w:right="40" w:firstLine="421"/>
        <w:spacing w:after="0" w:line="266" w:lineRule="auto"/>
        <w:tabs>
          <w:tab w:leader="none" w:pos="15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Kennedy will indemnify and hold harmless the Company, and each of its directors, each of its officers who has signed the registration statement, each Person (if any), who controls the Company within the meaning of the Securities Act, legal counsel and accountants for the Company and any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240" w:top="270" w:right="399" w:bottom="1440" w:gutter="0" w:footer="0" w:header="0"/>
        </w:sectPr>
      </w:pPr>
    </w:p>
    <w:bookmarkStart w:id="21" w:name="page22"/>
    <w:bookmarkEnd w:id="21"/>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underwriter (as defined in the Securities Act), against any Damages, in each case only to the extent that such Damages arise out of or are based upon actions or omissions made in reliance upon and in conformity with written information furnished by or on behalf of Kennedy expressly for use in connection with such registration; and Kennedy will pay to the Company and any underwriter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indemnity agreement contained in this Section 3.7(b) shall not apply to amounts paid in settlement of any such claim or proceeding if such settlement is effected without the consent of Kennedy, which consent shall not be unreasonably withheld;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no event shall the aggregate amounts payable by Kennedy by way of indemnity or contribution under Sections 3.8(b)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3.8(d) exceed the proceeds from the offering received by Kennedy (net of any Selling Expenses paid by Kennedy), except in the case of fraud or willful misconduct by Kennedy.</w:t>
      </w:r>
    </w:p>
    <w:p>
      <w:pPr>
        <w:spacing w:after="0" w:line="81" w:lineRule="exact"/>
        <w:rPr>
          <w:sz w:val="20"/>
          <w:szCs w:val="20"/>
          <w:color w:val="auto"/>
        </w:rPr>
      </w:pPr>
    </w:p>
    <w:p>
      <w:pPr>
        <w:ind w:right="40" w:firstLine="421"/>
        <w:spacing w:after="0" w:line="253" w:lineRule="auto"/>
        <w:tabs>
          <w:tab w:leader="none" w:pos="6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3.7 of notice of the commencement of any action (including any governmental action) for which a party may be entitled to indemnification hereunder, such indemnified party will, if a claim in respect thereof is to be made against any indemnifying party under this Section 3.7,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 indemnified party (together with all other indemnified parties that may be represented without conflict by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3.7, to the extent that such failure materially prejudices the indemnifying party’s ability to defend such action. The failure to give notice to the indemnifying party will not relieve it of any liability that it may have to any indemnified party otherwise than under this Section 3.7.</w:t>
      </w:r>
    </w:p>
    <w:p>
      <w:pPr>
        <w:spacing w:after="0" w:line="80" w:lineRule="exact"/>
        <w:rPr>
          <w:rFonts w:ascii="Times New Roman" w:cs="Times New Roman" w:eastAsia="Times New Roman" w:hAnsi="Times New Roman"/>
          <w:sz w:val="18"/>
          <w:szCs w:val="18"/>
          <w:color w:val="auto"/>
        </w:rPr>
      </w:pPr>
    </w:p>
    <w:p>
      <w:pPr>
        <w:ind w:firstLine="421"/>
        <w:spacing w:after="0" w:line="255" w:lineRule="auto"/>
        <w:tabs>
          <w:tab w:leader="none" w:pos="6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just and equitable contribution to joint liability under the Securities Act in any case in which either (i) any party otherwise entitled to indemnification hereunder makes a claim for indemnification pursuant to this Section 3.7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3.7 provides for indemnification in such case, or (ii) contribution under the Securities Act may be required on the part of any party hereto for which indemnification is provided under this Section 3.7, then, and in each such case, such parties will contribute to the aggregate losses, claims, damages, liabilities, or expenses to which they may be subject (after contribution from others) in such proportion as is</w:t>
      </w:r>
    </w:p>
    <w:p>
      <w:pPr>
        <w:spacing w:after="0" w:line="1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1160" w:top="270" w:right="259" w:bottom="1440" w:gutter="0" w:footer="0" w:header="0"/>
        </w:sectPr>
      </w:pPr>
    </w:p>
    <w:bookmarkStart w:id="22" w:name="page23"/>
    <w:bookmarkEnd w:id="22"/>
    <w:p>
      <w:pPr>
        <w:ind w:left="920"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any such case, (x) Kennedy will not be required to contribute any amount in excess of the public offering price of all such Registrable Securities offered and sold by Kennedy pursuant to such registration statement, and</w:t>
      </w:r>
    </w:p>
    <w:p>
      <w:pPr>
        <w:spacing w:after="0" w:line="3" w:lineRule="exact"/>
        <w:rPr>
          <w:sz w:val="20"/>
          <w:szCs w:val="20"/>
          <w:color w:val="auto"/>
        </w:rPr>
      </w:pPr>
    </w:p>
    <w:p>
      <w:pPr>
        <w:ind w:left="920" w:right="200" w:firstLine="1"/>
        <w:spacing w:after="0" w:line="253" w:lineRule="auto"/>
        <w:tabs>
          <w:tab w:leader="none" w:pos="11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no event shall Kennedy’s liability pursuant to this Section 3.7(d), when combined with the amounts paid or payable by Kennedy pursuant to Section 3.7(b), exceed the proceeds from the offering received by Kennedy (net of any Selling Expenses paid by Kennedy), except in the case of willful misconduct or fraud by Kennedy.</w:t>
      </w:r>
    </w:p>
    <w:p>
      <w:pPr>
        <w:spacing w:after="0" w:line="79" w:lineRule="exact"/>
        <w:rPr>
          <w:rFonts w:ascii="Times New Roman" w:cs="Times New Roman" w:eastAsia="Times New Roman" w:hAnsi="Times New Roman"/>
          <w:sz w:val="18"/>
          <w:szCs w:val="18"/>
          <w:color w:val="auto"/>
        </w:rPr>
      </w:pPr>
    </w:p>
    <w:p>
      <w:pPr>
        <w:ind w:left="920" w:right="260" w:firstLine="421"/>
        <w:spacing w:after="0" w:line="266" w:lineRule="auto"/>
        <w:tabs>
          <w:tab w:leader="none" w:pos="15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68" w:lineRule="exact"/>
        <w:rPr>
          <w:rFonts w:ascii="Times New Roman" w:cs="Times New Roman" w:eastAsia="Times New Roman" w:hAnsi="Times New Roman"/>
          <w:sz w:val="18"/>
          <w:szCs w:val="18"/>
          <w:color w:val="auto"/>
        </w:rPr>
      </w:pPr>
    </w:p>
    <w:p>
      <w:pPr>
        <w:ind w:left="920" w:right="480" w:firstLine="421"/>
        <w:spacing w:after="0" w:line="266" w:lineRule="auto"/>
        <w:tabs>
          <w:tab w:leader="none" w:pos="156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superseded by an underwriting agreement entered into in connection with the underwritten public offering, the obligations of the Company and Kennedy under this Section 3.7 shall survive the completion of any offering of Registrable Securities in a registration under this Section 3, and otherwise shall survive the termination of this Agreement.</w:t>
      </w:r>
    </w:p>
    <w:p>
      <w:pPr>
        <w:spacing w:after="0" w:line="174" w:lineRule="exact"/>
        <w:rPr>
          <w:sz w:val="20"/>
          <w:szCs w:val="20"/>
          <w:color w:val="auto"/>
        </w:rPr>
      </w:pPr>
    </w:p>
    <w:p>
      <w:pPr>
        <w:jc w:val="both"/>
        <w:ind w:right="80" w:firstLine="913"/>
        <w:spacing w:after="0" w:line="267"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i w:val="1"/>
          <w:iCs w:val="1"/>
          <w:color w:val="auto"/>
        </w:rPr>
        <w:t>Reports Under Exchange Act</w:t>
      </w:r>
      <w:r>
        <w:rPr>
          <w:rFonts w:ascii="Times New Roman" w:cs="Times New Roman" w:eastAsia="Times New Roman" w:hAnsi="Times New Roman"/>
          <w:sz w:val="18"/>
          <w:szCs w:val="18"/>
          <w:color w:val="auto"/>
        </w:rPr>
        <w:t>. With a view to making available to Kennedy the benefits of SEC Rule 144 and any other rule or regulation of the SEC that may at any time permit Kennedy to sell securities of the Company to the public without registration or pursuant to a registration on Form S-3, the Company shall:</w:t>
      </w:r>
    </w:p>
    <w:p>
      <w:pPr>
        <w:spacing w:after="0" w:line="67" w:lineRule="exact"/>
        <w:rPr>
          <w:sz w:val="20"/>
          <w:szCs w:val="20"/>
          <w:color w:val="auto"/>
        </w:rPr>
      </w:pPr>
    </w:p>
    <w:p>
      <w:pPr>
        <w:ind w:left="920" w:firstLine="421"/>
        <w:spacing w:after="0" w:line="282" w:lineRule="auto"/>
        <w:tabs>
          <w:tab w:leader="none" w:pos="15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make and keep available adequate current public information, as those terms are understood and defined in SEC Rule 144, at all times;</w:t>
      </w:r>
    </w:p>
    <w:p>
      <w:pPr>
        <w:spacing w:after="0" w:line="53" w:lineRule="exact"/>
        <w:rPr>
          <w:rFonts w:ascii="Times New Roman" w:cs="Times New Roman" w:eastAsia="Times New Roman" w:hAnsi="Times New Roman"/>
          <w:sz w:val="18"/>
          <w:szCs w:val="18"/>
          <w:color w:val="auto"/>
        </w:rPr>
      </w:pPr>
    </w:p>
    <w:p>
      <w:pPr>
        <w:ind w:left="920" w:right="100" w:firstLine="421"/>
        <w:spacing w:after="0" w:line="282" w:lineRule="auto"/>
        <w:tabs>
          <w:tab w:leader="none" w:pos="1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file with the SEC in a timely manner all reports and other documents required of the Company under the Securities Act and the Exchange Act; and</w:t>
      </w:r>
    </w:p>
    <w:p>
      <w:pPr>
        <w:spacing w:after="0" w:line="53" w:lineRule="exact"/>
        <w:rPr>
          <w:rFonts w:ascii="Times New Roman" w:cs="Times New Roman" w:eastAsia="Times New Roman" w:hAnsi="Times New Roman"/>
          <w:sz w:val="18"/>
          <w:szCs w:val="18"/>
          <w:color w:val="auto"/>
        </w:rPr>
      </w:pPr>
    </w:p>
    <w:p>
      <w:pPr>
        <w:ind w:left="920" w:right="280" w:firstLine="421"/>
        <w:spacing w:after="0" w:line="282" w:lineRule="auto"/>
        <w:tabs>
          <w:tab w:leader="none" w:pos="15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Kennedy, so long as Kennedy owns any Registrable Securities, forthwith upon request (i) to the extent accurate, a written statement by the Company that it has complied with the reporting requirements of SEC Rule 144, the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270" w:right="319" w:bottom="1440" w:gutter="0" w:footer="0" w:header="0"/>
        </w:sectPr>
      </w:pPr>
    </w:p>
    <w:bookmarkStart w:id="23" w:name="page24"/>
    <w:bookmarkEnd w:id="23"/>
    <w:p>
      <w:pPr>
        <w:ind w:left="920"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Act, and the Exchange Act, or that it qualifies as a registrant whose securities may be resold pursuant to Form S-3; (ii) a copy of the most recent annual or quarterly report of the Company and such other reports and documents so filed by the Company; and (iii) such other information as may be reasonably requested in availing Kennedy of any rule or regulation of the SEC that permits the selling of any such securities without registration or pursuant to Form S-3.</w:t>
      </w:r>
    </w:p>
    <w:p>
      <w:pPr>
        <w:spacing w:after="0" w:line="178" w:lineRule="exact"/>
        <w:rPr>
          <w:sz w:val="20"/>
          <w:szCs w:val="20"/>
          <w:color w:val="auto"/>
        </w:rPr>
      </w:pPr>
    </w:p>
    <w:p>
      <w:pPr>
        <w:ind w:right="380" w:firstLine="913"/>
        <w:spacing w:after="0" w:line="28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xml:space="preserve"> The right of Kennedy to request registration or inclusion of Registrable Securities in any registration pursuant to Section 3.1 shall terminate upon the fifth (5th) anniversary of the date of this Agreement.</w:t>
      </w:r>
    </w:p>
    <w:p>
      <w:pPr>
        <w:spacing w:after="0" w:line="305"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p>
    <w:p>
      <w:pPr>
        <w:spacing w:after="0" w:line="121"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4.1 Upon reasonable notice from the Company, Kennedy shall afford the representatives of the Company reasonable access (including the right to make, at the Company’s expense, photocopies), during normal business hours, to any books and records of Autocam he retains subsequent to the Closing and make himself available to Buyer and its representatives if his assistance, expertise, testimony, notes and recollections or presence is necessary to assist Buyer and its representatives in connection with inquiries for any of the purposes referred to in Section 5.07 of the Merger Agreement, including his presence as a witness in hearings or trials for such purposes; provided, however, that the foregoing shall be at the Company’s cost and expense and the Company shall pay and/or reimburse any reasonable costs and expenses of Kennedy in connection with the foregoing cooperation and, in the event that any instance of such cooperation by Kennedy requires travel by Kennedy or a commitment of a material amount of Kennedy’s time, the Company shall pay Kennedy for his time in connection with such instance of cooperation at a reasonable hourly rate to be mutually agreed upon by Kennedy and the Company in advance.</w:t>
      </w:r>
    </w:p>
    <w:p>
      <w:pPr>
        <w:spacing w:after="0" w:line="330"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Service.</w:t>
      </w:r>
    </w:p>
    <w:p>
      <w:pPr>
        <w:spacing w:after="0" w:line="1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5.1 Immediately following the Effective Time (as defined in the Merger Agreement), the Company’s board of directors shall be increased to eight</w:t>
      </w:r>
    </w:p>
    <w:p>
      <w:pPr>
        <w:spacing w:after="0" w:line="38" w:lineRule="exact"/>
        <w:rPr>
          <w:rFonts w:ascii="Times New Roman" w:cs="Times New Roman" w:eastAsia="Times New Roman" w:hAnsi="Times New Roman"/>
          <w:sz w:val="18"/>
          <w:szCs w:val="18"/>
          <w:color w:val="auto"/>
        </w:rPr>
      </w:pPr>
    </w:p>
    <w:p>
      <w:pPr>
        <w:ind w:left="460" w:right="20" w:firstLine="4"/>
        <w:spacing w:after="0" w:line="254" w:lineRule="auto"/>
        <w:tabs>
          <w:tab w:leader="none" w:pos="7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and the Company’s board of directors shall fill the newly created vacancy by immediately appointing Kennedy to the Company’s board of directors as a Class I director, to serve until the 2017 annual meeting of the Company’s stockholders (and until their successors have been duly elected and qualified), in all cases subject to the satisfaction and compliance of Kennedy with Company’s then-current corporate governance guidelines, code of business conduct and ethics and other board of director policies relating to nomination and qualification of directors.</w:t>
      </w:r>
    </w:p>
    <w:p>
      <w:pPr>
        <w:spacing w:after="0" w:line="78" w:lineRule="exact"/>
        <w:rPr>
          <w:sz w:val="20"/>
          <w:szCs w:val="20"/>
          <w:color w:val="auto"/>
        </w:rPr>
      </w:pPr>
    </w:p>
    <w:p>
      <w:pPr>
        <w:ind w:left="460" w:right="40" w:firstLine="438"/>
        <w:spacing w:after="0" w:line="258" w:lineRule="auto"/>
        <w:rPr>
          <w:sz w:val="20"/>
          <w:szCs w:val="20"/>
          <w:color w:val="auto"/>
        </w:rPr>
      </w:pPr>
      <w:r>
        <w:rPr>
          <w:rFonts w:ascii="Times New Roman" w:cs="Times New Roman" w:eastAsia="Times New Roman" w:hAnsi="Times New Roman"/>
          <w:sz w:val="18"/>
          <w:szCs w:val="18"/>
          <w:color w:val="auto"/>
        </w:rPr>
        <w:t>5.2 In the event that either (a) Kennedy is not elected to the Company’s Board of Directors immediately following the Effective Time, or (b) if at any time after the Effective Time that Kennedy is living and is not serving on the Board of Directors of the Company, this Agreement shall be automatically amended (without the need for any consent, approval or signatures of any party hereto) to delete Sections 2.1 and 2.5 from this Agreement and such sections shall be thereafter null and void and of no further force nor effect. Following any such amendment of this Agreement, the remainder of this Agreement shall remain in full force and effect as written.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sectPr>
      </w:pPr>
    </w:p>
    <w:bookmarkStart w:id="24" w:name="page25"/>
    <w:bookmarkEnd w:id="24"/>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Effective Date.</w:t>
      </w:r>
    </w:p>
    <w:p>
      <w:pPr>
        <w:spacing w:after="0" w:line="227" w:lineRule="exact"/>
        <w:rPr>
          <w:sz w:val="20"/>
          <w:szCs w:val="20"/>
          <w:color w:val="auto"/>
        </w:rPr>
      </w:pPr>
    </w:p>
    <w:p>
      <w:pPr>
        <w:ind w:right="340" w:firstLine="913"/>
        <w:spacing w:after="0" w:line="282" w:lineRule="auto"/>
        <w:rPr>
          <w:sz w:val="20"/>
          <w:szCs w:val="20"/>
          <w:color w:val="auto"/>
        </w:rPr>
      </w:pPr>
      <w:r>
        <w:rPr>
          <w:rFonts w:ascii="Times New Roman" w:cs="Times New Roman" w:eastAsia="Times New Roman" w:hAnsi="Times New Roman"/>
          <w:sz w:val="18"/>
          <w:szCs w:val="18"/>
          <w:color w:val="auto"/>
        </w:rPr>
        <w:t>This Agreement shall be effective as of the Closing Date of the Merger. If the Closing does not occur this Agreement shall be void and of no further force and effect and there shall be no liability on the part of any party hereto.</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Successors and Assigns.</w:t>
      </w:r>
    </w:p>
    <w:p>
      <w:pPr>
        <w:spacing w:after="0" w:line="227" w:lineRule="exact"/>
        <w:rPr>
          <w:sz w:val="20"/>
          <w:szCs w:val="20"/>
          <w:color w:val="auto"/>
        </w:rPr>
      </w:pPr>
    </w:p>
    <w:p>
      <w:pPr>
        <w:ind w:left="1740" w:hanging="248"/>
        <w:spacing w:after="0"/>
        <w:tabs>
          <w:tab w:leader="none" w:pos="1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under this Agreement may not be assigned by any Party without the prior written consent of the other Party.</w:t>
      </w:r>
    </w:p>
    <w:p>
      <w:pPr>
        <w:spacing w:after="0" w:line="225" w:lineRule="exact"/>
        <w:rPr>
          <w:rFonts w:ascii="Times New Roman" w:cs="Times New Roman" w:eastAsia="Times New Roman" w:hAnsi="Times New Roman"/>
          <w:sz w:val="18"/>
          <w:szCs w:val="18"/>
          <w:color w:val="auto"/>
        </w:rPr>
      </w:pPr>
    </w:p>
    <w:p>
      <w:pPr>
        <w:ind w:right="100" w:firstLine="1492"/>
        <w:spacing w:after="0" w:line="266" w:lineRule="auto"/>
        <w:tabs>
          <w:tab w:leader="none" w:pos="17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4" w:lineRule="exact"/>
        <w:rPr>
          <w:sz w:val="20"/>
          <w:szCs w:val="20"/>
          <w:color w:val="auto"/>
        </w:rPr>
      </w:pPr>
    </w:p>
    <w:p>
      <w:pPr>
        <w:ind w:right="340" w:firstLine="913"/>
        <w:spacing w:after="0" w:line="315"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i w:val="1"/>
          <w:iCs w:val="1"/>
          <w:color w:val="auto"/>
        </w:rPr>
        <w:t>Amendment and Waiver.</w:t>
      </w:r>
      <w:r>
        <w:rPr>
          <w:rFonts w:ascii="Times New Roman" w:cs="Times New Roman" w:eastAsia="Times New Roman" w:hAnsi="Times New Roman"/>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Kennedy.</w:t>
      </w:r>
    </w:p>
    <w:p>
      <w:pPr>
        <w:spacing w:after="0" w:line="135" w:lineRule="exact"/>
        <w:rPr>
          <w:sz w:val="20"/>
          <w:szCs w:val="20"/>
          <w:color w:val="auto"/>
        </w:rPr>
      </w:pPr>
    </w:p>
    <w:p>
      <w:pPr>
        <w:ind w:firstLine="913"/>
        <w:spacing w:after="0" w:line="25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requests, demands, claims, and other communications hereunder shall be in writing. Any notice, request, demand, claim, or other communication hereunder shall be deemed duly given (i) when delivered personally to the recipient, (ii) one business day after being sent to the recipient by reputable overnight courier service (charges prepaid), (iii) one business day after being sent to the recipient by facsimile transmission or electronic mail, or (iv) four business days after being mailed to the recipient by certified or registered mail, return receipt requested and postage prepaid, and addressed to the intended recipient as set forth below:</w:t>
      </w:r>
    </w:p>
    <w:p>
      <w:pPr>
        <w:sectPr>
          <w:pgSz w:w="11900" w:h="16838" w:orient="portrait"/>
          <w:cols w:equalWidth="0" w:num="1">
            <w:col w:w="11380"/>
          </w:cols>
          <w:pgMar w:left="240" w:top="266" w:right="27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the Company,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effective notice) to:</w:t>
      </w:r>
    </w:p>
    <w:p>
      <w:pPr>
        <w:spacing w:after="0" w:line="115" w:lineRule="exact"/>
        <w:rPr>
          <w:sz w:val="20"/>
          <w:szCs w:val="20"/>
          <w:color w:val="auto"/>
        </w:rPr>
      </w:pPr>
    </w:p>
    <w:p>
      <w:pPr>
        <w:sectPr>
          <w:pgSz w:w="11900" w:h="16838" w:orient="portrait"/>
          <w:cols w:equalWidth="0" w:num="2">
            <w:col w:w="3740" w:space="720"/>
            <w:col w:w="6920"/>
          </w:cols>
          <w:pgMar w:left="240" w:top="266"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Husch Blackwell LLP</w:t>
      </w:r>
    </w:p>
    <w:p>
      <w:pPr>
        <w:spacing w:after="0" w:line="133" w:lineRule="exact"/>
        <w:rPr>
          <w:sz w:val="20"/>
          <w:szCs w:val="20"/>
          <w:color w:val="auto"/>
        </w:rPr>
      </w:pPr>
    </w:p>
    <w:p>
      <w:pPr>
        <w:sectPr>
          <w:pgSz w:w="11900" w:h="16838" w:orient="portrait"/>
          <w:cols w:equalWidth="0" w:num="2">
            <w:col w:w="3740" w:space="720"/>
            <w:col w:w="6920"/>
          </w:cols>
          <w:pgMar w:left="240" w:top="266"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200 Waters Edge Drive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Jim Dorton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Mail: JimD@nnbr.com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4801 Main Street, Suite 1000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MO 64112-2551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(816) 983-8080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Moore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mail: john.moore@huschblackwell.com</w:t>
      </w:r>
    </w:p>
    <w:p>
      <w:pPr>
        <w:spacing w:after="0" w:line="164" w:lineRule="exact"/>
        <w:rPr>
          <w:sz w:val="20"/>
          <w:szCs w:val="20"/>
          <w:color w:val="auto"/>
        </w:rPr>
      </w:pPr>
    </w:p>
    <w:p>
      <w:pPr>
        <w:sectPr>
          <w:pgSz w:w="11900" w:h="16838" w:orient="portrait"/>
          <w:cols w:equalWidth="0" w:num="2">
            <w:col w:w="3740" w:space="720"/>
            <w:col w:w="6920"/>
          </w:cols>
          <w:pgMar w:left="240" w:top="266"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66" w:right="2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color w:val="auto"/>
        </w:rPr>
        <w:t>if to Kennedy,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effective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-280670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740" w:space="720"/>
            <w:col w:w="6900"/>
          </w:cols>
          <w:pgMar w:left="240" w:top="376" w:right="29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Kennedy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4162 East Paris Avenue, 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Kentwood, MI 49512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(616) 698-6876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Mail: JKENNEDY@Autocam.com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Law Weathers,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Bridge Street,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(616) 913-1222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Tony Barnes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Mail:tbarnes@lawweathers.com</w:t>
      </w:r>
    </w:p>
    <w:p>
      <w:pPr>
        <w:spacing w:after="0" w:line="200" w:lineRule="exact"/>
        <w:rPr>
          <w:sz w:val="20"/>
          <w:szCs w:val="20"/>
          <w:color w:val="auto"/>
        </w:rPr>
      </w:pPr>
    </w:p>
    <w:p>
      <w:pPr>
        <w:sectPr>
          <w:pgSz w:w="11900" w:h="16838" w:orient="portrait"/>
          <w:cols w:equalWidth="0" w:num="2">
            <w:col w:w="3740" w:space="720"/>
            <w:col w:w="6900"/>
          </w:cols>
          <w:pgMar w:left="240" w:top="376" w:right="299" w:bottom="1440" w:gutter="0" w:footer="0" w:header="0"/>
          <w:type w:val="continuous"/>
        </w:sectPr>
      </w:pPr>
    </w:p>
    <w:p>
      <w:pPr>
        <w:spacing w:after="0" w:line="2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Any Party may change the address to which notices, requests, demands, claims, and other communications hereunder are to be delivered by giving the other Parties notice in the manner herein set forth.</w:t>
      </w:r>
    </w:p>
    <w:p>
      <w:pPr>
        <w:spacing w:after="0" w:line="160" w:lineRule="exact"/>
        <w:rPr>
          <w:sz w:val="20"/>
          <w:szCs w:val="20"/>
          <w:color w:val="auto"/>
        </w:rPr>
      </w:pPr>
    </w:p>
    <w:p>
      <w:pPr>
        <w:jc w:val="both"/>
        <w:ind w:right="20" w:firstLine="913"/>
        <w:spacing w:after="0" w:line="26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domestic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74"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Jurisdiction and Venue.</w:t>
      </w:r>
      <w:r>
        <w:rPr>
          <w:rFonts w:ascii="Times New Roman" w:cs="Times New Roman" w:eastAsia="Times New Roman" w:hAnsi="Times New Roman"/>
          <w:sz w:val="18"/>
          <w:szCs w:val="18"/>
          <w:color w:val="auto"/>
        </w:rPr>
        <w:t xml:space="preserve"> Each of the Parties irrevocably agrees that any legal action or proceeding arising out of or related to this Agreement or for recognition and enforcement of any judgment in respect hereof brought by any other Party hereto or its successors or assigns may be brought and determined in the state or federal courts located in New Castle County, Delaware, and each of the Parties hereby irrevocably submits to the exclusive jurisdiction of the aforesaid courts for itself and with respect to its property, unconditionally, with regard to any such action or proceeding arising out of or relating to this Agreement and the transactions contemplated hereby (and agrees not to commence any action, suit or proceeding relating thereto except in such courts). Each of the Parties agrees further to accept service of process in any manner permitted by such court. Each of the Parties hereby irrevocably and unconditionally waives, and agrees not to assert, by way of motion or as a defense, counterclaim or otherwise, in any action or proceeding arising out of or related to this Agreement or the transactions contemplated hereby, (a) any claim that it is not personally subject to the jurisdiction of the above-referenced courts for any reason other than the failure lawfully to serve process, (b) that it or its property is exempt or immune from jurisdiction of such courts or from any legal process commenced therein, and (c) to the fullest extent permitted by law, that (i) the suit, action or proceeding in such court is brought in an inconvenient forum, (ii) the venue of such suit, action or proceeding is improper, or (iii) this Agreement, or the subject matter hereof, may not be enforced in or by such court. The exclusive choice of forum set forth herein shall not be deemed to preclude the enforcement of any judgment obtained in such forum or the taking of any action under this Agreement to enforce such judgment in any appropriate jurisdiction.</w:t>
      </w:r>
    </w:p>
    <w:p>
      <w:pPr>
        <w:spacing w:after="0" w:line="189" w:lineRule="exact"/>
        <w:rPr>
          <w:sz w:val="20"/>
          <w:szCs w:val="20"/>
          <w:color w:val="auto"/>
        </w:rPr>
      </w:pPr>
    </w:p>
    <w:p>
      <w:pPr>
        <w:ind w:right="100" w:firstLine="913"/>
        <w:spacing w:after="0" w:line="267"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74" w:lineRule="exact"/>
        <w:rPr>
          <w:sz w:val="20"/>
          <w:szCs w:val="20"/>
          <w:color w:val="auto"/>
        </w:rPr>
      </w:pPr>
    </w:p>
    <w:p>
      <w:pPr>
        <w:ind w:firstLine="913"/>
        <w:spacing w:after="0" w:line="28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in the event that any of the provisions of this Agreement were not performed in</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376" w:right="299" w:bottom="1440" w:gutter="0" w:footer="0" w:header="0"/>
          <w:type w:val="continuous"/>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their specific terms or were otherwise breached and that the Parties to this Agreement and the third-party beneficiaries of this Agreement may not have an adequate remedy at law. It is accordingly agreed that the Parties to this Agreement (on behalf of themselves and the third-party beneficiaries of this Agreement) shall be entitled to injunctive or other equitable relief to prevent breaches of this Agreement and to enforce the terms of this Agreement; and that the Parties to this Agreement shall not object to the granting of injunctive or other equitable relief on the basis that there exists an adequate remedy at law.</w:t>
      </w:r>
    </w:p>
    <w:p>
      <w:pPr>
        <w:spacing w:after="0" w:line="182" w:lineRule="exact"/>
        <w:rPr>
          <w:sz w:val="20"/>
          <w:szCs w:val="20"/>
          <w:color w:val="auto"/>
        </w:rPr>
      </w:pPr>
    </w:p>
    <w:p>
      <w:pPr>
        <w:ind w:firstLine="913"/>
        <w:spacing w:after="0" w:line="267"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(including the exhibits and schedules referred to herein) constitutes the entire agreement among the Parties and supersedes any prior understandings, agreements or representations by or among the Parties, written or oral, to the extent they relate in any way to the subject matter hereof.</w:t>
      </w:r>
    </w:p>
    <w:p>
      <w:pPr>
        <w:spacing w:after="0" w:line="174" w:lineRule="exact"/>
        <w:rPr>
          <w:sz w:val="20"/>
          <w:szCs w:val="20"/>
          <w:color w:val="auto"/>
        </w:rPr>
      </w:pPr>
    </w:p>
    <w:p>
      <w:pPr>
        <w:ind w:right="160" w:firstLine="913"/>
        <w:spacing w:after="0" w:line="267"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i w:val="1"/>
          <w:iCs w:val="1"/>
          <w:color w:val="auto"/>
        </w:rPr>
        <w:t>Headings, etc</w:t>
      </w:r>
      <w:r>
        <w:rPr>
          <w:rFonts w:ascii="Times New Roman" w:cs="Times New Roman" w:eastAsia="Times New Roman" w:hAnsi="Times New Roman"/>
          <w:sz w:val="18"/>
          <w:szCs w:val="18"/>
          <w:color w:val="auto"/>
        </w:rPr>
        <w:t>. The section headings contained in this Agreement are inserted for convenience only and shall not affect in any way the meaning or interpretation of this Agreement. Any reference to any federal, state, local, or foreign statute or law shall be deemed also to refer to all rules and regulations promulgated thereunder, unless the context requires otherwise. The word “including” shall mean including without limitation.</w:t>
      </w:r>
    </w:p>
    <w:p>
      <w:pPr>
        <w:spacing w:after="0" w:line="174" w:lineRule="exact"/>
        <w:rPr>
          <w:sz w:val="20"/>
          <w:szCs w:val="20"/>
          <w:color w:val="auto"/>
        </w:rPr>
      </w:pPr>
    </w:p>
    <w:p>
      <w:pPr>
        <w:ind w:right="120" w:firstLine="913"/>
        <w:spacing w:after="0" w:line="267"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4" w:lineRule="exact"/>
        <w:rPr>
          <w:sz w:val="20"/>
          <w:szCs w:val="20"/>
          <w:color w:val="auto"/>
        </w:rPr>
      </w:pPr>
    </w:p>
    <w:p>
      <w:pPr>
        <w:ind w:right="420" w:firstLine="913"/>
        <w:spacing w:after="0" w:line="28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(including by means of facsimile), each of which shall be deemed an original but all of which together will constitute one and the same instrument.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70"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Stockholders’ Agreement to be duly executed as of the date first set forth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Holder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D. Holder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9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JOHN C. KENNEDY</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10960"/>
          </w:cols>
          <w:pgMar w:left="700" w:top="266"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CUSIP Number: 62933RAC6</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TERM LOAN CREDIT AGREEMENT</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Dated as of August 29, 2014</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KEYBANK NATIONAL ASSOCIATION,</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MERRILL LYNCH, PIERCE, FENNER &amp; SMITH INCORPORATED</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KEYBANK NATIONAL ASSOCIATION,</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78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409"/>
        </w:trPr>
        <w:tc>
          <w:tcPr>
            <w:tcW w:w="10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Rounding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Times of Day; Rates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1.06</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COMMITMENTS AND BORROWINGS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Borrowing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2.04</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2.05</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2.06</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2.07</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Repayment of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2.08</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2.09</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2.10</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Evidence of Debt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2.14</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in Commitments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2.15</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YIELD PROTECTION AND ILLEGALITY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Illegality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3.04</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 Costs; Reserves on Eurodollar Rate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3.05</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for Losses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3.06</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3.07</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26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ARTICLE IV</w:t>
            </w:r>
          </w:p>
        </w:tc>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PRECEDENT TO CLOSING AND BORROWING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of Closing and Initial Borrowing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Existence; Subsidiaries; Foreign Qualification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 and Administrative Proceedings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Assets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 and Security Interests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Returns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5.09</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Locations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Business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Benefits Plans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Consents or Approvals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Solvency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Agreements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Casualty,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Labor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OFAC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 Accounts; Securities Accounts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Accurate and Complete Statements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ABL Indebtedness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Debt Status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20"/>
          </w:cols>
          <w:pgMar w:left="240" w:top="27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AFFIRMATIVE COVENANTS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6.03</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6.04</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Taxes and Other Obligations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6.06</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6.07</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6.08</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6.09</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 Rights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6.11</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6.13</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Debt Ratings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6.16</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Matters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VII</w:t>
            </w: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NEGATIVE COVENANTS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7.01</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7.02</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7.03</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 and Acquisitions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7.04</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7.05</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Dispositions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7.06</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Payments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7.07</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7.08</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7.09</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Burdensome Agreements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7.10</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7.11</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of Organization Documents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Changes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7.13</w:t>
            </w:r>
          </w:p>
        </w:tc>
        <w:tc>
          <w:tcPr>
            <w:tcW w:w="7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Sanctions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20"/>
          </w:cols>
          <w:pgMar w:left="240" w:top="27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 of Funds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as a Lender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Exculpatory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Delegation of Duties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Duties,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9.09</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MISCELLANENOUS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Set Aside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Setoff</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10.09</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320"/>
          </w:cols>
          <w:pgMar w:left="240" w:top="27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USA PATRIOT Act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Inconsistencies with Other Documents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SIGNATURES</w:t>
            </w:r>
          </w:p>
        </w:tc>
        <w:tc>
          <w:tcPr>
            <w:tcW w:w="742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320"/>
          </w:cols>
          <w:pgMar w:left="240" w:top="27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4700" w:type="dxa"/>
            <w:vAlign w:val="bottom"/>
          </w:tcPr>
          <w:p>
            <w:pPr>
              <w:spacing w:after="0"/>
              <w:rPr>
                <w:sz w:val="20"/>
                <w:szCs w:val="20"/>
                <w:color w:val="auto"/>
              </w:rPr>
            </w:pPr>
          </w:p>
        </w:tc>
      </w:tr>
      <w:tr>
        <w:trPr>
          <w:trHeight w:val="41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5.01</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Existence; Subsidiaries; Foreign Qualifications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5.04</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and Administrative Procedures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5.05</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5.09</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Locations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US Employee Benefit Plans; Foreign Pension and Benefit Plans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5.16</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Agreements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5.18</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5.23</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 Accounts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6.17</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7.01</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7.02</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7.03</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229" w:lineRule="exact"/>
        <w:rPr>
          <w:sz w:val="20"/>
          <w:szCs w:val="20"/>
          <w:color w:val="auto"/>
        </w:rPr>
      </w:pPr>
    </w:p>
    <w:p>
      <w:pPr>
        <w:ind w:left="1260" w:hanging="892"/>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27" w:lineRule="exact"/>
        <w:rPr>
          <w:sz w:val="20"/>
          <w:szCs w:val="20"/>
          <w:color w:val="auto"/>
        </w:rPr>
      </w:pPr>
    </w:p>
    <w:p>
      <w:pPr>
        <w:ind w:left="1260" w:hanging="892"/>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1260" w:hanging="892"/>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tbl>
      <w:tblPr>
        <w:tblLayout w:type="fixed"/>
        <w:tblInd w:w="3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Questionnaire</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Tax Compliance Certificate (Non-Partnership Foreign Lenders)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U.S. Tax Compliance Certificate (Non-Partnership Foreign Participants)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E-3</w:t>
            </w: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Tax Compliance Certificate (Foreign Participant Partnerships)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E-4</w:t>
            </w: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Tax Compliance Certificate (Foreign Lender Partnerships)</w:t>
            </w:r>
          </w:p>
        </w:tc>
      </w:tr>
    </w:tbl>
    <w:p>
      <w:pPr>
        <w:spacing w:after="0" w:line="1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219"/>
          </w:cols>
          <w:pgMar w:left="240" w:top="270" w:right="1440"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LOAN CREDIT AGREEMENT</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This TERM LOAN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August 29, 2014,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party hereto and BANK OF AMERICA, N.A., as Administrative Agent.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PRELIMINARY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Borrower desires to acquire 100% of the equity interests of Autocam Corporation,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Borrower has agreed to acquire the Company by effecting a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PMC Global Acquisition Corporation, a Michigan corporation and a Wholly-Owned Subsidiary of the Borrower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being the surviving corporation as a Wholly-Owned Subsidiary of the Borrower.</w:t>
      </w:r>
    </w:p>
    <w:p>
      <w:pPr>
        <w:spacing w:after="0" w:line="176" w:lineRule="exact"/>
        <w:rPr>
          <w:sz w:val="20"/>
          <w:szCs w:val="20"/>
          <w:color w:val="auto"/>
        </w:rPr>
      </w:pPr>
    </w:p>
    <w:p>
      <w:pPr>
        <w:ind w:right="200" w:firstLine="456"/>
        <w:spacing w:after="0" w:line="289" w:lineRule="auto"/>
        <w:rPr>
          <w:sz w:val="20"/>
          <w:szCs w:val="20"/>
          <w:color w:val="auto"/>
        </w:rPr>
      </w:pPr>
      <w:r>
        <w:rPr>
          <w:rFonts w:ascii="Times New Roman" w:cs="Times New Roman" w:eastAsia="Times New Roman" w:hAnsi="Times New Roman"/>
          <w:sz w:val="17"/>
          <w:szCs w:val="17"/>
          <w:color w:val="auto"/>
        </w:rPr>
        <w:t>WHEREAS, the Borrower has requested that, in connection with the consummation of the Merger, the Lenders lend to the Borrower a portion of the consideration necessary (i) to pay to the holders of the Equity Interests of the Company the cash consideration for their Equity Interests in the Company, (ii) to pay transaction fees and expenses and (iii) to refinance certain Indebtedness of the Borrower, the Company and their respective Subsidiaries.</w:t>
      </w:r>
    </w:p>
    <w:p>
      <w:pPr>
        <w:spacing w:after="0" w:line="15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Borrower has requested that the Lenders provide a term loan to the Borrower, and the Lenders have indicated their willingness to lend such term loan to the Borrower, subject to the terms and subject to the conditions set forth herein.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Administrative Agent</w:t>
      </w:r>
      <w:r>
        <w:rPr>
          <w:rFonts w:ascii="Times New Roman" w:cs="Times New Roman" w:eastAsia="Times New Roman" w:hAnsi="Times New Roman"/>
          <w:sz w:val="18"/>
          <w:szCs w:val="18"/>
          <w:color w:val="auto"/>
        </w:rPr>
        <w:t>” means KeyBank and any successor under the ABL Credit Agreement, or if there is no ABL Credit Agreement, the “ABL Administrative Agent” designated pursuant to the terms of the ABL Indebtedness.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has the meaning assigned thereto in the definition of “ABL Facility”.</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means the Credit Agreement entered into by and among the Borrower, certain Subsidiaries of the Borrower as the subsidiary borrowers party thereto, the lenders party thereto in their capacities as lenders thereunder, and KeyBank, as administrative agent and domestic collateral agent thereunder (the “</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including any guarantees, collateral documents and account control agreements, instruments and agreements executed in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40" w:top="270" w:right="299" w:bottom="1440" w:gutter="0" w:footer="0" w:header="0"/>
        </w:sectPr>
      </w:pPr>
    </w:p>
    <w:bookmarkStart w:id="36" w:name="page37"/>
    <w:bookmarkEnd w:id="36"/>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connection therewith, and any amendments, supplements, modifications, extensions, refinancings, renewals or restatements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ABL Facility shall be at all times (a) subject to, and the administrative agent thereunder party to, the Intercreditor Agreement and (b) an asset-based facility with advances thereunder based on a borrowing base.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Indebtedness</w:t>
      </w:r>
      <w:r>
        <w:rPr>
          <w:rFonts w:ascii="Times New Roman" w:cs="Times New Roman" w:eastAsia="Times New Roman" w:hAnsi="Times New Roman"/>
          <w:sz w:val="18"/>
          <w:szCs w:val="18"/>
          <w:color w:val="auto"/>
        </w:rPr>
        <w:t>” means any (a) Indebtedness outstanding from time to time under the ABL Facility and (b) any obligations owing by any Loan Party under any Swap Contract to the ABL Administrative Agent (or any of its Affiliates) or any ABL Lender (or any of its Affiliates) and secured by the ABL Priority Collateral and (c) any facilities or services provided under a Cash Management Agreement incurred with the ABL Administrative Agent (or any of its Affiliates) or any ABL Lender (or any of its Affiliates) and secured by the ABL Priority Collateral.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Lender</w:t>
      </w:r>
      <w:r>
        <w:rPr>
          <w:rFonts w:ascii="Times New Roman" w:cs="Times New Roman" w:eastAsia="Times New Roman" w:hAnsi="Times New Roman"/>
          <w:sz w:val="18"/>
          <w:szCs w:val="18"/>
          <w:color w:val="auto"/>
        </w:rPr>
        <w:t>” means any lender or holder or agent or arranger of ABL Indebtedness under the ABL Facility.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has the meaning assigned to “Loan Documents” in the ABL Credit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has the meaning assigned to “ABL Priority Collateral” in the Intercreditor Agreement.</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or any successor administrative agent.</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 hereto.</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37" w:name="page38"/>
    <w:bookmarkEnd w:id="37"/>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the UK Bribery Act 2010, or other similar legislation in other jurisdictions.</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Facility represented by (i) on or prior to the Closing Date, such Lender’s Commitment at such time and (ii) thereafter, the principal amount of such Lender’s Loans at such time. The initial Applicable Percentage of each Lender in respect of the Facility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4.0% per annum for Base Rate Loans and 5.0% per annum for Eurodollar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Rate with respect to any Incremental Loans shall be determined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MLPFS and KeyBank in their capacities as joint lead arrangers and joint bookrunners.</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collectively, the Borrower Audited Financial Statements and the Company Audited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and (c) the Eurodollar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Audited Financial Statements</w:t>
      </w:r>
      <w:r>
        <w:rPr>
          <w:rFonts w:ascii="Times New Roman" w:cs="Times New Roman" w:eastAsia="Times New Roman" w:hAnsi="Times New Roman"/>
          <w:sz w:val="18"/>
          <w:szCs w:val="18"/>
          <w:color w:val="auto"/>
        </w:rPr>
        <w:t>” means the audited consolidated balance sheet of the Borrower and its Subsidiaries (but not including the Company and its Subsidiaries) for the fiscal year ended December 31, 2013, and the related consolidated statements of income or operations, shareholders’ equity and cash flows for such fiscal year of the Borrower and its Subsidiaries, including the notes thereto.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Pro Forma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borrowing consisting of simultaneous Loans of the same Type and, in the case of Eurodollar Rate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Premium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Distribution</w:t>
      </w:r>
      <w:r>
        <w:rPr>
          <w:rFonts w:ascii="Times New Roman" w:cs="Times New Roman" w:eastAsia="Times New Roman" w:hAnsi="Times New Roman"/>
          <w:sz w:val="18"/>
          <w:szCs w:val="18"/>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common Equity Interests) in respect of the Borrower’s or such Subsidiary’s (as the case may be) capital stock or other Equity Interest.</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means all leases that have been or should be, in accordance with GAAP, recorded as capitalized leases.</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0" w:right="279"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means any type of Investment permitted pursuant to </w:t>
      </w:r>
      <w:r>
        <w:rPr>
          <w:rFonts w:ascii="Times New Roman" w:cs="Times New Roman" w:eastAsia="Times New Roman" w:hAnsi="Times New Roman"/>
          <w:sz w:val="18"/>
          <w:szCs w:val="18"/>
          <w:u w:val="single" w:color="auto"/>
          <w:color w:val="auto"/>
        </w:rPr>
        <w:t>Section 7.03(a)(ii)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(a) at the time it enters into a Cash Management Agreement with a Loan Party, is the Administrative Agent, an Affiliate of the Administrative Agent, a Lender or an Affiliate of a Lender or (b) at the time it (or its Affiliate) becomes the Administrative Agent or a Lender, as applicable (including on the Closing Date), is a party to a Cash Management Agreement with a Loan Party, in each case in its capacity as a party to such Cash Management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right="180" w:firstLine="464"/>
        <w:spacing w:after="0" w:line="261" w:lineRule="auto"/>
        <w:tabs>
          <w:tab w:leader="none" w:pos="7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180" w:lineRule="exact"/>
        <w:rPr>
          <w:rFonts w:ascii="Times New Roman" w:cs="Times New Roman" w:eastAsia="Times New Roman" w:hAnsi="Times New Roman"/>
          <w:sz w:val="18"/>
          <w:szCs w:val="18"/>
          <w:color w:val="auto"/>
        </w:rPr>
      </w:pPr>
    </w:p>
    <w:p>
      <w:pPr>
        <w:ind w:firstLine="464"/>
        <w:spacing w:after="0" w:line="254" w:lineRule="auto"/>
        <w:tabs>
          <w:tab w:leader="none" w:pos="7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w:t>
      </w:r>
    </w:p>
    <w:p>
      <w:pPr>
        <w:spacing w:after="0" w:line="189"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cease to own, directly or indirectly, one hundred percent (100%) of the record and beneficial ownership of each other Loan Party;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720" w:hanging="256"/>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or other similar provision, as defined in any Material Indebtedness Agreement or the ABL Credit Agreement.</w:t>
      </w:r>
    </w:p>
    <w:p>
      <w:pPr>
        <w:spacing w:after="0" w:line="22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40" w:name="page41"/>
    <w:bookmarkEnd w:id="4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Trust Property</w:t>
      </w:r>
      <w:r>
        <w:rPr>
          <w:rFonts w:ascii="Times New Roman" w:cs="Times New Roman" w:eastAsia="Times New Roman" w:hAnsi="Times New Roman"/>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the Intellectual Property Security Agreements, the Mortgages, each of the mortgages, collateral assignments, Security Joinder Agreements, security agreements, pledge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make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“Commitment” or opposite such caption in the Assignment and Assumption pursuant to which such Lender becomes a party hereto, as applicable, as such amount may be adjusted from time to time in accordance with this Agreement.</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Eurodollar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Preliminary Statements.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December 31, 2013, and the related consolidated statements of income or operations, shareholders’ equity and cash flows for such fiscal year of the Company and its Subsidiaries, including the notes thereto.</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0" w:right="279"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event, occurrence, fact, condition, or change that is, or would reasonably be expected to be, individually or in the aggregate, materially adverse to (a) the business, results of operations, condition (financial or otherwise) or assets of the Company or its Subsidiaries on a consolidated basis, or (b) the ability of the Company to consummate the transactions contemplated by the Merger Agreement in accordance with the terms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“Company Material Adverse Effect” shall not include any event, occurrence, fact, condition or change, directly or indirectly, arising out of or attributable to: (i) general economic, financial, social or political conditions; (ii) conditions generally affecting the industries in which the Company or any of its Subsidiaries operates (including legal and regulatory changes); (iii) any changes in financial, debt, credit, banking or securities markets in general; (iv) acts of war (whether or not declared), hostilities or terrorism, political instability or other national or international calamity, crisis or emergency, or any governmental or other response to any of the foregoing, in each case whether or not involving the United States, or the escalation or worsening thereof; (v) acts of God or other natural disasters; (vi) any action required by the Merger Agreement (other than compliance with the initial paragraph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Merger Agreement)); (vii) any changes in applicable Laws or accounting rules, including GAAP, or standards, interpretations or enforcement thereof; (viii) the public announcement, pendency or completion of the transactions contemplated by the Merger Agreement; (ix) the failure to meet any projections or forecasts (but the underlying causes of such failure to meet such projections or forecasts shall be considered, unless such underlying causes would (after giving effect to the proviso below) otherwise be excluded from this definition of Company Material Adverse Effect pursuant to any of clauses (i) to (viii) and (x) hereof) and (x) any act or failure to act consented to in writing or requested by the Borrower, as buyer (and consented to by the Lead Arrangers);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however, that any event, occurrence, fact, condition or change referred to in clauses</w:t>
      </w:r>
    </w:p>
    <w:p>
      <w:pPr>
        <w:spacing w:after="0" w:line="13" w:lineRule="exact"/>
        <w:rPr>
          <w:sz w:val="20"/>
          <w:szCs w:val="20"/>
          <w:color w:val="auto"/>
        </w:rPr>
      </w:pPr>
    </w:p>
    <w:p>
      <w:pPr>
        <w:jc w:val="both"/>
        <w:ind w:right="380" w:firstLine="8"/>
        <w:spacing w:after="0" w:line="255"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or (vii) immediately above shall be taken into account in determining whether a Company Material Adverse Effect has occurred or would reasonably be expected to occur to the extent that such event, occurrence, fact, condition or change has a disproportionate effect on the Company and its Subsidiaries compared to other participants in the industries in which the Company and its Subsidiaries conducts its businesses.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42" w:name="page43"/>
    <w:bookmarkEnd w:id="42"/>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Depreciation and Amortization Charges</w:t>
      </w:r>
      <w:r>
        <w:rPr>
          <w:rFonts w:ascii="Times New Roman" w:cs="Times New Roman" w:eastAsia="Times New Roman" w:hAnsi="Times New Roman"/>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as determined on a consolidated basis, Consolidated Net Earnings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without duplication, the aggregate amounts deducted in determining such Consolidated Net Earnings in respect of: (i) Consolidated Interest Expense, (ii) Consolidated Income Tax Expense, (iii) Consolidated Depreciation and Amortization Charges, (iv) actual non-recurring non-cash restructuring charges to the extent such amounts together do not exceed $10,000,000 in the aggregate over all periods, (v) foreign exchange losses as reported in “Other Income” according to GAAP and the negative impact to Consolidated EBITDA resulting from converting foreign currency-based income to Dollar-based income to the extent such amounts together exceed $10,000,000 for such period, (vi) synergies, cost savings and other pro forma adjustments to actual historical Consolidated EBITDA in connection with the Merger or any Acquisition permitted pursuant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to the extent realized within 12 months of the Merger or such Acquisition,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synergies, cost savings and other adjustments are (A) directly attributable to the Merger or such Acquisition,</w:t>
      </w:r>
    </w:p>
    <w:p>
      <w:pPr>
        <w:spacing w:after="0" w:line="1" w:lineRule="exact"/>
        <w:rPr>
          <w:sz w:val="20"/>
          <w:szCs w:val="20"/>
          <w:color w:val="auto"/>
        </w:rPr>
      </w:pPr>
    </w:p>
    <w:p>
      <w:pPr>
        <w:jc w:val="both"/>
        <w:ind w:right="120" w:firstLine="8"/>
        <w:spacing w:after="0" w:line="250" w:lineRule="auto"/>
        <w:tabs>
          <w:tab w:leader="none" w:pos="2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factually supportable, (C) reasonably identifiable, (D) expected to have a continuing impact on the Borrower and its Subsidiaries and (E) consistent with Regulation S-X of the United States Securities and Exchange Commission and (vii) to the extent deducted in calculating Consolidated Net Earnings for such period, Transaction Costs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without duplication, the aggregate amounts included in determining such Consolidated Net Earnings in respect of:</w:t>
      </w:r>
    </w:p>
    <w:p>
      <w:pPr>
        <w:spacing w:after="0" w:line="1"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unusual non-cash gains not incurred in the ordinary course of business and (ii) foreign exchange gains as reported in Other Income according to GAAP and the positive impact to Consolidated EBITDA resulting from converting foreign currency-based income to Dollar-based income to the extent such amounts together exceed $10,000,000 for such period. For purposes of this Agreement, Consolidated EBITDA shall be adjusted pursuant to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Notwithstanding the foregoing or anything to the contrary contained herein, Consolidated EBITDA for each of the fiscal quarters ended September 30, 2013, December 31, 2013, March 31, 2014 and June 30, 2014 shall be deemed to equal $23,519,000, $22,851,000, $25,024,000 and $27,654,000, respectively.</w:t>
      </w:r>
    </w:p>
    <w:p>
      <w:pPr>
        <w:spacing w:after="0" w:line="187"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at any date, all Indebtedness (including, but not limited to, current, long-term and Subordinated Indebtedness, if any) of the Borrower and its Subsidiaries, as determined on a consolidated basis and in accordance with GAAP.</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Income Tax Expense</w:t>
      </w:r>
      <w:r>
        <w:rPr>
          <w:rFonts w:ascii="Times New Roman" w:cs="Times New Roman" w:eastAsia="Times New Roman" w:hAnsi="Times New Roman"/>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43" w:name="page44"/>
    <w:bookmarkEnd w:id="43"/>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interest expense of the Borrower and its Subsidiaries for such period, as determined on a consolidated basis and in accordance with GAAP.</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Earnings</w:t>
      </w:r>
      <w:r>
        <w:rPr>
          <w:rFonts w:ascii="Times New Roman" w:cs="Times New Roman" w:eastAsia="Times New Roman" w:hAnsi="Times New Roman"/>
          <w:sz w:val="18"/>
          <w:szCs w:val="18"/>
          <w:color w:val="auto"/>
        </w:rPr>
        <w:t xml:space="preserve">” means, for any period, the net income (or loss) of the Borrower and its Subsidiaries for such period, as determined on a consolidated basis and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Earnings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 Net Earnings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clause (b) of this proviso).</w:t>
      </w:r>
    </w:p>
    <w:p>
      <w:pPr>
        <w:spacing w:after="0" w:line="18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shall mean, as determined on a consolidated basis, the ratio of (a) Consolidated Funded Indebtedness (as of the last day of the most recently completed fiscal quarter of the Borrower)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Unrestricted Cash and Cash Equivalents (as of such date) up to an amount not to exceed $10,000,000, to (b) Consolidated EBITDA (for the most recently completed four fiscal quarters of the Borrower).</w:t>
      </w:r>
    </w:p>
    <w:p>
      <w:pPr>
        <w:spacing w:after="0" w:line="176"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Retained Excess Cash Flow Amount</w:t>
      </w:r>
      <w:r>
        <w:rPr>
          <w:rFonts w:ascii="Times New Roman" w:cs="Times New Roman" w:eastAsia="Times New Roman" w:hAnsi="Times New Roman"/>
          <w:sz w:val="18"/>
          <w:szCs w:val="18"/>
          <w:color w:val="auto"/>
        </w:rPr>
        <w:t xml:space="preserve">” means, as of any date of determination, an amount, determined on a cumulative basis equal to the sum of (a) Excess Cash Flow (which shall not be less than zero) for each fiscal year of the Borrower ending on or after December 31, 2015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ECF Prepayment Amount for each such corresponding fiscal year.</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applicable, (a) the public corporate family rating of the Borrower as determined both Moody’s and S&amp;P, (b) the public corporate credit rating of the Borrower as determined by both Moody’s and S&amp;P, and (c) the senior secured debt rating of the Borrower as determined by both Moody’s and S&amp;P.</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44" w:name="page45"/>
    <w:bookmarkEnd w:id="44"/>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 Eurodollar Rate Loan, the Default Rate shall be an interest rate equal to the interest rate (including any Applicable Rate) otherwise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Deposit Account Control Agreement</w:t>
      </w:r>
      <w:r>
        <w:rPr>
          <w:rFonts w:ascii="Times New Roman" w:cs="Times New Roman" w:eastAsia="Times New Roman" w:hAnsi="Times New Roman"/>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for any fiscal year ending on or after December 31, 2015:</w:t>
      </w:r>
    </w:p>
    <w:p>
      <w:pPr>
        <w:spacing w:after="0" w:line="225" w:lineRule="exact"/>
        <w:rPr>
          <w:sz w:val="20"/>
          <w:szCs w:val="20"/>
          <w:color w:val="auto"/>
        </w:rPr>
      </w:pPr>
    </w:p>
    <w:p>
      <w:pPr>
        <w:ind w:left="700" w:hanging="23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if the Consolidated Net Leverage Ratio as of the last day of such fiscal year is greater than 3.00 to 1.00;</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if the Consolidated Net Leverage Ratio as of the last day of such fiscal year is less than or equal to 3.00 to 1.00 but greater than 2.50 to 1.00;</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if the Consolidated Net Leverage Ratio as of the last day of such fiscal year is less than or equal to 2.50 to 1.00 but greater than 2.00 to 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0% if the Consolidated Net Leverage Ratio as of the last day of such fiscal year is less than or equal to 2.00 to 1.00.</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Prepayment Amount</w:t>
      </w:r>
      <w:r>
        <w:rPr>
          <w:rFonts w:ascii="Times New Roman" w:cs="Times New Roman" w:eastAsia="Times New Roman" w:hAnsi="Times New Roman"/>
          <w:sz w:val="18"/>
          <w:szCs w:val="18"/>
          <w:color w:val="auto"/>
        </w:rPr>
        <w:t xml:space="preserve">” means for any fiscal year, the product obtained by multiplying (a) Excess Cash Flow for such fiscal year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applicable ECF Percentage for such fiscal year.</w:t>
      </w:r>
    </w:p>
    <w:p>
      <w:pPr>
        <w:spacing w:after="0" w:line="16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air, surface water, groundwater, drinking water, soil, surface and subsurface strata, and natural resources such as wetland, flora and fauna.</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46" w:name="page47"/>
    <w:bookmarkEnd w:id="46"/>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related to exposure to Hazardous Materials), including those relating to the manufacture, generation, handling, transport, storage, treatment, Release threat of Release of Hazardous Materials.</w:t>
      </w:r>
    </w:p>
    <w:p>
      <w:pPr>
        <w:spacing w:after="0" w:line="162"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spacing w:after="0" w:line="2" w:lineRule="exact"/>
        <w:rPr>
          <w:sz w:val="20"/>
          <w:szCs w:val="20"/>
          <w:color w:val="auto"/>
        </w:rPr>
      </w:pPr>
    </w:p>
    <w:p>
      <w:pPr>
        <w:ind w:right="300" w:firstLine="8"/>
        <w:spacing w:after="0" w:line="261"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Contribution</w:t>
      </w:r>
      <w:r>
        <w:rPr>
          <w:rFonts w:ascii="Times New Roman" w:cs="Times New Roman" w:eastAsia="Times New Roman" w:hAnsi="Times New Roman"/>
          <w:sz w:val="18"/>
          <w:szCs w:val="18"/>
          <w:color w:val="auto"/>
        </w:rPr>
        <w:t>” means the capital contribution to the Borrower from John C. Kennedy.</w:t>
      </w:r>
    </w:p>
    <w:p>
      <w:pPr>
        <w:spacing w:after="0" w:line="225"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0" w:right="23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60" w:firstLine="443"/>
        <w:spacing w:after="0" w:line="258" w:lineRule="auto"/>
        <w:tabs>
          <w:tab w:leader="none" w:pos="11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Eurodollar Rate Loan, the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75" w:lineRule="exact"/>
        <w:rPr>
          <w:rFonts w:ascii="Times New Roman" w:cs="Times New Roman" w:eastAsia="Times New Roman" w:hAnsi="Times New Roman"/>
          <w:sz w:val="18"/>
          <w:szCs w:val="18"/>
          <w:color w:val="auto"/>
        </w:rPr>
      </w:pPr>
    </w:p>
    <w:p>
      <w:pPr>
        <w:ind w:left="460" w:right="100" w:firstLine="443"/>
        <w:spacing w:after="0" w:line="282" w:lineRule="auto"/>
        <w:tabs>
          <w:tab w:leader="none" w:pos="11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LIBOR, at or about 11:00 a.m., London time determined two Business Days prior to such date for U.S. Dollar deposits with a term of one month commencing that day;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 comparable or successor rate is approved by the Administrative Agent in connection herewith, the approved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approved rate shall be applied in a manner as otherwise reasonably determined by the Administrative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in no event shall the Eurodollar Rate be less than 1.00%.</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 Loan</w:t>
      </w:r>
      <w:r>
        <w:rPr>
          <w:rFonts w:ascii="Times New Roman" w:cs="Times New Roman" w:eastAsia="Times New Roman" w:hAnsi="Times New Roman"/>
          <w:sz w:val="18"/>
          <w:szCs w:val="18"/>
          <w:color w:val="auto"/>
        </w:rPr>
        <w:t>” means a Loan that bears interest at a rate based on clause (a) of the definition of the Eurodollar Rate.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5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Excess Cash Flow</w:t>
      </w:r>
      <w:r>
        <w:rPr>
          <w:rFonts w:ascii="Times New Roman" w:cs="Times New Roman" w:eastAsia="Times New Roman" w:hAnsi="Times New Roman"/>
          <w:sz w:val="17"/>
          <w:szCs w:val="17"/>
          <w:color w:val="auto"/>
        </w:rPr>
        <w:t xml:space="preserve">” means, for any fiscal year of the Borrower, the excess (if any) of (a) Consolidated EBITDA for such fiscal year (determined without giving effect to clause (a)(vi) thereof and any adjustments thereto pursuant to </w:t>
      </w:r>
      <w:r>
        <w:rPr>
          <w:rFonts w:ascii="Times New Roman" w:cs="Times New Roman" w:eastAsia="Times New Roman" w:hAnsi="Times New Roman"/>
          <w:sz w:val="17"/>
          <w:szCs w:val="17"/>
          <w:u w:val="single" w:color="auto"/>
          <w:color w:val="auto"/>
        </w:rPr>
        <w:t>Section 1.03(c)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over</w:t>
      </w:r>
      <w:r>
        <w:rPr>
          <w:rFonts w:ascii="Times New Roman" w:cs="Times New Roman" w:eastAsia="Times New Roman" w:hAnsi="Times New Roman"/>
          <w:sz w:val="17"/>
          <w:szCs w:val="17"/>
          <w:color w:val="auto"/>
        </w:rPr>
        <w:t xml:space="preserve"> (b) the sum (for such fiscal year) of</w:t>
      </w:r>
    </w:p>
    <w:p>
      <w:pPr>
        <w:spacing w:after="0" w:line="1" w:lineRule="exact"/>
        <w:rPr>
          <w:sz w:val="20"/>
          <w:szCs w:val="20"/>
          <w:color w:val="auto"/>
        </w:rPr>
      </w:pPr>
    </w:p>
    <w:p>
      <w:pPr>
        <w:ind w:right="20" w:firstLine="8"/>
        <w:spacing w:after="0" w:line="253"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actually paid in cash by the Borrower and its Subsidiaries, (ii) scheduled principal repayments, to the extent actually made in cash, of Loans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(iii) all Consolidated Income Tax Expense actually paid in cash by the Borrower and its Subsidiaries, (iv) Capital Expenditures actually made by the Borrower and its Subsidiaries in cash, and (v) Transaction Costs actually paid by the Borrower and its Subsidiaries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clauses (b)(i) through (v) such payment was not made with proceeds of any Indebtedness, Disposition, equity issuance, Extraordinary Receipts or other proceeds that would not be included in calculating Consolidated EBITDA for the applicable fiscal year.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 Security Agreement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Recipient or required to be withheld or deducted from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(d) any U.S. federal withholding Taxes imposed pursuant to FATCA.</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Company Subordinated Indebtedness</w:t>
      </w:r>
      <w:r>
        <w:rPr>
          <w:rFonts w:ascii="Times New Roman" w:cs="Times New Roman" w:eastAsia="Times New Roman" w:hAnsi="Times New Roman"/>
          <w:sz w:val="18"/>
          <w:szCs w:val="18"/>
          <w:color w:val="auto"/>
        </w:rPr>
        <w:t>” means all Indebtedness evidenced by that certain Subordinated Promissory Note, dated as of March 7, 2013 (as amended through the Closing Date), by and between the Company and Autocam Medical Devices, LLC, a Michigan limited liability company and the other note documents thereunder.</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Third Amended and Restated Credit Agreement dated as of October 26, 2012 (as amended through the Closing Date), among the Borrower, KeyBank, as administrative agent, and a syndicate of lenders party thereto.</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270" w:right="299" w:bottom="1440" w:gutter="0" w:footer="0" w:header="0"/>
        </w:sectPr>
      </w:pPr>
    </w:p>
    <w:bookmarkStart w:id="49" w:name="page50"/>
    <w:bookmarkEnd w:id="49"/>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xml:space="preserve">” means all existing Indebtedness of the Borrower and its Subsidiaries (including, without limitation, the Company and its Subsidiaries), including, without limitation, (a) the Existing KeyBank Indebtedness, (b) the Existing Note Purchase Agreement Indebtedness, (c) the Existing Company Subordinated Indebtedness and (d) the Existing JPMorgan Indebtedness, but excluding Indebtedness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JPMorgan Indebtedness</w:t>
      </w:r>
      <w:r>
        <w:rPr>
          <w:rFonts w:ascii="Times New Roman" w:cs="Times New Roman" w:eastAsia="Times New Roman" w:hAnsi="Times New Roman"/>
          <w:sz w:val="18"/>
          <w:szCs w:val="18"/>
          <w:color w:val="auto"/>
        </w:rPr>
        <w:t>” means all Indebtedness evidenced by that certain Credit Agreement, dated as of June 3, 2010, as amended October 30, 2013 (and as further amended through the Closing Date), by and between the Company and JPMorgan Chase Bank, N.A. and the other loan documents thereunder.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KeyBank Indebtedness</w:t>
      </w:r>
      <w:r>
        <w:rPr>
          <w:rFonts w:ascii="Times New Roman" w:cs="Times New Roman" w:eastAsia="Times New Roman" w:hAnsi="Times New Roman"/>
          <w:sz w:val="18"/>
          <w:szCs w:val="18"/>
          <w:color w:val="auto"/>
        </w:rPr>
        <w:t>” means all Indebtedness evidenced by the Existing Credit Agreement and the other loan documents thereunder.</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 Purchase Agreement</w:t>
      </w:r>
      <w:r>
        <w:rPr>
          <w:rFonts w:ascii="Times New Roman" w:cs="Times New Roman" w:eastAsia="Times New Roman" w:hAnsi="Times New Roman"/>
          <w:sz w:val="18"/>
          <w:szCs w:val="18"/>
          <w:color w:val="auto"/>
        </w:rPr>
        <w:t>” means that certain Third Amended and Restated Note Purchase and Shelf Agreement dated December 21, 2010 (as amended through the Closing Date), among the Borrower and certain note purchasers party thereto.</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 Purchase Agreement Indebtedness</w:t>
      </w:r>
      <w:r>
        <w:rPr>
          <w:rFonts w:ascii="Times New Roman" w:cs="Times New Roman" w:eastAsia="Times New Roman" w:hAnsi="Times New Roman"/>
          <w:sz w:val="18"/>
          <w:szCs w:val="18"/>
          <w:color w:val="auto"/>
        </w:rPr>
        <w:t>” means all Indebtedness evidenced by the Existing Note Purchase Agreement and the other note purchase documents thereunder.</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Receipt</w:t>
      </w:r>
      <w:r>
        <w:rPr>
          <w:rFonts w:ascii="Times New Roman" w:cs="Times New Roman" w:eastAsia="Times New Roman" w:hAnsi="Times New Roman"/>
          <w:sz w:val="18"/>
          <w:szCs w:val="18"/>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at any time, (a) on or prior to the Closing Date, the aggregate amount of the Commitments at such time and (b) thereafter, the aggregate principal amount of the Loans of all Lenders outstanding at such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arranged by Federal funds brokers on such day, as published by the Federal</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270" w:right="319" w:bottom="1440" w:gutter="0" w:footer="0" w:header="0"/>
        </w:sectPr>
      </w:pPr>
    </w:p>
    <w:bookmarkStart w:id="50" w:name="page51"/>
    <w:bookmarkEnd w:id="5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collectively, (a) the letter agreement, dated July 18, 2014, among the Borrower, the Administrative Agent and the Arrangers,</w:t>
      </w:r>
    </w:p>
    <w:p>
      <w:pPr>
        <w:spacing w:after="0" w:line="27" w:lineRule="exact"/>
        <w:rPr>
          <w:sz w:val="20"/>
          <w:szCs w:val="20"/>
          <w:color w:val="auto"/>
        </w:rPr>
      </w:pPr>
    </w:p>
    <w:p>
      <w:pPr>
        <w:ind w:right="360" w:firstLine="8"/>
        <w:spacing w:after="0" w:line="26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agreement, dated July 18, 2014, among the Borrower, the Administrative Agent and the MLPFS and (c) the letter agreement, dated July 18, 2014, among the Borrower and KeyBank.</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the Company or any of its Subsidiaries have any liability with respect to any employee or former employee, but excluding any Foreign Pension Plan.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Excess Cash Flow</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means a pension plan required to be registered under the law of a jurisdiction other than the United States (or a state or local government thereof), that is maintained or contributed to by the Company or any of its Subsidiaries for their employees or former employees.</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any political subdivision other than any political subdivision of the United States.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270" w:right="319" w:bottom="1440" w:gutter="0" w:footer="0" w:header="0"/>
        </w:sectPr>
      </w:pPr>
    </w:p>
    <w:bookmarkStart w:id="51" w:name="page52"/>
    <w:bookmarkEnd w:id="51"/>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Indemnity Letter</w:t>
      </w:r>
      <w:r>
        <w:rPr>
          <w:rFonts w:ascii="Times New Roman" w:cs="Times New Roman" w:eastAsia="Times New Roman" w:hAnsi="Times New Roman"/>
          <w:sz w:val="18"/>
          <w:szCs w:val="18"/>
          <w:color w:val="auto"/>
        </w:rPr>
        <w:t>” means, a letter agreement, in form and substance reasonably satisfactory to the Administrative Agent, that the Borrower will promptly compensate each Lender for and hold such Lender harmless from any loss, cost or expense incurred by it as a result of Borrower’s failure to borrow any Loan other than a Base Rate Loan on the Closing Date.</w:t>
      </w:r>
    </w:p>
    <w:p>
      <w:pPr>
        <w:spacing w:after="0" w:line="176"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any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00"/>
          </w:cols>
          <w:pgMar w:left="240" w:top="270" w:right="359" w:bottom="1440" w:gutter="0" w:footer="0" w:header="0"/>
        </w:sectPr>
      </w:pPr>
    </w:p>
    <w:bookmarkStart w:id="52" w:name="page53"/>
    <w:bookmarkEnd w:id="52"/>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(a) the Domestic Subsidiaries of the Borrower (other than Inactive Subsidiaries and Immaterial Subsidiaries)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and each other Subsidiary of the Borrower that shall be required to execute and deliver a Guaranty or guaranty supplement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(b) with respect to (i) Obligations owing by any Loan Party or any Subsidiary of a Loan Party (other than the Borrower) under any Hedge Agreement or any Cash Management Agreement and (ii) the payment and performance by each Specified Loan Party of its obligations under its Guaranty with respect to all Swap Obligations, the Borrower.</w:t>
      </w:r>
    </w:p>
    <w:p>
      <w:pPr>
        <w:spacing w:after="0" w:line="180"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collectively, the Guaranty made by the Guarantor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 favor of the Secured Parties, together with each other guaranty and guaranty supplement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any Person that (a) at the time it enters into a Swap Contract with a Loan Party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is the Administrative Agent, an Affiliate of the Administrative Agent, a Lender or an Affiliate of a Lender or (b) at the time it (or its Affiliate) becomes the Administrative Agent or a Lender, as applicable (including on the Closing Date), is a party to a Swap Contract with a Loan Party, in each case in its capacity as a party to such Swap Contract.</w:t>
      </w:r>
    </w:p>
    <w:p>
      <w:pPr>
        <w:spacing w:after="0" w:line="18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 delivered under or referred to herein.</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of the Borrower that, (a) together with its Subsidiaries, (i) contributed less than 2% of the Consolidated EBITDA of the Borrower and its Subsidiaries, taken as a whole, during the most recently-ended four fiscal quarter period (taken as a single period) and (ii) as of any applicable date of determination has assets that constitute less than 2%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Inactive Subsidiaries or Immaterial Subsidiaries) and (e) has not been designated to be a Loan Party pursuant to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Inactive Subsidiary</w:t>
      </w:r>
      <w:r>
        <w:rPr>
          <w:rFonts w:ascii="Times New Roman" w:cs="Times New Roman" w:eastAsia="Times New Roman" w:hAnsi="Times New Roman"/>
          <w:sz w:val="18"/>
          <w:szCs w:val="18"/>
          <w:color w:val="auto"/>
        </w:rPr>
        <w:t>” means any Subsidiary of the Borrower that (a) owns no assets (other than assets of de minimis value), has no Subsidiaries (other than other Inactive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0" w:right="239" w:bottom="1440" w:gutter="0" w:footer="0" w:header="0"/>
        </w:sectPr>
      </w:pPr>
    </w:p>
    <w:bookmarkStart w:id="53" w:name="page54"/>
    <w:bookmarkEnd w:id="5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Subsidiaries) and conducts no operations,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and (d) has not been designated to be a Loan Party pursuant to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Joinder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Maturity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2.14(c).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means any loans made pursuant to any Incremental Commitments.</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54" w:lineRule="exact"/>
        <w:rPr>
          <w:sz w:val="20"/>
          <w:szCs w:val="20"/>
          <w:color w:val="auto"/>
        </w:rPr>
      </w:pPr>
    </w:p>
    <w:p>
      <w:pPr>
        <w:ind w:left="460" w:right="20" w:firstLine="443"/>
        <w:spacing w:after="0" w:line="282" w:lineRule="auto"/>
        <w:tabs>
          <w:tab w:leader="none" w:pos="11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ind w:left="460" w:firstLine="443"/>
        <w:spacing w:after="0" w:line="282" w:lineRule="auto"/>
        <w:tabs>
          <w:tab w:leader="none" w:pos="11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117" w:lineRule="exact"/>
        <w:rPr>
          <w:rFonts w:ascii="Times New Roman" w:cs="Times New Roman" w:eastAsia="Times New Roman" w:hAnsi="Times New Roman"/>
          <w:sz w:val="18"/>
          <w:szCs w:val="18"/>
          <w:color w:val="auto"/>
        </w:rPr>
      </w:pPr>
    </w:p>
    <w:p>
      <w:pPr>
        <w:ind w:left="460" w:firstLine="443"/>
        <w:spacing w:after="0" w:line="266" w:lineRule="auto"/>
        <w:tabs>
          <w:tab w:leader="none" w:pos="11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68" w:lineRule="exact"/>
        <w:rPr>
          <w:rFonts w:ascii="Times New Roman" w:cs="Times New Roman" w:eastAsia="Times New Roman" w:hAnsi="Times New Roman"/>
          <w:sz w:val="18"/>
          <w:szCs w:val="18"/>
          <w:color w:val="auto"/>
        </w:rPr>
      </w:pPr>
    </w:p>
    <w:p>
      <w:pPr>
        <w:ind w:left="460" w:right="300" w:firstLine="443"/>
        <w:spacing w:after="0" w:line="266" w:lineRule="auto"/>
        <w:tabs>
          <w:tab w:leader="none" w:pos="11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in respect of Capitalized Leases and Synthetic Lease Obligations of such Person and all Synthetic Debt of such</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98" w:lineRule="exact"/>
        <w:rPr>
          <w:rFonts w:ascii="Times New Roman" w:cs="Times New Roman" w:eastAsia="Times New Roman" w:hAnsi="Times New Roman"/>
          <w:sz w:val="18"/>
          <w:szCs w:val="18"/>
          <w:color w:val="auto"/>
        </w:rPr>
      </w:pPr>
    </w:p>
    <w:p>
      <w:pPr>
        <w:ind w:left="460" w:right="120" w:firstLine="443"/>
        <w:spacing w:after="0" w:line="266" w:lineRule="auto"/>
        <w:tabs>
          <w:tab w:leader="none" w:pos="11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0" w:right="279" w:bottom="1440" w:gutter="0" w:footer="0" w:header="0"/>
        </w:sectPr>
      </w:pPr>
    </w:p>
    <w:bookmarkStart w:id="54" w:name="page55"/>
    <w:bookmarkEnd w:id="54"/>
    <w:p>
      <w:pPr>
        <w:ind w:left="460" w:right="40" w:firstLine="443"/>
        <w:spacing w:after="0" w:line="282" w:lineRule="auto"/>
        <w:tabs>
          <w:tab w:leader="none" w:pos="11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such Person with respect to asset securitization financing programs to the extent that there is recourse against such Person or such Person is liable (contingent or otherwise) under any such program; and</w:t>
      </w:r>
    </w:p>
    <w:p>
      <w:pPr>
        <w:spacing w:after="0" w:line="53"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the intercreditor agreement dated as of the Closing Date, in form and substance acceptable to the Administrative Agent, among the ABL Administrative Agent (and any successor thereto under the ABL Credit Agreement), the Administrative Agent, and acknowledged by the Borrower and each other Loan Party, as it may be amended, supplemented, modified, replaced or restated from time to time in accordance with this Agreement.</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Eurodollar Rate Loan,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920" w:right="100" w:firstLine="421"/>
        <w:spacing w:after="0" w:line="282" w:lineRule="auto"/>
        <w:tabs>
          <w:tab w:leader="none" w:pos="15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55" w:name="page56"/>
    <w:bookmarkEnd w:id="55"/>
    <w:p>
      <w:pPr>
        <w:ind w:left="920"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case of a Eurodollar Rate Loan, such Business Day falls in another calendar month, in which case such Interest Period shall end on the next preceding Business Day;</w:t>
      </w:r>
    </w:p>
    <w:p>
      <w:pPr>
        <w:spacing w:after="0" w:line="54" w:lineRule="exact"/>
        <w:rPr>
          <w:sz w:val="20"/>
          <w:szCs w:val="20"/>
          <w:color w:val="auto"/>
        </w:rPr>
      </w:pPr>
    </w:p>
    <w:p>
      <w:pPr>
        <w:ind w:left="920" w:right="120" w:firstLine="421"/>
        <w:spacing w:after="0" w:line="266" w:lineRule="auto"/>
        <w:tabs>
          <w:tab w:leader="none" w:pos="16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8"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KeyBank</w:t>
      </w:r>
      <w:r>
        <w:rPr>
          <w:rFonts w:ascii="Times New Roman" w:cs="Times New Roman" w:eastAsia="Times New Roman" w:hAnsi="Times New Roman"/>
          <w:sz w:val="18"/>
          <w:szCs w:val="18"/>
          <w:color w:val="auto"/>
        </w:rPr>
        <w:t>” means KeyBank National Association.</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(a) at any time on or prior to the Closing Date, any Lender that has a Commitment at such time and (b) at any time after the Closing Date, any Lender that holds Loans at such time.</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270" w:right="319"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(a) this Agreement, (b) the Notes, (c) the Guaranty, (d) the Collateral Documents, (e) the Intercreditor Agreement and (f) the Fee Letters.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day on which dealings in Dollar deposits are conducted by and between banks in the London interbank eurodollar market.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liabilities (actual or contingent), operations, condition (financial or otherwise) or prospects of the Borrower, (b) the business, assets, liabilities (actual or contingent), operations, condition (financial or otherwise) or prospects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 Agreement</w:t>
      </w:r>
      <w:r>
        <w:rPr>
          <w:rFonts w:ascii="Times New Roman" w:cs="Times New Roman" w:eastAsia="Times New Roman" w:hAnsi="Times New Roman"/>
          <w:sz w:val="18"/>
          <w:szCs w:val="18"/>
          <w:color w:val="auto"/>
        </w:rPr>
        <w:t>” means any debt instrument, lease (capital, operating or otherwise), guaranty, contract, commitment, agreement or other arrangement evidencing or entered into in connection with any Indebtedness of the Borrower or any Subsidiary in excess of $20,000,000.</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real property owned by a Loan Party in fee simple or leasehold real property of a Loan Party that (a) has a fair market value of $5,000,000 or (b) is designated by the Borrower in accordance with </w:t>
      </w:r>
      <w:r>
        <w:rPr>
          <w:rFonts w:ascii="Times New Roman" w:cs="Times New Roman" w:eastAsia="Times New Roman" w:hAnsi="Times New Roman"/>
          <w:sz w:val="18"/>
          <w:szCs w:val="18"/>
          <w:u w:val="single" w:color="auto"/>
          <w:color w:val="auto"/>
        </w:rPr>
        <w:t>Section 6.12(h)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later of (a) August 29, 2021 and (b) if maturity is extended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such extended maturity date as determined pursuant to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if such date is not a Business Day, the Maturity Date shall be the next preceding Business Day.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specified in the Preliminary Statements.</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(including all schedules and exhibits thereto and all Ancillary Agreements (as defined therein)) dated as of July 18, 2014 among (a) the Borrower, as buyer, (b) Merger Sub, as merger subsidiary, (c) the Company, (d) Newport Global Advisors, L.P., in its capacity as a shareholder representative thereunder and (e) John C. Kennedy, in its capacity as a shareholder representative thereunder and with respect to certain sections thereunder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specified in the Preliminary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MLPFS</w:t>
      </w:r>
      <w:r>
        <w:rPr>
          <w:rFonts w:ascii="Times New Roman" w:cs="Times New Roman" w:eastAsia="Times New Roman" w:hAnsi="Times New Roman"/>
          <w:sz w:val="18"/>
          <w:szCs w:val="18"/>
          <w:color w:val="auto"/>
        </w:rPr>
        <w:t>” means Merrill Lynch, Pierce, Fenner &amp; Smith Incorporated.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0" w:right="239"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any real property owned in fee simple by any Loan Party or leased by any Loan Party, which real property is or is intended under the terms hereof to be subject to a Lien in favor of the Administrative Agent for the benefit of the Secured Parties.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60" w:firstLine="443"/>
        <w:spacing w:after="0" w:line="253" w:lineRule="auto"/>
        <w:tabs>
          <w:tab w:leader="none" w:pos="11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(1) Indebtedness under the Loan Documents or (2) the ABL Indebtedness),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amount of any estimated taxes pursuant to this subclause (C) exceeds the amount of taxes actually required to be paid in cash in respect of such Disposition, the aggregate amount of such excess shall constitute Net Cash Proceeds and (D) amounts held in any reserve created for escrow, holdback, indemnity or similar obligations of the Borrower or any of its Subsidiaries in connection with such Disposition (provided that (1) such amounts held in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0" w:right="279" w:bottom="1440" w:gutter="0" w:footer="0" w:header="0"/>
        </w:sectPr>
      </w:pPr>
    </w:p>
    <w:bookmarkStart w:id="58" w:name="page59"/>
    <w:bookmarkEnd w:id="58"/>
    <w:p>
      <w:pPr>
        <w:ind w:left="46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reserves shall not exceed 10% of the gross cash proceeds received with respect to such Disposition and (2) such amounts held in such reserves shall constitute Net Cash Proceeds upon release to, or receipt by, the Borrower or any of its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cash or Cash Equivalents received in connection with any Disposition or Extraordinary Receipt shall only constitute Net Cash Proceeds under this clause (a) in any fiscal year to the extent that the aggregate amount of such cash and Cash Equivalents received in such fiscal year exceeds $3,000,000 (and solely to the extent of such excess); and</w:t>
      </w:r>
    </w:p>
    <w:p>
      <w:pPr>
        <w:spacing w:after="0" w:line="76" w:lineRule="exact"/>
        <w:rPr>
          <w:sz w:val="20"/>
          <w:szCs w:val="20"/>
          <w:color w:val="auto"/>
        </w:rPr>
      </w:pPr>
    </w:p>
    <w:p>
      <w:pPr>
        <w:ind w:left="460" w:right="60" w:firstLine="443"/>
        <w:spacing w:after="0" w:line="266" w:lineRule="auto"/>
        <w:tabs>
          <w:tab w:leader="none" w:pos="11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(ii) has been approved by the Required Lenders.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provided that the Obligations shall exclude any Excluded Swap Obligations.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59" w:name="page60"/>
    <w:bookmarkEnd w:id="59"/>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Foreign Subsidiary and other Loans and Investments</w:t>
      </w:r>
      <w:r>
        <w:rPr>
          <w:rFonts w:ascii="Times New Roman" w:cs="Times New Roman" w:eastAsia="Times New Roman" w:hAnsi="Times New Roman"/>
          <w:sz w:val="18"/>
          <w:szCs w:val="18"/>
          <w:color w:val="auto"/>
        </w:rPr>
        <w:t>” means, collectively:</w:t>
      </w:r>
    </w:p>
    <w:p>
      <w:pPr>
        <w:spacing w:after="0" w:line="117" w:lineRule="exact"/>
        <w:rPr>
          <w:sz w:val="20"/>
          <w:szCs w:val="20"/>
          <w:color w:val="auto"/>
        </w:rPr>
      </w:pPr>
    </w:p>
    <w:p>
      <w:pPr>
        <w:ind w:left="460" w:right="140" w:firstLine="443"/>
        <w:spacing w:after="0" w:line="282" w:lineRule="auto"/>
        <w:tabs>
          <w:tab w:leader="none" w:pos="11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existing as of the Closing Date by the Borrower or any of its Subsidiaries in, and any loan existing as of the Closing Date by the Borrower or any of its Subsidiaries to, a Foreign Subsidiary, as set forth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 xml:space="preserve"> hereto;</w:t>
      </w:r>
    </w:p>
    <w:p>
      <w:pPr>
        <w:spacing w:after="0" w:line="53" w:lineRule="exact"/>
        <w:rPr>
          <w:rFonts w:ascii="Times New Roman" w:cs="Times New Roman" w:eastAsia="Times New Roman" w:hAnsi="Times New Roman"/>
          <w:sz w:val="18"/>
          <w:szCs w:val="18"/>
          <w:color w:val="auto"/>
        </w:rPr>
      </w:pPr>
    </w:p>
    <w:p>
      <w:pPr>
        <w:ind w:left="460" w:right="120" w:firstLine="443"/>
        <w:spacing w:after="0" w:line="266" w:lineRule="auto"/>
        <w:tabs>
          <w:tab w:leader="none" w:pos="11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by a Foreign Subsidiary in, or loan from a Foreign Subsidiary to, or Guarantee by a Foreign Subsidiary of Indebtedness of,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loan is subordinated to the Obligations on terms and conditions satisfactory to the Administrative Agent (unless such subordination requirement is waived by the Administrative Agent in its sole discretion); and</w:t>
      </w:r>
    </w:p>
    <w:p>
      <w:pPr>
        <w:spacing w:after="0" w:line="68" w:lineRule="exact"/>
        <w:rPr>
          <w:rFonts w:ascii="Times New Roman" w:cs="Times New Roman" w:eastAsia="Times New Roman" w:hAnsi="Times New Roman"/>
          <w:sz w:val="18"/>
          <w:szCs w:val="18"/>
          <w:color w:val="auto"/>
        </w:rPr>
      </w:pPr>
    </w:p>
    <w:p>
      <w:pPr>
        <w:ind w:left="460" w:right="100" w:firstLine="443"/>
        <w:spacing w:after="0" w:line="258" w:lineRule="auto"/>
        <w:tabs>
          <w:tab w:leader="none" w:pos="11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investment by any Loan Party in, or loan by any Loan Party to, or Guarantee by any Loan Party of the Indebtedness of, a Foreign Subsidiary or (ii) any investment by any Loan Party in the Equity Interest of, or loan, contribution or advance by any Loan Party to, a Person (other than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(as determined when each such investment, loan, Guarantee, contribution or advance is made and after giving effect thereto) of all such investments, loans, Guarantees, contributions and advances made pursuant to clauses (i) and (ii) above shall not exceed $20,000,000 during any fiscal year and $50,000,000 during the term of this Agreement.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0" w:right="279" w:bottom="1440" w:gutter="0" w:footer="0" w:header="0"/>
        </w:sectPr>
      </w:pPr>
    </w:p>
    <w:bookmarkStart w:id="60" w:name="page61"/>
    <w:bookmarkEnd w:id="60"/>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Intercompany Note</w:t>
      </w:r>
      <w:r>
        <w:rPr>
          <w:rFonts w:ascii="Times New Roman" w:cs="Times New Roman" w:eastAsia="Times New Roman" w:hAnsi="Times New Roman"/>
          <w:sz w:val="18"/>
          <w:szCs w:val="18"/>
          <w:color w:val="auto"/>
        </w:rPr>
        <w:t>” means any promissory note made by any Subsidiary to the Borrower or a Loan Party, whether now owned or hereafter acquired by the Borrower or such Loan Party.</w:t>
      </w:r>
    </w:p>
    <w:p>
      <w:pPr>
        <w:spacing w:after="0" w:line="16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Leverage Test</w:t>
      </w:r>
      <w:r>
        <w:rPr>
          <w:rFonts w:ascii="Times New Roman" w:cs="Times New Roman" w:eastAsia="Times New Roman" w:hAnsi="Times New Roman"/>
          <w:sz w:val="18"/>
          <w:szCs w:val="18"/>
          <w:color w:val="auto"/>
        </w:rPr>
        <w:t xml:space="preserve">” means, as of any date of determination, with respect to any applicable transaction, a pro forma Consolidated Net Leverage Ratio that is equal to or less than 4.00 to 1.00, in each case, determined based on the financial information received for the fiscal quarter (or fiscal year, as applicable) most recently ended prior to such date for which financial statements have been delivered to the Administrative Agent pursuant to </w:t>
      </w:r>
      <w:r>
        <w:rPr>
          <w:rFonts w:ascii="Times New Roman" w:cs="Times New Roman" w:eastAsia="Times New Roman" w:hAnsi="Times New Roman"/>
          <w:sz w:val="18"/>
          <w:szCs w:val="18"/>
          <w:u w:val="single" w:color="auto"/>
          <w:color w:val="auto"/>
        </w:rPr>
        <w:t>Section 4.01(a)</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as applicable, after giving effect to such other transaction and any concurrent repayment or prepayment of Indebtedness in connection therewith.</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Requirements</w:t>
      </w:r>
      <w:r>
        <w:rPr>
          <w:rFonts w:ascii="Times New Roman" w:cs="Times New Roman" w:eastAsia="Times New Roman" w:hAnsi="Times New Roman"/>
          <w:sz w:val="18"/>
          <w:szCs w:val="18"/>
          <w:color w:val="auto"/>
        </w:rPr>
        <w:t xml:space="preserve">” means, with respect to any Material Real Property, the documentation and other items of the type specified in Section 1 of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any other recipient of any payment to be made by or on account of any obligation of any Loan Party hereunder.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Documents</w:t>
      </w:r>
      <w:r>
        <w:rPr>
          <w:rFonts w:ascii="Times New Roman" w:cs="Times New Roman" w:eastAsia="Times New Roman" w:hAnsi="Times New Roman"/>
          <w:sz w:val="18"/>
          <w:szCs w:val="18"/>
          <w:color w:val="auto"/>
        </w:rPr>
        <w:t>” means, collectively, (a) the Merger Agreement, (b) the “Ancillary Agreements” (as defined in the Merger Agreement) and (c) all other material documents entered into by any Loan Party in connection with the Merger.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270" w:right="299" w:bottom="1440" w:gutter="0" w:footer="0" w:header="0"/>
        </w:sectPr>
      </w:pPr>
    </w:p>
    <w:bookmarkStart w:id="61" w:name="page62"/>
    <w:bookmarkEnd w:id="61"/>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62"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ind w:right="60" w:firstLine="45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Repricing Event</w:t>
      </w:r>
      <w:r>
        <w:rPr>
          <w:rFonts w:ascii="Times New Roman" w:cs="Times New Roman" w:eastAsia="Times New Roman" w:hAnsi="Times New Roman"/>
          <w:sz w:val="17"/>
          <w:szCs w:val="17"/>
          <w:color w:val="auto"/>
        </w:rPr>
        <w:t>” means (a) any prepayment or repayment of the initial Loans (or any portion thereof) with the proceeds of, or any conversion of initial Loans into, any new or replacement Indebtedness bearing interest with an “effective yield” (taking into account, for example, upfront fees, interest rate spreads, interest rate benchmark floors and original issue discount, but excluding the effect of any arrangement, structuring, syndication or other fees payable in connection therewith that are not shared with all lenders or holders of the initial Loans or such new or replacement Indebtedness, as the case may be) less than the “effective yield” applicable to all or a portion of the initial Loans subject to such prepayment or repayment (as such comparative yields are determined by the Administrative Agent) or (b) any amendment to this Agreement which reduces the “effective yield” (determined in accordance with clause</w:t>
      </w:r>
    </w:p>
    <w:p>
      <w:pPr>
        <w:spacing w:after="0"/>
        <w:rPr>
          <w:sz w:val="20"/>
          <w:szCs w:val="20"/>
          <w:color w:val="auto"/>
        </w:rPr>
      </w:pPr>
      <w:r>
        <w:rPr>
          <w:rFonts w:ascii="Times New Roman" w:cs="Times New Roman" w:eastAsia="Times New Roman" w:hAnsi="Times New Roman"/>
          <w:sz w:val="18"/>
          <w:szCs w:val="18"/>
          <w:color w:val="auto"/>
        </w:rPr>
        <w:t>(a) above) applicable to all or a portion of the initial Loans.</w:t>
      </w:r>
    </w:p>
    <w:p>
      <w:pPr>
        <w:spacing w:after="0" w:line="207"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holding more than 50% of the Total Outstandings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portion of the Total Outstandings held by any Defaulting Lender shall be excluded for purposes of making a determination of Required Lenders.</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secretary or any assistant secretary of a Loan Party and, solely for the purposes of notices given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with respect to the Borrower or any of its Subsidiaries, (a) any Capital Distribution and (b) any amount paid by the Borrower or any of its Subsidiaries in repayment, redemption, retirement or repurchase, directly or indirectly, of any Subordinated Indebtedness.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62" w:name="page63"/>
    <w:bookmarkEnd w:id="62"/>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any Loan Party and any Cash Management Bank.</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xml:space="preserve">” means any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that is entered into by and between any Loan Party and any Hedge Bank.</w:t>
      </w:r>
    </w:p>
    <w:p>
      <w:pPr>
        <w:spacing w:after="0" w:line="162"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Hedge Banks, the Cash Management Banks,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and the other Persons the Obligations owing to which are or are purported to be secured by the Collateral under the terms of the Collateral Documents.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w:t>
      </w:r>
      <w:r>
        <w:rPr>
          <w:rFonts w:ascii="Times New Roman" w:cs="Times New Roman" w:eastAsia="Times New Roman" w:hAnsi="Times New Roman"/>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Joinder Agreement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means any Loan Party that is not an “eligible contract participant” under the Commodity Exchange Act (determined prior to giving effect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 Security Agreement and any other “keepwell, support or other agreement” for the benefit of such Loan Party).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270" w:right="279" w:bottom="1440" w:gutter="0" w:footer="0" w:header="0"/>
        </w:sectPr>
      </w:pPr>
    </w:p>
    <w:bookmarkStart w:id="63" w:name="page64"/>
    <w:bookmarkEnd w:id="63"/>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Merger Agreement Representations</w:t>
      </w:r>
      <w:r>
        <w:rPr>
          <w:rFonts w:ascii="Times New Roman" w:cs="Times New Roman" w:eastAsia="Times New Roman" w:hAnsi="Times New Roman"/>
          <w:sz w:val="18"/>
          <w:szCs w:val="18"/>
          <w:color w:val="auto"/>
        </w:rPr>
        <w:t>” means the representations and warranties made by, or with respect to, the Company and its Subsidiaries in the Merger Agreement as are material to the interests of the Lenders (in their capacities as such), but only to the extent that the Borrower (or any of its Affiliates) have the right to terminate the Borrower’s obligations under the Merger Agreement (or decline or otherwise refuse to consummate the Merger pursuant to the Merger Agreement) as a result of a breach of any such representation and warranty in the Merger Agreement or any such representation and warranty not being accurate (in each case, determined without regard to any notice requirement).</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(other than clauses (b) and (c) thereof),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xml:space="preserve"> (subject to the last sentence of Section 4.01(a) with respect to the perfection of liens),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(determined for this purpose for the Borrower and its Subsidiaries on a consolidated basis as of the Closing Date and after giving effect to the Transactions),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refer to a Subsidiary or Subsidiaries of the Borrower.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specified in the Preliminary Statements.</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0" w:right="239" w:bottom="1440" w:gutter="0" w:footer="0" w:header="0"/>
        </w:sectPr>
      </w:pPr>
    </w:p>
    <w:bookmarkStart w:id="64" w:name="page65"/>
    <w:bookmarkEnd w:id="64"/>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or as a liability on the consolidated balance sheet of such Person and its Subsidiaries in accordance with GAAP.</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ind w:right="100" w:firstLine="8"/>
        <w:spacing w:after="0" w:line="255"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on any date, the aggregate outstanding principal amount of the Loans after giving effect to any borrowings and prepayments or repayments of the Loans occurring on such date.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consummation of the Equity Contribution, (b) the consummation of the Merger, (c) the closing of the ABL Facility, (d) the entering into by the Loan Parties and their applicable Subsidiaries of the Loan Documents and the Related Documents to which they are or are intended to be a party, (e) the refinancing of the Existing Indebtedness and the termination of all commitments with respect thereto and (f) the payment of the fees and expenses incurred in connection with the consummation of the foregoing.</w:t>
      </w:r>
    </w:p>
    <w:p>
      <w:pPr>
        <w:spacing w:after="0" w:line="180"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means all customary and reasonable transaction fees, charges and other similar amounts related to the Transactions or any Acquisitions completed during the term of this Agreement in accordance with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(including, without limitation, any financing fees, merger and acquisition fees, legal fees and expenses, due diligence fees or any other fees and expenses in connection therewith), in each case to the extent paid within six</w:t>
      </w:r>
    </w:p>
    <w:p>
      <w:pPr>
        <w:spacing w:after="0" w:line="2" w:lineRule="exact"/>
        <w:rPr>
          <w:sz w:val="20"/>
          <w:szCs w:val="20"/>
          <w:color w:val="auto"/>
        </w:rPr>
      </w:pPr>
    </w:p>
    <w:p>
      <w:pPr>
        <w:ind w:left="5620" w:right="5280" w:hanging="5612"/>
        <w:spacing w:after="0" w:line="433"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Closing Date or the closing date of such Acquisition, as applicable. 30</w:t>
      </w:r>
    </w:p>
    <w:p>
      <w:pPr>
        <w:sectPr>
          <w:pgSz w:w="11900" w:h="16838" w:orient="portrait"/>
          <w:cols w:equalWidth="0" w:num="1">
            <w:col w:w="11420"/>
          </w:cols>
          <w:pgMar w:left="240" w:top="270" w:right="239"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or a Eurodollar Rate Loan.</w:t>
      </w:r>
    </w:p>
    <w:p>
      <w:pPr>
        <w:spacing w:after="0" w:line="225"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and Cash Equivalents</w:t>
      </w:r>
      <w:r>
        <w:rPr>
          <w:rFonts w:ascii="Times New Roman" w:cs="Times New Roman" w:eastAsia="Times New Roman" w:hAnsi="Times New Roman"/>
          <w:sz w:val="18"/>
          <w:szCs w:val="18"/>
          <w:color w:val="auto"/>
        </w:rPr>
        <w:t>” means, with respect to the Borrower and its Subsidiaries, cash or Cash Equivalents of the Borrower and its Subsidiaries that (a) do not appear, or would not be required to appear, as “restricted” on the financial statements of the Borrower and its Subsidiaries (unless related to the Loan Documents, the ABL Loan Documents or the Liens created thereunder) and (b) are held in a domestic account in which the Administrative Agent has a perfected security interest securing the Obligations.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4"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w:t>
      </w:r>
    </w:p>
    <w:p>
      <w:pPr>
        <w:spacing w:after="0" w:line="99" w:lineRule="exact"/>
        <w:rPr>
          <w:sz w:val="20"/>
          <w:szCs w:val="20"/>
          <w:color w:val="auto"/>
        </w:rPr>
      </w:pPr>
    </w:p>
    <w:p>
      <w:pPr>
        <w:ind w:left="460" w:right="220" w:firstLine="443"/>
        <w:spacing w:after="0" w:line="282" w:lineRule="auto"/>
        <w:tabs>
          <w:tab w:leader="none" w:pos="11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0" w:right="23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83" w:lineRule="exact"/>
        <w:rPr>
          <w:sz w:val="20"/>
          <w:szCs w:val="20"/>
          <w:color w:val="auto"/>
        </w:rPr>
      </w:pPr>
    </w:p>
    <w:p>
      <w:pPr>
        <w:ind w:right="140" w:firstLine="443"/>
        <w:spacing w:after="0" w:line="282" w:lineRule="auto"/>
        <w:tabs>
          <w:tab w:leader="none" w:pos="6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443"/>
        <w:spacing w:after="0" w:line="282" w:lineRule="auto"/>
        <w:tabs>
          <w:tab w:leader="none" w:pos="6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3"/>
        <w:spacing w:after="0" w:line="255" w:lineRule="auto"/>
        <w:tabs>
          <w:tab w:leader="none" w:pos="6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81" w:lineRule="exact"/>
        <w:rPr>
          <w:rFonts w:ascii="Times New Roman" w:cs="Times New Roman" w:eastAsia="Times New Roman" w:hAnsi="Times New Roman"/>
          <w:sz w:val="18"/>
          <w:szCs w:val="18"/>
          <w:color w:val="auto"/>
        </w:rPr>
      </w:pPr>
    </w:p>
    <w:p>
      <w:pPr>
        <w:ind w:right="180" w:firstLine="443"/>
        <w:spacing w:after="0" w:line="282" w:lineRule="auto"/>
        <w:tabs>
          <w:tab w:leader="none" w:pos="6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If at any time any change in GAAP (including the adoption of IFRS) would affect the computation of any financial ratio or requirement set forth in any Loan Document, and either the Borrower or the Required Lenders shall so</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700" w:top="270" w:right="239" w:bottom="1440" w:gutter="0" w:footer="0" w:header="0"/>
        </w:sectPr>
      </w:pPr>
    </w:p>
    <w:bookmarkStart w:id="67" w:name="page68"/>
    <w:bookmarkEnd w:id="67"/>
    <w:p>
      <w:pPr>
        <w:ind w:left="460"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76" w:lineRule="exact"/>
        <w:rPr>
          <w:sz w:val="20"/>
          <w:szCs w:val="20"/>
          <w:color w:val="auto"/>
        </w:rPr>
      </w:pPr>
    </w:p>
    <w:p>
      <w:pPr>
        <w:ind w:left="460" w:firstLine="443"/>
        <w:spacing w:after="0" w:line="256" w:lineRule="auto"/>
        <w:tabs>
          <w:tab w:leader="none" w:pos="11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or any Disposition outside the ordinary course of business permitted by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during the relevant period for determining compliance with such covenants, such calculations shall be made after giving pro forma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188"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Times of Day; Rates</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 xml:space="preserve">. Any amount specified in this Agreement (other than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0" w:right="25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COMMITMENTS AND BORROWINGS</w:t>
      </w:r>
    </w:p>
    <w:p>
      <w:pPr>
        <w:spacing w:after="0" w:line="20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The Borrowing</w:t>
      </w:r>
      <w:r>
        <w:rPr>
          <w:rFonts w:ascii="Times New Roman" w:cs="Times New Roman" w:eastAsia="Times New Roman" w:hAnsi="Times New Roman"/>
          <w:sz w:val="18"/>
          <w:szCs w:val="18"/>
          <w:color w:val="auto"/>
        </w:rPr>
        <w:t xml:space="preserve">. Subject to the terms and conditions set forth herein and in the other Loan Documents, each Lender severally agrees to make a single loan to the Borrower on the Closing Date in an amount not to exceed such Lender’s Commitment. The Borrowing shall consist of Loans made simultaneously by the Lenders in accordance with their respective Commitments. Amounts borrowed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repaid or prepaid may not be reborrowed. Loans may be Base Rate Loans or Eurodollar Rate Loans, as further provided herein.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Borrowings, Conversions and Continuations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40" w:firstLine="443"/>
        <w:spacing w:after="0" w:line="269" w:lineRule="auto"/>
        <w:tabs>
          <w:tab w:leader="none" w:pos="1143"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Borrowing, each conversion of Loans from one Type to the other, and each continuation of Eurodollar Rate Loans shall be made upon the Borrower’s irrevocable notice to the Administrative Agent, which may be given by (A) telephone, or (B) a Committed Loan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telephone notice must be confirmed promptly by delivery to the Administrative Agent of a Committed Loan Notice. Each such telephone notice and Committed Loan Notice must be received by the Administrative Agent not later than 11:00 a.m. (i) three Business Days prior to the requested date of any Borrowing of, conversion to or continuation of Eurodollar Rate Loans or of any conversion of Eurodollar Rate Loans to Base Rate Loans, and</w:t>
      </w:r>
    </w:p>
    <w:p>
      <w:pPr>
        <w:spacing w:after="0" w:line="3" w:lineRule="exact"/>
        <w:rPr>
          <w:rFonts w:ascii="Times New Roman" w:cs="Times New Roman" w:eastAsia="Times New Roman" w:hAnsi="Times New Roman"/>
          <w:sz w:val="17"/>
          <w:szCs w:val="17"/>
          <w:color w:val="auto"/>
        </w:rPr>
      </w:pPr>
    </w:p>
    <w:p>
      <w:pPr>
        <w:jc w:val="both"/>
        <w:ind w:left="460" w:firstLine="4"/>
        <w:spacing w:after="0" w:line="250" w:lineRule="auto"/>
        <w:tabs>
          <w:tab w:leader="none" w:pos="7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requested date of any Borrowing of Base Rate Loans. Each Borrowing of, conversion to or continuation of Eurodollar Rate Loans shall be in a principal amount of $1,000,000 or a whole multiple of $500,000 in excess thereof. Each Borrowing of or conversion to Base Rate Loans shall be in a principal amount of $500,000 or a whole multiple of $100,000 in excess thereof. Each such telephone notice and Committed Loan Notice shall specify</w:t>
      </w:r>
    </w:p>
    <w:p>
      <w:pPr>
        <w:spacing w:after="0" w:line="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Borrower is requesting a Borrowing, a conversion of Loans from one Type to the other, or a continuation of Eurodollar Rate Loans,</w:t>
      </w:r>
    </w:p>
    <w:p>
      <w:pPr>
        <w:spacing w:after="0" w:line="9" w:lineRule="exact"/>
        <w:rPr>
          <w:rFonts w:ascii="Times New Roman" w:cs="Times New Roman" w:eastAsia="Times New Roman" w:hAnsi="Times New Roman"/>
          <w:sz w:val="18"/>
          <w:szCs w:val="18"/>
          <w:color w:val="auto"/>
        </w:rPr>
      </w:pPr>
    </w:p>
    <w:p>
      <w:pPr>
        <w:ind w:left="460" w:firstLine="4"/>
        <w:spacing w:after="0" w:line="252" w:lineRule="auto"/>
        <w:tabs>
          <w:tab w:leader="none" w:pos="72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80" w:lineRule="exact"/>
        <w:rPr>
          <w:rFonts w:ascii="Times New Roman" w:cs="Times New Roman" w:eastAsia="Times New Roman" w:hAnsi="Times New Roman"/>
          <w:sz w:val="18"/>
          <w:szCs w:val="18"/>
          <w:color w:val="auto"/>
        </w:rPr>
      </w:pPr>
    </w:p>
    <w:p>
      <w:pPr>
        <w:ind w:left="460" w:right="100" w:firstLine="443"/>
        <w:spacing w:after="0" w:line="282" w:lineRule="auto"/>
        <w:tabs>
          <w:tab w:leader="none" w:pos="115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Lender of the amount of its Applicable Percentage under the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270" w:right="29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Facility,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the case of a Borrowing, each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w:t>
      </w:r>
    </w:p>
    <w:p>
      <w:pPr>
        <w:spacing w:after="0" w:line="80" w:lineRule="exact"/>
        <w:rPr>
          <w:sz w:val="20"/>
          <w:szCs w:val="20"/>
          <w:color w:val="auto"/>
        </w:rPr>
      </w:pPr>
    </w:p>
    <w:p>
      <w:pPr>
        <w:ind w:firstLine="443"/>
        <w:spacing w:after="0" w:line="266" w:lineRule="auto"/>
        <w:tabs>
          <w:tab w:leader="none" w:pos="6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68" w:lineRule="exact"/>
        <w:rPr>
          <w:rFonts w:ascii="Times New Roman" w:cs="Times New Roman" w:eastAsia="Times New Roman" w:hAnsi="Times New Roman"/>
          <w:sz w:val="18"/>
          <w:szCs w:val="18"/>
          <w:color w:val="auto"/>
        </w:rPr>
      </w:pPr>
    </w:p>
    <w:p>
      <w:pPr>
        <w:ind w:right="160" w:firstLine="443"/>
        <w:spacing w:after="0" w:line="261" w:lineRule="auto"/>
        <w:tabs>
          <w:tab w:leader="none" w:pos="6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71" w:lineRule="exact"/>
        <w:rPr>
          <w:rFonts w:ascii="Times New Roman" w:cs="Times New Roman" w:eastAsia="Times New Roman" w:hAnsi="Times New Roman"/>
          <w:sz w:val="18"/>
          <w:szCs w:val="18"/>
          <w:color w:val="auto"/>
        </w:rPr>
      </w:pPr>
    </w:p>
    <w:p>
      <w:pPr>
        <w:ind w:right="200" w:firstLine="443"/>
        <w:spacing w:after="0" w:line="282" w:lineRule="auto"/>
        <w:tabs>
          <w:tab w:leader="none" w:pos="6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all conversions of Loans from one Type to the other, and all continuations of Loans as the same Type, there shall not be more than ten (10) Interest Periods in effect in respect of the Facility.</w:t>
      </w:r>
    </w:p>
    <w:p>
      <w:pPr>
        <w:spacing w:after="0" w:line="53" w:lineRule="exact"/>
        <w:rPr>
          <w:rFonts w:ascii="Times New Roman" w:cs="Times New Roman" w:eastAsia="Times New Roman" w:hAnsi="Times New Roman"/>
          <w:sz w:val="18"/>
          <w:szCs w:val="18"/>
          <w:color w:val="auto"/>
        </w:rPr>
      </w:pPr>
    </w:p>
    <w:p>
      <w:pPr>
        <w:jc w:val="both"/>
        <w:ind w:right="420" w:firstLine="443"/>
        <w:spacing w:after="0" w:line="266" w:lineRule="auto"/>
        <w:tabs>
          <w:tab w:leader="none" w:pos="6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to the contrary notwithstanding, the Borrower may not select the Eurodollar Rate for the initial Borrowing unless the Borrower delivers a Funding Indemnity Letter to the Administrative Agent no later than 11:00 a.m. three (3) Business Days prior to the Closing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443"/>
        <w:spacing w:after="0" w:line="276" w:lineRule="auto"/>
        <w:tabs>
          <w:tab w:leader="none" w:pos="683"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2.05(c)</w:t>
      </w:r>
      <w:r>
        <w:rPr>
          <w:rFonts w:ascii="Times New Roman" w:cs="Times New Roman" w:eastAsia="Times New Roman" w:hAnsi="Times New Roman"/>
          <w:sz w:val="17"/>
          <w:szCs w:val="17"/>
          <w:color w:val="auto"/>
        </w:rPr>
        <w:t xml:space="preserve">, the Borrower may, upon notice to the Administrative Agent, at any time or from time to time after the date that is ten (10) Business Days after the Closing Date, voluntarily prepay Loans in whole or in part without premium or penalty;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right="40" w:firstLine="4"/>
        <w:spacing w:after="0" w:line="254" w:lineRule="auto"/>
        <w:tabs>
          <w:tab w:leader="none" w:pos="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must be in a form 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(1) three Business Days prior to any date of prepayment of Eurodollar Rate Loans and (2) on the date of prepayment of Base Rate Loans; (B) any</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700" w:top="270" w:right="259" w:bottom="1440" w:gutter="0" w:footer="0" w:header="0"/>
        </w:sectPr>
      </w:pPr>
    </w:p>
    <w:bookmarkStart w:id="70" w:name="page71"/>
    <w:bookmarkEnd w:id="70"/>
    <w:p>
      <w:pPr>
        <w:ind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Facility).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Each prepayment of the outstanding Loans pursuant to this </w:t>
      </w:r>
      <w:r>
        <w:rPr>
          <w:rFonts w:ascii="Times New Roman" w:cs="Times New Roman" w:eastAsia="Times New Roman" w:hAnsi="Times New Roman"/>
          <w:sz w:val="17"/>
          <w:szCs w:val="17"/>
          <w:u w:val="single" w:color="auto"/>
          <w:color w:val="auto"/>
        </w:rPr>
        <w:t>Section 2.05(a)</w:t>
      </w:r>
      <w:r>
        <w:rPr>
          <w:rFonts w:ascii="Times New Roman" w:cs="Times New Roman" w:eastAsia="Times New Roman" w:hAnsi="Times New Roman"/>
          <w:sz w:val="17"/>
          <w:szCs w:val="17"/>
          <w:color w:val="auto"/>
        </w:rPr>
        <w:t xml:space="preserve"> shall be applied to the principal repayment installments thereof as directed by the Borrower, and subject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each such prepayment shall be paid to the Lenders in accordance with their respective Applicable Percentages in respect of the Facility.</w:t>
      </w:r>
    </w:p>
    <w:p>
      <w:pPr>
        <w:spacing w:after="0" w:line="70" w:lineRule="exact"/>
        <w:rPr>
          <w:sz w:val="20"/>
          <w:szCs w:val="20"/>
          <w:color w:val="auto"/>
        </w:rPr>
      </w:pPr>
    </w:p>
    <w:p>
      <w:pPr>
        <w:ind w:left="700" w:hanging="257"/>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100" w:firstLine="421"/>
        <w:spacing w:after="0" w:line="254" w:lineRule="auto"/>
        <w:tabs>
          <w:tab w:leader="none" w:pos="10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with the fiscal year ending December 31, 2015, within the later of (x) five Business Days after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the related Compliance Certificate has been delivered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(y) ninety-five (95) days after the end of such fiscal year, the Borrower shall prepay an aggregate principal amount of Loans equal to the excess (if any) of (A)the ECF Percentage of Excess Cash Flow for the fiscal year covered by such financial statements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aggregate principal amount of Loans prepaid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the aggregate principal amount of optional prepayments of loans under the ABL Facility during such fiscal year (solely to the extent such prepayments are accompanied by a concurrent equivalent permanent reduction in the commitments under the ABL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clause (v) below).</w:t>
      </w:r>
    </w:p>
    <w:p>
      <w:pPr>
        <w:spacing w:after="0" w:line="81" w:lineRule="exact"/>
        <w:rPr>
          <w:rFonts w:ascii="Times New Roman" w:cs="Times New Roman" w:eastAsia="Times New Roman" w:hAnsi="Times New Roman"/>
          <w:sz w:val="18"/>
          <w:szCs w:val="18"/>
          <w:color w:val="auto"/>
        </w:rPr>
      </w:pPr>
    </w:p>
    <w:p>
      <w:pPr>
        <w:ind w:left="460" w:firstLine="421"/>
        <w:spacing w:after="0" w:line="258" w:lineRule="auto"/>
        <w:tabs>
          <w:tab w:leader="none" w:pos="114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any of its Subsidiaries Disposes of any property (other than (x) any Disposition of any property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clause (b) thereof) and (y) any Disposition of property subject to a first priority Lien securing ABL Indebtedness (which, for the avoidance of doubt, shall include (i) ABL Priority Collateral, (ii) property of Foreign Subsidiaries of the type that would constitute ABL Priority Collateral and (iii) property of Foreign Subsidiaries in which the Administrative Agent does not have a Lien), the proceeds of which are used to prepay the ABL Indebtedness or cash collateralize undrawn letters of credit thereunder) which results in the realization by such</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700" w:top="270" w:right="259" w:bottom="1440" w:gutter="0" w:footer="0" w:header="0"/>
        </w:sectPr>
      </w:pPr>
    </w:p>
    <w:bookmarkStart w:id="71" w:name="page72"/>
    <w:bookmarkEnd w:id="7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 of Net Cash Proceeds, the Borrower shall prepay an aggregate principal amount of Loans equal to 100% of such Net Cash Proceeds within ten (10) Business Days of receipt thereof by such Person (such prepayments to be applied as set forth in clause (v)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Net Cash Proceeds realized under a Disposition described in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at the election of the Borrower (as notified by the Borrower to the Administrative Agent on or prior to the date of such Disposition), and so long as no Default shall have occurred and be continuing, the Borrower or such Subsidiary may reinvest all or any portion of such Net Cash Proceeds in operating assets so long as within 365 days after the receipt of such Net Cash Proceeds, such reinvestment shall have been consummated (as certified by the Borrower in writing to the Administrative Agent) and if such Net Cash Proceeds are not so reinvested within such 365-day period but such Net Cash Proceeds are subject to a definitive agreement within such 365-day period to reinvest such Net Cash Proceeds in accordance with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then the Borrower or such Subsidiary shall have an additional 180 days after the end of the such initial 365-day period to reinvest such Net Cash Proceeds in accordance with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Net Cash Proceeds not subject to such definitive agreement or so reinvested shall be promptly applied to the prepayment of the Loans as set forth in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firstLine="421"/>
        <w:spacing w:after="0" w:line="261" w:lineRule="auto"/>
        <w:tabs>
          <w:tab w:leader="none" w:pos="7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incurrence or issuance by the Borrower or any of its Subsidiaries of any Indebtedness (other than Indebtedness expressly permitted to be incurred or issued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Borrower shall prepay an aggregate principal amount of Loans equal to 100% of all Net Cash Proceeds received therefrom within five (5) Business Days of receipt thereof by the Borrower or such Subsidiary (such prepayments to be applied as set forth in clause (v) below).</w:t>
      </w:r>
    </w:p>
    <w:p>
      <w:pPr>
        <w:spacing w:after="0" w:line="71" w:lineRule="exact"/>
        <w:rPr>
          <w:rFonts w:ascii="Times New Roman" w:cs="Times New Roman" w:eastAsia="Times New Roman" w:hAnsi="Times New Roman"/>
          <w:sz w:val="18"/>
          <w:szCs w:val="18"/>
          <w:color w:val="auto"/>
        </w:rPr>
      </w:pPr>
    </w:p>
    <w:p>
      <w:pPr>
        <w:ind w:right="20" w:firstLine="421"/>
        <w:spacing w:after="0" w:line="254" w:lineRule="auto"/>
        <w:tabs>
          <w:tab w:leader="none" w:pos="7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Extraordinary Receipt (other than proceeds of insurance and condemnation awards payable as a result of theft, loss, physical destruction, damage, taking or similar event with respect to property subject to a first priority Lien securing ABL Indebtedness (which, for the avoidance of doubt, shall include (i) ABL Priority Collateral, (ii) property of Foreign Subsidiaries of the type that would constitute ABL Priority Collateral and (iii) property of Foreign Subsidiaries in which the Administrative Agent does not have a Lien), the proceeds of which are used to prepay the ABL Facility or cash collateralize undrawn letters of credit thereunder) received by or paid to or for the account of the Borrower or any of its Subsidiaries, and not otherwise included in clause (ii) or (iii)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clause (v)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w:t>
      </w:r>
    </w:p>
    <w:p>
      <w:pPr>
        <w:spacing w:after="0" w:line="1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480"/>
          </w:cols>
          <w:pgMar w:left="1160" w:top="270" w:right="259" w:bottom="1440" w:gutter="0" w:footer="0" w:header="0"/>
        </w:sectPr>
      </w:pPr>
    </w:p>
    <w:bookmarkStart w:id="72" w:name="page73"/>
    <w:bookmarkEnd w:id="72"/>
    <w:p>
      <w:pPr>
        <w:ind w:left="46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payments), and so long as no Default shall have occurred and be continuing, the Borrower or such Subsidiary may apply within 365 days after the receipt of such cash proceeds to replace or repair the equipment, fixed assets or real property in respect of which such cash proceeds were received and if such Net Cash Proceeds are not so reinvested within such 365-day period but such Net Cash Proceeds are subject to a definitive agreement within such 365-day period to reinvest such Net Cash Proceeds in accordance with this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xml:space="preserve"> then the Borrower or such Subsidiary shall have an additional 180 days after the end of the such initial 365-day period to reinvest such Net Cash Proceeds in accordance with this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cash proceeds not so applied shall be promptly applied to the prepayment of the Loans as set forth in this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60" w:right="60" w:firstLine="421"/>
        <w:spacing w:after="0" w:line="266" w:lineRule="auto"/>
        <w:tabs>
          <w:tab w:leader="none" w:pos="113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prepayment of Loans pursuant to the foregoing provisions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next four scheduled principal repayment installments of the Loans in direct order of maturity and, </w:t>
      </w:r>
      <w:r>
        <w:rPr>
          <w:rFonts w:ascii="Times New Roman" w:cs="Times New Roman" w:eastAsia="Times New Roman" w:hAnsi="Times New Roman"/>
          <w:sz w:val="18"/>
          <w:szCs w:val="18"/>
          <w:u w:val="single" w:color="auto"/>
          <w:color w:val="auto"/>
        </w:rPr>
        <w:t>thereafter</w:t>
      </w:r>
      <w:r>
        <w:rPr>
          <w:rFonts w:ascii="Times New Roman" w:cs="Times New Roman" w:eastAsia="Times New Roman" w:hAnsi="Times New Roman"/>
          <w:sz w:val="18"/>
          <w:szCs w:val="18"/>
          <w:color w:val="auto"/>
        </w:rPr>
        <w:t>, to the remaining scheduled principal repayment installments of the Loans on a pro rata basis.</w:t>
      </w:r>
    </w:p>
    <w:p>
      <w:pPr>
        <w:spacing w:after="0" w:line="68" w:lineRule="exact"/>
        <w:rPr>
          <w:rFonts w:ascii="Times New Roman" w:cs="Times New Roman" w:eastAsia="Times New Roman" w:hAnsi="Times New Roman"/>
          <w:sz w:val="18"/>
          <w:szCs w:val="18"/>
          <w:color w:val="auto"/>
        </w:rPr>
      </w:pPr>
    </w:p>
    <w:p>
      <w:pPr>
        <w:ind w:left="460" w:firstLine="421"/>
        <w:spacing w:after="0" w:line="253" w:lineRule="auto"/>
        <w:tabs>
          <w:tab w:leader="none" w:pos="118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any mandatory prepayments arising under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from the receipt of Net Cash Proceeds from any Disposition or Extraordinary Receipts by any Foreign Subsidiary (each, a “ </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or arising under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from Excess Cash Flow directly attributable to Foreign Subsidiaries (“</w:t>
      </w:r>
      <w:r>
        <w:rPr>
          <w:rFonts w:ascii="Times New Roman" w:cs="Times New Roman" w:eastAsia="Times New Roman" w:hAnsi="Times New Roman"/>
          <w:sz w:val="18"/>
          <w:szCs w:val="18"/>
          <w:u w:val="single" w:color="auto"/>
          <w:color w:val="auto"/>
        </w:rPr>
        <w:t>Foreign Excess Cash Flow</w:t>
      </w:r>
      <w:r>
        <w:rPr>
          <w:rFonts w:ascii="Times New Roman" w:cs="Times New Roman" w:eastAsia="Times New Roman" w:hAnsi="Times New Roman"/>
          <w:sz w:val="18"/>
          <w:szCs w:val="18"/>
          <w:color w:val="auto"/>
        </w:rPr>
        <w:t xml:space="preserve">”) shall not be required to the extent that the repatriation of such Net Cash Proceeds or Foreign Excess Cash Flow would (A) give rise to a material adverse tax consequence or (B) be prohibited or delayed by any requirement of applicable Law.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repatriation of any such affected Net Cash Proceeds or Foreign Excess Cash Flow is later permitted under applicable Laws and can be accomplished without material adverse tax consequences, such repatriation shall be effected as promptly as practicable and such repatriated Net Cash Proceeds or Foreign Excess Cash Flow, as applicable, will be promptly after such repatriation applied to the repayment of the Loans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the extent provided herein.</w:t>
      </w:r>
    </w:p>
    <w:p>
      <w:pPr>
        <w:spacing w:after="0" w:line="84" w:lineRule="exact"/>
        <w:rPr>
          <w:rFonts w:ascii="Times New Roman" w:cs="Times New Roman" w:eastAsia="Times New Roman" w:hAnsi="Times New Roman"/>
          <w:sz w:val="18"/>
          <w:szCs w:val="18"/>
          <w:color w:val="auto"/>
        </w:rPr>
      </w:pPr>
    </w:p>
    <w:p>
      <w:pPr>
        <w:ind w:right="160" w:firstLine="443"/>
        <w:spacing w:after="0" w:line="258" w:lineRule="auto"/>
        <w:tabs>
          <w:tab w:leader="none" w:pos="6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 Premium</w:t>
      </w:r>
      <w:r>
        <w:rPr>
          <w:rFonts w:ascii="Times New Roman" w:cs="Times New Roman" w:eastAsia="Times New Roman" w:hAnsi="Times New Roman"/>
          <w:sz w:val="18"/>
          <w:szCs w:val="18"/>
          <w:color w:val="auto"/>
        </w:rPr>
        <w:t>. In the event that, on or prior to the first anniversary of the Closing Date a Repricing Event occurs, the Borrower will pay a premium (a “</w:t>
      </w:r>
      <w:r>
        <w:rPr>
          <w:rFonts w:ascii="Times New Roman" w:cs="Times New Roman" w:eastAsia="Times New Roman" w:hAnsi="Times New Roman"/>
          <w:sz w:val="18"/>
          <w:szCs w:val="18"/>
          <w:u w:val="single" w:color="auto"/>
          <w:color w:val="auto"/>
        </w:rPr>
        <w:t>Call Premium</w:t>
      </w:r>
      <w:r>
        <w:rPr>
          <w:rFonts w:ascii="Times New Roman" w:cs="Times New Roman" w:eastAsia="Times New Roman" w:hAnsi="Times New Roman"/>
          <w:sz w:val="18"/>
          <w:szCs w:val="18"/>
          <w:color w:val="auto"/>
        </w:rPr>
        <w:t xml:space="preserve">”), for the ratable account of each Lender that holds initial Loans, in an amount equal to 1.00% of the aggregate principal amount of the initial Loans subject to such Repricing Event (it being understood that any such Call Premium with respect to a Repricing Event under clause (ii) of the definition of Repricing Event shall be paid to each Non-Consenting Lender that is replaced in such Repricing Event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Such Call Premium shall be due and payable within three (3) Business Days of the date of the effectiveness of such Repricing Event.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0"/>
          </w:cols>
          <w:pgMar w:left="700" w:top="270" w:right="299" w:bottom="1440" w:gutter="0" w:footer="0" w:header="0"/>
        </w:sectPr>
      </w:pPr>
    </w:p>
    <w:bookmarkStart w:id="73" w:name="page74"/>
    <w:bookmarkEnd w:id="73"/>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2.06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 The Aggregate Commitments shall be automatically and permanently reduced to zero concurrently with the initial Borrowing on the Closing Date.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 xml:space="preserve">. The Borrower shall repay to the Lenders the aggregate principal amount of all Loans outstanding in consecutive quarterly principal installments equal to $4,375,000 (which amount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on the last Business Day of March, June, September and December, commencing December 31, 2014;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final principal repayment installment of the Loans shall be repaid on the Maturity Date and in any event shall be in an amount equal to the aggregate principal amount of all Loans outstanding on such date.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100" w:firstLine="443"/>
        <w:spacing w:after="0" w:line="261" w:lineRule="auto"/>
        <w:tabs>
          <w:tab w:leader="none" w:pos="11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(i) each Eurodollar Rate Loan shall bear interest on the outstanding principal amount thereof for each Interest Period at a rate per annum equal to the Eurodollar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71" w:lineRule="exact"/>
        <w:rPr>
          <w:rFonts w:ascii="Times New Roman" w:cs="Times New Roman" w:eastAsia="Times New Roman" w:hAnsi="Times New Roman"/>
          <w:sz w:val="18"/>
          <w:szCs w:val="18"/>
          <w:color w:val="auto"/>
        </w:rPr>
      </w:pPr>
    </w:p>
    <w:p>
      <w:pPr>
        <w:ind w:left="920" w:right="140" w:firstLine="1"/>
        <w:spacing w:after="0" w:line="266" w:lineRule="auto"/>
        <w:tabs>
          <w:tab w:leader="none" w:pos="11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68"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any Event of Default exists and is continuing under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the Borrower shall pay interest on all outstanding</w:t>
      </w:r>
    </w:p>
    <w:p>
      <w:pPr>
        <w:spacing w:after="0" w:line="27" w:lineRule="exact"/>
        <w:rPr>
          <w:rFonts w:ascii="Times New Roman" w:cs="Times New Roman" w:eastAsia="Times New Roman" w:hAnsi="Times New Roman"/>
          <w:sz w:val="18"/>
          <w:szCs w:val="18"/>
          <w:color w:val="auto"/>
        </w:rPr>
      </w:pPr>
    </w:p>
    <w:p>
      <w:pPr>
        <w:ind w:left="92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hereunder at a fluctuating interest rate per annum at all times equal to the Default Rate to the fullest extent permitted by applicable Laws.</w:t>
      </w:r>
    </w:p>
    <w:p>
      <w:pPr>
        <w:spacing w:after="0" w:line="71" w:lineRule="exact"/>
        <w:rPr>
          <w:rFonts w:ascii="Times New Roman" w:cs="Times New Roman" w:eastAsia="Times New Roman" w:hAnsi="Times New Roman"/>
          <w:sz w:val="18"/>
          <w:szCs w:val="18"/>
          <w:color w:val="auto"/>
        </w:rPr>
      </w:pPr>
    </w:p>
    <w:p>
      <w:pPr>
        <w:ind w:left="920" w:right="160" w:firstLine="421"/>
        <w:spacing w:after="0" w:line="266" w:lineRule="auto"/>
        <w:tabs>
          <w:tab w:leader="none" w:pos="1655"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Required Lenders, while any Event of Default exists (other than to the extent set forth in </w:t>
      </w:r>
      <w:r>
        <w:rPr>
          <w:rFonts w:ascii="Times New Roman" w:cs="Times New Roman" w:eastAsia="Times New Roman" w:hAnsi="Times New Roman"/>
          <w:sz w:val="18"/>
          <w:szCs w:val="18"/>
          <w:u w:val="single" w:color="auto"/>
          <w:color w:val="auto"/>
        </w:rPr>
        <w:t>Sections 2.08(b)(i)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68"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117" w:lineRule="exact"/>
        <w:rPr>
          <w:sz w:val="20"/>
          <w:szCs w:val="20"/>
          <w:color w:val="auto"/>
        </w:rPr>
      </w:pPr>
    </w:p>
    <w:p>
      <w:pPr>
        <w:ind w:left="460" w:right="100" w:firstLine="443"/>
        <w:spacing w:after="0" w:line="266" w:lineRule="auto"/>
        <w:tabs>
          <w:tab w:leader="none" w:pos="11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270" w:right="279" w:bottom="1440" w:gutter="0" w:footer="0" w:header="0"/>
        </w:sectPr>
      </w:pPr>
    </w:p>
    <w:bookmarkStart w:id="74" w:name="page75"/>
    <w:bookmarkEnd w:id="74"/>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2.09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shall pay to the Arrangers and the Administrative Agent for their own respective accounts fees in the amounts and at the times specified in the Fee Letters. Such fees shall be fully earned when paid and shall not be refundable for any reason whatsoever. The Borrower shall pay to the Lenders such fees as shall have been separately agreed upon in writing in the amounts and at the times so specified. All such fees referred to in this Section shall be fully earned when paid and shall not be refundable for any reason whatsoever.</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firstLine="443"/>
        <w:spacing w:after="0" w:line="254" w:lineRule="auto"/>
        <w:tabs>
          <w:tab w:leader="none" w:pos="11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funded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Borrowing funded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81"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0"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Payments Generally; Administrative Agent’s Clawback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3"/>
        <w:spacing w:after="0" w:line="254" w:lineRule="auto"/>
        <w:tabs>
          <w:tab w:leader="none" w:pos="6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81" w:lineRule="exact"/>
        <w:rPr>
          <w:rFonts w:ascii="Times New Roman" w:cs="Times New Roman" w:eastAsia="Times New Roman" w:hAnsi="Times New Roman"/>
          <w:sz w:val="18"/>
          <w:szCs w:val="18"/>
          <w:color w:val="auto"/>
        </w:rPr>
      </w:pPr>
    </w:p>
    <w:p>
      <w:pPr>
        <w:ind w:left="460" w:firstLine="1"/>
        <w:spacing w:after="0" w:line="252" w:lineRule="auto"/>
        <w:tabs>
          <w:tab w:leader="none" w:pos="71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700" w:top="270" w:right="259" w:bottom="1440" w:gutter="0" w:footer="0" w:header="0"/>
        </w:sectPr>
      </w:pPr>
    </w:p>
    <w:bookmarkStart w:id="76" w:name="page77"/>
    <w:bookmarkEnd w:id="76"/>
    <w:p>
      <w:pPr>
        <w:ind w:left="460" w:right="120" w:firstLine="421"/>
        <w:spacing w:after="0" w:line="255" w:lineRule="auto"/>
        <w:tabs>
          <w:tab w:leader="none" w:pos="11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77" w:lineRule="exact"/>
        <w:rPr>
          <w:sz w:val="20"/>
          <w:szCs w:val="20"/>
          <w:color w:val="auto"/>
        </w:rPr>
      </w:pPr>
    </w:p>
    <w:p>
      <w:pPr>
        <w:ind w:right="680" w:firstLine="43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subsection (b) shall be conclusive, absent manifest error.</w:t>
      </w:r>
    </w:p>
    <w:p>
      <w:pPr>
        <w:spacing w:after="0" w:line="54" w:lineRule="exact"/>
        <w:rPr>
          <w:sz w:val="20"/>
          <w:szCs w:val="20"/>
          <w:color w:val="auto"/>
        </w:rPr>
      </w:pPr>
    </w:p>
    <w:p>
      <w:pPr>
        <w:jc w:val="both"/>
        <w:ind w:firstLine="443"/>
        <w:spacing w:after="0" w:line="261" w:lineRule="auto"/>
        <w:tabs>
          <w:tab w:leader="none" w:pos="6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71" w:lineRule="exact"/>
        <w:rPr>
          <w:rFonts w:ascii="Times New Roman" w:cs="Times New Roman" w:eastAsia="Times New Roman" w:hAnsi="Times New Roman"/>
          <w:sz w:val="18"/>
          <w:szCs w:val="18"/>
          <w:color w:val="auto"/>
        </w:rPr>
      </w:pPr>
    </w:p>
    <w:p>
      <w:pPr>
        <w:ind w:right="100" w:firstLine="443"/>
        <w:spacing w:after="0" w:line="261" w:lineRule="auto"/>
        <w:tabs>
          <w:tab w:leader="none" w:pos="69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Loan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443"/>
        <w:spacing w:after="0" w:line="282" w:lineRule="auto"/>
        <w:tabs>
          <w:tab w:leader="none" w:pos="6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53" w:lineRule="exact"/>
        <w:rPr>
          <w:rFonts w:ascii="Times New Roman" w:cs="Times New Roman" w:eastAsia="Times New Roman" w:hAnsi="Times New Roman"/>
          <w:sz w:val="18"/>
          <w:szCs w:val="18"/>
          <w:color w:val="auto"/>
        </w:rPr>
      </w:pPr>
    </w:p>
    <w:p>
      <w:pPr>
        <w:ind w:right="380" w:firstLine="443"/>
        <w:spacing w:after="0" w:line="281" w:lineRule="auto"/>
        <w:tabs>
          <w:tab w:leader="none" w:pos="66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Insufficient Funds</w:t>
      </w:r>
      <w:r>
        <w:rPr>
          <w:rFonts w:ascii="Times New Roman" w:cs="Times New Roman" w:eastAsia="Times New Roman" w:hAnsi="Times New Roman"/>
          <w:sz w:val="17"/>
          <w:szCs w:val="17"/>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toward payment of principal then due hereunder, ratably among the parties entitled thereto in accordance with the amounts of principal then due to such parties.</w:t>
      </w:r>
    </w:p>
    <w:p>
      <w:pPr>
        <w:spacing w:after="0" w:line="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700" w:top="270" w:right="239"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2.13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 respect of</w:t>
      </w:r>
    </w:p>
    <w:p>
      <w:pPr>
        <w:spacing w:after="0" w:line="27" w:lineRule="exact"/>
        <w:rPr>
          <w:sz w:val="20"/>
          <w:szCs w:val="20"/>
          <w:color w:val="auto"/>
        </w:rPr>
      </w:pPr>
    </w:p>
    <w:p>
      <w:pPr>
        <w:ind w:firstLine="8"/>
        <w:spacing w:after="0" w:line="251"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5" w:lineRule="exact"/>
        <w:rPr>
          <w:rFonts w:ascii="Times New Roman" w:cs="Times New Roman" w:eastAsia="Times New Roman" w:hAnsi="Times New Roman"/>
          <w:sz w:val="18"/>
          <w:szCs w:val="18"/>
          <w:color w:val="auto"/>
        </w:rPr>
      </w:pPr>
    </w:p>
    <w:p>
      <w:pPr>
        <w:ind w:left="920" w:right="140" w:firstLine="421"/>
        <w:spacing w:after="0" w:line="282" w:lineRule="auto"/>
        <w:tabs>
          <w:tab w:leader="none" w:pos="1555"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53" w:lineRule="exact"/>
        <w:rPr>
          <w:rFonts w:ascii="Times New Roman" w:cs="Times New Roman" w:eastAsia="Times New Roman" w:hAnsi="Times New Roman"/>
          <w:sz w:val="18"/>
          <w:szCs w:val="18"/>
          <w:color w:val="auto"/>
        </w:rPr>
      </w:pPr>
    </w:p>
    <w:p>
      <w:pPr>
        <w:jc w:val="both"/>
        <w:ind w:left="920" w:right="20" w:firstLine="421"/>
        <w:spacing w:after="0" w:line="261" w:lineRule="auto"/>
        <w:tabs>
          <w:tab w:leader="none" w:pos="1605"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not be construed to apply to (A) any payment made by or on behalf of the Borrower pursuant to and in accordance with the express terms of this Agreement (including the application of funds arising from the existence of a Defaulting Lender), or</w:t>
      </w:r>
    </w:p>
    <w:p>
      <w:pPr>
        <w:ind w:left="920" w:right="380" w:firstLine="1"/>
        <w:spacing w:after="0" w:line="261" w:lineRule="auto"/>
        <w:tabs>
          <w:tab w:leader="none" w:pos="120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obtained by a Lender as consideration for the assignment of or sale of a participation in any of its Loans to any assignee or participant.</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160" w:firstLine="443"/>
        <w:spacing w:after="0" w:line="282" w:lineRule="auto"/>
        <w:tabs>
          <w:tab w:leader="none" w:pos="11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Request</w:t>
      </w:r>
      <w:r>
        <w:rPr>
          <w:rFonts w:ascii="Times New Roman" w:cs="Times New Roman" w:eastAsia="Times New Roman" w:hAnsi="Times New Roman"/>
          <w:sz w:val="18"/>
          <w:szCs w:val="18"/>
          <w:color w:val="auto"/>
        </w:rPr>
        <w:t>. At any time after the Closing Date, the Borrower may, by written notice to the Administrative Agent, elect to request the establishment of one or more new term loan commitments (each, an “</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by an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270" w:right="2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amount not in excess of $50,000,000. Each such notice shall specify (i) the date (each, an “</w:t>
      </w:r>
      <w:r>
        <w:rPr>
          <w:rFonts w:ascii="Times New Roman" w:cs="Times New Roman" w:eastAsia="Times New Roman" w:hAnsi="Times New Roman"/>
          <w:sz w:val="18"/>
          <w:szCs w:val="18"/>
          <w:u w:val="single" w:color="auto"/>
          <w:color w:val="auto"/>
        </w:rPr>
        <w:t>Incremental Effective Date</w:t>
      </w:r>
      <w:r>
        <w:rPr>
          <w:rFonts w:ascii="Times New Roman" w:cs="Times New Roman" w:eastAsia="Times New Roman" w:hAnsi="Times New Roman"/>
          <w:sz w:val="18"/>
          <w:szCs w:val="18"/>
          <w:color w:val="auto"/>
        </w:rPr>
        <w:t>”) on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proposes that the Incremental Commitments shall be effective, which shall be a date not less than ten (10) Business Days after the date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notice is delivered to the Administrative Agent (or such shorter period as may be approved by the Administrative Agent in its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and (ii) the identity of each Eligible Assignee to whom the Borrower proposes any portion of such Incremental Commitments be allocated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 amounts of such allocations;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existing Lender approached to provide all or a portion of the Incremental Commitments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 or decline, in its sole discretion, to provide such Incremental Commitment. Each Incremental Commitment shall be in an aggregate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 or any whole multiple of $500,000 in excess thereof (provided that such amount may be less than $10,000,000 if such amount represents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remaining availability under the aggregate limit in respect of Incremental Commitments set forth in above).</w:t>
      </w:r>
    </w:p>
    <w:p>
      <w:pPr>
        <w:spacing w:after="0" w:line="99" w:lineRule="exact"/>
        <w:rPr>
          <w:sz w:val="20"/>
          <w:szCs w:val="20"/>
          <w:color w:val="auto"/>
        </w:rPr>
      </w:pPr>
    </w:p>
    <w:p>
      <w:pPr>
        <w:ind w:left="700" w:hanging="257"/>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xml:space="preserve">. The Incremental Commitments shall become effective as of the Incremental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rFonts w:ascii="Times New Roman" w:cs="Times New Roman" w:eastAsia="Times New Roman" w:hAnsi="Times New Roman"/>
          <w:sz w:val="18"/>
          <w:szCs w:val="18"/>
          <w:color w:val="auto"/>
        </w:rPr>
      </w:pPr>
    </w:p>
    <w:p>
      <w:pPr>
        <w:jc w:val="both"/>
        <w:ind w:left="460" w:right="20" w:firstLine="421"/>
        <w:spacing w:after="0" w:line="281" w:lineRule="auto"/>
        <w:tabs>
          <w:tab w:leader="none" w:pos="109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the proviso in this clause (i), no Default shall have occurred and be continuing or would result from the borrowings to be made on the Incremental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any tranche of Incremental Loans is used to finance an Acquisition permitted under </w:t>
      </w:r>
      <w:r>
        <w:rPr>
          <w:rFonts w:ascii="Times New Roman" w:cs="Times New Roman" w:eastAsia="Times New Roman" w:hAnsi="Times New Roman"/>
          <w:sz w:val="17"/>
          <w:szCs w:val="17"/>
          <w:u w:val="single" w:color="auto"/>
          <w:color w:val="auto"/>
        </w:rPr>
        <w:t>Section 7.03(b)</w:t>
      </w:r>
      <w:r>
        <w:rPr>
          <w:rFonts w:ascii="Times New Roman" w:cs="Times New Roman" w:eastAsia="Times New Roman" w:hAnsi="Times New Roman"/>
          <w:sz w:val="17"/>
          <w:szCs w:val="17"/>
          <w:color w:val="auto"/>
        </w:rPr>
        <w:t xml:space="preserve"> that is not conditioned on receipt of financing and to the extent the arranger of such tranche and each lender participating in such tranche of Incremental Loans agree,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shall be subject to customary limitations on conditionality;</w:t>
      </w:r>
    </w:p>
    <w:p>
      <w:pPr>
        <w:spacing w:after="0" w:line="56" w:lineRule="exact"/>
        <w:rPr>
          <w:rFonts w:ascii="Times New Roman" w:cs="Times New Roman" w:eastAsia="Times New Roman" w:hAnsi="Times New Roman"/>
          <w:sz w:val="17"/>
          <w:szCs w:val="17"/>
          <w:color w:val="auto"/>
        </w:rPr>
      </w:pPr>
    </w:p>
    <w:p>
      <w:pPr>
        <w:ind w:left="460" w:right="180" w:firstLine="421"/>
        <w:spacing w:after="0" w:line="254" w:lineRule="auto"/>
        <w:tabs>
          <w:tab w:leader="none" w:pos="114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the proviso in this clause (ii),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are true and correct in all material respects (or, if any such representation or warranty is by its terms qualified by concepts of materiality or reference to Material Adverse Effect, such representation or warranty shall be true and correct in all respects) on and as of the Incremental Effective Date, except to the extent that such representations and warranties specifically refer to an earlier date, in which case they shall have been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be deemed to refer to the most recent financial statements furnished pursuant to subsections (a) and (b)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tranche of Incremental Loans is used to finance an Acquisition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that is not conditioned on receipt of financing and to the extent the arranger of such tranche and each lender participating in such tranche of Incremental Loans agree,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subject to customary limitations on conditionality;</w:t>
      </w:r>
    </w:p>
    <w:p>
      <w:pPr>
        <w:spacing w:after="0" w:line="81" w:lineRule="exact"/>
        <w:rPr>
          <w:rFonts w:ascii="Times New Roman" w:cs="Times New Roman" w:eastAsia="Times New Roman" w:hAnsi="Times New Roman"/>
          <w:sz w:val="18"/>
          <w:szCs w:val="18"/>
          <w:color w:val="auto"/>
        </w:rPr>
      </w:pPr>
    </w:p>
    <w:p>
      <w:pPr>
        <w:ind w:left="460" w:right="100" w:firstLine="421"/>
        <w:spacing w:after="0" w:line="313" w:lineRule="auto"/>
        <w:tabs>
          <w:tab w:leader="none" w:pos="119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Incremental Effective Date, immediately after giving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effect to such Incremental Commitment (and assuming that such Incremental Commitment is fully funded), the Borrower and its Subsidiaries shall be in compliance with the Pro Forma Leverage Test; and</w:t>
      </w:r>
    </w:p>
    <w:p>
      <w:pPr>
        <w:spacing w:after="0" w:line="30" w:lineRule="exact"/>
        <w:rPr>
          <w:rFonts w:ascii="Times New Roman" w:cs="Times New Roman" w:eastAsia="Times New Roman" w:hAnsi="Times New Roman"/>
          <w:sz w:val="17"/>
          <w:szCs w:val="17"/>
          <w:color w:val="auto"/>
        </w:rPr>
      </w:pPr>
    </w:p>
    <w:p>
      <w:pPr>
        <w:ind w:left="460" w:firstLine="421"/>
        <w:spacing w:after="0" w:line="313" w:lineRule="auto"/>
        <w:tabs>
          <w:tab w:leader="none" w:pos="118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deliver or cause to be delivered authorizing resolutions, officer’s certificates and legal opinions of the type delivered on the Closing Date to the extent reasonably requested by, and in form and substance reasonably satisfactory to, the Administrative Agent.</w:t>
      </w:r>
    </w:p>
    <w:p>
      <w:pPr>
        <w:spacing w:after="0" w:line="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700" w:top="270" w:right="259" w:bottom="1440" w:gutter="0" w:footer="0" w:header="0"/>
        </w:sectPr>
      </w:pPr>
    </w:p>
    <w:bookmarkStart w:id="79" w:name="page80"/>
    <w:bookmarkEnd w:id="79"/>
    <w:p>
      <w:pPr>
        <w:ind w:firstLine="443"/>
        <w:spacing w:after="0" w:line="282" w:lineRule="auto"/>
        <w:tabs>
          <w:tab w:leader="none" w:pos="6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Incremental Loans and Incremental Commitments</w:t>
      </w:r>
      <w:r>
        <w:rPr>
          <w:rFonts w:ascii="Times New Roman" w:cs="Times New Roman" w:eastAsia="Times New Roman" w:hAnsi="Times New Roman"/>
          <w:sz w:val="18"/>
          <w:szCs w:val="18"/>
          <w:color w:val="auto"/>
        </w:rPr>
        <w:t>. The terms and provisions of the Incremental Loans made pursuant to Incremental Commitments shall be as follows:</w:t>
      </w:r>
    </w:p>
    <w:p>
      <w:pPr>
        <w:spacing w:after="0" w:line="53" w:lineRule="exact"/>
        <w:rPr>
          <w:rFonts w:ascii="Times New Roman" w:cs="Times New Roman" w:eastAsia="Times New Roman" w:hAnsi="Times New Roman"/>
          <w:sz w:val="18"/>
          <w:szCs w:val="18"/>
          <w:color w:val="auto"/>
        </w:rPr>
      </w:pPr>
    </w:p>
    <w:p>
      <w:pPr>
        <w:ind w:left="460" w:right="20" w:firstLine="421"/>
        <w:spacing w:after="0" w:line="256" w:lineRule="auto"/>
        <w:tabs>
          <w:tab w:leader="none" w:pos="1095"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Incremental Commitments and Incremental Loans shall be arranged by the Arrangers (unless any Arranger, in its sole discretion, declines to arrange such Incremental Commitments and Incremental Loans) and the terms and provisions of Incremental Loans shall be, except as otherwise set forth herein or in the Incremental Joinder, identical to the Loans (it being understood that Incremental Loans may be a part of the Loans) and to the extent that the terms and provisions of Incremental Loans are not identical to the Loans (except to the extent permitted by clause (ii), (iii) or (iv) below) they shall be reasonably satisfactory to the Administrative Agent, the Borrower and the Lenders providing such Incremental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the Incremental Loans must comply with clauses (ii), (iii) and (iv) below;</w:t>
      </w:r>
    </w:p>
    <w:p>
      <w:pPr>
        <w:spacing w:after="0" w:line="79" w:lineRule="exact"/>
        <w:rPr>
          <w:rFonts w:ascii="Times New Roman" w:cs="Times New Roman" w:eastAsia="Times New Roman" w:hAnsi="Times New Roman"/>
          <w:sz w:val="18"/>
          <w:szCs w:val="18"/>
          <w:color w:val="auto"/>
        </w:rPr>
      </w:pPr>
    </w:p>
    <w:p>
      <w:pPr>
        <w:ind w:left="460" w:right="60" w:firstLine="421"/>
        <w:spacing w:after="0" w:line="282" w:lineRule="auto"/>
        <w:tabs>
          <w:tab w:leader="none" w:pos="1145"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Incremental Loans shall be no shorter than the remaining weighted average life to maturity of the then existing Loans;</w:t>
      </w:r>
    </w:p>
    <w:p>
      <w:pPr>
        <w:spacing w:after="0" w:line="53" w:lineRule="exact"/>
        <w:rPr>
          <w:rFonts w:ascii="Times New Roman" w:cs="Times New Roman" w:eastAsia="Times New Roman" w:hAnsi="Times New Roman"/>
          <w:sz w:val="18"/>
          <w:szCs w:val="18"/>
          <w:color w:val="auto"/>
        </w:rPr>
      </w:pPr>
    </w:p>
    <w:p>
      <w:pPr>
        <w:ind w:left="1200" w:hanging="319"/>
        <w:spacing w:after="0"/>
        <w:tabs>
          <w:tab w:leader="none" w:pos="12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Incremental Loans (the “</w:t>
      </w:r>
      <w:r>
        <w:rPr>
          <w:rFonts w:ascii="Times New Roman" w:cs="Times New Roman" w:eastAsia="Times New Roman" w:hAnsi="Times New Roman"/>
          <w:sz w:val="18"/>
          <w:szCs w:val="18"/>
          <w:u w:val="single" w:color="auto"/>
          <w:color w:val="auto"/>
        </w:rPr>
        <w:t>Incremental Loan Maturity Date</w:t>
      </w:r>
      <w:r>
        <w:rPr>
          <w:rFonts w:ascii="Times New Roman" w:cs="Times New Roman" w:eastAsia="Times New Roman" w:hAnsi="Times New Roman"/>
          <w:sz w:val="18"/>
          <w:szCs w:val="18"/>
          <w:color w:val="auto"/>
        </w:rPr>
        <w:t>”) shall not be earlier than the Maturity Date;</w:t>
      </w:r>
    </w:p>
    <w:p>
      <w:pPr>
        <w:spacing w:after="0" w:line="117" w:lineRule="exact"/>
        <w:rPr>
          <w:rFonts w:ascii="Times New Roman" w:cs="Times New Roman" w:eastAsia="Times New Roman" w:hAnsi="Times New Roman"/>
          <w:sz w:val="18"/>
          <w:szCs w:val="18"/>
          <w:color w:val="auto"/>
        </w:rPr>
      </w:pPr>
    </w:p>
    <w:p>
      <w:pPr>
        <w:ind w:left="460" w:right="100" w:firstLine="421"/>
        <w:spacing w:after="0" w:line="254" w:lineRule="auto"/>
        <w:tabs>
          <w:tab w:leader="none" w:pos="1185"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Rate for Incremental Loans shall be determined by the Borrower and the Lenders of the Incremental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Applicable Rate for any Incremental Loan is greater than the Applicable Rate for the Loans by more than 50 basis points, then the Applicable Rate for the Loans shall be increased to the extent necessary so that the Applicable Rate for the Incremental Loans is equal to 50 basis points higher than the Applicable Rate for the Loans (at each point in any applicable pricing grids or tiers with respect to any such “Applicable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determining the Applicable Rate applicable to the Loans and the Incremental Loans,</w:t>
      </w:r>
    </w:p>
    <w:p>
      <w:pPr>
        <w:spacing w:after="0" w:line="3" w:lineRule="exact"/>
        <w:rPr>
          <w:rFonts w:ascii="Times New Roman" w:cs="Times New Roman" w:eastAsia="Times New Roman" w:hAnsi="Times New Roman"/>
          <w:sz w:val="18"/>
          <w:szCs w:val="18"/>
          <w:color w:val="auto"/>
        </w:rPr>
      </w:pPr>
    </w:p>
    <w:p>
      <w:pPr>
        <w:ind w:left="460" w:right="60" w:firstLine="1"/>
        <w:spacing w:after="0" w:line="254" w:lineRule="auto"/>
        <w:tabs>
          <w:tab w:leader="none" w:pos="71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or upfront fees (which shall be deemed to constitute like amounts of OID) payable by the Borrower to the Lenders of the Loans or the Incremental Loans in the primary syndication thereof shall be included (with OID being equated to interest based on an assumed four-year life to maturity), (y) customary arrangement, underwriting, structuring, commitment or similar fees payable to any of the Arrangers (or its respective affiliates) in connection with the Loans or any of the Arrangers or any one or more additional arrangers (or any of</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700" w:top="270" w:right="259" w:bottom="1440" w:gutter="0" w:footer="0" w:header="0"/>
        </w:sectPr>
      </w:pPr>
    </w:p>
    <w:bookmarkStart w:id="80" w:name="page81"/>
    <w:bookmarkEnd w:id="80"/>
    <w:p>
      <w:pPr>
        <w:jc w:val="both"/>
        <w:ind w:left="46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affiliates) of the Incremental Loans shall be excluded; and (z) if the LIBOR or Base Rate “floor” for the Incremental Loans is greater than the LIBOR or Base Rate “floor,” respectively, for the existing Loans, the difference between such floor for the Incremental Loans and the existing Loans shall be equated to an increase in the Applicable Rate for purposes of this clause (iv).</w:t>
      </w:r>
    </w:p>
    <w:p>
      <w:pPr>
        <w:spacing w:after="0" w:line="68" w:lineRule="exact"/>
        <w:rPr>
          <w:sz w:val="20"/>
          <w:szCs w:val="20"/>
          <w:color w:val="auto"/>
        </w:rPr>
      </w:pPr>
    </w:p>
    <w:p>
      <w:pPr>
        <w:ind w:firstLine="443"/>
        <w:spacing w:after="0" w:line="255" w:lineRule="auto"/>
        <w:tabs>
          <w:tab w:leader="none" w:pos="6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Joinder</w:t>
      </w:r>
      <w:r>
        <w:rPr>
          <w:rFonts w:ascii="Times New Roman" w:cs="Times New Roman" w:eastAsia="Times New Roman" w:hAnsi="Times New Roman"/>
          <w:sz w:val="18"/>
          <w:szCs w:val="18"/>
          <w:color w:val="auto"/>
        </w:rPr>
        <w:t>. The Incremental Commitments shall be effected by a joinder agreement (the “</w:t>
      </w:r>
      <w:r>
        <w:rPr>
          <w:rFonts w:ascii="Times New Roman" w:cs="Times New Roman" w:eastAsia="Times New Roman" w:hAnsi="Times New Roman"/>
          <w:sz w:val="18"/>
          <w:szCs w:val="18"/>
          <w:u w:val="single" w:color="auto"/>
          <w:color w:val="auto"/>
        </w:rPr>
        <w:t>Incremental Joinder</w:t>
      </w:r>
      <w:r>
        <w:rPr>
          <w:rFonts w:ascii="Times New Roman" w:cs="Times New Roman" w:eastAsia="Times New Roman" w:hAnsi="Times New Roman"/>
          <w:sz w:val="18"/>
          <w:szCs w:val="18"/>
          <w:color w:val="auto"/>
        </w:rPr>
        <w:t xml:space="preserve">”) executed by the Borrower, the Administrative Agent and each Lender making such Incremental Commitment, in form and substance reasonably satisfactory to each of them. Notwithstanding the provisions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 Incremental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addition, unless otherwise specifically provided herein, all references in Loan Documents to Loans shall be deemed, unless the context otherwise requires, to include references to Incremental Loans made pursuant to this Agreement.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the contrary.</w:t>
      </w:r>
    </w:p>
    <w:p>
      <w:pPr>
        <w:spacing w:after="0" w:line="81" w:lineRule="exact"/>
        <w:rPr>
          <w:rFonts w:ascii="Times New Roman" w:cs="Times New Roman" w:eastAsia="Times New Roman" w:hAnsi="Times New Roman"/>
          <w:sz w:val="18"/>
          <w:szCs w:val="18"/>
          <w:color w:val="auto"/>
        </w:rPr>
      </w:pPr>
    </w:p>
    <w:p>
      <w:pPr>
        <w:ind w:right="120" w:firstLine="443"/>
        <w:spacing w:after="0" w:line="266" w:lineRule="auto"/>
        <w:tabs>
          <w:tab w:leader="none" w:pos="6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of Incremental Loans</w:t>
      </w:r>
      <w:r>
        <w:rPr>
          <w:rFonts w:ascii="Times New Roman" w:cs="Times New Roman" w:eastAsia="Times New Roman" w:hAnsi="Times New Roman"/>
          <w:sz w:val="18"/>
          <w:szCs w:val="18"/>
          <w:color w:val="auto"/>
        </w:rPr>
        <w:t>. On any Incremental Effective Date on which Incremental Commitments for Incremental Loans are effective, subject to the satisfaction of the foregoing terms and conditions, each Lender of such Incremental Commitment shall make an Incremental Loan to the Borrower in an amount equal to its Incremental Commitment.</w:t>
      </w:r>
    </w:p>
    <w:p>
      <w:pPr>
        <w:spacing w:after="0" w:line="68" w:lineRule="exact"/>
        <w:rPr>
          <w:rFonts w:ascii="Times New Roman" w:cs="Times New Roman" w:eastAsia="Times New Roman" w:hAnsi="Times New Roman"/>
          <w:sz w:val="18"/>
          <w:szCs w:val="18"/>
          <w:color w:val="auto"/>
        </w:rPr>
      </w:pPr>
    </w:p>
    <w:p>
      <w:pPr>
        <w:ind w:right="100" w:firstLine="443"/>
        <w:spacing w:after="0" w:line="256" w:lineRule="auto"/>
        <w:tabs>
          <w:tab w:leader="none" w:pos="6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and Ratable Benefit</w:t>
      </w:r>
      <w:r>
        <w:rPr>
          <w:rFonts w:ascii="Times New Roman" w:cs="Times New Roman" w:eastAsia="Times New Roman" w:hAnsi="Times New Roman"/>
          <w:sz w:val="18"/>
          <w:szCs w:val="18"/>
          <w:color w:val="auto"/>
        </w:rPr>
        <w:t>. The Incremental Loans and Incremental Commitments established pursuant to this paragraph shall constitute Loans and Commitments under, and shall be entitled to all the benefits afforded by, this Agreement and the other Loan Documents, and shall, without limiting the foregoing, benefit equally and ratably from the Guarantees and security interests created by the Collateral Documents. The Loan Parties shall take any actions reasonably required by the Administrative Agent to ensure and/or demonstrate that the Lien and security interests granted by the Collateral Documents continue to be perfected under the UCC or otherwise after giving effect to the establishment of any Incremental Loans or any such Incremental Commitments (including any actions requested in connection with any existing Mortgages or any title policies related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3"/>
        <w:spacing w:after="0" w:line="282" w:lineRule="auto"/>
        <w:tabs>
          <w:tab w:leader="none" w:pos="6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60" w:right="120" w:firstLine="421"/>
        <w:spacing w:after="0" w:line="282" w:lineRule="auto"/>
        <w:tabs>
          <w:tab w:leader="none" w:pos="10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in the definition of “Required Lender”.</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700" w:top="270" w:right="259" w:bottom="1440" w:gutter="0" w:footer="0" w:header="0"/>
        </w:sectPr>
      </w:pPr>
    </w:p>
    <w:bookmarkStart w:id="81" w:name="page82"/>
    <w:bookmarkEnd w:id="81"/>
    <w:p>
      <w:pPr>
        <w:ind w:left="460" w:firstLine="421"/>
        <w:spacing w:after="0" w:line="252" w:lineRule="auto"/>
        <w:tabs>
          <w:tab w:leader="none" w:pos="114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as the Borrower may request (so long as no Default exists), to the funding of any Loan in respect of which such Defaulting Lender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their Applicable Percentages. Any payments, prepayments or other amounts paid or payable to a Defaulting Lender that are applied to pay amounts owed by a Defaulting Lender pursuant to this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6" w:lineRule="exact"/>
        <w:rPr>
          <w:rFonts w:ascii="Times New Roman" w:cs="Times New Roman" w:eastAsia="Times New Roman" w:hAnsi="Times New Roman"/>
          <w:sz w:val="18"/>
          <w:szCs w:val="18"/>
          <w:color w:val="auto"/>
        </w:rPr>
      </w:pPr>
    </w:p>
    <w:p>
      <w:pPr>
        <w:ind w:right="20" w:firstLine="443"/>
        <w:spacing w:after="0" w:line="255" w:lineRule="auto"/>
        <w:tabs>
          <w:tab w:leader="none" w:pos="69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700" w:top="270" w:right="239" w:bottom="1440" w:gutter="0" w:footer="0" w:header="0"/>
        </w:sectPr>
      </w:pPr>
    </w:p>
    <w:bookmarkStart w:id="82" w:name="page83"/>
    <w:bookmarkEnd w:id="82"/>
    <w:p>
      <w:pPr>
        <w:jc w:val="center"/>
        <w:ind w:righ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TAXES, YIELD PROTECTION AND ILLEGALITY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firstLine="421"/>
        <w:spacing w:after="0" w:line="258" w:lineRule="auto"/>
        <w:tabs>
          <w:tab w:leader="none" w:pos="10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75" w:lineRule="exact"/>
        <w:rPr>
          <w:rFonts w:ascii="Times New Roman" w:cs="Times New Roman" w:eastAsia="Times New Roman" w:hAnsi="Times New Roman"/>
          <w:sz w:val="18"/>
          <w:szCs w:val="18"/>
          <w:color w:val="auto"/>
        </w:rPr>
      </w:pPr>
    </w:p>
    <w:p>
      <w:pPr>
        <w:ind w:left="460" w:right="20" w:firstLine="421"/>
        <w:spacing w:after="0" w:line="255" w:lineRule="auto"/>
        <w:tabs>
          <w:tab w:leader="none" w:pos="114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3.01) the applicable Recipient receives an amount equal to the sum it would have received had no such withholding or deduction been made.</w:t>
      </w:r>
    </w:p>
    <w:p>
      <w:pPr>
        <w:spacing w:after="0" w:line="77" w:lineRule="exact"/>
        <w:rPr>
          <w:rFonts w:ascii="Times New Roman" w:cs="Times New Roman" w:eastAsia="Times New Roman" w:hAnsi="Times New Roman"/>
          <w:sz w:val="18"/>
          <w:szCs w:val="18"/>
          <w:color w:val="auto"/>
        </w:rPr>
      </w:pPr>
    </w:p>
    <w:p>
      <w:pPr>
        <w:ind w:left="460" w:right="40" w:firstLine="421"/>
        <w:spacing w:after="0" w:line="272" w:lineRule="auto"/>
        <w:tabs>
          <w:tab w:leader="none" w:pos="119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7"/>
          <w:szCs w:val="17"/>
          <w:u w:val="single" w:color="auto"/>
          <w:color w:val="auto"/>
        </w:rPr>
        <w:t>subsection (e)</w:t>
      </w:r>
      <w:r>
        <w:rPr>
          <w:rFonts w:ascii="Times New Roman" w:cs="Times New Roman" w:eastAsia="Times New Roman" w:hAnsi="Times New Roman"/>
          <w:sz w:val="17"/>
          <w:szCs w:val="17"/>
          <w:color w:val="auto"/>
        </w:rPr>
        <w:t xml:space="preserve"> below,</w:t>
      </w:r>
    </w:p>
    <w:p>
      <w:pPr>
        <w:spacing w:after="0" w:line="1" w:lineRule="exact"/>
        <w:rPr>
          <w:rFonts w:ascii="Times New Roman" w:cs="Times New Roman" w:eastAsia="Times New Roman" w:hAnsi="Times New Roman"/>
          <w:sz w:val="17"/>
          <w:szCs w:val="17"/>
          <w:color w:val="auto"/>
        </w:rPr>
      </w:pPr>
    </w:p>
    <w:p>
      <w:pPr>
        <w:jc w:val="both"/>
        <w:ind w:left="460" w:right="100" w:firstLine="1"/>
        <w:spacing w:after="0" w:line="253" w:lineRule="auto"/>
        <w:tabs>
          <w:tab w:leader="none" w:pos="7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700" w:top="270" w:right="239" w:bottom="1440" w:gutter="0" w:footer="0" w:header="0"/>
        </w:sectPr>
      </w:pPr>
    </w:p>
    <w:bookmarkStart w:id="83" w:name="page84"/>
    <w:bookmarkEnd w:id="83"/>
    <w:p>
      <w:pPr>
        <w:ind w:right="200" w:firstLine="443"/>
        <w:spacing w:after="0" w:line="266" w:lineRule="auto"/>
        <w:tabs>
          <w:tab w:leader="none" w:pos="69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Other Taxes by the Borrower</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the Borrower shall timely pay to the relevant Governmental Authority in accordance with applicable law, or at the option of the Administrative Agent timely reimburse it for the payment of, any Other Taxes.</w:t>
      </w:r>
    </w:p>
    <w:p>
      <w:pPr>
        <w:spacing w:after="0" w:line="68" w:lineRule="exact"/>
        <w:rPr>
          <w:rFonts w:ascii="Times New Roman" w:cs="Times New Roman" w:eastAsia="Times New Roman" w:hAnsi="Times New Roman"/>
          <w:sz w:val="18"/>
          <w:szCs w:val="18"/>
          <w:color w:val="auto"/>
        </w:rPr>
      </w:pPr>
    </w:p>
    <w:p>
      <w:pPr>
        <w:ind w:right="40" w:firstLine="443"/>
        <w:spacing w:after="0" w:line="254" w:lineRule="auto"/>
        <w:tabs>
          <w:tab w:leader="none" w:pos="6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81" w:lineRule="exact"/>
        <w:rPr>
          <w:rFonts w:ascii="Times New Roman" w:cs="Times New Roman" w:eastAsia="Times New Roman" w:hAnsi="Times New Roman"/>
          <w:sz w:val="18"/>
          <w:szCs w:val="18"/>
          <w:color w:val="auto"/>
        </w:rPr>
      </w:pPr>
    </w:p>
    <w:p>
      <w:pPr>
        <w:ind w:left="460" w:firstLine="421"/>
        <w:spacing w:after="0" w:line="253" w:lineRule="auto"/>
        <w:tabs>
          <w:tab w:leader="none" w:pos="114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right="320" w:firstLine="443"/>
        <w:spacing w:after="0" w:line="266" w:lineRule="auto"/>
        <w:tabs>
          <w:tab w:leader="none" w:pos="69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or the Administrative Agent shall deliver to the Borrower, as the case may be, the original or a certified copy of a</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700" w:top="270" w:right="259" w:bottom="1440" w:gutter="0" w:footer="0" w:header="0"/>
        </w:sectPr>
      </w:pPr>
    </w:p>
    <w:bookmarkStart w:id="84" w:name="page85"/>
    <w:bookmarkEnd w:id="84"/>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54" w:lineRule="exact"/>
        <w:rPr>
          <w:sz w:val="20"/>
          <w:szCs w:val="20"/>
          <w:color w:val="auto"/>
        </w:rPr>
      </w:pPr>
    </w:p>
    <w:p>
      <w:pPr>
        <w:ind w:left="680" w:hanging="237"/>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60" w:firstLine="421"/>
        <w:spacing w:after="0" w:line="253" w:lineRule="auto"/>
        <w:tabs>
          <w:tab w:leader="none" w:pos="109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w:t>
      </w:r>
    </w:p>
    <w:p>
      <w:pPr>
        <w:spacing w:after="0" w:line="1" w:lineRule="exact"/>
        <w:rPr>
          <w:rFonts w:ascii="Times New Roman" w:cs="Times New Roman" w:eastAsia="Times New Roman" w:hAnsi="Times New Roman"/>
          <w:sz w:val="18"/>
          <w:szCs w:val="18"/>
          <w:color w:val="auto"/>
        </w:rPr>
      </w:pPr>
    </w:p>
    <w:p>
      <w:pPr>
        <w:ind w:left="4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(ii)(D)</w:t>
      </w:r>
      <w:r>
        <w:rPr>
          <w:rFonts w:ascii="Times New Roman" w:cs="Times New Roman" w:eastAsia="Times New Roman" w:hAnsi="Times New Roman"/>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9"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1040" w:right="200" w:firstLine="389"/>
        <w:spacing w:after="0" w:line="261" w:lineRule="auto"/>
        <w:tabs>
          <w:tab w:leader="none" w:pos="173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1040" w:right="180" w:firstLine="389"/>
        <w:spacing w:after="0" w:line="261" w:lineRule="auto"/>
        <w:tabs>
          <w:tab w:leader="none" w:pos="172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1480" w:right="40" w:firstLine="387"/>
        <w:spacing w:after="0" w:line="282" w:lineRule="auto"/>
        <w:tabs>
          <w:tab w:leader="none" w:pos="2114"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establishing</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20"/>
          </w:cols>
          <w:pgMar w:left="700" w:top="270" w:right="279" w:bottom="1440" w:gutter="0" w:footer="0" w:header="0"/>
        </w:sectPr>
      </w:pPr>
    </w:p>
    <w:bookmarkStart w:id="85" w:name="page86"/>
    <w:bookmarkEnd w:id="85"/>
    <w:p>
      <w:pPr>
        <w:ind w:left="740"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68" w:lineRule="exact"/>
        <w:rPr>
          <w:sz w:val="20"/>
          <w:szCs w:val="20"/>
          <w:color w:val="auto"/>
        </w:rPr>
      </w:pPr>
    </w:p>
    <w:p>
      <w:pPr>
        <w:ind w:left="1380" w:hanging="253"/>
        <w:spacing w:after="0"/>
        <w:tabs>
          <w:tab w:leader="none" w:pos="13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IRS Form W-8ECI;</w:t>
      </w:r>
    </w:p>
    <w:p>
      <w:pPr>
        <w:spacing w:after="0" w:line="117" w:lineRule="exact"/>
        <w:rPr>
          <w:rFonts w:ascii="Times New Roman" w:cs="Times New Roman" w:eastAsia="Times New Roman" w:hAnsi="Times New Roman"/>
          <w:sz w:val="18"/>
          <w:szCs w:val="18"/>
          <w:color w:val="auto"/>
        </w:rPr>
      </w:pPr>
    </w:p>
    <w:p>
      <w:pPr>
        <w:ind w:left="740" w:right="60" w:firstLine="387"/>
        <w:spacing w:after="0" w:line="257" w:lineRule="auto"/>
        <w:tabs>
          <w:tab w:leader="none" w:pos="137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w:t>
      </w:r>
    </w:p>
    <w:p>
      <w:pPr>
        <w:spacing w:after="0" w:line="1" w:lineRule="exact"/>
        <w:rPr>
          <w:rFonts w:ascii="Times New Roman" w:cs="Times New Roman" w:eastAsia="Times New Roman" w:hAnsi="Times New Roman"/>
          <w:sz w:val="18"/>
          <w:szCs w:val="18"/>
          <w:color w:val="auto"/>
        </w:rPr>
      </w:pPr>
    </w:p>
    <w:p>
      <w:pPr>
        <w:ind w:left="740" w:right="400" w:firstLine="8"/>
        <w:spacing w:after="0" w:line="261" w:lineRule="auto"/>
        <w:tabs>
          <w:tab w:leader="none" w:pos="102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originals of IRS Form W-8BEN; or</w:t>
      </w:r>
    </w:p>
    <w:p>
      <w:pPr>
        <w:spacing w:after="0" w:line="71" w:lineRule="exact"/>
        <w:rPr>
          <w:rFonts w:ascii="Times New Roman" w:cs="Times New Roman" w:eastAsia="Times New Roman" w:hAnsi="Times New Roman"/>
          <w:sz w:val="18"/>
          <w:szCs w:val="18"/>
          <w:color w:val="auto"/>
        </w:rPr>
      </w:pPr>
    </w:p>
    <w:p>
      <w:pPr>
        <w:ind w:left="740" w:right="40" w:firstLine="387"/>
        <w:spacing w:after="0" w:line="256" w:lineRule="auto"/>
        <w:tabs>
          <w:tab w:leader="none" w:pos="137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W-SECT, IRS Form W-8BEN, a U.S. Tax Compliance Certificate substantially in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E-3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E-4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300" w:firstLine="389"/>
        <w:spacing w:after="0" w:line="256" w:lineRule="auto"/>
        <w:tabs>
          <w:tab w:leader="none" w:pos="98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300" w:firstLine="389"/>
        <w:spacing w:after="0" w:line="282" w:lineRule="auto"/>
        <w:tabs>
          <w:tab w:leader="none" w:pos="9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220"/>
          </w:cols>
          <w:pgMar w:left="1440" w:top="270" w:right="239" w:bottom="1440" w:gutter="0" w:footer="0" w:header="0"/>
        </w:sectPr>
      </w:pPr>
    </w:p>
    <w:bookmarkStart w:id="86" w:name="page87"/>
    <w:bookmarkEnd w:id="86"/>
    <w:p>
      <w:pPr>
        <w:ind w:left="1040"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w:t>
      </w:r>
    </w:p>
    <w:p>
      <w:pPr>
        <w:spacing w:after="0" w:line="2" w:lineRule="exact"/>
        <w:rPr>
          <w:sz w:val="20"/>
          <w:szCs w:val="20"/>
          <w:color w:val="auto"/>
        </w:rPr>
      </w:pPr>
    </w:p>
    <w:p>
      <w:pPr>
        <w:ind w:left="1040" w:right="160"/>
        <w:spacing w:after="0" w:line="253" w:lineRule="auto"/>
        <w:rPr>
          <w:sz w:val="20"/>
          <w:szCs w:val="20"/>
          <w:color w:val="auto"/>
        </w:rPr>
      </w:pPr>
      <w:r>
        <w:rPr>
          <w:rFonts w:ascii="Times New Roman" w:cs="Times New Roman" w:eastAsia="Times New Roman" w:hAnsi="Times New Roman"/>
          <w:sz w:val="18"/>
          <w:szCs w:val="18"/>
          <w:color w:val="auto"/>
        </w:rPr>
        <w:t>(3)(C)(i)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9" w:lineRule="exact"/>
        <w:rPr>
          <w:sz w:val="20"/>
          <w:szCs w:val="20"/>
          <w:color w:val="auto"/>
        </w:rPr>
      </w:pPr>
    </w:p>
    <w:p>
      <w:pPr>
        <w:jc w:val="both"/>
        <w:ind w:left="460" w:firstLine="421"/>
        <w:spacing w:after="0" w:line="266" w:lineRule="auto"/>
        <w:tabs>
          <w:tab w:leader="none" w:pos="119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68" w:lineRule="exact"/>
        <w:rPr>
          <w:rFonts w:ascii="Times New Roman" w:cs="Times New Roman" w:eastAsia="Times New Roman" w:hAnsi="Times New Roman"/>
          <w:sz w:val="18"/>
          <w:szCs w:val="18"/>
          <w:color w:val="auto"/>
        </w:rPr>
      </w:pPr>
    </w:p>
    <w:p>
      <w:pPr>
        <w:ind w:right="20" w:firstLine="443"/>
        <w:spacing w:after="0" w:line="252" w:lineRule="auto"/>
        <w:tabs>
          <w:tab w:leader="none" w:pos="6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available its tax returns (or any other information relating to its taxes that it d ems confidential) to the Borrower or any other Person.</w:t>
      </w:r>
    </w:p>
    <w:p>
      <w:pPr>
        <w:spacing w:after="0" w:line="90" w:lineRule="exact"/>
        <w:rPr>
          <w:rFonts w:ascii="Times New Roman" w:cs="Times New Roman" w:eastAsia="Times New Roman" w:hAnsi="Times New Roman"/>
          <w:sz w:val="18"/>
          <w:szCs w:val="18"/>
          <w:color w:val="auto"/>
        </w:rPr>
      </w:pPr>
    </w:p>
    <w:p>
      <w:pPr>
        <w:ind w:right="160" w:firstLine="443"/>
        <w:spacing w:after="0" w:line="266" w:lineRule="auto"/>
        <w:tabs>
          <w:tab w:leader="none" w:pos="69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700" w:top="270" w:right="259" w:bottom="1440" w:gutter="0" w:footer="0" w:header="0"/>
        </w:sectPr>
      </w:pPr>
    </w:p>
    <w:bookmarkStart w:id="87" w:name="page88"/>
    <w:bookmarkEnd w:id="87"/>
    <w:p>
      <w:pPr>
        <w:ind w:firstLine="45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w:t>
      </w:r>
    </w:p>
    <w:p>
      <w:pPr>
        <w:spacing w:after="0" w:line="7" w:lineRule="exact"/>
        <w:rPr>
          <w:sz w:val="20"/>
          <w:szCs w:val="20"/>
          <w:color w:val="auto"/>
        </w:rPr>
      </w:pPr>
    </w:p>
    <w:p>
      <w:pPr>
        <w:ind w:right="60" w:firstLine="8"/>
        <w:spacing w:after="0" w:line="251"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If in connection with any request for a Eurodollar Rate Loan or a conversion to or continuation thereof, (a) the Administrative Agent determines that (i) Dollar deposits are not being offered to banks in the London interbank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clause</w:t>
      </w:r>
    </w:p>
    <w:p>
      <w:pPr>
        <w:spacing w:after="0" w:line="3" w:lineRule="exact"/>
        <w:rPr>
          <w:sz w:val="20"/>
          <w:szCs w:val="20"/>
          <w:color w:val="auto"/>
        </w:rPr>
      </w:pPr>
    </w:p>
    <w:p>
      <w:pPr>
        <w:ind w:right="120" w:firstLine="8"/>
        <w:spacing w:after="0" w:line="253" w:lineRule="auto"/>
        <w:tabs>
          <w:tab w:leader="none" w:pos="2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70" w:right="23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0"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 Administrative Agent has made the determination described in clause (a) (i) of this section, the Administrative Agent, in consultation with the Borrower and the affected Lenders, may establish an alternative interest rate for the Impacted Loans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Increased Costs; Reserves on Eurodollar Rate Loans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sz w:val="20"/>
          <w:szCs w:val="20"/>
          <w:color w:val="auto"/>
        </w:rPr>
      </w:pPr>
    </w:p>
    <w:p>
      <w:pPr>
        <w:ind w:left="1500" w:right="40" w:firstLine="389"/>
        <w:spacing w:after="0" w:line="266" w:lineRule="auto"/>
        <w:tabs>
          <w:tab w:leader="none" w:pos="21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jc w:val="both"/>
        <w:ind w:left="1500" w:right="380" w:firstLine="389"/>
        <w:spacing w:after="0" w:line="266" w:lineRule="auto"/>
        <w:tabs>
          <w:tab w:leader="none" w:pos="216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68" w:lineRule="exact"/>
        <w:rPr>
          <w:rFonts w:ascii="Times New Roman" w:cs="Times New Roman" w:eastAsia="Times New Roman" w:hAnsi="Times New Roman"/>
          <w:sz w:val="18"/>
          <w:szCs w:val="18"/>
          <w:color w:val="auto"/>
        </w:rPr>
      </w:pPr>
    </w:p>
    <w:p>
      <w:pPr>
        <w:ind w:left="1500" w:right="580" w:firstLine="389"/>
        <w:spacing w:after="0" w:line="282" w:lineRule="auto"/>
        <w:tabs>
          <w:tab w:leader="none" w:pos="22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London interbank market any other condition, cost or expense affecting this Agreement or Eurodollar Rate Loans made by such Lender;</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the interest on which is determined by reference to the Eurodollar Rate (or, in the case of clause (ii) above, any Loan), or of maintaining its obligation to make any such Loan, or to increase the cost to such Lender or to reduce the amount of any sum received or receivable by such Lender hereunder (whether of principal,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270" w:right="259" w:bottom="1440" w:gutter="0" w:footer="0" w:header="0"/>
        </w:sectPr>
      </w:pPr>
    </w:p>
    <w:bookmarkStart w:id="89" w:name="page90"/>
    <w:bookmarkEnd w:id="8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or any other amount) then, upon request of such Lender, the Borrower will pay to such Lender, such additional amount or amounts as will compensate such Lender for such additional costs incurred or reduction suffered.</w:t>
      </w:r>
    </w:p>
    <w:p>
      <w:pPr>
        <w:spacing w:after="0" w:line="54" w:lineRule="exact"/>
        <w:rPr>
          <w:sz w:val="20"/>
          <w:szCs w:val="20"/>
          <w:color w:val="auto"/>
        </w:rPr>
      </w:pPr>
    </w:p>
    <w:p>
      <w:pPr>
        <w:ind w:left="460" w:right="80" w:firstLine="443"/>
        <w:spacing w:after="0" w:line="255" w:lineRule="auto"/>
        <w:tabs>
          <w:tab w:leader="none" w:pos="11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81" w:lineRule="exact"/>
        <w:rPr>
          <w:rFonts w:ascii="Times New Roman" w:cs="Times New Roman" w:eastAsia="Times New Roman" w:hAnsi="Times New Roman"/>
          <w:sz w:val="18"/>
          <w:szCs w:val="18"/>
          <w:color w:val="auto"/>
        </w:rPr>
      </w:pPr>
    </w:p>
    <w:p>
      <w:pPr>
        <w:ind w:left="460" w:right="360" w:firstLine="443"/>
        <w:spacing w:after="0" w:line="266" w:lineRule="auto"/>
        <w:tabs>
          <w:tab w:leader="none" w:pos="11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10 days after receipt thereof.</w:t>
      </w:r>
    </w:p>
    <w:p>
      <w:pPr>
        <w:spacing w:after="0" w:line="6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to demand compensation pursuant to the foregoing provisions of this</w:t>
      </w:r>
    </w:p>
    <w:p>
      <w:pPr>
        <w:spacing w:after="0" w:line="27"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3.04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79" w:lineRule="exact"/>
        <w:rPr>
          <w:sz w:val="20"/>
          <w:szCs w:val="20"/>
          <w:color w:val="auto"/>
        </w:rPr>
      </w:pPr>
    </w:p>
    <w:p>
      <w:pPr>
        <w:ind w:left="460" w:firstLine="443"/>
        <w:spacing w:after="0" w:line="255" w:lineRule="auto"/>
        <w:tabs>
          <w:tab w:leader="none" w:pos="114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 on Eurodollar Rate Loans</w:t>
      </w:r>
      <w:r>
        <w:rPr>
          <w:rFonts w:ascii="Times New Roman" w:cs="Times New Roman" w:eastAsia="Times New Roman" w:hAnsi="Times New Roman"/>
          <w:sz w:val="18"/>
          <w:szCs w:val="18"/>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270" w:right="239" w:bottom="1440" w:gutter="0" w:footer="0" w:header="0"/>
        </w:sectPr>
      </w:pPr>
    </w:p>
    <w:bookmarkStart w:id="90" w:name="page91"/>
    <w:bookmarkEnd w:id="90"/>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3.05 </w:t>
      </w:r>
      <w:r>
        <w:rPr>
          <w:rFonts w:ascii="Times New Roman" w:cs="Times New Roman" w:eastAsia="Times New Roman" w:hAnsi="Times New Roman"/>
          <w:sz w:val="18"/>
          <w:szCs w:val="18"/>
          <w:u w:val="single" w:color="auto"/>
          <w:color w:val="auto"/>
        </w:rPr>
        <w:t>Compensation for Losses</w:t>
      </w:r>
      <w:r>
        <w:rPr>
          <w:rFonts w:ascii="Times New Roman" w:cs="Times New Roman" w:eastAsia="Times New Roman" w:hAnsi="Times New Roman"/>
          <w:sz w:val="18"/>
          <w:szCs w:val="18"/>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54" w:lineRule="exact"/>
        <w:rPr>
          <w:sz w:val="20"/>
          <w:szCs w:val="20"/>
          <w:color w:val="auto"/>
        </w:rPr>
      </w:pPr>
    </w:p>
    <w:p>
      <w:pPr>
        <w:ind w:left="460" w:firstLine="443"/>
        <w:spacing w:after="0" w:line="282" w:lineRule="auto"/>
        <w:tabs>
          <w:tab w:leader="none" w:pos="11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53" w:lineRule="exact"/>
        <w:rPr>
          <w:rFonts w:ascii="Times New Roman" w:cs="Times New Roman" w:eastAsia="Times New Roman" w:hAnsi="Times New Roman"/>
          <w:sz w:val="18"/>
          <w:szCs w:val="18"/>
          <w:color w:val="auto"/>
        </w:rPr>
      </w:pPr>
    </w:p>
    <w:p>
      <w:pPr>
        <w:ind w:left="460" w:right="260" w:firstLine="443"/>
        <w:spacing w:after="0" w:line="282" w:lineRule="auto"/>
        <w:tabs>
          <w:tab w:leader="none" w:pos="11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53" w:lineRule="exact"/>
        <w:rPr>
          <w:rFonts w:ascii="Times New Roman" w:cs="Times New Roman" w:eastAsia="Times New Roman" w:hAnsi="Times New Roman"/>
          <w:sz w:val="18"/>
          <w:szCs w:val="18"/>
          <w:color w:val="auto"/>
        </w:rPr>
      </w:pPr>
    </w:p>
    <w:p>
      <w:pPr>
        <w:ind w:left="460" w:right="580" w:firstLine="443"/>
        <w:spacing w:after="0" w:line="282" w:lineRule="auto"/>
        <w:tabs>
          <w:tab w:leader="none" w:pos="11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Eurodollar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60" w:firstLine="443"/>
        <w:spacing w:after="0" w:line="254" w:lineRule="auto"/>
        <w:tabs>
          <w:tab w:leader="none" w:pos="11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Each Lender may fund any Borrowing through any Lending Office, provided that the exercise of this option shall not affect the obligation of the Borrower to repay the Borrowing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78" w:lineRule="exact"/>
        <w:rPr>
          <w:rFonts w:ascii="Times New Roman" w:cs="Times New Roman" w:eastAsia="Times New Roman" w:hAnsi="Times New Roman"/>
          <w:sz w:val="18"/>
          <w:szCs w:val="18"/>
          <w:color w:val="auto"/>
        </w:rPr>
      </w:pPr>
    </w:p>
    <w:p>
      <w:pPr>
        <w:ind w:left="460" w:right="380" w:firstLine="443"/>
        <w:spacing w:after="0" w:line="282" w:lineRule="auto"/>
        <w:tabs>
          <w:tab w:leader="none" w:pos="115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or if the Borrower is required to pay any Indemnified Taxes or additional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270" w:right="299" w:bottom="1440" w:gutter="0" w:footer="0" w:header="0"/>
        </w:sectPr>
      </w:pPr>
    </w:p>
    <w:bookmarkStart w:id="91" w:name="page92"/>
    <w:bookmarkEnd w:id="91"/>
    <w:p>
      <w:pPr>
        <w:ind w:left="46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Section 3.06(a), the Borrower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and resignation of the Administrative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PRECEDENT TO CLOSING AND BORROWING</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Conditions of Closing and Initial Borrowing</w:t>
      </w:r>
      <w:r>
        <w:rPr>
          <w:rFonts w:ascii="Times New Roman" w:cs="Times New Roman" w:eastAsia="Times New Roman" w:hAnsi="Times New Roman"/>
          <w:sz w:val="18"/>
          <w:szCs w:val="18"/>
          <w:color w:val="auto"/>
        </w:rPr>
        <w:t>. The effectiveness of this Agreement and the obligation of each Lender to make its Loans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subject to satisfaction of the following conditions precedent:</w:t>
      </w:r>
    </w:p>
    <w:p>
      <w:pPr>
        <w:spacing w:after="0" w:line="99" w:lineRule="exact"/>
        <w:rPr>
          <w:sz w:val="20"/>
          <w:szCs w:val="20"/>
          <w:color w:val="auto"/>
        </w:rPr>
      </w:pPr>
    </w:p>
    <w:p>
      <w:pPr>
        <w:ind w:left="460" w:right="280" w:firstLine="443"/>
        <w:spacing w:after="0" w:line="261" w:lineRule="auto"/>
        <w:tabs>
          <w:tab w:leader="none" w:pos="11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1"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the Guaranty and the Intercreditor Agreement;</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requesting a Note;</w:t>
      </w:r>
    </w:p>
    <w:p>
      <w:pPr>
        <w:spacing w:after="0" w:line="117" w:lineRule="exact"/>
        <w:rPr>
          <w:rFonts w:ascii="Times New Roman" w:cs="Times New Roman" w:eastAsia="Times New Roman" w:hAnsi="Times New Roman"/>
          <w:sz w:val="18"/>
          <w:szCs w:val="18"/>
          <w:color w:val="auto"/>
        </w:rPr>
      </w:pPr>
    </w:p>
    <w:p>
      <w:pPr>
        <w:ind w:left="920" w:right="840" w:firstLine="421"/>
        <w:spacing w:after="0" w:line="282" w:lineRule="auto"/>
        <w:tabs>
          <w:tab w:leader="none" w:pos="165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security agreement (together with each other security agreement and security agreement supplement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as amended, the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duly executed by each Loan Party, together with:</w:t>
      </w:r>
    </w:p>
    <w:p>
      <w:pPr>
        <w:spacing w:after="0" w:line="53" w:lineRule="exact"/>
        <w:rPr>
          <w:rFonts w:ascii="Times New Roman" w:cs="Times New Roman" w:eastAsia="Times New Roman" w:hAnsi="Times New Roman"/>
          <w:sz w:val="18"/>
          <w:szCs w:val="18"/>
          <w:color w:val="auto"/>
        </w:rPr>
      </w:pPr>
    </w:p>
    <w:p>
      <w:pPr>
        <w:ind w:left="1500" w:right="200" w:firstLine="389"/>
        <w:spacing w:after="0" w:line="282" w:lineRule="auto"/>
        <w:tabs>
          <w:tab w:leader="none" w:pos="219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and instruments representing the Collateral consisting of Certificated Securities or Instruments (each such term as defined in the UCC) accompanied by undated stock powers, allonges or instruments of transfer executed in blank;</w:t>
      </w:r>
    </w:p>
    <w:p>
      <w:pPr>
        <w:spacing w:after="0" w:line="53" w:lineRule="exact"/>
        <w:rPr>
          <w:rFonts w:ascii="Times New Roman" w:cs="Times New Roman" w:eastAsia="Times New Roman" w:hAnsi="Times New Roman"/>
          <w:sz w:val="18"/>
          <w:szCs w:val="18"/>
          <w:color w:val="auto"/>
        </w:rPr>
      </w:pPr>
    </w:p>
    <w:p>
      <w:pPr>
        <w:ind w:left="1500" w:firstLine="389"/>
        <w:spacing w:after="0" w:line="266" w:lineRule="auto"/>
        <w:tabs>
          <w:tab w:leader="none" w:pos="218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UCC financing statements in form appropriate for filing under the Uniform Commercial Code of all jurisdictions that the Administrative Agent may deem necessary or desirable in order to perfect the Liens created under the Security Agreement, covering the Collateral described in the Security Agreement;</w:t>
      </w:r>
    </w:p>
    <w:p>
      <w:pPr>
        <w:spacing w:after="0" w:line="68" w:lineRule="exact"/>
        <w:rPr>
          <w:rFonts w:ascii="Times New Roman" w:cs="Times New Roman" w:eastAsia="Times New Roman" w:hAnsi="Times New Roman"/>
          <w:sz w:val="18"/>
          <w:szCs w:val="18"/>
          <w:color w:val="auto"/>
        </w:rPr>
      </w:pPr>
    </w:p>
    <w:p>
      <w:pPr>
        <w:ind w:left="1500" w:right="80" w:firstLine="389"/>
        <w:spacing w:after="0" w:line="282" w:lineRule="auto"/>
        <w:tabs>
          <w:tab w:leader="none" w:pos="218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UCC, United States Patent and Trademark Office and United States Copyright Office, tax and judgment lien searches, or equivalent reports or searches, each of a recent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70" w:right="259" w:bottom="1440" w:gutter="0" w:footer="0" w:header="0"/>
        </w:sectPr>
      </w:pPr>
    </w:p>
    <w:bookmarkStart w:id="92" w:name="page93"/>
    <w:bookmarkEnd w:id="92"/>
    <w:p>
      <w:pPr>
        <w:ind w:left="30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deems necessary or appropriate, none of which encumber the Collateral covered or intended to be covered by the Collateral Documents (other than Permitted Liens);</w:t>
      </w:r>
    </w:p>
    <w:p>
      <w:pPr>
        <w:spacing w:after="0" w:line="76" w:lineRule="exact"/>
        <w:rPr>
          <w:sz w:val="20"/>
          <w:szCs w:val="20"/>
          <w:color w:val="auto"/>
        </w:rPr>
      </w:pPr>
    </w:p>
    <w:p>
      <w:pPr>
        <w:ind w:left="300" w:right="420" w:firstLine="389"/>
        <w:spacing w:after="0" w:line="282" w:lineRule="auto"/>
        <w:tabs>
          <w:tab w:leader="none" w:pos="9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Account Control Agreements and the Securities Account Control Agreement, in each case as referred to in the Security Agreement and duly executed by the appropriate parties; and</w:t>
      </w:r>
    </w:p>
    <w:p>
      <w:pPr>
        <w:spacing w:after="0" w:line="53" w:lineRule="exact"/>
        <w:rPr>
          <w:rFonts w:ascii="Times New Roman" w:cs="Times New Roman" w:eastAsia="Times New Roman" w:hAnsi="Times New Roman"/>
          <w:sz w:val="18"/>
          <w:szCs w:val="18"/>
          <w:color w:val="auto"/>
        </w:rPr>
      </w:pPr>
    </w:p>
    <w:p>
      <w:pPr>
        <w:jc w:val="both"/>
        <w:ind w:left="300" w:firstLine="389"/>
        <w:spacing w:after="0" w:line="289" w:lineRule="auto"/>
        <w:tabs>
          <w:tab w:leader="none" w:pos="972"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that all other actions, recordings and filings that the Administrative Agent may deem necessary or desirable in order to perfect or protect the Liens created under the Security Agreement has been taken (including receipt of duly executed payoff letters, UCC-3 termination statements, evidence and endorsement of insurance policies and landlords’ and bailees’ waiver and consent agreements);</w:t>
      </w:r>
    </w:p>
    <w:p>
      <w:pPr>
        <w:spacing w:after="0" w:line="50" w:lineRule="exact"/>
        <w:rPr>
          <w:rFonts w:ascii="Times New Roman" w:cs="Times New Roman" w:eastAsia="Times New Roman" w:hAnsi="Times New Roman"/>
          <w:sz w:val="17"/>
          <w:szCs w:val="17"/>
          <w:color w:val="auto"/>
        </w:rPr>
      </w:pPr>
    </w:p>
    <w:p>
      <w:pPr>
        <w:ind w:left="-280" w:right="40" w:firstLine="421"/>
        <w:spacing w:after="0" w:line="258" w:lineRule="auto"/>
        <w:tabs>
          <w:tab w:leader="none" w:pos="4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Copyright Security Agreement, Patent Security Agreement and Trademark Security Agreement (as each such term is defined in Security Agreement and to the extent applicable) (together with each other intellectual property security agreement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as amended, the “</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and each, individually, an “</w:t>
      </w:r>
      <w:r>
        <w:rPr>
          <w:rFonts w:ascii="Times New Roman" w:cs="Times New Roman" w:eastAsia="Times New Roman" w:hAnsi="Times New Roman"/>
          <w:sz w:val="18"/>
          <w:szCs w:val="18"/>
          <w:u w:val="single" w:color="auto"/>
          <w:color w:val="auto"/>
        </w:rPr>
        <w:t>Intellectual Property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each Loan Party, together with evidence that all action that the Administrative Agent may deem necessary or desirable in order to perfect the Liens created under the Intellectual Property Security Agreement has been taken;</w:t>
      </w:r>
    </w:p>
    <w:p>
      <w:pPr>
        <w:spacing w:after="0" w:line="75" w:lineRule="exact"/>
        <w:rPr>
          <w:rFonts w:ascii="Times New Roman" w:cs="Times New Roman" w:eastAsia="Times New Roman" w:hAnsi="Times New Roman"/>
          <w:sz w:val="18"/>
          <w:szCs w:val="18"/>
          <w:color w:val="auto"/>
        </w:rPr>
      </w:pPr>
    </w:p>
    <w:p>
      <w:pPr>
        <w:ind w:left="-280" w:right="300" w:firstLine="421"/>
        <w:spacing w:after="0" w:line="289" w:lineRule="auto"/>
        <w:tabs>
          <w:tab w:leader="none" w:pos="39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50" w:lineRule="exact"/>
        <w:rPr>
          <w:rFonts w:ascii="Times New Roman" w:cs="Times New Roman" w:eastAsia="Times New Roman" w:hAnsi="Times New Roman"/>
          <w:sz w:val="17"/>
          <w:szCs w:val="17"/>
          <w:color w:val="auto"/>
        </w:rPr>
      </w:pPr>
    </w:p>
    <w:p>
      <w:pPr>
        <w:ind w:left="-280" w:right="40" w:firstLine="421"/>
        <w:spacing w:after="0" w:line="261" w:lineRule="auto"/>
        <w:tabs>
          <w:tab w:leader="none" w:pos="4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left="-280" w:right="260" w:firstLine="421"/>
        <w:spacing w:after="0" w:line="282" w:lineRule="auto"/>
        <w:tabs>
          <w:tab w:leader="none" w:pos="4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(A) Husch Blackwell LLP, counsel to the Loan Parties, and (B) appropriate local counsel to the Loan Parties (which counsel</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200"/>
          </w:cols>
          <w:pgMar w:left="1440" w:top="270" w:right="259" w:bottom="1440" w:gutter="0" w:footer="0" w:header="0"/>
        </w:sectPr>
      </w:pPr>
    </w:p>
    <w:bookmarkStart w:id="93" w:name="page94"/>
    <w:bookmarkEnd w:id="93"/>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reasonably satisfactory to the Administrative Agent), in each case addressed to the Administrative Agent and each Lender, as to such matters concerning the Loan Parties and the Loan Documents as the Administrative Agent may reasonably request;</w:t>
      </w:r>
    </w:p>
    <w:p>
      <w:pPr>
        <w:spacing w:after="0" w:line="54" w:lineRule="exact"/>
        <w:rPr>
          <w:sz w:val="20"/>
          <w:szCs w:val="20"/>
          <w:color w:val="auto"/>
        </w:rPr>
      </w:pPr>
    </w:p>
    <w:p>
      <w:pPr>
        <w:ind w:firstLine="421"/>
        <w:spacing w:after="0" w:line="254" w:lineRule="auto"/>
        <w:tabs>
          <w:tab w:leader="none" w:pos="82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(A) certifying that (1) each of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in each other Loan Document, in the ABL Loan Documents and in any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Company and its Subsidiaries, the only such representations and warranties the accuracy of which shall be a condition to the availability of the Loans on the Closing Date shall be the Specified Representations;</w:t>
      </w:r>
    </w:p>
    <w:p>
      <w:pPr>
        <w:ind w:right="40" w:firstLine="1"/>
        <w:spacing w:after="0" w:line="250"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Specified Merger Agreement Representations shall be true and correct to the extent provided in, and subject to,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of the Merger Agreement; and (3) since April 30, 2014, there shall not have been any Company Material Adverse Effect, nor shall any event or events have occurred that, individually or in the aggregate, with or without the lapse of time, would reasonably be expected to result in a Company Material Adverse Effect and (B) either (1) attaching copies of all consents, licenses and approvals required in connection with the consummation by such Loan Party of the Transaction and the execution, delivery and performance by such Loan Party and the validity against such Loan Party of the Loan Documents to which it is a party, and such consents, licenses and approvals shall be in full force and effect, or</w:t>
      </w:r>
    </w:p>
    <w:p>
      <w:pPr>
        <w:spacing w:after="0" w:line="2" w:lineRule="exact"/>
        <w:rPr>
          <w:rFonts w:ascii="Times New Roman" w:cs="Times New Roman" w:eastAsia="Times New Roman" w:hAnsi="Times New Roman"/>
          <w:sz w:val="18"/>
          <w:szCs w:val="18"/>
          <w:color w:val="auto"/>
        </w:rPr>
      </w:pPr>
    </w:p>
    <w:p>
      <w:pPr>
        <w:ind w:left="260" w:hanging="259"/>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no such consents, licenses or approvals are so required;</w:t>
      </w:r>
    </w:p>
    <w:p>
      <w:pPr>
        <w:spacing w:after="0" w:line="98" w:lineRule="exact"/>
        <w:rPr>
          <w:rFonts w:ascii="Times New Roman" w:cs="Times New Roman" w:eastAsia="Times New Roman" w:hAnsi="Times New Roman"/>
          <w:sz w:val="18"/>
          <w:szCs w:val="18"/>
          <w:color w:val="auto"/>
        </w:rPr>
      </w:pPr>
    </w:p>
    <w:p>
      <w:pPr>
        <w:ind w:left="720" w:hanging="299"/>
        <w:spacing w:after="0"/>
        <w:tabs>
          <w:tab w:leader="none" w:pos="7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balance sheets and related consolidated statements of income and cash flows for the fiscal quarter ended</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June 30, 2014 and each fiscal quarter ended after June 30, 2014 and at least 45 days prior to the Closing Date (if any) of (A) the Borrower and its Subsidiaries, on a consolidated basis (collectively, the “</w:t>
      </w:r>
      <w:r>
        <w:rPr>
          <w:rFonts w:ascii="Times New Roman" w:cs="Times New Roman" w:eastAsia="Times New Roman" w:hAnsi="Times New Roman"/>
          <w:sz w:val="18"/>
          <w:szCs w:val="18"/>
          <w:u w:val="single" w:color="auto"/>
          <w:color w:val="auto"/>
        </w:rPr>
        <w:t>Borrower Interim Financial Statements</w:t>
      </w:r>
      <w:r>
        <w:rPr>
          <w:rFonts w:ascii="Times New Roman" w:cs="Times New Roman" w:eastAsia="Times New Roman" w:hAnsi="Times New Roman"/>
          <w:sz w:val="18"/>
          <w:szCs w:val="18"/>
          <w:color w:val="auto"/>
        </w:rPr>
        <w:t>”) and (B) the Company and its Subsidiaries, on a consolidated basis (the “</w:t>
      </w:r>
      <w:r>
        <w:rPr>
          <w:rFonts w:ascii="Times New Roman" w:cs="Times New Roman" w:eastAsia="Times New Roman" w:hAnsi="Times New Roman"/>
          <w:sz w:val="18"/>
          <w:szCs w:val="18"/>
          <w:u w:val="single" w:color="auto"/>
          <w:color w:val="auto"/>
        </w:rPr>
        <w:t>Company Interim Financial Statements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right="160" w:firstLine="421"/>
        <w:spacing w:after="0" w:line="256" w:lineRule="auto"/>
        <w:tabs>
          <w:tab w:leader="none" w:pos="6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consolidated balance sheet as of the last day of the most recent fiscal quarter ended March 31, 2014 and related pro forma consolidated statements of income and cash flows of the Borrower and its Subsidiaries as of and for the most recent four fiscal quarter period ended March 31, 2014,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Times New Roman" w:cs="Times New Roman" w:eastAsia="Times New Roman" w:hAnsi="Times New Roman"/>
          <w:sz w:val="18"/>
          <w:szCs w:val="18"/>
          <w:u w:val="single" w:color="auto"/>
          <w:color w:val="auto"/>
        </w:rPr>
        <w:t>Borrower Pro Forma Financial Statements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480"/>
          </w:cols>
          <w:pgMar w:left="1160" w:top="270" w:right="259" w:bottom="1440" w:gutter="0" w:footer="0" w:header="0"/>
        </w:sectPr>
      </w:pPr>
    </w:p>
    <w:bookmarkStart w:id="94" w:name="page95"/>
    <w:bookmarkEnd w:id="94"/>
    <w:p>
      <w:pPr>
        <w:ind w:right="60" w:firstLine="421"/>
        <w:spacing w:after="0" w:line="266" w:lineRule="auto"/>
        <w:tabs>
          <w:tab w:leader="none" w:pos="7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68" w:lineRule="exact"/>
        <w:rPr>
          <w:rFonts w:ascii="Times New Roman" w:cs="Times New Roman" w:eastAsia="Times New Roman" w:hAnsi="Times New Roman"/>
          <w:sz w:val="18"/>
          <w:szCs w:val="18"/>
          <w:color w:val="auto"/>
        </w:rPr>
      </w:pPr>
    </w:p>
    <w:p>
      <w:pPr>
        <w:ind w:firstLine="421"/>
        <w:spacing w:after="0" w:line="258" w:lineRule="auto"/>
        <w:tabs>
          <w:tab w:leader="none" w:pos="7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the Chief Financial Officer of the Borrower attesting (A) to the Solvency of the Borrower and its Subsidiaries on a consolidated basis (after giving effect to the Transactions and the incurrence and repayment of Indebtedness related thereto) and (B) that the Borrower Pro Forma Financial Statements and forecasts required under this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accurately present the pro forma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75" w:lineRule="exact"/>
        <w:rPr>
          <w:rFonts w:ascii="Times New Roman" w:cs="Times New Roman" w:eastAsia="Times New Roman" w:hAnsi="Times New Roman"/>
          <w:sz w:val="18"/>
          <w:szCs w:val="18"/>
          <w:color w:val="auto"/>
        </w:rPr>
      </w:pPr>
    </w:p>
    <w:p>
      <w:pPr>
        <w:ind w:right="140" w:firstLine="421"/>
        <w:spacing w:after="0" w:line="261" w:lineRule="auto"/>
        <w:tabs>
          <w:tab w:leader="none" w:pos="8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(including customary payoff letters) that all Existing Indebtedness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the aggregate principal amount of Indebtedness of the Company and its Subsidiaries shall not exceed $35,000,000;</w:t>
      </w:r>
    </w:p>
    <w:p>
      <w:pPr>
        <w:spacing w:after="0" w:line="71" w:lineRule="exact"/>
        <w:rPr>
          <w:rFonts w:ascii="Times New Roman" w:cs="Times New Roman" w:eastAsia="Times New Roman" w:hAnsi="Times New Roman"/>
          <w:sz w:val="18"/>
          <w:szCs w:val="18"/>
          <w:color w:val="auto"/>
        </w:rPr>
      </w:pPr>
    </w:p>
    <w:p>
      <w:pPr>
        <w:ind w:left="820" w:hanging="399"/>
        <w:spacing w:after="0"/>
        <w:tabs>
          <w:tab w:leader="none" w:pos="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selects the Eurodollar Rate for the Borrowing on the Closing Date, a Funding Indemnity Letter;</w:t>
      </w:r>
    </w:p>
    <w:p>
      <w:pPr>
        <w:spacing w:after="0" w:line="117" w:lineRule="exact"/>
        <w:rPr>
          <w:rFonts w:ascii="Times New Roman" w:cs="Times New Roman" w:eastAsia="Times New Roman" w:hAnsi="Times New Roman"/>
          <w:sz w:val="18"/>
          <w:szCs w:val="18"/>
          <w:color w:val="auto"/>
        </w:rPr>
      </w:pPr>
    </w:p>
    <w:p>
      <w:pPr>
        <w:ind w:left="760" w:hanging="339"/>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in accordance with the requirements hereof; and</w:t>
      </w:r>
    </w:p>
    <w:p>
      <w:pPr>
        <w:spacing w:after="0" w:line="117" w:lineRule="exact"/>
        <w:rPr>
          <w:rFonts w:ascii="Times New Roman" w:cs="Times New Roman" w:eastAsia="Times New Roman" w:hAnsi="Times New Roman"/>
          <w:sz w:val="18"/>
          <w:szCs w:val="18"/>
          <w:color w:val="auto"/>
        </w:rPr>
      </w:pPr>
    </w:p>
    <w:p>
      <w:pPr>
        <w:ind w:right="60" w:firstLine="421"/>
        <w:spacing w:after="0" w:line="282" w:lineRule="auto"/>
        <w:tabs>
          <w:tab w:leader="none" w:pos="8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funds flow statement with respect to all Loans to be advanced on the Closing Date and all other Transactions to occur on the Closing Date.</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clause (a),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w:t>
      </w:r>
    </w:p>
    <w:p>
      <w:pPr>
        <w:spacing w:after="0" w:line="1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460"/>
          </w:cols>
          <w:pgMar w:left="1160" w:top="270" w:right="279" w:bottom="1440" w:gutter="0" w:footer="0" w:header="0"/>
        </w:sectPr>
      </w:pPr>
    </w:p>
    <w:bookmarkStart w:id="95" w:name="page96"/>
    <w:bookmarkEnd w:id="95"/>
    <w:p>
      <w:pPr>
        <w:ind w:lef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40" w:firstLine="443"/>
        <w:spacing w:after="0" w:line="266" w:lineRule="auto"/>
        <w:tabs>
          <w:tab w:leader="none" w:pos="6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Act, applicable “know your customer” and anti-money laundering rules and regulations;</w:t>
      </w:r>
    </w:p>
    <w:p>
      <w:pPr>
        <w:spacing w:after="0" w:line="68" w:lineRule="exact"/>
        <w:rPr>
          <w:rFonts w:ascii="Times New Roman" w:cs="Times New Roman" w:eastAsia="Times New Roman" w:hAnsi="Times New Roman"/>
          <w:sz w:val="18"/>
          <w:szCs w:val="18"/>
          <w:color w:val="auto"/>
        </w:rPr>
      </w:pPr>
    </w:p>
    <w:p>
      <w:pPr>
        <w:ind w:right="120" w:firstLine="443"/>
        <w:spacing w:after="0" w:line="256" w:lineRule="auto"/>
        <w:tabs>
          <w:tab w:leader="none" w:pos="68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(i) all fees required to be paid to the Administrative Agent and the Arrangers on or before the Closing Date (including, without limitation, all fees, charges and disbursements of counsel to the Administrative Agent (directly to such counsel if requested by the Administrative Agent),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79" w:lineRule="exact"/>
        <w:rPr>
          <w:rFonts w:ascii="Times New Roman" w:cs="Times New Roman" w:eastAsia="Times New Roman" w:hAnsi="Times New Roman"/>
          <w:sz w:val="18"/>
          <w:szCs w:val="18"/>
          <w:color w:val="auto"/>
        </w:rPr>
      </w:pPr>
    </w:p>
    <w:p>
      <w:pPr>
        <w:ind w:left="460" w:right="60" w:firstLine="1"/>
        <w:spacing w:after="0" w:line="282" w:lineRule="auto"/>
        <w:tabs>
          <w:tab w:leader="none" w:pos="71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Related Documents shall each be in full force and effect and the Arrangers shall have received a true, correct and fully executed copy of each of the Related Documents (certified by a Responsible Officer of the Borrower to be true, correct and complete);</w:t>
      </w:r>
    </w:p>
    <w:p>
      <w:pPr>
        <w:spacing w:after="0" w:line="53" w:lineRule="exact"/>
        <w:rPr>
          <w:rFonts w:ascii="Times New Roman" w:cs="Times New Roman" w:eastAsia="Times New Roman" w:hAnsi="Times New Roman"/>
          <w:sz w:val="18"/>
          <w:szCs w:val="18"/>
          <w:color w:val="auto"/>
        </w:rPr>
      </w:pPr>
    </w:p>
    <w:p>
      <w:pPr>
        <w:ind w:left="460" w:right="80" w:firstLine="421"/>
        <w:spacing w:after="0" w:line="281" w:lineRule="auto"/>
        <w:tabs>
          <w:tab w:leader="none" w:pos="1145"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shall have been consummated in accordance with the terms of the Merger Agreement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 and in compliance with applicable Law and regulatory and required third party approvals;</w:t>
      </w:r>
    </w:p>
    <w:p>
      <w:pPr>
        <w:spacing w:after="0" w:line="57" w:lineRule="exact"/>
        <w:rPr>
          <w:sz w:val="20"/>
          <w:szCs w:val="20"/>
          <w:color w:val="auto"/>
        </w:rPr>
      </w:pPr>
    </w:p>
    <w:p>
      <w:pPr>
        <w:ind w:right="220" w:firstLine="443"/>
        <w:spacing w:after="0" w:line="282" w:lineRule="auto"/>
        <w:tabs>
          <w:tab w:leader="none" w:pos="68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Closing Date the Equity Contribution in an amount no less than $25,000,000 shall have been received, contributed or otherwise provided to the Borrower on terms and conditions consistent with those set forth in the Merger Agreement;</w:t>
      </w:r>
    </w:p>
    <w:p>
      <w:pPr>
        <w:spacing w:after="0" w:line="53" w:lineRule="exact"/>
        <w:rPr>
          <w:rFonts w:ascii="Times New Roman" w:cs="Times New Roman" w:eastAsia="Times New Roman" w:hAnsi="Times New Roman"/>
          <w:sz w:val="18"/>
          <w:szCs w:val="18"/>
          <w:color w:val="auto"/>
        </w:rPr>
      </w:pPr>
    </w:p>
    <w:p>
      <w:pPr>
        <w:ind w:right="180" w:firstLine="443"/>
        <w:spacing w:after="0" w:line="282" w:lineRule="auto"/>
        <w:tabs>
          <w:tab w:leader="none" w:pos="6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have concurrently entered into the ABL Facility, and shall have provided a copy of the ABL Credit Agreement to the Administrative Agent, which shall be on terms and conditions reasonably satisfactory to the Administrative Agent;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700" w:top="270" w:right="279" w:bottom="1440" w:gutter="0" w:footer="0" w:header="0"/>
        </w:sectPr>
      </w:pPr>
    </w:p>
    <w:bookmarkStart w:id="96" w:name="page97"/>
    <w:bookmarkEnd w:id="96"/>
    <w:p>
      <w:pPr>
        <w:ind w:left="460" w:right="280" w:firstLine="443"/>
        <w:spacing w:after="0" w:line="266" w:lineRule="auto"/>
        <w:tabs>
          <w:tab w:leader="none" w:pos="115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amount may be drawn under the ABL Facility on the Closing Date after giving pro forma effect to the Transactions to occur on the Closing Date other than certain letters of credit issued thereunder on the Closing Date in an amount not to exceed $891,000 and up to $5,000,000 to finance original issue discount on the Loans hereunder;</w:t>
      </w:r>
    </w:p>
    <w:p>
      <w:pPr>
        <w:spacing w:after="0" w:line="68" w:lineRule="exact"/>
        <w:rPr>
          <w:rFonts w:ascii="Times New Roman" w:cs="Times New Roman" w:eastAsia="Times New Roman" w:hAnsi="Times New Roman"/>
          <w:sz w:val="18"/>
          <w:szCs w:val="18"/>
          <w:color w:val="auto"/>
        </w:rPr>
      </w:pPr>
    </w:p>
    <w:p>
      <w:pPr>
        <w:ind w:left="460" w:firstLine="443"/>
        <w:spacing w:after="0" w:line="258" w:lineRule="auto"/>
        <w:tabs>
          <w:tab w:leader="none" w:pos="115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in each other Loan Document, in the ABL Loan Documents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Company and its Subsidiaries, the only such representations and warranties the accuracy of which shall be a condition to the availability of the Loans on the Closing Date shall be the Specified Representations;</w:t>
      </w:r>
    </w:p>
    <w:p>
      <w:pPr>
        <w:spacing w:after="0" w:line="75"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1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Specified Merger Agreement Representations shall be true and correct to the extent provided in, and subject to,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of the Merger Agreement; and</w:t>
      </w:r>
    </w:p>
    <w:p>
      <w:pPr>
        <w:spacing w:after="0" w:line="53" w:lineRule="exact"/>
        <w:rPr>
          <w:rFonts w:ascii="Times New Roman" w:cs="Times New Roman" w:eastAsia="Times New Roman" w:hAnsi="Times New Roman"/>
          <w:sz w:val="18"/>
          <w:szCs w:val="18"/>
          <w:color w:val="auto"/>
        </w:rPr>
      </w:pPr>
    </w:p>
    <w:p>
      <w:pPr>
        <w:jc w:val="both"/>
        <w:ind w:left="460" w:right="480" w:firstLine="443"/>
        <w:spacing w:after="0" w:line="313" w:lineRule="auto"/>
        <w:tabs>
          <w:tab w:leader="none" w:pos="111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April 30, 2014, there shall not have been any Company Material Adverse Effect, nor shall any event or events have occurred that, individually or in the aggregate, with or without the lapse of time, would reasonably be expected to result in a Company Material Adverse Effect</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Corporate Existence; Subsidiaries; Foreign Qualification</w:t>
      </w:r>
      <w:r>
        <w:rPr>
          <w:rFonts w:ascii="Times New Roman" w:cs="Times New Roman" w:eastAsia="Times New Roman" w:hAnsi="Times New Roman"/>
          <w:sz w:val="18"/>
          <w:szCs w:val="18"/>
          <w:color w:val="auto"/>
        </w:rPr>
        <w:t xml:space="preserve">.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hereto, which are all of the states or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 </w:t>
      </w:r>
      <w:r>
        <w:rPr>
          <w:rFonts w:ascii="Times New Roman" w:cs="Times New Roman" w:eastAsia="Times New Roman" w:hAnsi="Times New Roman"/>
          <w:sz w:val="18"/>
          <w:szCs w:val="18"/>
          <w:u w:val="single" w:color="auto"/>
          <w:color w:val="auto"/>
        </w:rPr>
        <w:t>Schedule 5.01</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270" w:right="279" w:bottom="1440" w:gutter="0" w:footer="0" w:header="0"/>
        </w:sectPr>
      </w:pPr>
    </w:p>
    <w:bookmarkStart w:id="97" w:name="page98"/>
    <w:bookmarkEnd w:id="9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hereto sets forth, as of the Closing Date, each Subsidiary of each Loan Party (and whether such Subsidiary is an Inactive Subsidiary, Immaterial Subsidiary, Foreign Subsidiary or Loan Party), its state (or jurisdiction) of formation, its registered office or similar concept if a foreign organization, its relationship to such Loan Party, including the percentage of each class of stock or other Equity Interest owned, directly or indirectly, by a Loan Party, each Person that owns the stock or other Equity Interest of each Loan Party, the location of its chief executive office and its principal place of business. The Borrower, directly or indirectly, owns all of the Equity Interests of each of its Subsidiaries (excluding directors’ qualifying shares and, in the case of Foreign Subsidiaries, other nominal amounts of shares held by a Person other than a Loan Party).</w:t>
      </w:r>
    </w:p>
    <w:p>
      <w:pPr>
        <w:spacing w:after="0" w:line="18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 xml:space="preserve">5.02 </w:t>
      </w:r>
      <w:r>
        <w:rPr>
          <w:rFonts w:ascii="Times New Roman" w:cs="Times New Roman" w:eastAsia="Times New Roman" w:hAnsi="Times New Roman"/>
          <w:sz w:val="17"/>
          <w:szCs w:val="17"/>
          <w:u w:val="single" w:color="auto"/>
          <w:color w:val="auto"/>
        </w:rPr>
        <w:t>Corporate Authority</w:t>
      </w:r>
      <w:r>
        <w:rPr>
          <w:rFonts w:ascii="Times New Roman" w:cs="Times New Roman" w:eastAsia="Times New Roman" w:hAnsi="Times New Roman"/>
          <w:sz w:val="17"/>
          <w:szCs w:val="17"/>
          <w:color w:val="auto"/>
        </w:rPr>
        <w:t xml:space="preserve">. Each Loan Party has the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The execution, delivery and performance of the Loan Documents do not conflict with, result in a breach in any of the provisions of, constitute a default under, or result in the creation of a Lien (other than Liens permitted under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hereof) upon any assets or property of any Loan Party under the provisions of, (a) such Loan Party’s Organization Documents, (b) any material agreement to which any Loan Party is a party,</w:t>
      </w:r>
    </w:p>
    <w:p>
      <w:pPr>
        <w:spacing w:after="0" w:line="3" w:lineRule="exact"/>
        <w:rPr>
          <w:sz w:val="20"/>
          <w:szCs w:val="20"/>
          <w:color w:val="auto"/>
        </w:rPr>
      </w:pPr>
    </w:p>
    <w:p>
      <w:pPr>
        <w:ind w:right="120" w:firstLine="8"/>
        <w:spacing w:after="0" w:line="255" w:lineRule="auto"/>
        <w:tabs>
          <w:tab w:leader="none" w:pos="2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Each Loan Party and each of their Subsidiaries:</w:t>
      </w:r>
    </w:p>
    <w:p>
      <w:pPr>
        <w:spacing w:after="0" w:line="117" w:lineRule="exact"/>
        <w:rPr>
          <w:sz w:val="20"/>
          <w:szCs w:val="20"/>
          <w:color w:val="auto"/>
        </w:rPr>
      </w:pPr>
    </w:p>
    <w:p>
      <w:pPr>
        <w:ind w:left="460" w:right="260" w:firstLine="443"/>
        <w:spacing w:after="0" w:line="266" w:lineRule="auto"/>
        <w:tabs>
          <w:tab w:leader="none" w:pos="114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68" w:lineRule="exact"/>
        <w:rPr>
          <w:rFonts w:ascii="Times New Roman" w:cs="Times New Roman" w:eastAsia="Times New Roman" w:hAnsi="Times New Roman"/>
          <w:sz w:val="18"/>
          <w:szCs w:val="18"/>
          <w:color w:val="auto"/>
        </w:rPr>
      </w:pPr>
    </w:p>
    <w:p>
      <w:pPr>
        <w:ind w:left="460" w:right="140" w:firstLine="443"/>
        <w:spacing w:after="0" w:line="266" w:lineRule="auto"/>
        <w:tabs>
          <w:tab w:leader="none" w:pos="11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68"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14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violation of or in default under any agreement to which it is a party or by which its assets are subject or bound, except with respect to any violation or default that, either individually or in the aggregate, would not have a Material Adverse Effect; and</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material compliance with all applicable Bank Secrecy Act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and anti-money laundering laws and regulations.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270" w:right="259" w:bottom="1440" w:gutter="0" w:footer="0" w:header="0"/>
        </w:sectPr>
      </w:pPr>
    </w:p>
    <w:bookmarkStart w:id="98" w:name="page99"/>
    <w:bookmarkEnd w:id="98"/>
    <w:p>
      <w:pPr>
        <w:ind w:firstLine="456"/>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5.04 </w:t>
      </w:r>
      <w:r>
        <w:rPr>
          <w:rFonts w:ascii="Times New Roman" w:cs="Times New Roman" w:eastAsia="Times New Roman" w:hAnsi="Times New Roman"/>
          <w:sz w:val="17"/>
          <w:szCs w:val="17"/>
          <w:u w:val="single" w:color="auto"/>
          <w:color w:val="auto"/>
        </w:rPr>
        <w:t>Litigation and Administrative Proceedings</w:t>
      </w:r>
      <w:r>
        <w:rPr>
          <w:rFonts w:ascii="Times New Roman" w:cs="Times New Roman" w:eastAsia="Times New Roman" w:hAnsi="Times New Roman"/>
          <w:sz w:val="17"/>
          <w:szCs w:val="17"/>
          <w:color w:val="auto"/>
        </w:rPr>
        <w:t xml:space="preserve">. Except as disclosed on </w:t>
      </w:r>
      <w:r>
        <w:rPr>
          <w:rFonts w:ascii="Times New Roman" w:cs="Times New Roman" w:eastAsia="Times New Roman" w:hAnsi="Times New Roman"/>
          <w:sz w:val="17"/>
          <w:szCs w:val="17"/>
          <w:u w:val="single" w:color="auto"/>
          <w:color w:val="auto"/>
        </w:rPr>
        <w:t>Schedule 5.04</w:t>
      </w:r>
      <w:r>
        <w:rPr>
          <w:rFonts w:ascii="Times New Roman" w:cs="Times New Roman" w:eastAsia="Times New Roman" w:hAnsi="Times New Roman"/>
          <w:sz w:val="17"/>
          <w:szCs w:val="17"/>
          <w:color w:val="auto"/>
        </w:rPr>
        <w:t xml:space="preserve"> hereto, there are (a) no lawsuits, actions, investigations, examinations or other proceedings pending or threatened against any Loan Party or any of their Subsidiaries, or in respect of which any Loan Party or any of their Subsidiaries may have any liability, in any court or before or by any Governmental Authority, arbitration board or other tribunal, (b) no orders, writs, injunctions, judgments, or decrees of any court or Governmental Authority to which any Loan Party or any of their Subsidiaries is a party or by which the property or assets of any Loan Party or any of their Subsidiaries are bound, and (c) no grievances, disputes, or controversies outstanding with any union or other organization of the employees of any Loan Party or any of their Subsidiaries, or threats of work stoppage, strike, or pending demands for collective bargaining, that, as to (a) through (c) above, if violated or determined adversely, either individually or in the aggregate, would have a Material Adverse Effect.</w:t>
      </w:r>
    </w:p>
    <w:p>
      <w:pPr>
        <w:spacing w:after="0" w:line="17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Each Loan Party and each of their Subsidiaries has good title to and ownership of all material property it purports to own, which property is free and clear of all Liens, except those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 As of the Closing Date, the Loan Parties and their Subsidiaries own the real property listed on </w:t>
      </w:r>
      <w:r>
        <w:rPr>
          <w:rFonts w:ascii="Times New Roman" w:cs="Times New Roman" w:eastAsia="Times New Roman" w:hAnsi="Times New Roman"/>
          <w:sz w:val="18"/>
          <w:szCs w:val="18"/>
          <w:u w:val="single" w:color="auto"/>
          <w:color w:val="auto"/>
        </w:rPr>
        <w:t>Schedule 5.05</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Liens and Security Interests</w:t>
      </w:r>
      <w:r>
        <w:rPr>
          <w:rFonts w:ascii="Times New Roman" w:cs="Times New Roman" w:eastAsia="Times New Roman" w:hAnsi="Times New Roman"/>
          <w:sz w:val="18"/>
          <w:szCs w:val="18"/>
          <w:color w:val="auto"/>
        </w:rPr>
        <w:t xml:space="preserve">. On and after the Closing Date, except for Liens permitted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valid and enforceable and, subject to the last paragraph of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perfected first-priority Lien on the Collateral (subject to the Intercreditor Agreement and the priority of any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No Loan Party or any Subsidiary thereof has entered into any contract or agreement (other than a contract or agreement entered into in connection with the purchase or lease of fixed assets that prohibits Liens on such fixed assets) that exists on or after the Closing Date that would prohibit the Administrative Agent or the Lenders from acquiring a Lien on, or a collateral assignment of, any of the property or assets of any Loan Party or any Subsidiary thereof.</w:t>
      </w:r>
    </w:p>
    <w:p>
      <w:pPr>
        <w:spacing w:after="0" w:line="18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5.07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80"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where non-compliance, individually or in the aggregate, would not reasonably be expected to have a Material Adverse Effect, each Loan Party and each Subsidiary is in compliance with all applicable Environmental Laws, including, without limitation, all Environmental Laws in all jurisdictions in which any Loan Party or any Subsidiary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270" w:right="259" w:bottom="1440" w:gutter="0" w:footer="0" w:header="0"/>
        </w:sectPr>
      </w:pPr>
    </w:p>
    <w:bookmarkStart w:id="99" w:name="page100"/>
    <w:bookmarkEnd w:id="9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thereof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knowledge of each Loan Party and each Subsidiary thereof, threatened, against any Loan Party or any Subsidiary thereof, any real property in which any Loan Party or any Subsidiary thereof holds or has held an interest or any past or present operation of any Loan Party or any Subsidiary thereof. No release, threatened release or disposal of hazardous waste, solid waste or other wastes is occurring, or has occurred (other than those that are currently being remediated in accordance with Environmental Laws), on, under or to any real property in which any Loan Party or any Subsidiary thereof holds any interest or performs any of its operations, in material violation of any Environmental Law. As used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“litigation or proceeding” means any demand, claim, notice, suit, suit in equity, action, administrative action, investigation or inquiry whether brought by any Governmental Authority or private Person, or otherwise.</w:t>
      </w:r>
    </w:p>
    <w:p>
      <w:pPr>
        <w:spacing w:after="0" w:line="18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Locations</w:t>
      </w:r>
      <w:r>
        <w:rPr>
          <w:rFonts w:ascii="Times New Roman" w:cs="Times New Roman" w:eastAsia="Times New Roman" w:hAnsi="Times New Roman"/>
          <w:sz w:val="18"/>
          <w:szCs w:val="18"/>
          <w:color w:val="auto"/>
        </w:rPr>
        <w:t xml:space="preserve">. As of the Closing Date, the Loan Parties have places of business or maintain their accounts, inventory and equipment at the locations (including third party locations)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and each Loan Party’s chief executive office is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5.09</w:t>
      </w:r>
      <w:r>
        <w:rPr>
          <w:rFonts w:ascii="Times New Roman" w:cs="Times New Roman" w:eastAsia="Times New Roman" w:hAnsi="Times New Roman"/>
          <w:sz w:val="18"/>
          <w:szCs w:val="18"/>
          <w:color w:val="auto"/>
        </w:rPr>
        <w:t xml:space="preserve"> hereto further specifies whether each location, as of the Closing Date, (a) is owned by the Loan Parties, or (b) is leased by a Loan Party from a third party, and, if leased by a Loan Party from a third party, if a landlord’s waiver has been requested. As of the Closing Date,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correctly identifies the name and address of each third party location where a material portion of the assets of the Loan Parties are located.</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Continued Business</w:t>
      </w:r>
      <w:r>
        <w:rPr>
          <w:rFonts w:ascii="Times New Roman" w:cs="Times New Roman" w:eastAsia="Times New Roman" w:hAnsi="Times New Roman"/>
          <w:sz w:val="18"/>
          <w:szCs w:val="18"/>
          <w:color w:val="auto"/>
        </w:rPr>
        <w:t>. There exists no actual, pending, or, to each Loan Party’s and each of their Subsidiaries’ knowledge, any threatened termination, cancellation or limitation of, or any modification or change in the business relationship of any Loan Party or any Subsidiary thereof and any customer or supplier, or any group of customers or suppliers, whose purchases or supplies, individually or in the aggregate, are material to the business of any Loan Party or any Subsidiary, and there exists no present condition or state of facts or circumstances that would prevent a Loan Party or a Subsidiary from conducting such business or the transactions contemplated by this Agreement in substantially the same manner in which it was previously conducted.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Employee Benefits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firstLine="443"/>
        <w:spacing w:after="0" w:line="256" w:lineRule="auto"/>
        <w:tabs>
          <w:tab w:leader="none" w:pos="11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Employee Benefit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hereto identifies each Plan as of the Closing Date. No ERISA Event has occurred or is expected to occur with respect to a Plan. Full payment has been made of all amounts that the Borrower and each ERISA Affiliate is required, under applicable Law or under the governing documents, to have paid as a contribution to or a benefit under each Plan. The liability of the Borrower and each ERISA Affiliate with respect to each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any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270" w:right="279" w:bottom="1440" w:gutter="0" w:footer="0" w:header="0"/>
        </w:sectPr>
      </w:pPr>
    </w:p>
    <w:bookmarkStart w:id="100" w:name="page101"/>
    <w:bookmarkEnd w:id="10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With respect to each Plan that is intended to be qualified under Code Section 401(a), (a) the Plan and any associated trust operationally comply with the applicable requirements of Code Section 401(a); (b) the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Plan and any associated trust have received a favorable determination letter or opinion letter from the IRS stating that the Plan qualifies under Code Section 401(a), that the associated trust qualifies under Code Section 501(a) and, if applicable, that any cash or deferred arrangement under the Plan qualifies under Code Section 401(k), unless the Plan was first adopted at a time for which the above-described “remedial amendment period” has not yet expired; (d) the Plan currently satisfies the requirements of Code Section 410(b), subject to any retroactive amendment that may be made within the above-described “remedial amendment period”; and (e) no contribution made to the Plan is subject to an excise tax under Code Section 4972. With respect to any Pension Plan, the “accumulated benefit obligation” of the Borrower or any ERISA Affiliate with respect to the Pension Plan (as determined in accordance with Statement of Accounting Standards No. 87, “Employers’ Accounting for Pensions”) does not exceed the fair market value of Pension Plan assets. Neither the Borrower nor any ERISA Affiliate has engaged in a transaction that could be subject to Section 4069 or Section 4212(c) of ERISA. Except as could not reasonably be expected to result in a Material Adverse Effect, (i) each Plan is in compliance with applicable provisions of ERISA, the Code, and other applicable Laws, (ii) there are no pending or, to the best knowledge of the Borrower, threatened claims, actions or lawsuits, or action by any Governmental Authority, with respect to any Plan and (iii) there has been no prohibited transaction or violation of the fiduciary responsibility rules with respect to any Plan.</w:t>
      </w:r>
    </w:p>
    <w:p>
      <w:pPr>
        <w:spacing w:after="0" w:line="88" w:lineRule="exact"/>
        <w:rPr>
          <w:sz w:val="20"/>
          <w:szCs w:val="20"/>
          <w:color w:val="auto"/>
        </w:rPr>
      </w:pPr>
    </w:p>
    <w:p>
      <w:pPr>
        <w:ind w:firstLine="443"/>
        <w:spacing w:after="0" w:line="253" w:lineRule="auto"/>
        <w:tabs>
          <w:tab w:leader="none" w:pos="69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Pension Plan and Benefit Plans</w:t>
      </w:r>
      <w:r>
        <w:rPr>
          <w:rFonts w:ascii="Times New Roman" w:cs="Times New Roman" w:eastAsia="Times New Roman" w:hAnsi="Times New Roman"/>
          <w:sz w:val="18"/>
          <w:szCs w:val="18"/>
          <w:color w:val="auto"/>
        </w:rPr>
        <w:t xml:space="preserve">. As of the Closing Date,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hereto lists all Foreign Benefit Plans and Foreign Pension Plans currently maintained or contributed to by a Loan Party, any Subsidiary thereof or any Foreign Subsidiaries. The Foreign Pension Plans are duly registered under all applicable Laws which require registration and are approved for tax purposes by the relevant tax authorities in the jurisdiction in which such Foreign Pension Plans are registered. Each Loan Party, Subsidiary thereof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either individually or in the aggregate,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either individually or in the aggregate,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700" w:top="270" w:right="239" w:bottom="1440" w:gutter="0" w:footer="0" w:header="0"/>
        </w:sectPr>
      </w:pPr>
    </w:p>
    <w:bookmarkStart w:id="101" w:name="page102"/>
    <w:bookmarkEnd w:id="101"/>
    <w:p>
      <w:pPr>
        <w:ind w:left="460"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assumptions as of the date of the valuations last filed with the applicable Governmental Authorities and that are consistent with generally accepted actuarial principles).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Consents or Approvals</w:t>
      </w:r>
      <w:r>
        <w:rPr>
          <w:rFonts w:ascii="Times New Roman" w:cs="Times New Roman" w:eastAsia="Times New Roman" w:hAnsi="Times New Roman"/>
          <w:sz w:val="18"/>
          <w:szCs w:val="18"/>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w:t>
      </w:r>
    </w:p>
    <w:p>
      <w:pPr>
        <w:spacing w:after="0" w:line="176"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The Borrower has received consideration that is the reasonable equivalent value of the obligations and liabilities that the Borrower has incurred to Administrative Agent and the Lenders. Each Loan Party is, individually and collectively with its Subsidiaries on a consolidated basis, Solvent.</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 The Audited Financial Statements, the Borrower Interim Financial Statements and the Company Interim Financial Statements, furnished to the Administrative Agent and the Lenders, are true and complete, have been prepared in accordance with GAAP, and fairly present the financial condition of the Borrower and its Subsidiaries and the Company and its Subsidiaries, as applicable, as of the dates of such financial statements and the results of their operations for the periods then ending. Since the dates of such Borrower Interim Financial Statements, there has been no material adverse change in the Borrower’s or any of its Subsidiary’s financial condition, properties or business or any change in any Borrower’s or any of its Subsidiary’s accounting procedures. Since the dates of such Company Interim Financial Statements, there has been no material adverse change in the Company’s or any of its Subsidiary’s financial condition, properties or business or any change in any Company’s or any of its Subsidiary’s accounting procedures. Since December 31, 2013, there has been no event or circumstance either individually or in the aggregate that has had or would reasonably be expected to have a Material Adverse Effect.</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xml:space="preserve">. No Loan Party or Subsidiary thereof is engaged principally or as one of its important activities, in the business of extending credit for the purpose of purchasing or carrying any “margin stock” (within the meaning of Regulation U of the Board of Governors of the Federal Reserve System of the United States). Neither the granting of the Loan (or any conversion thereof) nor the use of the proceeds of the Loan will violate, or be inconsistent with, the provisions of Regulation T, U or X or any other Regulation of such Board of Governors. Following the application of the proceeds of the Loans, not more than 25% of the value of the assets (either of the Borrower only or of the Borrower and its Subsidiaries on a consolidated basis) 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subject to any restriction contained in any agreement or instrument between the Borrower and any Lender or Affiliate of a Lender relating to Indebtedness within the scope of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will be margin stock.</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hereto, as of the Closing Date, no Loan Party or Subsidiary thereof is a party to any</w:t>
      </w:r>
    </w:p>
    <w:p>
      <w:pPr>
        <w:spacing w:after="0" w:line="27" w:lineRule="exact"/>
        <w:rPr>
          <w:sz w:val="20"/>
          <w:szCs w:val="20"/>
          <w:color w:val="auto"/>
        </w:rPr>
      </w:pPr>
    </w:p>
    <w:p>
      <w:pPr>
        <w:ind w:firstLine="8"/>
        <w:spacing w:after="0" w:line="255"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 (excluding the Loan Documents, the ABL Credit Agreement and the ABL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270" w:right="259" w:bottom="1440" w:gutter="0" w:footer="0" w:header="0"/>
        </w:sectPr>
      </w:pPr>
    </w:p>
    <w:bookmarkStart w:id="102" w:name="page103"/>
    <w:bookmarkEnd w:id="10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with any of its “Affiliates” (as such term is defined in the Securities Exchange Act of 1934, as amended) other than a Loan Party or a Subsidiary thereof;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subsections (a) through (g), above, if violated, breached, or terminated for any reason, either individually or in the aggregate, would have or would be reasonably expected to have a Material Adverse Effect.</w:t>
      </w:r>
    </w:p>
    <w:p>
      <w:pPr>
        <w:spacing w:after="0" w:line="18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Each Loan Party and each Subsidiary thereof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hereto sets forth all patents, trademarks, copyrights, service marks and license agreements owned by each Loan Party.</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hereto sets forth all insurance carried by the Loan Parties and their Subsidiaries on the Closing Date, setting forth in detail the amount and type of such insurance.</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Casualty, Etc</w:t>
      </w:r>
      <w:r>
        <w:rPr>
          <w:rFonts w:ascii="Times New Roman" w:cs="Times New Roman" w:eastAsia="Times New Roman" w:hAnsi="Times New Roman"/>
          <w:sz w:val="18"/>
          <w:szCs w:val="18"/>
          <w:color w:val="auto"/>
        </w:rPr>
        <w:t>. Neither the businesses nor the properties of any Loan Party or any Subsidiary thereof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years.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Borrower, nor any of its Subsidiaries, nor, to the knowledge of the Borrower and its Subsidiaries, any director, officer, employee, agent, affiliate or representative thereof, is an individual or entity that is, or is owned or controlled by any individual or entity that is (i) currently the subject or target of any Sanctions, or (ii) located, organized or resident in a Designated Jurisdiction.</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and its Subsidiaries have conducted their businesses in compliance with applicable Anti-Corruption Laws, and have instituted and maintained policies and procedures designed to promote and achieve compliance with such laws.</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Deposit Accounts;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hereto lists all banks and other financial institutions at which any Loan Party maintains deposit, securities or other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270" w:right="279" w:bottom="1440" w:gutter="0" w:footer="0" w:header="0"/>
        </w:sectPr>
      </w:pPr>
    </w:p>
    <w:bookmarkStart w:id="103" w:name="page104"/>
    <w:bookmarkEnd w:id="103"/>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accounts as of the Closing Date, and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Accurate and Complete Statements</w:t>
      </w:r>
      <w:r>
        <w:rPr>
          <w:rFonts w:ascii="Times New Roman" w:cs="Times New Roman" w:eastAsia="Times New Roman" w:hAnsi="Times New Roman"/>
          <w:sz w:val="18"/>
          <w:szCs w:val="18"/>
          <w:color w:val="auto"/>
        </w:rPr>
        <w:t xml:space="preserve">. No report, financial statement, certificate or other information furnished by or on behalf of any Loan Party or any Subsidiary to the Administrative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representation is made with respect to general economic or industry information and (b) with respect to projected and pro forma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8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ABL Indebtedness</w:t>
      </w:r>
      <w:r>
        <w:rPr>
          <w:rFonts w:ascii="Times New Roman" w:cs="Times New Roman" w:eastAsia="Times New Roman" w:hAnsi="Times New Roman"/>
          <w:sz w:val="18"/>
          <w:szCs w:val="18"/>
          <w:color w:val="auto"/>
        </w:rPr>
        <w:t>. No “default” or “event of default” (as each term is defined in the ABL Credit Agreement or any other ABL Loan Document) exists or event with which the passage of time or the giving of notice, or both, would cause such a “default” or “event of default” to exist thereunder, nor will exist immediately after the granting of the Loan under this Agreement.</w:t>
      </w:r>
    </w:p>
    <w:p>
      <w:pPr>
        <w:spacing w:after="0" w:line="17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No Loan Party or Subsidiary thereof is an “investment company” or a company “controlled” by an “investment company” within the meaning of the Investment Company Act of 1940, as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No Default exists hereunder, nor will any begin to exist immediately after the execution and delivery hereof.</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Senior Debt Status</w:t>
      </w:r>
      <w:r>
        <w:rPr>
          <w:rFonts w:ascii="Times New Roman" w:cs="Times New Roman" w:eastAsia="Times New Roman" w:hAnsi="Times New Roman"/>
          <w:sz w:val="18"/>
          <w:szCs w:val="18"/>
          <w:color w:val="auto"/>
        </w:rPr>
        <w:t>. The Obligations (a) rank at least pari passu in right of payment with the and all other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70" w:right="2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contingent indemnification obligations not then due), the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cause each Subsidiary 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and each Lender, in form and detail satisfactory to the Administrative Agent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Lenders:</w:t>
      </w:r>
    </w:p>
    <w:p>
      <w:pPr>
        <w:spacing w:after="0" w:line="99" w:lineRule="exact"/>
        <w:rPr>
          <w:sz w:val="20"/>
          <w:szCs w:val="20"/>
          <w:color w:val="auto"/>
        </w:rPr>
      </w:pPr>
    </w:p>
    <w:p>
      <w:pPr>
        <w:ind w:left="460" w:right="60" w:firstLine="443"/>
        <w:spacing w:after="0" w:line="261" w:lineRule="auto"/>
        <w:tabs>
          <w:tab w:leader="none" w:pos="11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ninety-five (95) days after the end of each fiscal year of the Borrower, an annual audit report of the Borrower and its Subsidiaries for that year prepared on a consolidated basis, in accordance with GAAP, and certified by an unqualified opinion of an independent public accountant satisfactory to the Administrative Agent, which report shall include balance sheets and statements of income (loss), stockholders’ equity and cash-flow for that period;</w:t>
      </w:r>
    </w:p>
    <w:p>
      <w:pPr>
        <w:spacing w:after="0" w:line="71" w:lineRule="exact"/>
        <w:rPr>
          <w:rFonts w:ascii="Times New Roman" w:cs="Times New Roman" w:eastAsia="Times New Roman" w:hAnsi="Times New Roman"/>
          <w:sz w:val="18"/>
          <w:szCs w:val="18"/>
          <w:color w:val="auto"/>
        </w:rPr>
      </w:pPr>
    </w:p>
    <w:p>
      <w:pPr>
        <w:ind w:left="460" w:right="40" w:firstLine="443"/>
        <w:spacing w:after="0" w:line="258" w:lineRule="auto"/>
        <w:tabs>
          <w:tab w:leader="none" w:pos="11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fifty (50) days after the end of each of the first three fiscal quarter periods of each fiscal year of the Borrower,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and certified by a Responsible Officer of the Borrower; and</w:t>
      </w:r>
    </w:p>
    <w:p>
      <w:pPr>
        <w:spacing w:after="0" w:line="75" w:lineRule="exact"/>
        <w:rPr>
          <w:rFonts w:ascii="Times New Roman" w:cs="Times New Roman" w:eastAsia="Times New Roman" w:hAnsi="Times New Roman"/>
          <w:sz w:val="18"/>
          <w:szCs w:val="18"/>
          <w:color w:val="auto"/>
        </w:rPr>
      </w:pPr>
    </w:p>
    <w:p>
      <w:pPr>
        <w:ind w:left="460" w:right="160" w:firstLine="443"/>
        <w:spacing w:after="0" w:line="261" w:lineRule="auto"/>
        <w:tabs>
          <w:tab w:leader="none" w:pos="11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fiscal year of the Borrower, an annual business plan and budget of the Borrower and its Subsidiaries on a consolidated basis, including forecasts prepared by management of the Borrower, of consolidated balance sheets and statements of income or operations and cash flows of the Borrower and its Subsidiaries on a quarterly basis for the immediately following fiscal year (including the fiscal year in which the Maturity Date occurs).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the Borrower shall not be separately required to furnish such information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and each Lender, in form and detail satisfactory to the Administrative Agent and the Required Lenders:</w:t>
      </w:r>
    </w:p>
    <w:p>
      <w:pPr>
        <w:spacing w:after="0" w:line="54" w:lineRule="exact"/>
        <w:rPr>
          <w:sz w:val="20"/>
          <w:szCs w:val="20"/>
          <w:color w:val="auto"/>
        </w:rPr>
      </w:pPr>
    </w:p>
    <w:p>
      <w:pPr>
        <w:ind w:left="460" w:right="580" w:firstLine="443"/>
        <w:spacing w:after="0" w:line="266" w:lineRule="auto"/>
        <w:tabs>
          <w:tab w:leader="none" w:pos="11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(commencing with the delivery of the financial statements for the fiscal year ended December 31, 2014), a certificate of its independent certified public accountants certifying such financial statements;</w:t>
      </w:r>
    </w:p>
    <w:p>
      <w:pPr>
        <w:spacing w:after="0" w:line="68" w:lineRule="exact"/>
        <w:rPr>
          <w:rFonts w:ascii="Times New Roman" w:cs="Times New Roman" w:eastAsia="Times New Roman" w:hAnsi="Times New Roman"/>
          <w:sz w:val="18"/>
          <w:szCs w:val="18"/>
          <w:color w:val="auto"/>
        </w:rPr>
      </w:pPr>
    </w:p>
    <w:p>
      <w:pPr>
        <w:ind w:left="460" w:firstLine="443"/>
        <w:spacing w:after="0" w:line="258"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(commencing with the delivery of the financial statements for the fiscal quarter ended September 30, 2014),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 to the effect that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270" w:right="259" w:bottom="1440" w:gutter="0" w:footer="0" w:header="0"/>
        </w:sectPr>
      </w:pPr>
    </w:p>
    <w:bookmarkStart w:id="105" w:name="page106"/>
    <w:bookmarkEnd w:id="10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exists or, if a Default exists, specifying the nature and extent thereof (and setting forth (i) any change in the identity of any of the Immaterial Subsidiaries or Inactive Subsidiaries during such period and (ii) the Consolidated Net Leverage Ratio as of the last day of such period);</w:t>
      </w:r>
    </w:p>
    <w:p>
      <w:pPr>
        <w:spacing w:after="0" w:line="54" w:lineRule="exact"/>
        <w:rPr>
          <w:sz w:val="20"/>
          <w:szCs w:val="20"/>
          <w:color w:val="auto"/>
        </w:rPr>
      </w:pPr>
    </w:p>
    <w:p>
      <w:pPr>
        <w:ind w:left="680" w:hanging="237"/>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20" w:firstLine="443"/>
        <w:spacing w:after="0" w:line="256" w:lineRule="auto"/>
        <w:tabs>
          <w:tab w:leader="none" w:pos="69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all notices, reports, definitive proxy or other statements and other documents (other than any routine ministerial notices, reports or other documents) sent by the Borrower to its shareholders, to the holders of any of its debentures or bonds or the trustee of any indenture securing the same or pursuant to which they are issued, or sent by the Borrower (in final form) to any securities exchange or over the counter authority or system, or to the SEC or any similar federal agency having regulatory jurisdiction over the issuance of the Borrower’s securities, including, without limitation, a transcript and summary (in form and substance satisfactory to the Administrative Agent) of any earnings calls or similar calls with respect to the Borrower;</w:t>
      </w:r>
    </w:p>
    <w:p>
      <w:pPr>
        <w:spacing w:after="0" w:line="79" w:lineRule="exact"/>
        <w:rPr>
          <w:rFonts w:ascii="Times New Roman" w:cs="Times New Roman" w:eastAsia="Times New Roman" w:hAnsi="Times New Roman"/>
          <w:sz w:val="18"/>
          <w:szCs w:val="18"/>
          <w:color w:val="auto"/>
        </w:rPr>
      </w:pPr>
    </w:p>
    <w:p>
      <w:pPr>
        <w:ind w:firstLine="443"/>
        <w:spacing w:after="0" w:line="261" w:lineRule="auto"/>
        <w:tabs>
          <w:tab w:leader="none" w:pos="6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statement or report (other than any routine ministerial statements or reports) furnished to any holder of debt securities, including, without limitation, the ABL Facility, of any Loan Party or of any of its Subsidiaries pursuant to the terms of any indenture, loan or credit or similar agreement and not otherwise required to be furnished to the Lenders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right="380" w:firstLine="443"/>
        <w:spacing w:after="0" w:line="266" w:lineRule="auto"/>
        <w:tabs>
          <w:tab w:leader="none" w:pos="6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30 days after the end of each fiscal year of the Borrower,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68" w:lineRule="exact"/>
        <w:rPr>
          <w:rFonts w:ascii="Times New Roman" w:cs="Times New Roman" w:eastAsia="Times New Roman" w:hAnsi="Times New Roman"/>
          <w:sz w:val="18"/>
          <w:szCs w:val="18"/>
          <w:color w:val="auto"/>
        </w:rPr>
      </w:pPr>
    </w:p>
    <w:p>
      <w:pPr>
        <w:ind w:right="80" w:firstLine="443"/>
        <w:spacing w:after="0" w:line="261" w:lineRule="auto"/>
        <w:tabs>
          <w:tab w:leader="none" w:pos="69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71" w:lineRule="exact"/>
        <w:rPr>
          <w:rFonts w:ascii="Times New Roman" w:cs="Times New Roman" w:eastAsia="Times New Roman" w:hAnsi="Times New Roman"/>
          <w:sz w:val="18"/>
          <w:szCs w:val="18"/>
          <w:color w:val="auto"/>
        </w:rPr>
      </w:pPr>
    </w:p>
    <w:p>
      <w:pPr>
        <w:ind w:right="20" w:firstLine="443"/>
        <w:spacing w:after="0" w:line="258" w:lineRule="auto"/>
        <w:tabs>
          <w:tab w:leader="none" w:pos="69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after receipt thereof by any Loan Party or any Subsidiary thereof, copies of all material notices, requests and other documents (including amendments, waivers and other modifications) so received under or pursuant to any Related Document, any ABL Loan Document or any Material Indebtedness Agreement and, from time to time upon request by the Administrative Agent, such information and reports regarding any Related Document, any ABL Loan Document or any Material Indebtedness Agreement as the Administrative Agent may reasonably request;</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0"/>
          </w:cols>
          <w:pgMar w:left="700" w:top="270" w:right="259" w:bottom="1440" w:gutter="0" w:footer="0" w:header="0"/>
        </w:sectPr>
      </w:pPr>
    </w:p>
    <w:bookmarkStart w:id="106" w:name="page107"/>
    <w:bookmarkEnd w:id="106"/>
    <w:p>
      <w:pPr>
        <w:ind w:right="200" w:firstLine="443"/>
        <w:spacing w:after="0" w:line="261" w:lineRule="auto"/>
        <w:tabs>
          <w:tab w:leader="none" w:pos="65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after the assertion or occurrence thereof, notice of any action or proceeding against or of any noncompliance by any Loan Party or any of its Subsidiaries with any Environmental Law or Environmental Permit that would (i) either individually or in the aggregate, reasonably be expected to have a Material Adverse Effect or (ii) cause any property described in the Mortgages to be subject to any restrictions on ownership, occupancy, use or transferability under any Environmental Law (other than Liens permitted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30 days after the end of each fiscal year of the Borrower, (i) a report supplementing</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Schedules 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5.09</w:t>
      </w:r>
      <w:r>
        <w:rPr>
          <w:rFonts w:ascii="Times New Roman" w:cs="Times New Roman" w:eastAsia="Times New Roman" w:hAnsi="Times New Roman"/>
          <w:sz w:val="18"/>
          <w:szCs w:val="18"/>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Times New Roman" w:cs="Times New Roman" w:eastAsia="Times New Roman" w:hAnsi="Times New Roman"/>
          <w:sz w:val="18"/>
          <w:szCs w:val="18"/>
          <w:u w:val="single" w:color="auto"/>
          <w:color w:val="auto"/>
        </w:rPr>
        <w:t>Schedules 5.01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81" w:lineRule="exact"/>
        <w:rPr>
          <w:sz w:val="20"/>
          <w:szCs w:val="20"/>
          <w:color w:val="auto"/>
        </w:rPr>
      </w:pPr>
    </w:p>
    <w:p>
      <w:pPr>
        <w:ind w:right="240" w:firstLine="443"/>
        <w:spacing w:after="0" w:line="258" w:lineRule="auto"/>
        <w:tabs>
          <w:tab w:leader="none" w:pos="6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any Loan Party or any Subsidiary thereof obtains knowledge that any Loan Party or any Subsidiary thereof or any Person which owns, directly or indirectly, any Equity Interest of any Loan Party or any Subsidiary thereof, or any other holder at any time of any direct or indirect equitable, legal or beneficial interest therein is in violation or breach of any of </w:t>
      </w:r>
      <w:r>
        <w:rPr>
          <w:rFonts w:ascii="Times New Roman" w:cs="Times New Roman" w:eastAsia="Times New Roman" w:hAnsi="Times New Roman"/>
          <w:sz w:val="18"/>
          <w:szCs w:val="18"/>
          <w:u w:val="single" w:color="auto"/>
          <w:color w:val="auto"/>
        </w:rPr>
        <w:t>Sections 6.08(b)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such Loan Party or Subsidiary will deliver reasonably prompt notice to the Administrative Agent and the Lenders of such violation. Upon the request of any Lender, such Loan Party or Subsidiary, as applicable, will provide any information such Lender believes is reasonably necessary to be delivered to comply with the Act;</w:t>
      </w:r>
    </w:p>
    <w:p>
      <w:pPr>
        <w:spacing w:after="0" w:line="75" w:lineRule="exact"/>
        <w:rPr>
          <w:rFonts w:ascii="Times New Roman" w:cs="Times New Roman" w:eastAsia="Times New Roman" w:hAnsi="Times New Roman"/>
          <w:sz w:val="18"/>
          <w:szCs w:val="18"/>
          <w:color w:val="auto"/>
        </w:rPr>
      </w:pPr>
    </w:p>
    <w:p>
      <w:pPr>
        <w:ind w:right="60" w:firstLine="443"/>
        <w:spacing w:after="0" w:line="313" w:lineRule="auto"/>
        <w:tabs>
          <w:tab w:leader="none" w:pos="65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delivery thereof to the ABL Administrative Agent or the ABL Lenders, any other notices or information provided to the ABL Administrative Agent or the ABL Lenders under the ABL Loan Documents not otherwise provided to the Administrative Agent or the Lenders;</w:t>
      </w:r>
    </w:p>
    <w:p>
      <w:pPr>
        <w:spacing w:after="0" w:line="30" w:lineRule="exact"/>
        <w:rPr>
          <w:rFonts w:ascii="Times New Roman" w:cs="Times New Roman" w:eastAsia="Times New Roman" w:hAnsi="Times New Roman"/>
          <w:sz w:val="17"/>
          <w:szCs w:val="17"/>
          <w:color w:val="auto"/>
        </w:rPr>
      </w:pPr>
    </w:p>
    <w:p>
      <w:pPr>
        <w:ind w:right="220" w:firstLine="443"/>
        <w:spacing w:after="0" w:line="261" w:lineRule="auto"/>
        <w:tabs>
          <w:tab w:leader="none" w:pos="7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days of the written request of the Administrative Agent or any Lender, such other information about the financial condition, properties and operations of the Borrower or any of its Subsidiaries as may from time to time be reasonably requested, which information shall be submitted in form and detail satisfactory to the Administrative Agent and the Lenders and certified by a Responsible Officer of the Borrower or such Subsidiary, as case may be, in question; and</w:t>
      </w:r>
    </w:p>
    <w:p>
      <w:pPr>
        <w:spacing w:after="0" w:line="71" w:lineRule="exact"/>
        <w:rPr>
          <w:rFonts w:ascii="Times New Roman" w:cs="Times New Roman" w:eastAsia="Times New Roman" w:hAnsi="Times New Roman"/>
          <w:sz w:val="18"/>
          <w:szCs w:val="18"/>
          <w:color w:val="auto"/>
        </w:rPr>
      </w:pPr>
    </w:p>
    <w:p>
      <w:pPr>
        <w:ind w:right="240" w:firstLine="443"/>
        <w:spacing w:after="0" w:line="282" w:lineRule="auto"/>
        <w:tabs>
          <w:tab w:leader="none" w:pos="6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making of an Investment pursuant to </w:t>
      </w:r>
      <w:r>
        <w:rPr>
          <w:rFonts w:ascii="Times New Roman" w:cs="Times New Roman" w:eastAsia="Times New Roman" w:hAnsi="Times New Roman"/>
          <w:sz w:val="18"/>
          <w:szCs w:val="18"/>
          <w:u w:val="single" w:color="auto"/>
          <w:color w:val="auto"/>
        </w:rPr>
        <w:t>Section 7.03(a)(xiv)</w:t>
      </w:r>
      <w:r>
        <w:rPr>
          <w:rFonts w:ascii="Times New Roman" w:cs="Times New Roman" w:eastAsia="Times New Roman" w:hAnsi="Times New Roman"/>
          <w:sz w:val="18"/>
          <w:szCs w:val="18"/>
          <w:color w:val="auto"/>
        </w:rPr>
        <w:t xml:space="preserve"> or a Restricted Payment pursuant to </w:t>
      </w:r>
      <w:r>
        <w:rPr>
          <w:rFonts w:ascii="Times New Roman" w:cs="Times New Roman" w:eastAsia="Times New Roman" w:hAnsi="Times New Roman"/>
          <w:sz w:val="18"/>
          <w:szCs w:val="18"/>
          <w:u w:val="single" w:color="auto"/>
          <w:color w:val="auto"/>
        </w:rPr>
        <w:t>Section 7.06(d)</w:t>
      </w:r>
      <w:r>
        <w:rPr>
          <w:rFonts w:ascii="Times New Roman" w:cs="Times New Roman" w:eastAsia="Times New Roman" w:hAnsi="Times New Roman"/>
          <w:sz w:val="18"/>
          <w:szCs w:val="18"/>
          <w:color w:val="auto"/>
        </w:rPr>
        <w:t>, as the case may be, a certificate executed by a Financial Officer of the Borrower in form and substance</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40"/>
          </w:cols>
          <w:pgMar w:left="700" w:top="270" w:right="259" w:bottom="1440" w:gutter="0" w:footer="0" w:header="0"/>
        </w:sectPr>
      </w:pPr>
    </w:p>
    <w:bookmarkStart w:id="107" w:name="page108"/>
    <w:bookmarkEnd w:id="107"/>
    <w:p>
      <w:pPr>
        <w:ind w:left="4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reasonably satisfactory to the Administrative Agent setting forth (i) the Cumulative Retained Excess Cash Flow Amount, the cumulative initial amount of Investments made to date pursuant to </w:t>
      </w:r>
      <w:r>
        <w:rPr>
          <w:rFonts w:ascii="Times New Roman" w:cs="Times New Roman" w:eastAsia="Times New Roman" w:hAnsi="Times New Roman"/>
          <w:sz w:val="18"/>
          <w:szCs w:val="18"/>
          <w:u w:val="single" w:color="auto"/>
          <w:color w:val="auto"/>
        </w:rPr>
        <w:t>Section 7.03(a)(xiv)</w:t>
      </w:r>
      <w:r>
        <w:rPr>
          <w:rFonts w:ascii="Times New Roman" w:cs="Times New Roman" w:eastAsia="Times New Roman" w:hAnsi="Times New Roman"/>
          <w:sz w:val="18"/>
          <w:szCs w:val="18"/>
          <w:color w:val="auto"/>
        </w:rPr>
        <w:t xml:space="preserve">, the cumulative amount of Restricted Payments made to date pursuant to </w:t>
      </w:r>
      <w:r>
        <w:rPr>
          <w:rFonts w:ascii="Times New Roman" w:cs="Times New Roman" w:eastAsia="Times New Roman" w:hAnsi="Times New Roman"/>
          <w:sz w:val="18"/>
          <w:szCs w:val="18"/>
          <w:u w:val="single" w:color="auto"/>
          <w:color w:val="auto"/>
        </w:rPr>
        <w:t>Section 7.06(d)</w:t>
      </w:r>
      <w:r>
        <w:rPr>
          <w:rFonts w:ascii="Times New Roman" w:cs="Times New Roman" w:eastAsia="Times New Roman" w:hAnsi="Times New Roman"/>
          <w:sz w:val="18"/>
          <w:szCs w:val="18"/>
          <w:color w:val="auto"/>
        </w:rPr>
        <w:t xml:space="preserve"> and the remaining amount available for Investments and Restricted Payments under </w:t>
      </w:r>
      <w:r>
        <w:rPr>
          <w:rFonts w:ascii="Times New Roman" w:cs="Times New Roman" w:eastAsia="Times New Roman" w:hAnsi="Times New Roman"/>
          <w:sz w:val="18"/>
          <w:szCs w:val="18"/>
          <w:u w:val="single" w:color="auto"/>
          <w:color w:val="auto"/>
        </w:rPr>
        <w:t>Sections 7.03(a)(xiv)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7.06(d)</w:t>
      </w:r>
      <w:r>
        <w:rPr>
          <w:rFonts w:ascii="Times New Roman" w:cs="Times New Roman" w:eastAsia="Times New Roman" w:hAnsi="Times New Roman"/>
          <w:sz w:val="18"/>
          <w:szCs w:val="18"/>
          <w:color w:val="auto"/>
        </w:rPr>
        <w:t xml:space="preserve"> and (ii) the Consolidated Net Leverage Ratio (calculated on a pro forma basis after giving effect to such Investment or Restricted Payment and any Indebtedness incurred or repaid in connection therewith).</w:t>
      </w:r>
    </w:p>
    <w:p>
      <w:pPr>
        <w:spacing w:after="0" w:line="184" w:lineRule="exact"/>
        <w:rPr>
          <w:sz w:val="20"/>
          <w:szCs w:val="20"/>
          <w:color w:val="auto"/>
        </w:rPr>
      </w:pPr>
    </w:p>
    <w:p>
      <w:pPr>
        <w:ind w:right="2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w:t>
      </w:r>
    </w:p>
    <w:p>
      <w:pPr>
        <w:spacing w:after="0" w:line="2" w:lineRule="exact"/>
        <w:rPr>
          <w:sz w:val="20"/>
          <w:szCs w:val="20"/>
          <w:color w:val="auto"/>
        </w:rPr>
      </w:pPr>
    </w:p>
    <w:p>
      <w:pPr>
        <w:ind w:right="240" w:firstLine="8"/>
        <w:spacing w:after="0" w:line="252" w:lineRule="auto"/>
        <w:tabs>
          <w:tab w:leader="none" w:pos="2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and each Lender (by telecopier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one or more of the Arrangers will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270" w:right="239" w:bottom="1440" w:gutter="0" w:footer="0" w:header="0"/>
        </w:sectPr>
      </w:pPr>
    </w:p>
    <w:bookmarkStart w:id="108" w:name="page109"/>
    <w:bookmarkEnd w:id="10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of the Borrower or any of its Subsidiaries has knowledge thereof, notify the Administrative Agent and each Lender:</w:t>
      </w:r>
    </w:p>
    <w:p>
      <w:pPr>
        <w:spacing w:after="0" w:line="54" w:lineRule="exact"/>
        <w:rPr>
          <w:sz w:val="20"/>
          <w:szCs w:val="20"/>
          <w:color w:val="auto"/>
        </w:rPr>
      </w:pPr>
    </w:p>
    <w:p>
      <w:pPr>
        <w:ind w:left="1140" w:hanging="237"/>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Default may occur hereunder;</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either individually or in the aggregate, would reasonably be expected to result, in a Material Adverse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98"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accounting policies or financial reporting practices by any Loan Party or any Subsidiary thereof;</w:t>
      </w:r>
    </w:p>
    <w:p>
      <w:pPr>
        <w:spacing w:after="0" w:line="117" w:lineRule="exact"/>
        <w:rPr>
          <w:rFonts w:ascii="Times New Roman" w:cs="Times New Roman" w:eastAsia="Times New Roman" w:hAnsi="Times New Roman"/>
          <w:sz w:val="18"/>
          <w:szCs w:val="18"/>
          <w:color w:val="auto"/>
        </w:rPr>
      </w:pPr>
    </w:p>
    <w:p>
      <w:pPr>
        <w:ind w:left="460" w:right="20" w:firstLine="443"/>
        <w:spacing w:after="0" w:line="261" w:lineRule="auto"/>
        <w:tabs>
          <w:tab w:leader="none" w:pos="11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(i) occurrence of any Disposition of property or assets for which the Borrower is required to make a mandatory prepayment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(ii) incurrence or issuance of any Indebtedness for which the Borrower is required to make a mandatory prepayment pursuant to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 xml:space="preserve">, and (iii) receipt of any Extraordinary Receipt for which the Borrower is required to make a mandatory prepayment pursuant to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or “Event of Default” (as each term is defined in the ABL Credit Agreement or any other ABL Loan Document); and</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announcement by Moody’s or S&amp;P of any change or possible change in any Debt Rating.</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Each notice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6.03(g)</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 Each notice pursuant to </w:t>
      </w:r>
      <w:r>
        <w:rPr>
          <w:rFonts w:ascii="Times New Roman" w:cs="Times New Roman" w:eastAsia="Times New Roman" w:hAnsi="Times New Roman"/>
          <w:sz w:val="18"/>
          <w:szCs w:val="18"/>
          <w:u w:val="single" w:color="auto"/>
          <w:color w:val="auto"/>
        </w:rPr>
        <w:t>Section 6.03(f)</w:t>
      </w:r>
      <w:r>
        <w:rPr>
          <w:rFonts w:ascii="Times New Roman" w:cs="Times New Roman" w:eastAsia="Times New Roman" w:hAnsi="Times New Roman"/>
          <w:sz w:val="18"/>
          <w:szCs w:val="18"/>
          <w:color w:val="auto"/>
        </w:rPr>
        <w:t xml:space="preserve"> shall describe with particularity any and all provisions of the ABL Credit Agreement and any other ABL Loan Document that have been breached.</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Payment of Taxes and Other Obligations</w:t>
      </w:r>
      <w:r>
        <w:rPr>
          <w:rFonts w:ascii="Times New Roman" w:cs="Times New Roman" w:eastAsia="Times New Roman" w:hAnsi="Times New Roman"/>
          <w:sz w:val="18"/>
          <w:szCs w:val="18"/>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60"/>
          </w:cols>
          <w:pgMar w:left="240" w:top="270" w:right="299" w:bottom="1440" w:gutter="0" w:footer="0" w:header="0"/>
        </w:sectPr>
      </w:pPr>
    </w:p>
    <w:bookmarkStart w:id="109" w:name="page110"/>
    <w:bookmarkEnd w:id="109"/>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8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Other than any Inactive Subsidiary or Immaterial Subsidiary (a) 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and Merger Sub may consummate the Merger;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 (c) preserve or renew all of its registered patents, trademarks, trade names and service marks, the non-preservation of which, either individually or in the aggregate, would reasonably be expected to have a Material Adverse Effect.</w:t>
      </w:r>
    </w:p>
    <w:p>
      <w:pPr>
        <w:spacing w:after="0" w:line="18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Except where the failure to do so, either individually or in the aggregate, would not reasonably be expected to have a Material Adverse Effect, (a) maintain, preserve and protect all of its material properties and equipment necessary in the operation of its business in good working order and condition, ordinary wear and tear excepted, (b) make all necessary repairs thereto and renewals and replacements thereof and (c) use the standard of care typical in the industry in the operation and maintenance of its facilities.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firstLine="443"/>
        <w:spacing w:after="0" w:line="253" w:lineRule="auto"/>
        <w:tabs>
          <w:tab w:leader="none" w:pos="11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the ABL Administrative Agent and such Loan Parties as their interests may appear and subject to the applicable provisions of the Intercreditor Agreement (with lender’s loss payable, mortgagee, and additional insured endorsements, as appropriate, in favor of the Administrative Agent). Any such policies of insurance shall provide for no fewer than thirty (30) days’ prior written notice of cancellation to the Administrative Agent and the Lenders. The Administrative Agent is hereby authorized to act as attorney-in-fact for the Loan Parties in (after the occurrence and during the continuation of an Event of Default) obtaining, adjusting, settling and canceling such insurance and indorsing any drafts. Within ten (10)Business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 which information shall be prepared in form and detail satisfactory to the Administrative Agent and certified by a Responsible Officer.</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270" w:right="279" w:bottom="1440" w:gutter="0" w:footer="0" w:header="0"/>
        </w:sectPr>
      </w:pPr>
    </w:p>
    <w:bookmarkStart w:id="110" w:name="page111"/>
    <w:bookmarkEnd w:id="110"/>
    <w:p>
      <w:pPr>
        <w:ind w:left="460" w:right="40" w:firstLine="443"/>
        <w:spacing w:after="0" w:line="256" w:lineRule="auto"/>
        <w:tabs>
          <w:tab w:leader="none" w:pos="11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60" w:right="20" w:firstLine="443"/>
        <w:spacing w:after="0" w:line="261" w:lineRule="auto"/>
        <w:tabs>
          <w:tab w:leader="none" w:pos="11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the requirements of all Laws (including, without limitation,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left="460" w:right="200" w:firstLine="443"/>
        <w:spacing w:after="0" w:line="282" w:lineRule="auto"/>
        <w:tabs>
          <w:tab w:leader="none" w:pos="115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compliance with applicable Anti-Corruption Laws and maintain policies and procedures designed to promote and achieve compliance with such laws.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(a) Maintain proper books of record and account, in which full, true and correct entries in conformity with GAAP consistently applied shall be made of all financial transactions and matters involving the assets and business of the Borrower or such Subsidiary, as the case may be; and</w:t>
      </w:r>
    </w:p>
    <w:p>
      <w:pPr>
        <w:ind w:right="380" w:firstLine="8"/>
        <w:spacing w:after="0" w:line="261" w:lineRule="auto"/>
        <w:tabs>
          <w:tab w:leader="none" w:pos="2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(b) arrange for verification of any Loan Party’s or any Subsidiary’s accounts, under reasonable procedures, directly with account debtors or by other methods, and (iii) examine and inspect any Loan Party’s or Subsidiary’s properties, inventory and equipment, wherever located, in each case, at the expense of the Borrower and upon reasonable advance notice to such Loan Party or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an Event of Default does not exist, such examinations and inspections shall be limited to not more than two times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270" w:right="259" w:bottom="1440" w:gutter="0" w:footer="0" w:header="0"/>
        </w:sectPr>
      </w:pPr>
    </w:p>
    <w:bookmarkStart w:id="111" w:name="page112"/>
    <w:bookmarkEnd w:id="111"/>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Use the proceeds of the Loans solely for (a) the funding of the Merger, (b) the refinancing of Existing Indebtedness, (c) the payment fees, commissions and expenses in connection with the Transactions (including the payment of make whole premiums in connection with the payment of the Existing Note Purchase Agreement Indebtedness) and (d) to the extent of any portion of the Loans remaining after giving effect to the items specified in clauses (a) through (c)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working capital and other general corporate purposes of the Borrower and its Subsidiaries.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firstLine="443"/>
        <w:spacing w:after="0" w:line="255" w:lineRule="auto"/>
        <w:tabs>
          <w:tab w:leader="none" w:pos="11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and Security Documents</w:t>
      </w:r>
      <w:r>
        <w:rPr>
          <w:rFonts w:ascii="Times New Roman" w:cs="Times New Roman" w:eastAsia="Times New Roman" w:hAnsi="Times New Roman"/>
          <w:sz w:val="18"/>
          <w:szCs w:val="18"/>
          <w:color w:val="auto"/>
        </w:rPr>
        <w:t xml:space="preserve">. Each Domestic Subsidiary (other than any Inactive Subsidiary or an Immaterial Subsidiary) created, acquired or held subsequent to the Closing Date, and each Domestic Subsidiary that at any time ceases to be an Inactive Subsidiary or an Immaterial Subsidiary (including by virtue of clause (g)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shall within thirty (30)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be deemed necessary or advisable by the Administrative Agent.</w:t>
      </w:r>
    </w:p>
    <w:p>
      <w:pPr>
        <w:spacing w:after="0" w:line="81" w:lineRule="exact"/>
        <w:rPr>
          <w:rFonts w:ascii="Times New Roman" w:cs="Times New Roman" w:eastAsia="Times New Roman" w:hAnsi="Times New Roman"/>
          <w:sz w:val="18"/>
          <w:szCs w:val="18"/>
          <w:color w:val="auto"/>
        </w:rPr>
      </w:pPr>
    </w:p>
    <w:p>
      <w:pPr>
        <w:ind w:left="460" w:right="120" w:firstLine="443"/>
        <w:spacing w:after="0" w:line="255" w:lineRule="auto"/>
        <w:tabs>
          <w:tab w:leader="none" w:pos="115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Equity Interest</w:t>
      </w:r>
      <w:r>
        <w:rPr>
          <w:rFonts w:ascii="Times New Roman" w:cs="Times New Roman" w:eastAsia="Times New Roman" w:hAnsi="Times New Roman"/>
          <w:sz w:val="18"/>
          <w:szCs w:val="18"/>
          <w:color w:val="auto"/>
        </w:rPr>
        <w:t xml:space="preserve">. With respect to the creation or acquisition of a Subsidiary, the appropriate Loan Party shall within thirty (30) days (or such longer period as the Administrative Agent shall approve in its sole discretion) after such creation or acquisition execute a Security Agreement (or a Security Joinder Agreement) and, in connection therewith, pledge all of its Equity Interests in such Subsidiary to the Administrative Agent as security for the Obligations; provided that (i) no Foreign Subsidiary shall be required to pledge any of its Equity Interests in any other Foreign Subsidiary, (ii) the Borrower or any Domestic Subsidiary shall not be required to pledge more than sixty-five percent (65%) of the voting Equity Interests of any first-tier Foreign Subsidiary, and (iii) such pledge shall be legally available and shall not result in materially adverse tax consequences on such Loan Party. The Borrower shall deliver to the Administrative Agent the share certificates (or other evidence of equity) evidencing any of the Equity Interests pledged pursuant to this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if such Equity Interests are certificated or so evidenced.</w:t>
      </w:r>
    </w:p>
    <w:p>
      <w:pPr>
        <w:spacing w:after="0" w:line="77" w:lineRule="exact"/>
        <w:rPr>
          <w:rFonts w:ascii="Times New Roman" w:cs="Times New Roman" w:eastAsia="Times New Roman" w:hAnsi="Times New Roman"/>
          <w:sz w:val="18"/>
          <w:szCs w:val="18"/>
          <w:color w:val="auto"/>
        </w:rPr>
      </w:pPr>
    </w:p>
    <w:p>
      <w:pPr>
        <w:ind w:left="460" w:right="240" w:firstLine="443"/>
        <w:spacing w:after="0" w:line="258" w:lineRule="auto"/>
        <w:tabs>
          <w:tab w:leader="none" w:pos="11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or Registration of Interest in Foreign Equity Interests</w:t>
      </w:r>
      <w:r>
        <w:rPr>
          <w:rFonts w:ascii="Times New Roman" w:cs="Times New Roman" w:eastAsia="Times New Roman" w:hAnsi="Times New Roman"/>
          <w:sz w:val="18"/>
          <w:szCs w:val="18"/>
          <w:color w:val="auto"/>
        </w:rPr>
        <w:t>. With respect to any foreign Equity Interests pledged to the Administrative Agent by the Borrower or any Domestic Subsidiary,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270" w:right="239" w:bottom="1440" w:gutter="0" w:footer="0" w:header="0"/>
        </w:sectPr>
      </w:pPr>
    </w:p>
    <w:bookmarkStart w:id="112" w:name="page113"/>
    <w:bookmarkEnd w:id="112"/>
    <w:p>
      <w:pPr>
        <w:ind w:right="20" w:firstLine="443"/>
        <w:spacing w:after="0" w:line="266" w:lineRule="auto"/>
        <w:tabs>
          <w:tab w:leader="none" w:pos="69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Pledged Intercompany Notes</w:t>
      </w:r>
      <w:r>
        <w:rPr>
          <w:rFonts w:ascii="Times New Roman" w:cs="Times New Roman" w:eastAsia="Times New Roman" w:hAnsi="Times New Roman"/>
          <w:sz w:val="18"/>
          <w:szCs w:val="18"/>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w:t>
      </w:r>
    </w:p>
    <w:p>
      <w:pPr>
        <w:spacing w:after="0" w:line="68" w:lineRule="exact"/>
        <w:rPr>
          <w:rFonts w:ascii="Times New Roman" w:cs="Times New Roman" w:eastAsia="Times New Roman" w:hAnsi="Times New Roman"/>
          <w:sz w:val="18"/>
          <w:szCs w:val="18"/>
          <w:color w:val="auto"/>
        </w:rPr>
      </w:pPr>
    </w:p>
    <w:p>
      <w:pPr>
        <w:ind w:left="680" w:hanging="237"/>
        <w:spacing w:after="0"/>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Generally</w:t>
      </w:r>
      <w:r>
        <w:rPr>
          <w:rFonts w:ascii="Times New Roman" w:cs="Times New Roman" w:eastAsia="Times New Roman" w:hAnsi="Times New Roman"/>
          <w:sz w:val="18"/>
          <w:szCs w:val="18"/>
          <w:color w:val="auto"/>
        </w:rPr>
        <w:t>. The Borrower shall:</w:t>
      </w:r>
    </w:p>
    <w:p>
      <w:pPr>
        <w:spacing w:after="0" w:line="117" w:lineRule="exact"/>
        <w:rPr>
          <w:rFonts w:ascii="Times New Roman" w:cs="Times New Roman" w:eastAsia="Times New Roman" w:hAnsi="Times New Roman"/>
          <w:sz w:val="18"/>
          <w:szCs w:val="18"/>
          <w:color w:val="auto"/>
        </w:rPr>
      </w:pPr>
    </w:p>
    <w:p>
      <w:pPr>
        <w:ind w:left="460" w:right="120" w:firstLine="421"/>
        <w:spacing w:after="0" w:line="261" w:lineRule="auto"/>
        <w:tabs>
          <w:tab w:leader="none" w:pos="109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71" w:lineRule="exact"/>
        <w:rPr>
          <w:rFonts w:ascii="Times New Roman" w:cs="Times New Roman" w:eastAsia="Times New Roman" w:hAnsi="Times New Roman"/>
          <w:sz w:val="18"/>
          <w:szCs w:val="18"/>
          <w:color w:val="auto"/>
        </w:rPr>
      </w:pPr>
    </w:p>
    <w:p>
      <w:pPr>
        <w:ind w:left="460" w:right="160" w:firstLine="421"/>
        <w:spacing w:after="0" w:line="282" w:lineRule="auto"/>
        <w:tabs>
          <w:tab w:leader="none" w:pos="114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53" w:lineRule="exact"/>
        <w:rPr>
          <w:rFonts w:ascii="Times New Roman" w:cs="Times New Roman" w:eastAsia="Times New Roman" w:hAnsi="Times New Roman"/>
          <w:sz w:val="18"/>
          <w:szCs w:val="18"/>
          <w:color w:val="auto"/>
        </w:rPr>
      </w:pPr>
    </w:p>
    <w:p>
      <w:pPr>
        <w:ind w:left="460" w:right="20" w:firstLine="421"/>
        <w:spacing w:after="0" w:line="261" w:lineRule="auto"/>
        <w:tabs>
          <w:tab w:leader="none" w:pos="119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the Administrative Agent in writing upon the creation by any Loan Party of a deposit account or securities account not listed on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71" w:lineRule="exact"/>
        <w:rPr>
          <w:rFonts w:ascii="Times New Roman" w:cs="Times New Roman" w:eastAsia="Times New Roman" w:hAnsi="Times New Roman"/>
          <w:sz w:val="18"/>
          <w:szCs w:val="18"/>
          <w:color w:val="auto"/>
        </w:rPr>
      </w:pPr>
    </w:p>
    <w:p>
      <w:pPr>
        <w:ind w:left="460" w:right="20" w:firstLine="421"/>
        <w:spacing w:after="0" w:line="256" w:lineRule="auto"/>
        <w:tabs>
          <w:tab w:leader="none" w:pos="118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the Administrative Agent in writing whenever a material amount of assets of a Loan Party is located at a location of a third party (other than another Loan Party) that is not listed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and use commercially reasonable efforts to cause to be executed any bailee’s waiver, processor’s waiver, consignee’s waiver or similar document or notice that may be required by the Administrative Agent or the Required Lenders; provided that to the extent that any such waivers, documents or notices are provided in connection with the ABL Facility, a corresponding bailee’s waiver, processor’s waiver, consignee’s waiver or similar document or notice shall be provided to the Administrative Agent;</w:t>
      </w:r>
    </w:p>
    <w:p>
      <w:pPr>
        <w:spacing w:after="0" w:line="79" w:lineRule="exact"/>
        <w:rPr>
          <w:rFonts w:ascii="Times New Roman" w:cs="Times New Roman" w:eastAsia="Times New Roman" w:hAnsi="Times New Roman"/>
          <w:sz w:val="18"/>
          <w:szCs w:val="18"/>
          <w:color w:val="auto"/>
        </w:rPr>
      </w:pPr>
    </w:p>
    <w:p>
      <w:pPr>
        <w:ind w:left="460" w:firstLine="421"/>
        <w:spacing w:after="0" w:line="266" w:lineRule="auto"/>
        <w:tabs>
          <w:tab w:leader="none" w:pos="113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Administrative Agent and the Lenders in writing of any information that the Borrower or any of its Subsidiaries has or may receive with respect to the Collateral that would reasonably be expected to materially and adversely affect the value thereof or the rights of the Administrative Agent and the Lenders with respect thereto;</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20"/>
          </w:cols>
          <w:pgMar w:left="700" w:top="270" w:right="279" w:bottom="1440" w:gutter="0" w:footer="0" w:header="0"/>
        </w:sectPr>
      </w:pPr>
    </w:p>
    <w:bookmarkStart w:id="113" w:name="page114"/>
    <w:bookmarkEnd w:id="113"/>
    <w:p>
      <w:pPr>
        <w:ind w:left="460" w:firstLine="421"/>
        <w:spacing w:after="0" w:line="256" w:lineRule="auto"/>
        <w:tabs>
          <w:tab w:leader="none" w:pos="11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deliver to the Administrative Agent, to hold as security for the Obligations, within ten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79" w:lineRule="exact"/>
        <w:rPr>
          <w:rFonts w:ascii="Times New Roman" w:cs="Times New Roman" w:eastAsia="Times New Roman" w:hAnsi="Times New Roman"/>
          <w:sz w:val="18"/>
          <w:szCs w:val="18"/>
          <w:color w:val="auto"/>
        </w:rPr>
      </w:pPr>
    </w:p>
    <w:p>
      <w:pPr>
        <w:ind w:left="460" w:right="40" w:firstLine="421"/>
        <w:spacing w:after="0" w:line="266" w:lineRule="auto"/>
        <w:tabs>
          <w:tab w:leader="none" w:pos="12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to the Administrative Agent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68" w:lineRule="exact"/>
        <w:rPr>
          <w:rFonts w:ascii="Times New Roman" w:cs="Times New Roman" w:eastAsia="Times New Roman" w:hAnsi="Times New Roman"/>
          <w:sz w:val="18"/>
          <w:szCs w:val="18"/>
          <w:color w:val="auto"/>
        </w:rPr>
      </w:pPr>
    </w:p>
    <w:p>
      <w:pPr>
        <w:ind w:left="460" w:right="40" w:firstLine="421"/>
        <w:spacing w:after="0" w:line="261" w:lineRule="auto"/>
        <w:tabs>
          <w:tab w:leader="none" w:pos="12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72" w:lineRule="exact"/>
        <w:rPr>
          <w:sz w:val="20"/>
          <w:szCs w:val="20"/>
          <w:color w:val="auto"/>
        </w:rPr>
      </w:pPr>
    </w:p>
    <w:p>
      <w:pPr>
        <w:ind w:left="460" w:right="280"/>
        <w:spacing w:after="0" w:line="254" w:lineRule="auto"/>
        <w:rPr>
          <w:sz w:val="20"/>
          <w:szCs w:val="20"/>
          <w:color w:val="auto"/>
        </w:rPr>
      </w:pPr>
      <w:r>
        <w:rPr>
          <w:rFonts w:ascii="Times New Roman" w:cs="Times New Roman" w:eastAsia="Times New Roman" w:hAnsi="Times New Roman"/>
          <w:sz w:val="18"/>
          <w:szCs w:val="18"/>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expenses with respect to the foregoing (whether prior to, upon, or subsequent to any Default), and the Borrower shall promptly repay, reimburse, and indemnify the Administrative Agent and the Lenders for any and all such expenses.</w:t>
      </w:r>
    </w:p>
    <w:p>
      <w:pPr>
        <w:spacing w:after="0" w:line="81" w:lineRule="exact"/>
        <w:rPr>
          <w:sz w:val="20"/>
          <w:szCs w:val="20"/>
          <w:color w:val="auto"/>
        </w:rPr>
      </w:pPr>
    </w:p>
    <w:p>
      <w:pPr>
        <w:ind w:right="260" w:firstLine="443"/>
        <w:spacing w:after="0" w:line="282" w:lineRule="auto"/>
        <w:tabs>
          <w:tab w:leader="none" w:pos="66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Acquired Subsequent to the Closing Date and Right to Take Additional Collateral</w:t>
      </w:r>
      <w:r>
        <w:rPr>
          <w:rFonts w:ascii="Times New Roman" w:cs="Times New Roman" w:eastAsia="Times New Roman" w:hAnsi="Times New Roman"/>
          <w:sz w:val="18"/>
          <w:szCs w:val="18"/>
          <w:color w:val="auto"/>
        </w:rPr>
        <w:t>. The Borrower shall provide the Administrative Agent with prompt written notice with respect to any Material Real Property or material personal property</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40"/>
          </w:cols>
          <w:pgMar w:left="700" w:top="270" w:right="259" w:bottom="1440" w:gutter="0" w:footer="0" w:header="0"/>
        </w:sectPr>
      </w:pPr>
    </w:p>
    <w:bookmarkStart w:id="114" w:name="page115"/>
    <w:bookmarkEnd w:id="1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accounts, inventory, equipment and general intangibles and other property acquired in the ordinary course of business) acquired (including, in the case of Material Real Property, leased)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first-priority (subject to the terms of the Intercreditor Agreement) Lien on any Material Real Property or personal property of each Loan Party (other than for leased equipment or equipment subject to a purchase money security interest in which the lessor or purchase money lender of such equipment holds a first priority security interest, in which case, the Administrative Agent shall have the right to obtain a security interest junior only to such lessor or purchase money lender),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60 days (or such later time as may be specified by the Administrative Agent in its sole discretion), and (ii) in all other cases, within ten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require. The Borrower shall pay all recordation, legal and other expenses in connection therewith.</w:t>
      </w:r>
    </w:p>
    <w:p>
      <w:pPr>
        <w:spacing w:after="0" w:line="91" w:lineRule="exact"/>
        <w:rPr>
          <w:sz w:val="20"/>
          <w:szCs w:val="20"/>
          <w:color w:val="auto"/>
        </w:rPr>
      </w:pPr>
    </w:p>
    <w:p>
      <w:pPr>
        <w:ind w:left="700" w:hanging="257"/>
        <w:spacing w:after="0"/>
        <w:tabs>
          <w:tab w:leader="none" w:pos="7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Immaterial Subsidiaries</w:t>
      </w:r>
      <w:r>
        <w:rPr>
          <w:rFonts w:ascii="Times New Roman" w:cs="Times New Roman" w:eastAsia="Times New Roman" w:hAnsi="Times New Roman"/>
          <w:sz w:val="18"/>
          <w:szCs w:val="18"/>
          <w:color w:val="auto"/>
        </w:rPr>
        <w:t>. In the event that the Immaterial Subsidiaries and Inactive Subsidiaries, when taken as a whole,</w:t>
      </w:r>
    </w:p>
    <w:p>
      <w:pPr>
        <w:spacing w:after="0" w:line="27" w:lineRule="exact"/>
        <w:rPr>
          <w:rFonts w:ascii="Times New Roman" w:cs="Times New Roman" w:eastAsia="Times New Roman" w:hAnsi="Times New Roman"/>
          <w:sz w:val="18"/>
          <w:szCs w:val="18"/>
          <w:color w:val="auto"/>
        </w:rPr>
      </w:pPr>
    </w:p>
    <w:p>
      <w:pPr>
        <w:ind w:right="20" w:firstLine="4"/>
        <w:spacing w:after="0" w:line="252" w:lineRule="auto"/>
        <w:tabs>
          <w:tab w:leader="none" w:pos="2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or Inactive Subsidiaries to be Loan Parties hereunder (at which time such Subsidiaries shall cease to be Immaterial Subsidiaries or Inactive Subsidiaries, as applicable) such that the resulting EBITDA attributable to, and net book value of the assets held by, the remaining Immaterial Subsidiaries and Inactive Subsidiaries, when taken as a whole, shall be less than the required percentages set forth in clauses (i) and (ii) of this clause (g).</w:t>
      </w:r>
    </w:p>
    <w:p>
      <w:pPr>
        <w:spacing w:after="0" w:line="80" w:lineRule="exact"/>
        <w:rPr>
          <w:rFonts w:ascii="Times New Roman" w:cs="Times New Roman" w:eastAsia="Times New Roman" w:hAnsi="Times New Roman"/>
          <w:sz w:val="18"/>
          <w:szCs w:val="18"/>
          <w:color w:val="auto"/>
        </w:rPr>
      </w:pPr>
    </w:p>
    <w:p>
      <w:pPr>
        <w:ind w:right="20" w:firstLine="443"/>
        <w:spacing w:after="0" w:line="261" w:lineRule="auto"/>
        <w:tabs>
          <w:tab w:leader="none" w:pos="69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Material Real Property</w:t>
      </w:r>
      <w:r>
        <w:rPr>
          <w:rFonts w:ascii="Times New Roman" w:cs="Times New Roman" w:eastAsia="Times New Roman" w:hAnsi="Times New Roman"/>
          <w:sz w:val="18"/>
          <w:szCs w:val="18"/>
          <w:color w:val="auto"/>
        </w:rPr>
        <w:t>. In the event that the aggregate fair market value of (i) the real property owned in fee simple by the Loan Parties that is not subject to a Mortgage and (ii) the leasehold real property of the Loan Parties that is not subject to a Mortgage exceeds $20,000,000, the Borrower shall promptly designate one or more of such owned or leased real property locations to be Material Real Property (at which time such real property shall constitute Material Real Property for all purposes hereunder and under the other Loan Documents).</w:t>
      </w:r>
    </w:p>
    <w:p>
      <w:pPr>
        <w:spacing w:after="0" w:line="1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700" w:top="270" w:right="239" w:bottom="1440" w:gutter="0" w:footer="0" w:header="0"/>
        </w:sectPr>
      </w:pPr>
    </w:p>
    <w:bookmarkStart w:id="115" w:name="page116"/>
    <w:bookmarkEnd w:id="115"/>
    <w:p>
      <w:pPr>
        <w:ind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xml:space="preserve">. Except where non-compliance, either individually or in the aggregate, would not reasonably be expected to have a Material Adverse Effect, comply in all respects with any and all applicable Environmental Laws and Environmental Permits including, without limitation, all Environmental Laws in jurisdictions in which such Person owns or operates a facility or site, arranges for disposal or treatment of hazardous substances, solid waste or other wastes, accepts for transport any hazardous substances, solid waste or other wastes or holds any interest in real property or otherwise.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any Environmental Law. As used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“litigation or proceeding” means any demand, claim, notice, suit, suit in equity action, administrative action, investigation or inquiry whether brought by any Governmental Authority or private Person, or otherwise.</w:t>
      </w:r>
    </w:p>
    <w:p>
      <w:pPr>
        <w:spacing w:after="0" w:line="19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Provide the Administrative Agent and the Lenders with at least thirty (30) days’ prior written notice before any change its legal name, organizational structure or its state, province or other jurisdiction of organization. The Borrower shall promptly notify the Administrative Agent of (a) any change in any location where a material portion of any Loan Party’s assets are maintained, and any new locations where any material portion of any Loan Party’s assets are to be maintained; (b) any change in the location of the office where any Loan Party’s records pertaining to its accounts are kept; (c) the location of any new places of business and the changing or closing of any of its existing places of business; and (d) any change in the location of any Loan Party’s chief executive office.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Maintenance of Debt Ratings</w:t>
      </w:r>
      <w:r>
        <w:rPr>
          <w:rFonts w:ascii="Times New Roman" w:cs="Times New Roman" w:eastAsia="Times New Roman" w:hAnsi="Times New Roman"/>
          <w:sz w:val="18"/>
          <w:szCs w:val="18"/>
          <w:color w:val="auto"/>
        </w:rPr>
        <w:t>. Use commercially reasonable efforts to maintain Debt Ratings from both Moody’s and S&amp;P.</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40" w:firstLine="443"/>
        <w:spacing w:after="0" w:line="258" w:lineRule="auto"/>
        <w:tabs>
          <w:tab w:leader="none" w:pos="114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more effectively the purposes of the Loan Documents.</w:t>
      </w:r>
    </w:p>
    <w:p>
      <w:pPr>
        <w:spacing w:after="0" w:line="75" w:lineRule="exact"/>
        <w:rPr>
          <w:rFonts w:ascii="Times New Roman" w:cs="Times New Roman" w:eastAsia="Times New Roman" w:hAnsi="Times New Roman"/>
          <w:sz w:val="18"/>
          <w:szCs w:val="18"/>
          <w:color w:val="auto"/>
        </w:rPr>
      </w:pPr>
    </w:p>
    <w:p>
      <w:pPr>
        <w:ind w:left="460" w:right="140" w:firstLine="443"/>
        <w:spacing w:after="0" w:line="282" w:lineRule="auto"/>
        <w:tabs>
          <w:tab w:leader="none" w:pos="11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deemed appropriate by the Administrative Agent, the Administrative Agent is hereby authorized to file new UCC financing statements (or similar notice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270" w:right="239" w:bottom="1440" w:gutter="0" w:footer="0" w:header="0"/>
        </w:sectPr>
      </w:pPr>
    </w:p>
    <w:bookmarkStart w:id="116" w:name="page117"/>
    <w:bookmarkEnd w:id="116"/>
    <w:p>
      <w:pPr>
        <w:ind w:left="4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filings applicable in foreign jurisdictions) describing the Collateral and otherwise in form and substance sufficient for recordation wherever necessary or appropriate, as determined in the Administrative Agent’s sole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Execute and deliver the documents and complete the tasks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in each case within the time limits specified on such schedule.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(other than contingent indemnification obligations not then due), the Borrower shall not, nor shall it permit any Subsidiary to:</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Create, incur, assume or suffer to exist (upon the happening of a contingency or otherwise) any Lien upon any of its property or assets,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not apply to the following:</w:t>
      </w:r>
    </w:p>
    <w:p>
      <w:pPr>
        <w:spacing w:after="0" w:line="54" w:lineRule="exact"/>
        <w:rPr>
          <w:sz w:val="20"/>
          <w:szCs w:val="20"/>
          <w:color w:val="auto"/>
        </w:rPr>
      </w:pPr>
    </w:p>
    <w:p>
      <w:pPr>
        <w:ind w:left="460" w:firstLine="443"/>
        <w:spacing w:after="0" w:line="282" w:lineRule="auto"/>
        <w:tabs>
          <w:tab w:leader="none" w:pos="11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actively contested in good faith by appropriate proceedings and for which adequate reserves shall have been established in accordance with GAAP;</w:t>
      </w:r>
    </w:p>
    <w:p>
      <w:pPr>
        <w:spacing w:after="0" w:line="53" w:lineRule="exact"/>
        <w:rPr>
          <w:rFonts w:ascii="Times New Roman" w:cs="Times New Roman" w:eastAsia="Times New Roman" w:hAnsi="Times New Roman"/>
          <w:sz w:val="18"/>
          <w:szCs w:val="18"/>
          <w:color w:val="auto"/>
        </w:rPr>
      </w:pPr>
    </w:p>
    <w:p>
      <w:pPr>
        <w:ind w:left="460" w:right="120" w:firstLine="443"/>
        <w:spacing w:after="0" w:line="266" w:lineRule="auto"/>
        <w:tabs>
          <w:tab w:leader="none" w:pos="115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68"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of a Subsidiary to secure obligations of such Subsidiary to a Loan Party;</w:t>
      </w:r>
    </w:p>
    <w:p>
      <w:pPr>
        <w:spacing w:after="0" w:line="117"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5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Liens on fixed assets securing the loans and Indebtedness under Capitalized Leases pursuant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is limited to the purchase price and only attaches to the property being acquired or financed thereby;</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of the Administrative Agent, for the benefit of the Secured Parties;</w:t>
      </w:r>
    </w:p>
    <w:p>
      <w:pPr>
        <w:spacing w:after="0" w:line="117"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1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existing on the Closing Date as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hereto and replacements, extensions, renewals, refundings or refinancings thereof, but only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270" w:right="279" w:bottom="1440" w:gutter="0" w:footer="0" w:header="0"/>
        </w:sectPr>
      </w:pPr>
    </w:p>
    <w:bookmarkStart w:id="117" w:name="page118"/>
    <w:bookmarkEnd w:id="117"/>
    <w:p>
      <w:pPr>
        <w:ind w:left="46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68" w:lineRule="exact"/>
        <w:rPr>
          <w:sz w:val="20"/>
          <w:szCs w:val="20"/>
          <w:color w:val="auto"/>
        </w:rPr>
      </w:pPr>
    </w:p>
    <w:p>
      <w:pPr>
        <w:ind w:left="460" w:right="120" w:firstLine="443"/>
        <w:spacing w:after="0" w:line="282" w:lineRule="auto"/>
        <w:tabs>
          <w:tab w:leader="none" w:pos="115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or other minor defects or irregularities in title of real property not interfering in any material respect with the use of such property in the business of the Borrower or any of its Subsidiaries;</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insurance, unemployment insurance and like matters;</w:t>
      </w:r>
    </w:p>
    <w:p>
      <w:pPr>
        <w:spacing w:after="0" w:line="117" w:lineRule="exact"/>
        <w:rPr>
          <w:rFonts w:ascii="Times New Roman" w:cs="Times New Roman" w:eastAsia="Times New Roman" w:hAnsi="Times New Roman"/>
          <w:sz w:val="18"/>
          <w:szCs w:val="18"/>
          <w:color w:val="auto"/>
        </w:rPr>
      </w:pPr>
    </w:p>
    <w:p>
      <w:pPr>
        <w:ind w:left="460" w:firstLine="443"/>
        <w:spacing w:after="0" w:line="282" w:lineRule="auto"/>
        <w:tabs>
          <w:tab w:leader="none" w:pos="111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any writ of execution, attachment, garnishment, judgment or judicial award solely to the extent not constituting an Event of Default under </w:t>
      </w:r>
      <w:r>
        <w:rPr>
          <w:rFonts w:ascii="Times New Roman" w:cs="Times New Roman" w:eastAsia="Times New Roman" w:hAnsi="Times New Roman"/>
          <w:sz w:val="18"/>
          <w:szCs w:val="18"/>
          <w:u w:val="single" w:color="auto"/>
          <w:color w:val="auto"/>
        </w:rPr>
        <w:t>Section 8.01(h)(i)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the ABL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subject at all times to the Intercreditor Agreement;</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civil law Lien arising in the Netherlands under Netherland’s General Banking Conditions (other than arising under article 26</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60" w:right="40" w:firstLine="443"/>
        <w:spacing w:after="0" w:line="261" w:lineRule="auto"/>
        <w:tabs>
          <w:tab w:leader="none" w:pos="111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tangible property of a Person existing at the time such Person is acquired by the Borrower or a Subsidiary pursuant to an Acquisition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Times New Roman" w:cs="Times New Roman" w:eastAsia="Times New Roman" w:hAnsi="Times New Roman"/>
          <w:sz w:val="18"/>
          <w:szCs w:val="18"/>
          <w:u w:val="single" w:color="auto"/>
          <w:color w:val="auto"/>
        </w:rPr>
        <w:t>Section 7.02(l)</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permitted by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shall extend to, or cover, any Collateral; and</w:t>
      </w:r>
    </w:p>
    <w:p>
      <w:pPr>
        <w:spacing w:after="0" w:line="117" w:lineRule="exact"/>
        <w:rPr>
          <w:rFonts w:ascii="Times New Roman" w:cs="Times New Roman" w:eastAsia="Times New Roman" w:hAnsi="Times New Roman"/>
          <w:sz w:val="18"/>
          <w:szCs w:val="18"/>
          <w:color w:val="auto"/>
        </w:rPr>
      </w:pPr>
    </w:p>
    <w:p>
      <w:pPr>
        <w:ind w:left="460" w:right="340" w:firstLine="443"/>
        <w:spacing w:after="0" w:line="276" w:lineRule="auto"/>
        <w:tabs>
          <w:tab w:leader="none" w:pos="1153"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non-consensual Liens not securing Indebtedness, (i) the amount of which does not exceed $1,000,000 in the aggregate, and (ii) the existence of which, either individually or in the aggregate, will not have a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Lien permitted by this clause</w:t>
      </w:r>
    </w:p>
    <w:p>
      <w:pPr>
        <w:ind w:left="460" w:right="60" w:firstLine="4"/>
        <w:spacing w:after="0" w:line="253" w:lineRule="auto"/>
        <w:tabs>
          <w:tab w:leader="none" w:pos="6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permitted only for so long as is reasonably necessary for the affected Loan Party or the affected Subsidiary, using its best efforts, to remove or eliminate such Lien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Lien not otherwise permitted by this clause (l)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270" w:right="279" w:bottom="1440" w:gutter="0" w:footer="0" w:header="0"/>
        </w:sectPr>
      </w:pPr>
    </w:p>
    <w:bookmarkStart w:id="118" w:name="page119"/>
    <w:bookmarkEnd w:id="118"/>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Create, incur, assume or have outstanding any Indebtedness of any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not apply to the following:</w:t>
      </w:r>
    </w:p>
    <w:p>
      <w:pPr>
        <w:spacing w:after="0" w:line="54" w:lineRule="exact"/>
        <w:rPr>
          <w:sz w:val="20"/>
          <w:szCs w:val="20"/>
          <w:color w:val="auto"/>
        </w:rPr>
      </w:pPr>
    </w:p>
    <w:p>
      <w:pPr>
        <w:ind w:left="1140" w:hanging="237"/>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and any other Obligation under this Agreement or under any other Loan Document;</w:t>
      </w:r>
    </w:p>
    <w:p>
      <w:pPr>
        <w:spacing w:after="0" w:line="117" w:lineRule="exact"/>
        <w:rPr>
          <w:rFonts w:ascii="Times New Roman" w:cs="Times New Roman" w:eastAsia="Times New Roman" w:hAnsi="Times New Roman"/>
          <w:sz w:val="18"/>
          <w:szCs w:val="18"/>
          <w:color w:val="auto"/>
        </w:rPr>
      </w:pPr>
    </w:p>
    <w:p>
      <w:pPr>
        <w:jc w:val="both"/>
        <w:ind w:left="460" w:firstLine="443"/>
        <w:spacing w:after="0" w:line="261" w:lineRule="auto"/>
        <w:tabs>
          <w:tab w:leader="none" w:pos="11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granted to or Indebtedness under Capitalized Leases entered into by the Borrower or any of its Subsidiaries for the purchase or lease of fixed assets (and refinancings of such loans or Indebtedness under Capitalized Leases), which loans and Indebtedness under Capitalized Leases shall only be secured by the fixed assets being purchased or leased, so long as the aggregate principal amount of all such loans and Indebtedness under Capitalized Leases for the Borrower and all of its Subsidiaries shall not exceed $10,000,000 at any time outstanding;</w:t>
      </w:r>
    </w:p>
    <w:p>
      <w:pPr>
        <w:spacing w:after="0" w:line="71" w:lineRule="exact"/>
        <w:rPr>
          <w:rFonts w:ascii="Times New Roman" w:cs="Times New Roman" w:eastAsia="Times New Roman" w:hAnsi="Times New Roman"/>
          <w:sz w:val="18"/>
          <w:szCs w:val="18"/>
          <w:color w:val="auto"/>
        </w:rPr>
      </w:pPr>
    </w:p>
    <w:p>
      <w:pPr>
        <w:ind w:left="460" w:firstLine="443"/>
        <w:spacing w:after="0" w:line="258" w:lineRule="auto"/>
        <w:tabs>
          <w:tab w:leader="none" w:pos="114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Indebtedness existing on the Closing Date, in addition to the other Indebtedness permitted to be incurred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hereto (any extension, renewal or refinancing thereof but only to the extent that the principal amount thereof does not increase after the Closing Date, except by an amount equal to a reasonable premium or other reasonable amount paid, and fees and expenses reasonably incurred, in connection with such extension, renewal or refinancing and by an amount equal to any existing commitments unutilized thereunder and the direct or any contingent obligor with respect thereto is not changed, as a result of or in connection with such extension, renewal or refinancing);</w:t>
      </w:r>
    </w:p>
    <w:p>
      <w:pPr>
        <w:spacing w:after="0" w:line="7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 Loan Party from another Loan Party;</w:t>
      </w:r>
    </w:p>
    <w:p>
      <w:pPr>
        <w:spacing w:after="0" w:line="117"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 Foreign Subsidiary from another Foreign Subsidiary;</w:t>
      </w:r>
    </w:p>
    <w:p>
      <w:pPr>
        <w:spacing w:after="0" w:line="117"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12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Swap Contract, so long as such Swap Contract shall have been entered into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Foreign Subsidiary and other Loans and Investments, so long as (i) no Default shall exist immediately prior to or immediately after giving effect thereto and (ii)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thereto (and to any Indebtedness incurred in connection therewith), the Borrower and its Subsidiaries shall be in compliance with the Pro Forma Leverage Test;</w:t>
      </w:r>
    </w:p>
    <w:p>
      <w:pPr>
        <w:spacing w:after="0" w:line="68" w:lineRule="exact"/>
        <w:rPr>
          <w:rFonts w:ascii="Times New Roman" w:cs="Times New Roman" w:eastAsia="Times New Roman" w:hAnsi="Times New Roman"/>
          <w:sz w:val="18"/>
          <w:szCs w:val="18"/>
          <w:color w:val="auto"/>
        </w:rPr>
      </w:pPr>
    </w:p>
    <w:p>
      <w:pPr>
        <w:ind w:left="460" w:right="120" w:firstLine="443"/>
        <w:spacing w:after="0" w:line="282" w:lineRule="auto"/>
        <w:tabs>
          <w:tab w:leader="none" w:pos="11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the financing of insurance premiums, in an aggregate amount not to exceed $2,000,000 at any time outstanding;</w:t>
      </w:r>
    </w:p>
    <w:p>
      <w:pPr>
        <w:spacing w:after="0" w:line="53" w:lineRule="exact"/>
        <w:rPr>
          <w:rFonts w:ascii="Times New Roman" w:cs="Times New Roman" w:eastAsia="Times New Roman" w:hAnsi="Times New Roman"/>
          <w:sz w:val="18"/>
          <w:szCs w:val="18"/>
          <w:color w:val="auto"/>
        </w:rPr>
      </w:pPr>
    </w:p>
    <w:p>
      <w:pPr>
        <w:ind w:left="460" w:right="480" w:firstLine="443"/>
        <w:spacing w:after="0" w:line="282" w:lineRule="auto"/>
        <w:tabs>
          <w:tab w:leader="none" w:pos="111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consisting of Guarantees executed by (i) any Loan Party with respect to Indebtedness otherwise permitted by this Agreement and (ii) any Foreign Subsidiary with respect to any Indebtedness of a Foreign Subsidiary otherwise permitted by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270" w:right="259" w:bottom="1440" w:gutter="0" w:footer="0" w:header="0"/>
        </w:sectPr>
      </w:pPr>
    </w:p>
    <w:bookmarkStart w:id="119" w:name="page120"/>
    <w:bookmarkEnd w:id="119"/>
    <w:p>
      <w:pPr>
        <w:ind w:right="140" w:firstLine="443"/>
        <w:spacing w:after="0" w:line="282" w:lineRule="auto"/>
        <w:tabs>
          <w:tab w:leader="none" w:pos="65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unsecured Indebtedness (including unsecured Subordinated Indebtedness), in addition to the Indebtedness listed above, in an aggregate principal amount for the Borrower and all of its Subsidiaries not to exceed $15,000,000 at any time outstanding;</w:t>
      </w:r>
    </w:p>
    <w:p>
      <w:pPr>
        <w:spacing w:after="0" w:line="53" w:lineRule="exact"/>
        <w:rPr>
          <w:rFonts w:ascii="Times New Roman" w:cs="Times New Roman" w:eastAsia="Times New Roman" w:hAnsi="Times New Roman"/>
          <w:sz w:val="18"/>
          <w:szCs w:val="18"/>
          <w:color w:val="auto"/>
        </w:rPr>
      </w:pPr>
    </w:p>
    <w:p>
      <w:pPr>
        <w:ind w:right="100" w:firstLine="443"/>
        <w:spacing w:after="0" w:line="261" w:lineRule="auto"/>
        <w:tabs>
          <w:tab w:leader="none" w:pos="69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ABL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that the amount of ABL Indebtedness under clause (a) of the definition thereof shall not to exceed, at any one time outstanding, the greater of (i) $160,000,000 and (ii) the sum of (A) 85% of the book value of accounts receivable of the Borrower and its Subsidiaries and (B) 65% of the book value of inventory of the Borrower and its Subsidiaries (it being agreed and acknowledged that such limitation shall not apply to clauses (b) and (c) under the definition of ABL Indebtedness);</w:t>
      </w:r>
    </w:p>
    <w:p>
      <w:pPr>
        <w:spacing w:after="0" w:line="71" w:lineRule="exact"/>
        <w:rPr>
          <w:rFonts w:ascii="Times New Roman" w:cs="Times New Roman" w:eastAsia="Times New Roman" w:hAnsi="Times New Roman"/>
          <w:sz w:val="18"/>
          <w:szCs w:val="18"/>
          <w:color w:val="auto"/>
        </w:rPr>
      </w:pPr>
    </w:p>
    <w:p>
      <w:pPr>
        <w:ind w:right="20" w:firstLine="443"/>
        <w:spacing w:after="0" w:line="261" w:lineRule="auto"/>
        <w:tabs>
          <w:tab w:leader="none" w:pos="65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of the Borrower after the date hereof pursuant to an Acquisition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existing at the time such Person becomes a Subsidiary of the Borrower (other than Indebtedness incurred solely in contemplation of such Person’s becoming a Subsidiary of the Borrower) and (ii) the aggregate principal amount of such Indebtedness shall not exceed $10,000,000 at any time;</w:t>
      </w:r>
    </w:p>
    <w:p>
      <w:pPr>
        <w:spacing w:after="0" w:line="71" w:lineRule="exact"/>
        <w:rPr>
          <w:rFonts w:ascii="Times New Roman" w:cs="Times New Roman" w:eastAsia="Times New Roman" w:hAnsi="Times New Roman"/>
          <w:sz w:val="18"/>
          <w:szCs w:val="18"/>
          <w:color w:val="auto"/>
        </w:rPr>
      </w:pPr>
    </w:p>
    <w:p>
      <w:pPr>
        <w:ind w:right="280" w:firstLine="443"/>
        <w:spacing w:after="0" w:line="266" w:lineRule="auto"/>
        <w:tabs>
          <w:tab w:leader="none" w:pos="7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secured Indebtedness in an aggregate principal amount for the Borrower and all of its Subsidiaries not to exceed $10,000,000 at any time outstanding, so long as (i) no Default shall exist prior to or after giving effect thereto and (ii)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thereto (and to any Indebtedness incurred in connection therewith), the Borrower and its Subsidiaries shall be in compliance with the Pro Forma Leverage Test; and</w:t>
      </w:r>
    </w:p>
    <w:p>
      <w:pPr>
        <w:spacing w:after="0" w:line="68"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 (iii) landlords, licensors, licensees and other parties pursuant to agreements entered into in the ordinary course of business by the Borrower or any of its Subsidiaries, and (iv) other Persons under agreements relating to Acquisitions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foregoing is only permitted to the extent that such indemnity obligation is not incurred in connection with the borrowing of money or the extension of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Investments and Acquisitions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37"/>
        <w:spacing w:after="0"/>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hold any Investments (other than Investments pursuant to the Merger), except:</w:t>
      </w:r>
    </w:p>
    <w:p>
      <w:pPr>
        <w:spacing w:after="0" w:line="117" w:lineRule="exact"/>
        <w:rPr>
          <w:rFonts w:ascii="Times New Roman" w:cs="Times New Roman" w:eastAsia="Times New Roman" w:hAnsi="Times New Roman"/>
          <w:sz w:val="18"/>
          <w:szCs w:val="18"/>
          <w:color w:val="auto"/>
        </w:rPr>
      </w:pPr>
    </w:p>
    <w:p>
      <w:pPr>
        <w:ind w:left="460" w:right="760" w:firstLine="421"/>
        <w:spacing w:after="0" w:line="282" w:lineRule="auto"/>
        <w:tabs>
          <w:tab w:leader="none" w:pos="109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endorsement of a check or other medium of payment for deposit or collection through normal banking channels or similar transaction in the normal course of business;</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40"/>
          </w:cols>
          <w:pgMar w:left="700" w:top="270" w:right="259" w:bottom="1440" w:gutter="0" w:footer="0" w:header="0"/>
        </w:sectPr>
      </w:pPr>
    </w:p>
    <w:bookmarkStart w:id="120" w:name="page121"/>
    <w:bookmarkEnd w:id="120"/>
    <w:p>
      <w:pPr>
        <w:ind w:left="-280" w:right="140" w:firstLine="421"/>
        <w:spacing w:after="0" w:line="266" w:lineRule="auto"/>
        <w:tabs>
          <w:tab w:leader="none" w:pos="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investment in (A) direct obligations of the United States or in certificates of deposit issued by a member bank (having capital resources in excess of $100,000,000) of the Federal Reserve System or (B) commercial paper or securities that at the time of such investment is assigned the highest quality rating in accordance with the rating systems employed by either Moody’s or S&amp;P;</w:t>
      </w:r>
    </w:p>
    <w:p>
      <w:pPr>
        <w:spacing w:after="0" w:line="68" w:lineRule="exact"/>
        <w:rPr>
          <w:rFonts w:ascii="Times New Roman" w:cs="Times New Roman" w:eastAsia="Times New Roman" w:hAnsi="Times New Roman"/>
          <w:sz w:val="18"/>
          <w:szCs w:val="18"/>
          <w:color w:val="auto"/>
        </w:rPr>
      </w:pPr>
    </w:p>
    <w:p>
      <w:pPr>
        <w:jc w:val="both"/>
        <w:ind w:left="-280" w:firstLine="421"/>
        <w:spacing w:after="0" w:line="266" w:lineRule="auto"/>
        <w:tabs>
          <w:tab w:leader="none" w:pos="4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holding of each of the Subsidiaries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280" w:right="120" w:firstLine="421"/>
        <w:spacing w:after="0" w:line="266" w:lineRule="auto"/>
        <w:tabs>
          <w:tab w:leader="none" w:pos="4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Permitted Foreign Subsidiary and other Loans and Investments, so long as (A) no Default shall exist prior to or after giving effect thereto and (B)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such investments or loans (and to any Indebtedness incurred in connection therewith), the Borrower and its Subsidiaries shall be in compliance with the Pro Forma Leverage Test;</w:t>
      </w:r>
    </w:p>
    <w:p>
      <w:pPr>
        <w:spacing w:after="0" w:line="68" w:lineRule="exact"/>
        <w:rPr>
          <w:rFonts w:ascii="Times New Roman" w:cs="Times New Roman" w:eastAsia="Times New Roman" w:hAnsi="Times New Roman"/>
          <w:sz w:val="18"/>
          <w:szCs w:val="18"/>
          <w:color w:val="auto"/>
        </w:rPr>
      </w:pPr>
    </w:p>
    <w:p>
      <w:pPr>
        <w:ind w:left="400" w:hanging="259"/>
        <w:spacing w:after="0"/>
        <w:tabs>
          <w:tab w:leader="none" w:pos="4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investments in, and Guarantees of Indebtedness of, the Borrower or any other Loan Party from or by another Loan Party;</w:t>
      </w:r>
    </w:p>
    <w:p>
      <w:pPr>
        <w:spacing w:after="0" w:line="117" w:lineRule="exact"/>
        <w:rPr>
          <w:rFonts w:ascii="Times New Roman" w:cs="Times New Roman" w:eastAsia="Times New Roman" w:hAnsi="Times New Roman"/>
          <w:sz w:val="18"/>
          <w:szCs w:val="18"/>
          <w:color w:val="auto"/>
        </w:rPr>
      </w:pPr>
    </w:p>
    <w:p>
      <w:pPr>
        <w:ind w:left="440" w:hanging="299"/>
        <w:spacing w:after="0"/>
        <w:tabs>
          <w:tab w:leader="none" w:pos="4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investments in, and Guarantees of Indebtedness of, a Foreign Subsidiary from or by a another Foreign Subsidiary;</w:t>
      </w:r>
    </w:p>
    <w:p>
      <w:pPr>
        <w:spacing w:after="0" w:line="117" w:lineRule="exact"/>
        <w:rPr>
          <w:rFonts w:ascii="Times New Roman" w:cs="Times New Roman" w:eastAsia="Times New Roman" w:hAnsi="Times New Roman"/>
          <w:sz w:val="18"/>
          <w:szCs w:val="18"/>
          <w:color w:val="auto"/>
        </w:rPr>
      </w:pPr>
    </w:p>
    <w:p>
      <w:pPr>
        <w:ind w:left="-280" w:right="20" w:firstLine="421"/>
        <w:spacing w:after="0" w:line="266" w:lineRule="auto"/>
        <w:tabs>
          <w:tab w:leader="none" w:pos="4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68" w:lineRule="exact"/>
        <w:rPr>
          <w:rFonts w:ascii="Times New Roman" w:cs="Times New Roman" w:eastAsia="Times New Roman" w:hAnsi="Times New Roman"/>
          <w:sz w:val="18"/>
          <w:szCs w:val="18"/>
          <w:color w:val="auto"/>
        </w:rPr>
      </w:pPr>
    </w:p>
    <w:p>
      <w:pPr>
        <w:ind w:left="540" w:hanging="399"/>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holding of any Equity Interests that has been acquired pursuant to an Acquisition permitted by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ind w:left="-280" w:right="20" w:firstLine="421"/>
        <w:spacing w:after="0" w:line="266" w:lineRule="auto"/>
        <w:tabs>
          <w:tab w:leader="none" w:pos="4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Subsidiary for the purpose of making an Acquisition permitted by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 or the holding of any Subsidiary as a result of an Acquisition made pursuant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 so long as, in each case, if required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hereof, such Subsidiary becomes a Guarantor promptly following such Acquisition;</w:t>
      </w:r>
    </w:p>
    <w:p>
      <w:pPr>
        <w:spacing w:after="0" w:line="68" w:lineRule="exact"/>
        <w:rPr>
          <w:rFonts w:ascii="Times New Roman" w:cs="Times New Roman" w:eastAsia="Times New Roman" w:hAnsi="Times New Roman"/>
          <w:sz w:val="18"/>
          <w:szCs w:val="18"/>
          <w:color w:val="auto"/>
        </w:rPr>
      </w:pPr>
    </w:p>
    <w:p>
      <w:pPr>
        <w:ind w:left="-280" w:firstLine="421"/>
        <w:spacing w:after="0" w:line="282" w:lineRule="auto"/>
        <w:tabs>
          <w:tab w:leader="none" w:pos="3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Investments existing on the Closing Date, in addition to the other Investments permitted to be incurred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200"/>
          </w:cols>
          <w:pgMar w:left="1440" w:top="270" w:right="259" w:bottom="1440" w:gutter="0" w:footer="0" w:header="0"/>
        </w:sectPr>
      </w:pPr>
    </w:p>
    <w:bookmarkStart w:id="121" w:name="page122"/>
    <w:bookmarkEnd w:id="121"/>
    <w:p>
      <w:pPr>
        <w:ind w:left="920" w:firstLine="421"/>
        <w:spacing w:after="0" w:line="266" w:lineRule="auto"/>
        <w:tabs>
          <w:tab w:leader="none" w:pos="16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68"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40" w:hanging="399"/>
        <w:spacing w:after="0"/>
        <w:tabs>
          <w:tab w:leader="none" w:pos="17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20" w:right="100" w:firstLine="421"/>
        <w:spacing w:after="0" w:line="256" w:lineRule="auto"/>
        <w:tabs>
          <w:tab w:leader="none" w:pos="17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make Investments not otherwise permitted by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so long as (A) no Default has occurred and is continuing or would result therefrom, (B) after giving effect thereto the aggregate amount of all Investments made pursuant to this clause (a)(xiv) and Restricted Payments made pursuant to </w:t>
      </w:r>
      <w:r>
        <w:rPr>
          <w:rFonts w:ascii="Times New Roman" w:cs="Times New Roman" w:eastAsia="Times New Roman" w:hAnsi="Times New Roman"/>
          <w:sz w:val="18"/>
          <w:szCs w:val="18"/>
          <w:u w:val="single" w:color="auto"/>
          <w:color w:val="auto"/>
        </w:rPr>
        <w:t>Section 7.06(d)</w:t>
      </w:r>
      <w:r>
        <w:rPr>
          <w:rFonts w:ascii="Times New Roman" w:cs="Times New Roman" w:eastAsia="Times New Roman" w:hAnsi="Times New Roman"/>
          <w:sz w:val="18"/>
          <w:szCs w:val="18"/>
          <w:color w:val="auto"/>
        </w:rPr>
        <w:t xml:space="preserve">, shall not exceed sum of (1) $15,000,000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the Cumulative Retained Excess Cash Flow Amount, (C) the Administrative Agent shall have received the certificate required by </w:t>
      </w:r>
      <w:r>
        <w:rPr>
          <w:rFonts w:ascii="Times New Roman" w:cs="Times New Roman" w:eastAsia="Times New Roman" w:hAnsi="Times New Roman"/>
          <w:sz w:val="18"/>
          <w:szCs w:val="18"/>
          <w:u w:val="single" w:color="auto"/>
          <w:color w:val="auto"/>
        </w:rPr>
        <w:t>Section 6.02(n)</w:t>
      </w:r>
      <w:r>
        <w:rPr>
          <w:rFonts w:ascii="Times New Roman" w:cs="Times New Roman" w:eastAsia="Times New Roman" w:hAnsi="Times New Roman"/>
          <w:sz w:val="18"/>
          <w:szCs w:val="18"/>
          <w:color w:val="auto"/>
        </w:rPr>
        <w:t xml:space="preserve"> and (D)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such Investment (and to any Indebtedness incurred in connection therewith), the Borrower and its Subsidiaries shall be in compliance with the Pro Forma Leverage Test; and</w:t>
      </w:r>
    </w:p>
    <w:p>
      <w:pPr>
        <w:spacing w:after="0" w:line="79" w:lineRule="exact"/>
        <w:rPr>
          <w:rFonts w:ascii="Times New Roman" w:cs="Times New Roman" w:eastAsia="Times New Roman" w:hAnsi="Times New Roman"/>
          <w:sz w:val="18"/>
          <w:szCs w:val="18"/>
          <w:color w:val="auto"/>
        </w:rPr>
      </w:pPr>
    </w:p>
    <w:p>
      <w:pPr>
        <w:ind w:left="920" w:right="380" w:firstLine="421"/>
        <w:spacing w:after="0" w:line="261" w:lineRule="auto"/>
        <w:tabs>
          <w:tab w:leader="none" w:pos="1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18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the amount of any Investment in Equity Interests shall be based upon the initial amount invested and shall not include any appreciation in value or return on such investment.</w:t>
      </w:r>
    </w:p>
    <w:p>
      <w:pPr>
        <w:spacing w:after="0" w:line="54" w:lineRule="exact"/>
        <w:rPr>
          <w:sz w:val="20"/>
          <w:szCs w:val="20"/>
          <w:color w:val="auto"/>
        </w:rPr>
      </w:pPr>
    </w:p>
    <w:p>
      <w:pPr>
        <w:ind w:left="460" w:firstLine="443"/>
        <w:spacing w:after="0" w:line="266" w:lineRule="auto"/>
        <w:tabs>
          <w:tab w:leader="none" w:pos="11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an Acquisition (other than the Merger or any Acquisition permitted under </w:t>
      </w:r>
      <w:r>
        <w:rPr>
          <w:rFonts w:ascii="Times New Roman" w:cs="Times New Roman" w:eastAsia="Times New Roman" w:hAnsi="Times New Roman"/>
          <w:sz w:val="18"/>
          <w:szCs w:val="18"/>
          <w:u w:val="single" w:color="auto"/>
          <w:color w:val="auto"/>
        </w:rPr>
        <w:t>Sections 7.04(a)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Default shall exist prior to or after giving pro forma effect thereto (and any Indebtedness incurred in connection therewith), the Borrower and its Subsidiaries may make an Acquisition so long as:</w:t>
      </w:r>
    </w:p>
    <w:p>
      <w:pPr>
        <w:spacing w:after="0" w:line="68"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amalgamation or other combination including the Borrower, the Borrower shall be the surviving entity;</w:t>
      </w:r>
    </w:p>
    <w:p>
      <w:pPr>
        <w:spacing w:after="0" w:line="117" w:lineRule="exact"/>
        <w:rPr>
          <w:rFonts w:ascii="Times New Roman" w:cs="Times New Roman" w:eastAsia="Times New Roman" w:hAnsi="Times New Roman"/>
          <w:sz w:val="18"/>
          <w:szCs w:val="18"/>
          <w:color w:val="auto"/>
        </w:rPr>
      </w:pPr>
    </w:p>
    <w:p>
      <w:pPr>
        <w:ind w:left="920" w:firstLine="421"/>
        <w:spacing w:after="0" w:line="282" w:lineRule="auto"/>
        <w:tabs>
          <w:tab w:leader="none" w:pos="1605"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amalgamation or other combination including a Loan Party (other than the Borrower), a Loan Party shall be the surviving entity;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240" w:top="270" w:right="319" w:bottom="1440" w:gutter="0" w:footer="0" w:header="0"/>
        </w:sectPr>
      </w:pPr>
    </w:p>
    <w:bookmarkStart w:id="122" w:name="page123"/>
    <w:bookmarkEnd w:id="122"/>
    <w:p>
      <w:pPr>
        <w:ind w:left="920" w:right="280" w:firstLine="421"/>
        <w:spacing w:after="0" w:line="282" w:lineRule="auto"/>
        <w:tabs>
          <w:tab w:leader="none" w:pos="165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business to be acquired shall be similar to the lines of business of the Borrower and its Subsidiaries or reasonably related and/or complementary or ancillary to such lines of business and reasonable extensions and expansions thereof;</w:t>
      </w:r>
    </w:p>
    <w:p>
      <w:pPr>
        <w:spacing w:after="0" w:line="53"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shall be in full compliance with the Loan Documents both prior to and subsequent to the transaction;</w:t>
      </w:r>
    </w:p>
    <w:p>
      <w:pPr>
        <w:spacing w:after="0" w:line="117" w:lineRule="exact"/>
        <w:rPr>
          <w:rFonts w:ascii="Times New Roman" w:cs="Times New Roman" w:eastAsia="Times New Roman" w:hAnsi="Times New Roman"/>
          <w:sz w:val="18"/>
          <w:szCs w:val="18"/>
          <w:color w:val="auto"/>
        </w:rPr>
      </w:pPr>
    </w:p>
    <w:p>
      <w:pPr>
        <w:ind w:left="920" w:right="560" w:firstLine="421"/>
        <w:spacing w:after="0" w:line="282" w:lineRule="auto"/>
        <w:tabs>
          <w:tab w:leader="none" w:pos="159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not be actively opposed by the board of directors (or similar governing body) of the selling Persons or the Persons whose equity interests are to be acquired;</w:t>
      </w:r>
    </w:p>
    <w:p>
      <w:pPr>
        <w:spacing w:after="0" w:line="53" w:lineRule="exact"/>
        <w:rPr>
          <w:rFonts w:ascii="Times New Roman" w:cs="Times New Roman" w:eastAsia="Times New Roman" w:hAnsi="Times New Roman"/>
          <w:sz w:val="18"/>
          <w:szCs w:val="18"/>
          <w:color w:val="auto"/>
        </w:rPr>
      </w:pPr>
    </w:p>
    <w:p>
      <w:pPr>
        <w:ind w:left="920" w:right="40" w:firstLine="421"/>
        <w:spacing w:after="0" w:line="272" w:lineRule="auto"/>
        <w:tabs>
          <w:tab w:leader="none" w:pos="1645"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Consideration for all Acquisitions by Foreign Subsidiaries, Acquisitions of Persons or Equity Interests of Persons that do not become Loan Parties (including by way of merger into a Loan Party) and Acquisitions of assets that are not included in the Collateral, shall not exceed $75,000,000 during the term of this Agreement and after giving </w:t>
      </w:r>
      <w:r>
        <w:rPr>
          <w:rFonts w:ascii="Times New Roman" w:cs="Times New Roman" w:eastAsia="Times New Roman" w:hAnsi="Times New Roman"/>
          <w:sz w:val="17"/>
          <w:szCs w:val="17"/>
          <w:u w:val="single" w:color="auto"/>
          <w:color w:val="auto"/>
        </w:rPr>
        <w:t>pro forma</w:t>
      </w:r>
      <w:r>
        <w:rPr>
          <w:rFonts w:ascii="Times New Roman" w:cs="Times New Roman" w:eastAsia="Times New Roman" w:hAnsi="Times New Roman"/>
          <w:sz w:val="17"/>
          <w:szCs w:val="17"/>
          <w:color w:val="auto"/>
        </w:rPr>
        <w:t xml:space="preserve"> effect to each such Acquisition described in this clause</w:t>
      </w:r>
    </w:p>
    <w:p>
      <w:pPr>
        <w:spacing w:after="0" w:line="1" w:lineRule="exact"/>
        <w:rPr>
          <w:rFonts w:ascii="Times New Roman" w:cs="Times New Roman" w:eastAsia="Times New Roman" w:hAnsi="Times New Roman"/>
          <w:sz w:val="17"/>
          <w:szCs w:val="17"/>
          <w:color w:val="auto"/>
        </w:rPr>
      </w:pPr>
    </w:p>
    <w:p>
      <w:pPr>
        <w:ind w:left="920" w:right="220" w:firstLine="1"/>
        <w:spacing w:after="0" w:line="261" w:lineRule="auto"/>
        <w:tabs>
          <w:tab w:leader="none" w:pos="12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 any Indebtedness incurred, assumed or acquired in connection therewith), the Borrower and its Subsidiaries shall be in compliance with the Pro Forma Leverage Test; and</w:t>
      </w:r>
    </w:p>
    <w:p>
      <w:pPr>
        <w:spacing w:after="0" w:line="71" w:lineRule="exact"/>
        <w:rPr>
          <w:rFonts w:ascii="Times New Roman" w:cs="Times New Roman" w:eastAsia="Times New Roman" w:hAnsi="Times New Roman"/>
          <w:sz w:val="18"/>
          <w:szCs w:val="18"/>
          <w:color w:val="auto"/>
        </w:rPr>
      </w:pPr>
    </w:p>
    <w:p>
      <w:pPr>
        <w:ind w:left="920" w:right="340" w:firstLine="421"/>
        <w:spacing w:after="0" w:line="261" w:lineRule="auto"/>
        <w:tabs>
          <w:tab w:leader="none" w:pos="169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aggregate Consideration for such Acquisition is equal to or greater than $5,000,000, the Borrower shall have provided to the Administrative Agent and the Lenders, at least ten (10) days prior to such Acquisition, a certificate of a Financial Officer of the Borrower showing that, both before and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such Acquisition (and to any Indebtedness incurred, assumed or acquired in connection therewith), the Borrower and its Subsidiaries shall be in compliance with the Pro Forma Leverage Test.</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Dissolve, liquidate, merge, amalgamate or consolidate with or into any other Person (other than the merger of Merger Sub into the Company pursuant to the Merger), except that, if no Default shall then exist or immediately thereafter shall begin to exist:</w:t>
      </w:r>
    </w:p>
    <w:p>
      <w:pPr>
        <w:spacing w:after="0" w:line="54" w:lineRule="exact"/>
        <w:rPr>
          <w:sz w:val="20"/>
          <w:szCs w:val="20"/>
          <w:color w:val="auto"/>
        </w:rPr>
      </w:pPr>
    </w:p>
    <w:p>
      <w:pPr>
        <w:ind w:left="460" w:right="740" w:firstLine="443"/>
        <w:spacing w:after="0" w:line="313" w:lineRule="auto"/>
        <w:tabs>
          <w:tab w:leader="none" w:pos="1143"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may merge, amalgamate or consolidate with or into (i) the Borrower (provided that the Borrower shall be the continuing or surviving Person), or (ii) any one or more Guarantors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Guarantor shall be the continuing or surviving Person);</w:t>
      </w:r>
    </w:p>
    <w:p>
      <w:pPr>
        <w:spacing w:after="0" w:line="30" w:lineRule="exact"/>
        <w:rPr>
          <w:rFonts w:ascii="Times New Roman" w:cs="Times New Roman" w:eastAsia="Times New Roman" w:hAnsi="Times New Roman"/>
          <w:sz w:val="17"/>
          <w:szCs w:val="17"/>
          <w:color w:val="auto"/>
        </w:rPr>
      </w:pPr>
    </w:p>
    <w:p>
      <w:pPr>
        <w:ind w:left="460" w:right="260" w:firstLine="443"/>
        <w:spacing w:after="0" w:line="282" w:lineRule="auto"/>
        <w:tabs>
          <w:tab w:leader="none" w:pos="115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(other than a Loan Party) may merge, amalgamate or consolidate with or into any other Domestic Subsidiary (other than a Loan Party);</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may merge, amalgamate or consolidate with or into another Foreign Subsidiary or the Borrower or a Guarantor</w:t>
      </w:r>
    </w:p>
    <w:p>
      <w:pPr>
        <w:spacing w:after="0" w:line="27"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merger, amalgamation or consolidation involving the Borrower or a Guarantor, the Borrower or Guarantor shall be the continuing or surviving Person);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270" w:right="259" w:bottom="1440" w:gutter="0" w:footer="0" w:header="0"/>
        </w:sectPr>
      </w:pPr>
    </w:p>
    <w:bookmarkStart w:id="123" w:name="page124"/>
    <w:bookmarkEnd w:id="123"/>
    <w:p>
      <w:pPr>
        <w:ind w:left="460" w:right="240" w:firstLine="443"/>
        <w:spacing w:after="0" w:line="266" w:lineRule="auto"/>
        <w:tabs>
          <w:tab w:leader="none" w:pos="11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w:t>
      </w:r>
    </w:p>
    <w:p>
      <w:pPr>
        <w:spacing w:after="0" w:line="68"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may be effected in accordance with the provisions of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or enter into any agreement to make any Disposition, other than in the ordinary course of business, except that, if no Default shall then exist or immediately thereafter shall begin to exist:</w:t>
      </w:r>
    </w:p>
    <w:p>
      <w:pPr>
        <w:spacing w:after="0" w:line="54" w:lineRule="exact"/>
        <w:rPr>
          <w:sz w:val="20"/>
          <w:szCs w:val="20"/>
          <w:color w:val="auto"/>
        </w:rPr>
      </w:pPr>
    </w:p>
    <w:p>
      <w:pPr>
        <w:ind w:left="1140" w:hanging="237"/>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Party may sell, lease, transfer or otherwise dispose of any of its assets to any other Loan Party;</w:t>
      </w:r>
    </w:p>
    <w:p>
      <w:pPr>
        <w:spacing w:after="0" w:line="117" w:lineRule="exact"/>
        <w:rPr>
          <w:rFonts w:ascii="Times New Roman" w:cs="Times New Roman" w:eastAsia="Times New Roman" w:hAnsi="Times New Roman"/>
          <w:sz w:val="18"/>
          <w:szCs w:val="18"/>
          <w:color w:val="auto"/>
        </w:rPr>
      </w:pPr>
    </w:p>
    <w:p>
      <w:pPr>
        <w:ind w:left="460" w:right="120" w:firstLine="443"/>
        <w:spacing w:after="0" w:line="282" w:lineRule="auto"/>
        <w:tabs>
          <w:tab w:leader="none" w:pos="115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Dispose of any assets, so long as the aggregate amount of all such Dispositions, for the Borrower and its Subsidiaries, shall not exceed $10,000,000 per fiscal year of the Borrower;</w:t>
      </w:r>
    </w:p>
    <w:p>
      <w:pPr>
        <w:spacing w:after="0" w:line="53" w:lineRule="exact"/>
        <w:rPr>
          <w:rFonts w:ascii="Times New Roman" w:cs="Times New Roman" w:eastAsia="Times New Roman" w:hAnsi="Times New Roman"/>
          <w:sz w:val="18"/>
          <w:szCs w:val="18"/>
          <w:color w:val="auto"/>
        </w:rPr>
      </w:pPr>
    </w:p>
    <w:p>
      <w:pPr>
        <w:ind w:left="460" w:firstLine="443"/>
        <w:spacing w:after="0" w:line="266" w:lineRule="auto"/>
        <w:tabs>
          <w:tab w:leader="none" w:pos="114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Domestic Subsidiary (other than a Loan Party) may Dispose of any of its assets to the Borrower or any other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Disposition to a Loan Party such Disposition shall not be for more than the fair market value of the assets which are the subject of such Disposition;</w:t>
      </w:r>
    </w:p>
    <w:p>
      <w:pPr>
        <w:spacing w:after="0" w:line="68"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5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Foreign Subsidiary may Dispose of any of its assets to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Disposition shall not be for more than the fair market value of the assets which are the subject of such Disposition;</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firstLine="443"/>
        <w:spacing w:after="0" w:line="266" w:lineRule="auto"/>
        <w:tabs>
          <w:tab w:leader="none" w:pos="11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sell, transfer or otherwise dispose of fixed assets in the ordinary course of business for the purpose of replacing such fixed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fixed assets are replaced within one hundred eighty (180) days of such sale or other disposition with other fixed assets which have a fair market value not materially less than the fair market value of the fixed assets sold or otherwise disposed;</w:t>
      </w:r>
    </w:p>
    <w:p>
      <w:pPr>
        <w:spacing w:after="0" w:line="6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may Dispose of any of its assets to any other Foreign Subsidiary; and</w:t>
      </w:r>
    </w:p>
    <w:p>
      <w:pPr>
        <w:spacing w:after="0" w:line="117" w:lineRule="exact"/>
        <w:rPr>
          <w:rFonts w:ascii="Times New Roman" w:cs="Times New Roman" w:eastAsia="Times New Roman" w:hAnsi="Times New Roman"/>
          <w:sz w:val="18"/>
          <w:szCs w:val="18"/>
          <w:color w:val="auto"/>
        </w:rPr>
      </w:pPr>
    </w:p>
    <w:p>
      <w:pPr>
        <w:ind w:left="460" w:right="40" w:firstLine="443"/>
        <w:spacing w:after="0" w:line="266" w:lineRule="auto"/>
        <w:tabs>
          <w:tab w:leader="none" w:pos="115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sell the building located at 207 Mockingbird Lane, Johnson City, Tennessee to Washington County, Tennessee;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leases such building back from Washington County, Tennessee and the Borrower has the right to repurchase such building back from Washington County, Tennessee.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270" w:right="279"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Make or commit itself to make any Restricted Payment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ind w:left="460" w:right="160" w:firstLine="443"/>
        <w:spacing w:after="0" w:line="266" w:lineRule="auto"/>
        <w:tabs>
          <w:tab w:leader="none" w:pos="114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68" w:lineRule="exact"/>
        <w:rPr>
          <w:rFonts w:ascii="Times New Roman" w:cs="Times New Roman" w:eastAsia="Times New Roman" w:hAnsi="Times New Roman"/>
          <w:sz w:val="18"/>
          <w:szCs w:val="18"/>
          <w:color w:val="auto"/>
        </w:rPr>
      </w:pPr>
    </w:p>
    <w:p>
      <w:pPr>
        <w:jc w:val="both"/>
        <w:ind w:left="460" w:right="460" w:firstLine="443"/>
        <w:spacing w:after="0" w:line="266" w:lineRule="auto"/>
        <w:tabs>
          <w:tab w:leader="none" w:pos="115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has occurred and is continuing or would result therefrom, the Borrower and its Subsidiaries may make payment of current interest, expenses and indemnities in respect of Subordinated Indebtedness (other than any such payments prohibited by the subordination provisions applicable thereto);</w:t>
      </w:r>
    </w:p>
    <w:p>
      <w:pPr>
        <w:spacing w:after="0" w:line="68"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4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make Restricted Payments with the proceeds received from the substantially concurrent issue of new common Equity Interests; and</w:t>
      </w:r>
    </w:p>
    <w:p>
      <w:pPr>
        <w:spacing w:after="0" w:line="53" w:lineRule="exact"/>
        <w:rPr>
          <w:rFonts w:ascii="Times New Roman" w:cs="Times New Roman" w:eastAsia="Times New Roman" w:hAnsi="Times New Roman"/>
          <w:sz w:val="18"/>
          <w:szCs w:val="18"/>
          <w:color w:val="auto"/>
        </w:rPr>
      </w:pPr>
    </w:p>
    <w:p>
      <w:pPr>
        <w:ind w:left="460" w:right="20" w:firstLine="443"/>
        <w:spacing w:after="0" w:line="256" w:lineRule="auto"/>
        <w:tabs>
          <w:tab w:leader="none" w:pos="115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make Restricted Payments not otherwise permitted by this Section, so long as (i) no Default has occurred and is continuing or would result therefrom, (ii) after giving effect thereto the aggregate amount of all Restricted Payments made pursuant to this clause (d) and Investments made pursuant to </w:t>
      </w:r>
      <w:r>
        <w:rPr>
          <w:rFonts w:ascii="Times New Roman" w:cs="Times New Roman" w:eastAsia="Times New Roman" w:hAnsi="Times New Roman"/>
          <w:sz w:val="18"/>
          <w:szCs w:val="18"/>
          <w:u w:val="single" w:color="auto"/>
          <w:color w:val="auto"/>
        </w:rPr>
        <w:t>Section7.03(a)(xiv)</w:t>
      </w:r>
      <w:r>
        <w:rPr>
          <w:rFonts w:ascii="Times New Roman" w:cs="Times New Roman" w:eastAsia="Times New Roman" w:hAnsi="Times New Roman"/>
          <w:sz w:val="18"/>
          <w:szCs w:val="18"/>
          <w:color w:val="auto"/>
        </w:rPr>
        <w:t xml:space="preserve">, shall not exceed sum of (1) $15,000,000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the Cumulative Retained Excess Cash Flow Amount, (iii) the Administrative Agent shall have received the certificate required by </w:t>
      </w:r>
      <w:r>
        <w:rPr>
          <w:rFonts w:ascii="Times New Roman" w:cs="Times New Roman" w:eastAsia="Times New Roman" w:hAnsi="Times New Roman"/>
          <w:sz w:val="18"/>
          <w:szCs w:val="18"/>
          <w:u w:val="single" w:color="auto"/>
          <w:color w:val="auto"/>
        </w:rPr>
        <w:t>Section 6.02(n)</w:t>
      </w:r>
      <w:r>
        <w:rPr>
          <w:rFonts w:ascii="Times New Roman" w:cs="Times New Roman" w:eastAsia="Times New Roman" w:hAnsi="Times New Roman"/>
          <w:sz w:val="18"/>
          <w:szCs w:val="18"/>
          <w:color w:val="auto"/>
        </w:rPr>
        <w:t xml:space="preserve"> and (iv)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such Restricted Payment (and to any Indebtedness incurred in connection therewith), the Borrower and its Subsidiaries shall be in compliance with the Pro Forma Leverage Test;</w:t>
      </w:r>
    </w:p>
    <w:p>
      <w:pPr>
        <w:spacing w:after="0" w:line="79" w:lineRule="exact"/>
        <w:rPr>
          <w:rFonts w:ascii="Times New Roman" w:cs="Times New Roman" w:eastAsia="Times New Roman" w:hAnsi="Times New Roman"/>
          <w:sz w:val="18"/>
          <w:szCs w:val="18"/>
          <w:color w:val="auto"/>
        </w:rPr>
      </w:pPr>
    </w:p>
    <w:p>
      <w:pPr>
        <w:ind w:left="460" w:right="100" w:firstLine="443"/>
        <w:spacing w:after="0" w:line="261" w:lineRule="auto"/>
        <w:tabs>
          <w:tab w:leader="none" w:pos="114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Capital Distributions, consistent with its past practice, in the form of dividends to shareholders of Equity Interests in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all such Capital Distributions shall not exceed $8,000,000 per fiscal year of the Borrower;</w:t>
      </w:r>
    </w:p>
    <w:p>
      <w:pPr>
        <w:ind w:left="460" w:right="80" w:firstLine="4"/>
        <w:spacing w:after="0" w:line="255" w:lineRule="auto"/>
        <w:tabs>
          <w:tab w:leader="none" w:pos="72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shall have occurred and be continuing or would result from any such Capital Distribution and (iii) after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any such Capital Distribution (and to any Indebtedness incurred in connection therewith), the Borrower and its Subsidiaries shall be in compliance with the Pro Forma Leverage Test; and</w:t>
      </w:r>
    </w:p>
    <w:p>
      <w:pPr>
        <w:spacing w:after="0" w:line="78" w:lineRule="exact"/>
        <w:rPr>
          <w:rFonts w:ascii="Times New Roman" w:cs="Times New Roman" w:eastAsia="Times New Roman" w:hAnsi="Times New Roman"/>
          <w:sz w:val="18"/>
          <w:szCs w:val="18"/>
          <w:color w:val="auto"/>
        </w:rPr>
      </w:pPr>
    </w:p>
    <w:p>
      <w:pPr>
        <w:ind w:left="460" w:right="540" w:firstLine="443"/>
        <w:spacing w:after="0" w:line="282" w:lineRule="auto"/>
        <w:tabs>
          <w:tab w:leader="none" w:pos="112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has occurred and is continuing or would result therefrom, each of Autocam do Brasil Usinagem, LTDA, Bouverat Industries S.A.S., and Autocam France, SARL may at any time repay its respective Indebtedness set forth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 xml:space="preserve">7.07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270" w:right="239" w:bottom="1440" w:gutter="0" w:footer="0" w:header="0"/>
        </w:sectPr>
      </w:pPr>
    </w:p>
    <w:bookmarkStart w:id="125" w:name="page126"/>
    <w:bookmarkEnd w:id="125"/>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the payment of customary and reasonable directors’ fees to directors who are not employees of the Borrower or any Subsidiary or an Affiliate.</w:t>
      </w:r>
    </w:p>
    <w:p>
      <w:pPr>
        <w:spacing w:after="0" w:line="180"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color w:val="auto"/>
        </w:rPr>
        <w:t xml:space="preserve">7.09 </w:t>
      </w:r>
      <w:r>
        <w:rPr>
          <w:rFonts w:ascii="Times New Roman" w:cs="Times New Roman" w:eastAsia="Times New Roman" w:hAnsi="Times New Roman"/>
          <w:sz w:val="17"/>
          <w:szCs w:val="17"/>
          <w:u w:val="single" w:color="auto"/>
          <w:color w:val="auto"/>
        </w:rPr>
        <w:t>Burdensome Agreements</w:t>
      </w:r>
      <w:r>
        <w:rPr>
          <w:rFonts w:ascii="Times New Roman" w:cs="Times New Roman" w:eastAsia="Times New Roman" w:hAnsi="Times New Roman"/>
          <w:sz w:val="17"/>
          <w:szCs w:val="17"/>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w:t>
      </w:r>
    </w:p>
    <w:p>
      <w:pPr>
        <w:spacing w:after="0" w:line="3" w:lineRule="exact"/>
        <w:rPr>
          <w:sz w:val="20"/>
          <w:szCs w:val="20"/>
          <w:color w:val="auto"/>
        </w:rPr>
      </w:pPr>
    </w:p>
    <w:p>
      <w:pPr>
        <w:ind w:left="280" w:hanging="272"/>
        <w:spacing w:after="0"/>
        <w:tabs>
          <w:tab w:leader="none" w:pos="2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leases or other agreements entered in the ordinary course of business and consistent with past practices or</w:t>
      </w:r>
    </w:p>
    <w:p>
      <w:pPr>
        <w:spacing w:after="0" w:line="9" w:lineRule="exact"/>
        <w:rPr>
          <w:rFonts w:ascii="Times New Roman" w:cs="Times New Roman" w:eastAsia="Times New Roman" w:hAnsi="Times New Roman"/>
          <w:sz w:val="18"/>
          <w:szCs w:val="18"/>
          <w:color w:val="auto"/>
        </w:rPr>
      </w:pPr>
    </w:p>
    <w:p>
      <w:pPr>
        <w:ind w:right="160" w:firstLine="8"/>
        <w:spacing w:after="0" w:line="261" w:lineRule="auto"/>
        <w:tabs>
          <w:tab w:leader="none" w:pos="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in security agreements or mortgages permitted hereunder securing Indebtedness or Capitalized Leases permitted hereunder, of a Subsidiary to the extent such restrictions shall only restrict the transfer of the property subject to such security agreement, mortgage or lease.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Directly or indirectly, and whether immediately, incidentally or ultimately:</w:t>
      </w:r>
    </w:p>
    <w:p>
      <w:pPr>
        <w:spacing w:after="0" w:line="117" w:lineRule="exact"/>
        <w:rPr>
          <w:sz w:val="20"/>
          <w:szCs w:val="20"/>
          <w:color w:val="auto"/>
        </w:rPr>
      </w:pPr>
    </w:p>
    <w:p>
      <w:pPr>
        <w:ind w:left="460" w:firstLine="443"/>
        <w:spacing w:after="0" w:line="282" w:lineRule="auto"/>
        <w:tabs>
          <w:tab w:leader="none" w:pos="114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53" w:lineRule="exact"/>
        <w:rPr>
          <w:rFonts w:ascii="Times New Roman" w:cs="Times New Roman" w:eastAsia="Times New Roman" w:hAnsi="Times New Roman"/>
          <w:sz w:val="18"/>
          <w:szCs w:val="18"/>
          <w:color w:val="auto"/>
        </w:rPr>
      </w:pPr>
    </w:p>
    <w:p>
      <w:pPr>
        <w:jc w:val="both"/>
        <w:ind w:left="460" w:right="40" w:firstLine="443"/>
        <w:spacing w:after="0" w:line="261" w:lineRule="auto"/>
        <w:tabs>
          <w:tab w:leader="none" w:pos="115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or</w:t>
      </w:r>
    </w:p>
    <w:p>
      <w:pPr>
        <w:spacing w:after="0" w:line="71"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for any purpose which would breach any Anti-Corruption Laws.</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Amendments of Organization Documents</w:t>
      </w:r>
      <w:r>
        <w:rPr>
          <w:rFonts w:ascii="Times New Roman" w:cs="Times New Roman" w:eastAsia="Times New Roman" w:hAnsi="Times New Roman"/>
          <w:sz w:val="18"/>
          <w:szCs w:val="18"/>
          <w:color w:val="auto"/>
        </w:rPr>
        <w:t>. Amend its Organization Documents to change its name or state, province or other jurisdiction of organization, or otherwise amend its Organization Documents in any material respect, without the prior written consent of the Administrative Agent which consent shall not be unreasonably withheld.</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Make any change in (a) accounting policies or reporting practices, except as required by GAAP, or (b) fiscal year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20"/>
          </w:cols>
          <w:pgMar w:left="240" w:top="270" w:right="339" w:bottom="1440" w:gutter="0" w:footer="0" w:header="0"/>
        </w:sectPr>
      </w:pPr>
    </w:p>
    <w:bookmarkStart w:id="126" w:name="page127"/>
    <w:bookmarkEnd w:id="126"/>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The Borrower shall not, directly or indirectly, use the proceeds of the credit provided under this Agreement, or lend, contribute or otherwise make available such proceeds to any subsidiary, joint venture partner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117" w:lineRule="exact"/>
        <w:rPr>
          <w:sz w:val="20"/>
          <w:szCs w:val="20"/>
          <w:color w:val="auto"/>
        </w:rPr>
      </w:pPr>
    </w:p>
    <w:p>
      <w:pPr>
        <w:jc w:val="both"/>
        <w:ind w:left="460" w:right="40" w:firstLine="443"/>
        <w:spacing w:after="0" w:line="266" w:lineRule="auto"/>
        <w:tabs>
          <w:tab w:leader="none" w:pos="11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If (a) the interest on any Loan or any Commitment or any other fee or other amount (other than the principal of any Loan) shall not be paid in full when due and payable or within five (5) Business Days thereafter, or (b) the principal of any Loan shall not be paid in full when due and payable;</w:t>
      </w:r>
    </w:p>
    <w:p>
      <w:pPr>
        <w:spacing w:after="0" w:line="68"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Covenants</w:t>
      </w:r>
      <w:r>
        <w:rPr>
          <w:rFonts w:ascii="Times New Roman" w:cs="Times New Roman" w:eastAsia="Times New Roman" w:hAnsi="Times New Roman"/>
          <w:sz w:val="18"/>
          <w:szCs w:val="18"/>
          <w:color w:val="auto"/>
        </w:rPr>
        <w:t xml:space="preserve">. If any Loan Party or Subsidiary thereof shall fail or omit to perform and observe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(other than clause (e) thereof),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or any Section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left="460" w:firstLine="443"/>
        <w:spacing w:after="0" w:line="258" w:lineRule="auto"/>
        <w:tabs>
          <w:tab w:leader="none" w:pos="11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xml:space="preserve">. If any Loan Party or Subsidiary thereof shall fail or omit to perform and observe any agreement or other provision (other than those referred to in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 (i) any Financial Officer of such Loan Party or Subsidiary, as applicable, becomes aware of the occurrence thereof, or (b) the giving of written notice thereof to the Borrower by the Administrative Agent or the Required Lenders that the specified failure or omission is to be remedied;</w:t>
      </w:r>
    </w:p>
    <w:p>
      <w:pPr>
        <w:spacing w:after="0" w:line="75" w:lineRule="exact"/>
        <w:rPr>
          <w:rFonts w:ascii="Times New Roman" w:cs="Times New Roman" w:eastAsia="Times New Roman" w:hAnsi="Times New Roman"/>
          <w:sz w:val="18"/>
          <w:szCs w:val="18"/>
          <w:color w:val="auto"/>
        </w:rPr>
      </w:pPr>
    </w:p>
    <w:p>
      <w:pPr>
        <w:ind w:left="460" w:right="160" w:firstLine="443"/>
        <w:spacing w:after="0" w:line="261" w:lineRule="auto"/>
        <w:tabs>
          <w:tab w:leader="none" w:pos="11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71" w:lineRule="exact"/>
        <w:rPr>
          <w:rFonts w:ascii="Times New Roman" w:cs="Times New Roman" w:eastAsia="Times New Roman" w:hAnsi="Times New Roman"/>
          <w:sz w:val="18"/>
          <w:szCs w:val="18"/>
          <w:color w:val="auto"/>
        </w:rPr>
      </w:pPr>
    </w:p>
    <w:p>
      <w:pPr>
        <w:ind w:left="460" w:right="80" w:firstLine="443"/>
        <w:spacing w:after="0" w:line="258" w:lineRule="auto"/>
        <w:tabs>
          <w:tab w:leader="none" w:pos="11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 Default</w:t>
      </w:r>
      <w:r>
        <w:rPr>
          <w:rFonts w:ascii="Times New Roman" w:cs="Times New Roman" w:eastAsia="Times New Roman" w:hAnsi="Times New Roman"/>
          <w:sz w:val="18"/>
          <w:szCs w:val="18"/>
          <w:color w:val="auto"/>
        </w:rPr>
        <w:t>. If any Loan Party or any Subsidiary shall default in (i) the payment of any amount due and owing with respect to any Material Indebtedness Agreement or the ABL Facility beyond any period of grace provided with respect thereto or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under the ABL Facility or to permit the holder thereof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270" w:right="259" w:bottom="1440" w:gutter="0" w:footer="0" w:header="0"/>
        </w:sectPr>
      </w:pPr>
    </w:p>
    <w:bookmarkStart w:id="127" w:name="page128"/>
    <w:bookmarkEnd w:id="12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cause such Indebtedness to become due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in the case of the ABL Facility, no Event of Default shall be deemed to have occurred under this clause (ii) until the earliest of (1) thirty (30) days after the occurrence of such default, (2) the ABL Indebtedness is accelerated as a result of such default or (3) the ABL Administrative Agent or the ABL Lenders exercise their remedies under the ABL Loan Documents with respect to such default;</w:t>
      </w:r>
    </w:p>
    <w:p>
      <w:pPr>
        <w:spacing w:after="0" w:line="72" w:lineRule="exact"/>
        <w:rPr>
          <w:sz w:val="20"/>
          <w:szCs w:val="20"/>
          <w:color w:val="auto"/>
        </w:rPr>
      </w:pPr>
    </w:p>
    <w:p>
      <w:pPr>
        <w:jc w:val="both"/>
        <w:ind w:firstLine="443"/>
        <w:spacing w:after="0" w:line="261" w:lineRule="auto"/>
        <w:tabs>
          <w:tab w:leader="none" w:pos="66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Default</w:t>
      </w:r>
      <w:r>
        <w:rPr>
          <w:rFonts w:ascii="Times New Roman" w:cs="Times New Roman" w:eastAsia="Times New Roman" w:hAnsi="Times New Roman"/>
          <w:sz w:val="18"/>
          <w:szCs w:val="18"/>
          <w:color w:val="auto"/>
        </w:rPr>
        <w:t xml:space="preserve">. The occurrence of one or more ERISA Events that (a) the Required Lenders determine, either individually or in the aggregate, has or would reasonably be expected to have a Material Adverse Effect, or (b) results in a Lien on any of the assets of any Loan Party or any Subsidiary thereof and such Lien is not released within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adequate reserves have been established in accordance with GAAP with respect to such Lien;</w:t>
      </w:r>
    </w:p>
    <w:p>
      <w:pPr>
        <w:spacing w:after="0" w:line="71"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any Change in Control shall occur;</w:t>
      </w:r>
    </w:p>
    <w:p>
      <w:pPr>
        <w:spacing w:after="0" w:line="117" w:lineRule="exact"/>
        <w:rPr>
          <w:rFonts w:ascii="Times New Roman" w:cs="Times New Roman" w:eastAsia="Times New Roman" w:hAnsi="Times New Roman"/>
          <w:sz w:val="18"/>
          <w:szCs w:val="18"/>
          <w:color w:val="auto"/>
        </w:rPr>
      </w:pPr>
    </w:p>
    <w:p>
      <w:pPr>
        <w:ind w:right="20" w:firstLine="443"/>
        <w:spacing w:after="0" w:line="254" w:lineRule="auto"/>
        <w:tabs>
          <w:tab w:leader="none" w:pos="6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 (30) days after the date on which the right to appeal has expired and the aggregate of all such judgments, for all such Loan Parties or Subsidiaries, shall exceed $7,000,000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10 consecutive days during which a stay of enforcement of such judgment, by reason of a pending appeal or otherwise, is not in effect;</w:t>
      </w:r>
    </w:p>
    <w:p>
      <w:pPr>
        <w:spacing w:after="0" w:line="81"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the Loan Documents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Lien granted in this Agreement or any other Loan Document in favor of the Administrative Agent shall be determined to be</w:t>
      </w:r>
    </w:p>
    <w:p>
      <w:pPr>
        <w:spacing w:after="0" w:line="27" w:lineRule="exact"/>
        <w:rPr>
          <w:rFonts w:ascii="Times New Roman" w:cs="Times New Roman" w:eastAsia="Times New Roman" w:hAnsi="Times New Roman"/>
          <w:sz w:val="18"/>
          <w:szCs w:val="18"/>
          <w:color w:val="auto"/>
        </w:rPr>
      </w:pPr>
    </w:p>
    <w:p>
      <w:pPr>
        <w:ind w:left="460" w:right="180" w:firstLine="1"/>
        <w:spacing w:after="0" w:line="254" w:lineRule="auto"/>
        <w:tabs>
          <w:tab w:leader="none" w:pos="67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void, voidable or invalid, or is subordinated or not otherwise given the priority contemplated by this Agreement and the Intercreditor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77"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validity, binding effect or enforceability of any Loan Document against any Loan Party shall be contested by any Loan Party;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Loan Party shall deny that it has any or further liability or obligation under any</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0"/>
          </w:cols>
          <w:pgMar w:left="700" w:top="270" w:right="239" w:bottom="1440" w:gutter="0" w:footer="0" w:header="0"/>
        </w:sectPr>
      </w:pPr>
    </w:p>
    <w:bookmarkStart w:id="128" w:name="page129"/>
    <w:bookmarkEnd w:id="128"/>
    <w:p>
      <w:pPr>
        <w:ind w:left="460"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54" w:lineRule="exact"/>
        <w:rPr>
          <w:sz w:val="20"/>
          <w:szCs w:val="20"/>
          <w:color w:val="auto"/>
        </w:rPr>
      </w:pPr>
    </w:p>
    <w:p>
      <w:pPr>
        <w:ind w:left="660" w:hanging="217"/>
        <w:spacing w:after="0"/>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and Solvency</w:t>
      </w:r>
      <w:r>
        <w:rPr>
          <w:rFonts w:ascii="Times New Roman" w:cs="Times New Roman" w:eastAsia="Times New Roman" w:hAnsi="Times New Roman"/>
          <w:sz w:val="18"/>
          <w:szCs w:val="18"/>
          <w:color w:val="auto"/>
        </w:rPr>
        <w:t>. If any Loan Party or any Subsidiary thereof (other than an Inactive Subsidiary or Immaterial Subsidiary) shall</w:t>
      </w:r>
    </w:p>
    <w:p>
      <w:pPr>
        <w:spacing w:after="0" w:line="27" w:lineRule="exact"/>
        <w:rPr>
          <w:rFonts w:ascii="Times New Roman" w:cs="Times New Roman" w:eastAsia="Times New Roman" w:hAnsi="Times New Roman"/>
          <w:sz w:val="18"/>
          <w:szCs w:val="18"/>
          <w:color w:val="auto"/>
        </w:rPr>
      </w:pPr>
    </w:p>
    <w:p>
      <w:pPr>
        <w:ind w:firstLine="4"/>
        <w:spacing w:after="0" w:line="251" w:lineRule="auto"/>
        <w:tabs>
          <w:tab w:leader="none" w:pos="2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82" w:lineRule="exact"/>
        <w:rPr>
          <w:rFonts w:ascii="Times New Roman" w:cs="Times New Roman" w:eastAsia="Times New Roman" w:hAnsi="Times New Roman"/>
          <w:sz w:val="18"/>
          <w:szCs w:val="18"/>
          <w:color w:val="auto"/>
        </w:rPr>
      </w:pPr>
    </w:p>
    <w:p>
      <w:pPr>
        <w:ind w:right="100" w:firstLine="443"/>
        <w:spacing w:after="0" w:line="256" w:lineRule="auto"/>
        <w:tabs>
          <w:tab w:leader="none" w:pos="69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 Senior Debt Status</w:t>
      </w:r>
      <w:r>
        <w:rPr>
          <w:rFonts w:ascii="Times New Roman" w:cs="Times New Roman" w:eastAsia="Times New Roman" w:hAnsi="Times New Roman"/>
          <w:sz w:val="18"/>
          <w:szCs w:val="18"/>
          <w:color w:val="auto"/>
        </w:rPr>
        <w:t>. (i) The Intercreditor Agreement shall be invalidated or otherwise cease to constitute the legal, valid and binding obligations of the ABL Administrative Agent, enforceable in accordance with its terms (to the extent that any Indebtedness held by such party remains outstanding) or (ii) the Obligations of each Loan Party under this Agreement and each of the other Loan Documents shall fail to rank at least pari passu in right of payment with the other material senior Indebtedness of the Loan Parties and be designated as “Senior Indebtedness”, “Designated Senior Debt” or such similar term under all instruments and documents relating to all Subordinated Indebtedness and all senior unsecured Indebtedness of such Person.</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60"/>
          </w:cols>
          <w:pgMar w:left="700" w:top="270" w:right="239" w:bottom="1440" w:gutter="0" w:footer="0" w:header="0"/>
        </w:sectPr>
      </w:pPr>
    </w:p>
    <w:bookmarkStart w:id="129" w:name="page130"/>
    <w:bookmarkEnd w:id="129"/>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 may, with the consent of, the Required Lenders, take any or all of the following actions:</w:t>
      </w:r>
    </w:p>
    <w:p>
      <w:pPr>
        <w:spacing w:after="0" w:line="54" w:lineRule="exact"/>
        <w:rPr>
          <w:sz w:val="20"/>
          <w:szCs w:val="20"/>
          <w:color w:val="auto"/>
        </w:rPr>
      </w:pPr>
    </w:p>
    <w:p>
      <w:pPr>
        <w:ind w:left="1140" w:hanging="237"/>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(if any) of each Lender to make Loans to be terminated, whereupon such commitments shall be terminated;</w:t>
      </w:r>
    </w:p>
    <w:p>
      <w:pPr>
        <w:spacing w:after="0" w:line="117" w:lineRule="exact"/>
        <w:rPr>
          <w:rFonts w:ascii="Times New Roman" w:cs="Times New Roman" w:eastAsia="Times New Roman" w:hAnsi="Times New Roman"/>
          <w:sz w:val="18"/>
          <w:szCs w:val="18"/>
          <w:color w:val="auto"/>
        </w:rPr>
      </w:pPr>
    </w:p>
    <w:p>
      <w:pPr>
        <w:jc w:val="both"/>
        <w:ind w:left="460" w:right="60" w:firstLine="443"/>
        <w:spacing w:after="0" w:line="266" w:lineRule="auto"/>
        <w:tabs>
          <w:tab w:leader="none" w:pos="115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68" w:lineRule="exact"/>
        <w:rPr>
          <w:rFonts w:ascii="Times New Roman" w:cs="Times New Roman" w:eastAsia="Times New Roman" w:hAnsi="Times New Roman"/>
          <w:sz w:val="18"/>
          <w:szCs w:val="18"/>
          <w:color w:val="auto"/>
        </w:rPr>
      </w:pPr>
    </w:p>
    <w:p>
      <w:pPr>
        <w:ind w:left="460" w:right="120" w:firstLine="443"/>
        <w:spacing w:after="0" w:line="282" w:lineRule="auto"/>
        <w:tabs>
          <w:tab w:leader="none" w:pos="114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and the Lenders, the Cash Management Banks and the Hedge Banks all rights and remedies available to it and the Lenders, the Cash Management Banks and the Hedge Banks under the Loan Documents;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the Borrower or any other Loan Party under the Bankruptcy Code of the United States or any similar Debtor Relief Laws,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the Loans have automatically become immediately due and payable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the Intercreditor Agreement, be applied by the Administrative Agent in the following order:</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270" w:right="239" w:bottom="1440" w:gutter="0" w:footer="0" w:header="0"/>
        </w:sectPr>
      </w:pPr>
    </w:p>
    <w:bookmarkStart w:id="130" w:name="page131"/>
    <w:bookmarkEnd w:id="130"/>
    <w:p>
      <w:pPr>
        <w:ind w:right="4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w:t>
      </w:r>
      <w:r>
        <w:rPr>
          <w:rFonts w:ascii="Times New Roman" w:cs="Times New Roman" w:eastAsia="Times New Roman" w:hAnsi="Times New Roman"/>
          <w:sz w:val="18"/>
          <w:szCs w:val="18"/>
          <w:color w:val="auto"/>
        </w:rPr>
        <w:t xml:space="preserve">, to payment of that portion of the Obligations constituting unpaid principal of the Loans and Obligations then owing under Secured Hedge Agreements and Secured Cash Management Agreements, ratably among the Lenders, the Hedge Banks and the Cash Management Banks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for itself and its Affiliates as if a “Lender” party hereto.</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(a)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77" w:lineRule="exact"/>
        <w:rPr>
          <w:sz w:val="20"/>
          <w:szCs w:val="20"/>
          <w:color w:val="auto"/>
        </w:rPr>
      </w:pPr>
    </w:p>
    <w:p>
      <w:pPr>
        <w:ind w:left="460" w:right="80" w:firstLine="443"/>
        <w:spacing w:after="0" w:line="258" w:lineRule="auto"/>
        <w:tabs>
          <w:tab w:leader="none" w:pos="115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also act as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under the Loan Documents, and each of the Lenders (including in its capacities as a potential Hedge Bank and a potential Cash Management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80"/>
          </w:cols>
          <w:pgMar w:left="240" w:top="270" w:right="279" w:bottom="1440" w:gutter="0" w:footer="0" w:header="0"/>
        </w:sectPr>
      </w:pPr>
    </w:p>
    <w:bookmarkStart w:id="131" w:name="page132"/>
    <w:bookmarkEnd w:id="131"/>
    <w:p>
      <w:pPr>
        <w:ind w:left="46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 and its duties hereunder shall be administrative in nature. Without limiting the generality of the foregoing, the Administrative Agent:</w:t>
      </w:r>
    </w:p>
    <w:p>
      <w:pPr>
        <w:spacing w:after="0" w:line="99" w:lineRule="exact"/>
        <w:rPr>
          <w:sz w:val="20"/>
          <w:szCs w:val="20"/>
          <w:color w:val="auto"/>
        </w:rPr>
      </w:pPr>
    </w:p>
    <w:p>
      <w:pPr>
        <w:ind w:left="1140" w:hanging="237"/>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60" w:firstLine="443"/>
        <w:spacing w:after="0" w:line="255" w:lineRule="auto"/>
        <w:tabs>
          <w:tab w:leader="none" w:pos="115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81" w:lineRule="exact"/>
        <w:rPr>
          <w:rFonts w:ascii="Times New Roman" w:cs="Times New Roman" w:eastAsia="Times New Roman" w:hAnsi="Times New Roman"/>
          <w:sz w:val="18"/>
          <w:szCs w:val="18"/>
          <w:color w:val="auto"/>
        </w:rPr>
      </w:pPr>
    </w:p>
    <w:p>
      <w:pPr>
        <w:ind w:left="460" w:right="320" w:firstLine="443"/>
        <w:spacing w:after="0" w:line="266" w:lineRule="auto"/>
        <w:tabs>
          <w:tab w:leader="none" w:pos="114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68" w:lineRule="exact"/>
        <w:rPr>
          <w:rFonts w:ascii="Times New Roman" w:cs="Times New Roman" w:eastAsia="Times New Roman" w:hAnsi="Times New Roman"/>
          <w:sz w:val="18"/>
          <w:szCs w:val="18"/>
          <w:color w:val="auto"/>
        </w:rPr>
      </w:pPr>
    </w:p>
    <w:p>
      <w:pPr>
        <w:ind w:left="460" w:right="480" w:firstLine="443"/>
        <w:spacing w:after="0" w:line="282" w:lineRule="auto"/>
        <w:tabs>
          <w:tab w:leader="none" w:pos="115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Required Lenders (or such other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270" w:right="259" w:bottom="1440" w:gutter="0" w:footer="0" w:header="0"/>
        </w:sectPr>
      </w:pPr>
    </w:p>
    <w:bookmarkStart w:id="132" w:name="page133"/>
    <w:bookmarkEnd w:id="132"/>
    <w:p>
      <w:pPr>
        <w:ind w:left="46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or a Lender.</w:t>
      </w:r>
    </w:p>
    <w:p>
      <w:pPr>
        <w:spacing w:after="0" w:line="72" w:lineRule="exact"/>
        <w:rPr>
          <w:sz w:val="20"/>
          <w:szCs w:val="20"/>
          <w:color w:val="auto"/>
        </w:rPr>
      </w:pPr>
    </w:p>
    <w:p>
      <w:pPr>
        <w:ind w:left="460" w:right="20" w:firstLine="443"/>
        <w:spacing w:after="0" w:line="255" w:lineRule="auto"/>
        <w:tabs>
          <w:tab w:leader="none" w:pos="114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 the satisfaction of any condition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270" w:right="239" w:bottom="1440" w:gutter="0" w:footer="0" w:header="0"/>
        </w:sectPr>
      </w:pPr>
    </w:p>
    <w:bookmarkStart w:id="133" w:name="page134"/>
    <w:bookmarkEnd w:id="133"/>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81" w:lineRule="exact"/>
        <w:rPr>
          <w:sz w:val="20"/>
          <w:szCs w:val="20"/>
          <w:color w:val="auto"/>
        </w:rPr>
      </w:pPr>
    </w:p>
    <w:p>
      <w:pPr>
        <w:ind w:left="460" w:right="20" w:firstLine="443"/>
        <w:spacing w:after="0" w:line="258" w:lineRule="auto"/>
        <w:tabs>
          <w:tab w:leader="none" w:pos="11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w:t>
      </w:r>
    </w:p>
    <w:p>
      <w:pPr>
        <w:spacing w:after="0" w:line="75" w:lineRule="exact"/>
        <w:rPr>
          <w:rFonts w:ascii="Times New Roman" w:cs="Times New Roman" w:eastAsia="Times New Roman" w:hAnsi="Times New Roman"/>
          <w:sz w:val="18"/>
          <w:szCs w:val="18"/>
          <w:color w:val="auto"/>
        </w:rPr>
      </w:pPr>
    </w:p>
    <w:p>
      <w:pPr>
        <w:ind w:left="460" w:right="20" w:firstLine="443"/>
        <w:spacing w:after="0" w:line="253" w:lineRule="auto"/>
        <w:tabs>
          <w:tab w:leader="none" w:pos="115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3.01(g)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60"/>
          </w:cols>
          <w:pgMar w:left="240" w:top="270" w:right="299" w:bottom="1440" w:gutter="0" w:footer="0" w:header="0"/>
        </w:sectPr>
      </w:pPr>
    </w:p>
    <w:bookmarkStart w:id="134" w:name="page135"/>
    <w:bookmarkEnd w:id="134"/>
    <w:p>
      <w:pPr>
        <w:ind w:left="46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9.07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8"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9.08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Bookrunners, Arrangers or Syndication Agent listed on the cover page hereof shall have any powers, duties or responsibilities under this Agreement or any of the other Loan Documents, except in its capacity, as applicable, as the Administrative Agent or a Lender.</w:t>
      </w:r>
    </w:p>
    <w:p>
      <w:pPr>
        <w:spacing w:after="0" w:line="17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9.09 </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2" w:lineRule="exact"/>
        <w:rPr>
          <w:sz w:val="20"/>
          <w:szCs w:val="20"/>
          <w:color w:val="auto"/>
        </w:rPr>
      </w:pPr>
    </w:p>
    <w:p>
      <w:pPr>
        <w:ind w:left="460" w:right="60" w:firstLine="443"/>
        <w:spacing w:after="0" w:line="258" w:lineRule="auto"/>
        <w:tabs>
          <w:tab w:leader="none" w:pos="11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7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270" w:right="239" w:bottom="1440" w:gutter="0" w:footer="0" w:header="0"/>
        </w:sectPr>
      </w:pPr>
    </w:p>
    <w:bookmarkStart w:id="135" w:name="page136"/>
    <w:bookmarkEnd w:id="135"/>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this Agreement,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270" w:right="259" w:bottom="1440" w:gutter="0" w:footer="0" w:header="0"/>
        </w:sectPr>
      </w:pPr>
    </w:p>
    <w:bookmarkStart w:id="136" w:name="page137"/>
    <w:bookmarkEnd w:id="136"/>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9.10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Without limiting the provision of Section 9.09, the of the Lenders (including in its capacities as a potential Cash Management Bank and a potential Hedge Bank) irrevocably authorize the Administrative Agent, at its option and in its discretion,</w:t>
      </w:r>
    </w:p>
    <w:p>
      <w:pPr>
        <w:spacing w:after="0" w:line="54" w:lineRule="exact"/>
        <w:rPr>
          <w:sz w:val="20"/>
          <w:szCs w:val="20"/>
          <w:color w:val="auto"/>
        </w:rPr>
      </w:pPr>
    </w:p>
    <w:p>
      <w:pPr>
        <w:ind w:left="460" w:firstLine="443"/>
        <w:spacing w:after="0" w:line="255" w:lineRule="auto"/>
        <w:tabs>
          <w:tab w:leader="none" w:pos="114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Cash Management Bank of Hedge Bank shall have been made), (ii) that is sold or otherwise disposed of or to be sold or otherwise disposed of as part of or in connection with any sale or other disposition permitted hereunder or under any other Loan Document to a Person that is not a Loan Party, (iii) that constitutes “Excluded Assets” (as such term is defined in the Security Agreement), or (iv) if approved, authorized or ratified in writing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15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from its obligations under the Guaranty if such Person ceases to be a Subsidiary as a result of a transaction permitted under the Loan Documents; and</w:t>
      </w:r>
    </w:p>
    <w:p>
      <w:pPr>
        <w:spacing w:after="0" w:line="53" w:lineRule="exact"/>
        <w:rPr>
          <w:rFonts w:ascii="Times New Roman" w:cs="Times New Roman" w:eastAsia="Times New Roman" w:hAnsi="Times New Roman"/>
          <w:sz w:val="18"/>
          <w:szCs w:val="18"/>
          <w:color w:val="auto"/>
        </w:rPr>
      </w:pPr>
    </w:p>
    <w:p>
      <w:pPr>
        <w:ind w:left="460" w:right="140" w:firstLine="443"/>
        <w:spacing w:after="0" w:line="282" w:lineRule="auto"/>
        <w:tabs>
          <w:tab w:leader="none" w:pos="114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xml:space="preserve">. Except as otherwise expressly set forth herein or in any Guaranty or any Collateral Document, no Cash Management Bank or Hedge Bank that obtains the benefits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270" w:right="259" w:bottom="1440" w:gutter="0" w:footer="0" w:header="0"/>
        </w:sectPr>
      </w:pPr>
    </w:p>
    <w:bookmarkStart w:id="137" w:name="page138"/>
    <w:bookmarkEnd w:id="13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72" w:lineRule="exact"/>
        <w:rPr>
          <w:sz w:val="20"/>
          <w:szCs w:val="20"/>
          <w:color w:val="auto"/>
        </w:rPr>
      </w:pPr>
    </w:p>
    <w:p>
      <w:pPr>
        <w:ind w:left="1140" w:hanging="237"/>
        <w:spacing w:after="0"/>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4.01(c)(i)</w:t>
      </w:r>
      <w:r>
        <w:rPr>
          <w:rFonts w:ascii="Times New Roman" w:cs="Times New Roman" w:eastAsia="Times New Roman" w:hAnsi="Times New Roman"/>
          <w:sz w:val="18"/>
          <w:szCs w:val="18"/>
          <w:color w:val="auto"/>
        </w:rPr>
        <w:t>), without the written consent of each Lender;</w:t>
      </w:r>
    </w:p>
    <w:p>
      <w:pPr>
        <w:spacing w:after="0" w:line="117"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5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53" w:lineRule="exact"/>
        <w:rPr>
          <w:rFonts w:ascii="Times New Roman" w:cs="Times New Roman" w:eastAsia="Times New Roman" w:hAnsi="Times New Roman"/>
          <w:sz w:val="18"/>
          <w:szCs w:val="18"/>
          <w:color w:val="auto"/>
        </w:rPr>
      </w:pPr>
    </w:p>
    <w:p>
      <w:pPr>
        <w:ind w:left="460" w:right="120" w:firstLine="443"/>
        <w:spacing w:after="0" w:line="266" w:lineRule="auto"/>
        <w:tabs>
          <w:tab w:leader="none" w:pos="114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6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the rate of interest specified herein on, any Loan, or (subject to clause (ii) of the second proviso to this</w:t>
      </w:r>
    </w:p>
    <w:p>
      <w:pPr>
        <w:spacing w:after="0" w:line="27"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any fees or other amounts payable hereunder or under any other Loan Document without the written consent of each such Lender entitled to such amount; provided, however, that only the consent of the Required Lenders shall be necessary to amend the definition of “Default Rate” or to waive any obligation of the Borrower to pay interest at the Default Rate;</w:t>
      </w:r>
    </w:p>
    <w:p>
      <w:pPr>
        <w:spacing w:after="0" w:line="78" w:lineRule="exact"/>
        <w:rPr>
          <w:sz w:val="20"/>
          <w:szCs w:val="20"/>
          <w:color w:val="auto"/>
        </w:rPr>
      </w:pPr>
    </w:p>
    <w:p>
      <w:pPr>
        <w:ind w:left="1140" w:hanging="237"/>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any manner that materially and adversely affects any of the Lenders without the written consent of such Lender;</w:t>
      </w:r>
    </w:p>
    <w:p>
      <w:pPr>
        <w:spacing w:after="0" w:line="117" w:lineRule="exact"/>
        <w:rPr>
          <w:rFonts w:ascii="Times New Roman" w:cs="Times New Roman" w:eastAsia="Times New Roman" w:hAnsi="Times New Roman"/>
          <w:sz w:val="18"/>
          <w:szCs w:val="18"/>
          <w:color w:val="auto"/>
        </w:rPr>
      </w:pPr>
    </w:p>
    <w:p>
      <w:pPr>
        <w:ind w:left="460" w:right="100" w:firstLine="443"/>
        <w:spacing w:after="0" w:line="266" w:lineRule="auto"/>
        <w:tabs>
          <w:tab w:leader="none" w:pos="112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68" w:lineRule="exact"/>
        <w:rPr>
          <w:rFonts w:ascii="Times New Roman" w:cs="Times New Roman" w:eastAsia="Times New Roman" w:hAnsi="Times New Roman"/>
          <w:sz w:val="18"/>
          <w:szCs w:val="18"/>
          <w:color w:val="auto"/>
        </w:rPr>
      </w:pPr>
    </w:p>
    <w:p>
      <w:pPr>
        <w:ind w:left="5580" w:right="60" w:hanging="4677"/>
        <w:spacing w:after="0" w:line="454" w:lineRule="auto"/>
        <w:tabs>
          <w:tab w:leader="none" w:pos="11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in any transaction or series of related transactions, without the written consent of each Lender; 103</w:t>
      </w:r>
    </w:p>
    <w:p>
      <w:pPr>
        <w:sectPr>
          <w:pgSz w:w="11900" w:h="16838" w:orient="portrait"/>
          <w:cols w:equalWidth="0" w:num="1">
            <w:col w:w="11360"/>
          </w:cols>
          <w:pgMar w:left="240" w:top="270" w:right="299" w:bottom="1440" w:gutter="0" w:footer="0" w:header="0"/>
        </w:sectPr>
      </w:pPr>
    </w:p>
    <w:bookmarkStart w:id="138" w:name="page139"/>
    <w:bookmarkEnd w:id="138"/>
    <w:p>
      <w:pPr>
        <w:ind w:left="460" w:right="140" w:firstLine="443"/>
        <w:spacing w:after="0" w:line="266" w:lineRule="auto"/>
        <w:tabs>
          <w:tab w:leader="none" w:pos="115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 or</w:t>
      </w:r>
    </w:p>
    <w:p>
      <w:pPr>
        <w:spacing w:after="0" w:line="68" w:lineRule="exact"/>
        <w:rPr>
          <w:rFonts w:ascii="Times New Roman" w:cs="Times New Roman" w:eastAsia="Times New Roman" w:hAnsi="Times New Roman"/>
          <w:sz w:val="18"/>
          <w:szCs w:val="18"/>
          <w:color w:val="auto"/>
        </w:rPr>
      </w:pPr>
    </w:p>
    <w:p>
      <w:pPr>
        <w:ind w:left="460" w:right="240" w:firstLine="443"/>
        <w:spacing w:after="0" w:line="282" w:lineRule="auto"/>
        <w:tabs>
          <w:tab w:leader="none" w:pos="11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greater restriction on the ability of any Lender to assign any of its rights or obligations hereunder without the written consent of each Lender;</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(ii) any Fee Letter may be amended, or rights or privileges thereunder waived, in a writing executed only by the parties thereto and (iii) any amendment, waiver or consent of the Intercreditor Agreement (and any related definitions) may be effected by an agreement or agreements in writing entered into among the Administrative Agent and the ABL Administrative Agent (with the consent of the Required Lenders but without the consent of any Loan Party, so long as such amendment, waiver or modification does not impose any additional duties or obligations on the Loan Parties or alter or impair any right of any Loan Party under the Loan Documents).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7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Notwithstanding any provision herein to the contrary, this Agreement may be amended to extend the Maturity Date of the Loans with respect to Lenders that agree to such extension with respect to their Loans with the written consent of each such approving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obligated to participate any such extension), the Administrative Agent and the Borrower and without the consent of any other Lender and, in connection therewith and pursuant to a written offer from the Borrower to extend such Maturity Date may provide for different rates of interest and fees with respect to the portion of Loans with a Maturity Date so extended and may provide for other covenants and terms that apply solely to any period after the latest stated maturity date (including, without limitation, the Maturity Date) existing on the effective date of such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such case any such proposed extension of a Maturity Date shall have been offered to each Lender with Loans under the applicable tranche proposed to be extended, and if the consents of such Lenders exceed the portion of Loans the Borrower wishes to extend, such consents shall be accepted on a pro rata basis among the applicable approving Lenders. Each portion of the Loans extended pursuant any offer made pursuant this paragraph shall be deemed to be a separate tranche of Loans from the Loans that are not extended pursuant to such offer. This paragraph shall apply to any Incremental Loan in the same manner as it applies to the other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offer may, at the Borrower’s option, be made to the Lenders in respect of any tranche or tranches of Incremental Loans and/or any Loan without being made to any other tranche of Incremental Loans or any other Loan, as the case may be. In connection with any extensions effected pursuant to this paragraph, the Loan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270" w:right="239" w:bottom="1440" w:gutter="0" w:footer="0" w:header="0"/>
        </w:sectPr>
      </w:pPr>
    </w:p>
    <w:bookmarkStart w:id="139" w:name="page140"/>
    <w:bookmarkEnd w:id="13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7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u w:val="single" w:color="auto"/>
          <w:color w:val="auto"/>
        </w:rPr>
        <w:t>Notices; Effectiveness; Electronic Communications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76" w:lineRule="exact"/>
        <w:rPr>
          <w:sz w:val="20"/>
          <w:szCs w:val="20"/>
          <w:color w:val="auto"/>
        </w:rPr>
      </w:pPr>
    </w:p>
    <w:p>
      <w:pPr>
        <w:ind w:left="920" w:right="120" w:firstLine="421"/>
        <w:spacing w:after="0" w:line="282" w:lineRule="auto"/>
        <w:tabs>
          <w:tab w:leader="none" w:pos="15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the Administrative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920" w:right="120" w:firstLine="421"/>
        <w:spacing w:after="0" w:line="266" w:lineRule="auto"/>
        <w:tabs>
          <w:tab w:leader="none" w:pos="16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76" w:lineRule="exact"/>
        <w:rPr>
          <w:sz w:val="20"/>
          <w:szCs w:val="20"/>
          <w:color w:val="auto"/>
        </w:rPr>
      </w:pPr>
    </w:p>
    <w:p>
      <w:pPr>
        <w:ind w:left="460" w:right="40" w:firstLine="443"/>
        <w:spacing w:after="0" w:line="256" w:lineRule="auto"/>
        <w:tabs>
          <w:tab w:leader="none" w:pos="115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270" w:right="259" w:bottom="1440" w:gutter="0" w:footer="0" w:header="0"/>
        </w:sectPr>
      </w:pPr>
    </w:p>
    <w:bookmarkStart w:id="140" w:name="page141"/>
    <w:bookmarkEnd w:id="14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72" w:lineRule="exact"/>
        <w:rPr>
          <w:sz w:val="20"/>
          <w:szCs w:val="20"/>
          <w:color w:val="auto"/>
        </w:rPr>
      </w:pPr>
    </w:p>
    <w:p>
      <w:pPr>
        <w:ind w:left="460" w:firstLine="443"/>
        <w:spacing w:after="0" w:line="254" w:lineRule="auto"/>
        <w:tabs>
          <w:tab w:leader="none" w:pos="11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messaging service, or through the Internet.</w:t>
      </w:r>
    </w:p>
    <w:p>
      <w:pPr>
        <w:spacing w:after="0" w:line="78" w:lineRule="exact"/>
        <w:rPr>
          <w:rFonts w:ascii="Times New Roman" w:cs="Times New Roman" w:eastAsia="Times New Roman" w:hAnsi="Times New Roman"/>
          <w:sz w:val="18"/>
          <w:szCs w:val="18"/>
          <w:color w:val="auto"/>
        </w:rPr>
      </w:pPr>
    </w:p>
    <w:p>
      <w:pPr>
        <w:ind w:left="460" w:right="60" w:firstLine="443"/>
        <w:spacing w:after="0" w:line="253" w:lineRule="auto"/>
        <w:tabs>
          <w:tab w:leader="none" w:pos="115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84"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The Administrative Agent and the Lenders shall be entitled to rely and act upon any notices (including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270" w:right="239" w:bottom="1440" w:gutter="0" w:footer="0" w:header="0"/>
        </w:sectPr>
      </w:pPr>
    </w:p>
    <w:bookmarkStart w:id="141" w:name="page142"/>
    <w:bookmarkEnd w:id="141"/>
    <w:p>
      <w:pPr>
        <w:jc w:val="both"/>
        <w:ind w:left="4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telephonic notices and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clauses (b) and (c)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270" w:right="259" w:bottom="1440" w:gutter="0" w:footer="0" w:header="0"/>
        </w:sectPr>
      </w:pPr>
    </w:p>
    <w:bookmarkStart w:id="142" w:name="page143"/>
    <w:bookmarkEnd w:id="142"/>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or any Lender in connection with the enforcement or protection of its rights (A) in connection with this Agreement and the other Loan Documents, including its rights under this Section, or (B) in connection with Loans made hereunder, including all such out-of-pocket expenses incurred during any workout, restructuring or negotiations in respect of such Loans.</w:t>
      </w:r>
    </w:p>
    <w:p>
      <w:pPr>
        <w:spacing w:after="0" w:line="68" w:lineRule="exact"/>
        <w:rPr>
          <w:sz w:val="20"/>
          <w:szCs w:val="20"/>
          <w:color w:val="auto"/>
        </w:rPr>
      </w:pPr>
    </w:p>
    <w:p>
      <w:pPr>
        <w:ind w:left="460" w:firstLine="443"/>
        <w:spacing w:after="0" w:line="252" w:lineRule="auto"/>
        <w:tabs>
          <w:tab w:leader="none" w:pos="115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(and any sub-agent thereof), each Arranger,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Section 3.01), (ii) any Loan or the use or proposed use of the proceeds therefrom,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86" w:lineRule="exact"/>
        <w:rPr>
          <w:rFonts w:ascii="Times New Roman" w:cs="Times New Roman" w:eastAsia="Times New Roman" w:hAnsi="Times New Roman"/>
          <w:sz w:val="18"/>
          <w:szCs w:val="18"/>
          <w:color w:val="auto"/>
        </w:rPr>
      </w:pPr>
    </w:p>
    <w:p>
      <w:pPr>
        <w:ind w:left="460" w:right="40" w:firstLine="443"/>
        <w:spacing w:after="0" w:line="255" w:lineRule="auto"/>
        <w:tabs>
          <w:tab w:leader="none" w:pos="11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270" w:right="259" w:bottom="1440" w:gutter="0" w:footer="0" w:header="0"/>
        </w:sectPr>
      </w:pPr>
    </w:p>
    <w:bookmarkStart w:id="143" w:name="page144"/>
    <w:bookmarkEnd w:id="143"/>
    <w:p>
      <w:pPr>
        <w:ind w:left="46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(or any such sub-agent), in its capacity as such, or against any Related Party of any of the foregoing acting for the Administrative Agent (or any such sub-agent) in connection with such capacity. The obligations of the Lenders under this subsection (c) are subject to the provisions of</w:t>
      </w: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60" w:right="60" w:firstLine="443"/>
        <w:spacing w:after="0" w:line="255" w:lineRule="auto"/>
        <w:tabs>
          <w:tab w:leader="none" w:pos="115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81"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117" w:lineRule="exact"/>
        <w:rPr>
          <w:rFonts w:ascii="Times New Roman" w:cs="Times New Roman" w:eastAsia="Times New Roman" w:hAnsi="Times New Roman"/>
          <w:sz w:val="18"/>
          <w:szCs w:val="18"/>
          <w:color w:val="auto"/>
        </w:rPr>
      </w:pPr>
    </w:p>
    <w:p>
      <w:pPr>
        <w:ind w:left="460" w:right="220" w:firstLine="443"/>
        <w:spacing w:after="0" w:line="266" w:lineRule="auto"/>
        <w:tabs>
          <w:tab w:leader="none" w:pos="112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Section and the indemnity provision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270" w:right="239" w:bottom="1440" w:gutter="0" w:footer="0" w:header="0"/>
        </w:sectPr>
      </w:pPr>
    </w:p>
    <w:bookmarkStart w:id="144" w:name="page145"/>
    <w:bookmarkEnd w:id="14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10.06(e)</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80" w:lineRule="exact"/>
        <w:rPr>
          <w:sz w:val="20"/>
          <w:szCs w:val="20"/>
          <w:color w:val="auto"/>
        </w:rPr>
      </w:pPr>
    </w:p>
    <w:p>
      <w:pPr>
        <w:ind w:left="460" w:right="100" w:firstLine="443"/>
        <w:spacing w:after="0" w:line="266" w:lineRule="auto"/>
        <w:tabs>
          <w:tab w:leader="none" w:pos="115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8"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00" w:firstLine="389"/>
        <w:spacing w:after="0" w:line="261" w:lineRule="auto"/>
        <w:tabs>
          <w:tab w:leader="none" w:pos="2192"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assignment of the entire remaining amount of the assigning Lender’s Commitment and/or the Loans at the time owing to it or contemporaneous assignments to related Approved Funds that equal at least the amount specified in </w:t>
      </w:r>
      <w:r>
        <w:rPr>
          <w:rFonts w:ascii="Times New Roman" w:cs="Times New Roman" w:eastAsia="Times New Roman" w:hAnsi="Times New Roman"/>
          <w:sz w:val="18"/>
          <w:szCs w:val="18"/>
          <w:u w:val="single" w:color="auto"/>
          <w:color w:val="auto"/>
        </w:rPr>
        <w:t>paragraph (b)(i)(B)</w:t>
      </w:r>
      <w:r>
        <w:rPr>
          <w:rFonts w:ascii="Times New Roman" w:cs="Times New Roman" w:eastAsia="Times New Roman" w:hAnsi="Times New Roman"/>
          <w:sz w:val="18"/>
          <w:szCs w:val="18"/>
          <w:color w:val="auto"/>
        </w:rPr>
        <w:t xml:space="preserve"> of this Section in the aggregate or in the case of an assignment to a Lender, an Affiliate of a Lender or an Approved Fund, no minimum amount need be assigned; and</w:t>
      </w:r>
    </w:p>
    <w:p>
      <w:pPr>
        <w:spacing w:after="0" w:line="71" w:lineRule="exact"/>
        <w:rPr>
          <w:rFonts w:ascii="Times New Roman" w:cs="Times New Roman" w:eastAsia="Times New Roman" w:hAnsi="Times New Roman"/>
          <w:sz w:val="18"/>
          <w:szCs w:val="18"/>
          <w:color w:val="auto"/>
        </w:rPr>
      </w:pPr>
    </w:p>
    <w:p>
      <w:pPr>
        <w:ind w:left="1500" w:firstLine="389"/>
        <w:spacing w:after="0" w:line="256" w:lineRule="auto"/>
        <w:tabs>
          <w:tab w:leader="none" w:pos="2182"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79" w:lineRule="exact"/>
        <w:rPr>
          <w:rFonts w:ascii="Times New Roman" w:cs="Times New Roman" w:eastAsia="Times New Roman" w:hAnsi="Times New Roman"/>
          <w:sz w:val="18"/>
          <w:szCs w:val="18"/>
          <w:color w:val="auto"/>
        </w:rPr>
      </w:pPr>
    </w:p>
    <w:p>
      <w:pPr>
        <w:ind w:left="920" w:right="260" w:firstLine="421"/>
        <w:spacing w:after="0" w:line="282" w:lineRule="auto"/>
        <w:tabs>
          <w:tab w:leader="none" w:pos="160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53" w:lineRule="exact"/>
        <w:rPr>
          <w:rFonts w:ascii="Times New Roman" w:cs="Times New Roman" w:eastAsia="Times New Roman" w:hAnsi="Times New Roman"/>
          <w:sz w:val="18"/>
          <w:szCs w:val="18"/>
          <w:color w:val="auto"/>
        </w:rPr>
      </w:pPr>
    </w:p>
    <w:p>
      <w:pPr>
        <w:ind w:left="920" w:right="520" w:firstLine="421"/>
        <w:spacing w:after="0" w:line="282" w:lineRule="auto"/>
        <w:tabs>
          <w:tab w:leader="none" w:pos="165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53" w:lineRule="exact"/>
        <w:rPr>
          <w:rFonts w:ascii="Times New Roman" w:cs="Times New Roman" w:eastAsia="Times New Roman" w:hAnsi="Times New Roman"/>
          <w:sz w:val="18"/>
          <w:szCs w:val="18"/>
          <w:color w:val="auto"/>
        </w:rPr>
      </w:pPr>
    </w:p>
    <w:p>
      <w:pPr>
        <w:ind w:left="5580" w:right="100" w:hanging="3691"/>
        <w:spacing w:after="0" w:line="454" w:lineRule="auto"/>
        <w:tabs>
          <w:tab w:leader="none" w:pos="2181"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 (1) an Event of 110</w:t>
      </w:r>
    </w:p>
    <w:p>
      <w:pPr>
        <w:sectPr>
          <w:pgSz w:w="11900" w:h="16838" w:orient="portrait"/>
          <w:cols w:equalWidth="0" w:num="1">
            <w:col w:w="11400"/>
          </w:cols>
          <w:pgMar w:left="240" w:top="270" w:right="259" w:bottom="1440" w:gutter="0" w:footer="0" w:header="0"/>
        </w:sectPr>
      </w:pPr>
    </w:p>
    <w:bookmarkStart w:id="145" w:name="page146"/>
    <w:bookmarkEnd w:id="145"/>
    <w:p>
      <w:pPr>
        <w:ind w:left="579"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Default has occurred and is continuing at the time of such assignment; (2) such assignment is to a Lender, an Affiliate of a Lender or an Approved Fund or (3) such assignment is made in connection with the primary syndication of the credit facility provided herein and during the ninety (90) day period following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76" w:lineRule="exact"/>
        <w:rPr>
          <w:sz w:val="20"/>
          <w:szCs w:val="20"/>
          <w:color w:val="auto"/>
        </w:rPr>
      </w:pPr>
    </w:p>
    <w:p>
      <w:pPr>
        <w:ind w:left="579" w:right="320" w:firstLine="389"/>
        <w:spacing w:after="0" w:line="282" w:lineRule="auto"/>
        <w:tabs>
          <w:tab w:leader="none" w:pos="1261"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53" w:lineRule="exact"/>
        <w:rPr>
          <w:rFonts w:ascii="Times New Roman" w:cs="Times New Roman" w:eastAsia="Times New Roman" w:hAnsi="Times New Roman"/>
          <w:sz w:val="18"/>
          <w:szCs w:val="18"/>
          <w:color w:val="auto"/>
        </w:rPr>
      </w:pPr>
    </w:p>
    <w:p>
      <w:pPr>
        <w:ind w:left="-1" w:right="60" w:firstLine="421"/>
        <w:spacing w:after="0" w:line="261" w:lineRule="auto"/>
        <w:tabs>
          <w:tab w:leader="none" w:pos="72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1" w:right="220" w:firstLine="421"/>
        <w:spacing w:after="0" w:line="266" w:lineRule="auto"/>
        <w:tabs>
          <w:tab w:leader="none" w:pos="67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w:t>
      </w:r>
    </w:p>
    <w:p>
      <w:pPr>
        <w:spacing w:after="0" w:line="68" w:lineRule="exact"/>
        <w:rPr>
          <w:rFonts w:ascii="Times New Roman" w:cs="Times New Roman" w:eastAsia="Times New Roman" w:hAnsi="Times New Roman"/>
          <w:sz w:val="18"/>
          <w:szCs w:val="18"/>
          <w:color w:val="auto"/>
        </w:rPr>
      </w:pPr>
    </w:p>
    <w:p>
      <w:pPr>
        <w:ind w:left="-1" w:firstLine="421"/>
        <w:spacing w:after="0" w:line="253" w:lineRule="auto"/>
        <w:tabs>
          <w:tab w:leader="none" w:pos="72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w:t>
      </w:r>
    </w:p>
    <w:p>
      <w:pPr>
        <w:spacing w:after="0" w:line="3" w:lineRule="exact"/>
        <w:rPr>
          <w:rFonts w:ascii="Times New Roman" w:cs="Times New Roman" w:eastAsia="Times New Roman" w:hAnsi="Times New Roman"/>
          <w:sz w:val="18"/>
          <w:szCs w:val="18"/>
          <w:color w:val="auto"/>
        </w:rPr>
      </w:pPr>
    </w:p>
    <w:p>
      <w:pPr>
        <w:ind w:left="-1" w:right="40" w:firstLine="1"/>
        <w:spacing w:after="0" w:line="254" w:lineRule="auto"/>
        <w:tabs>
          <w:tab w:leader="none" w:pos="25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8" w:lineRule="exact"/>
        <w:rPr>
          <w:sz w:val="20"/>
          <w:szCs w:val="20"/>
          <w:color w:val="auto"/>
        </w:rPr>
      </w:pPr>
    </w:p>
    <w:p>
      <w:pPr>
        <w:ind w:left="46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479"/>
          </w:cols>
          <w:pgMar w:left="1161" w:top="270" w:right="259" w:bottom="1440" w:gutter="0" w:footer="0" w:header="0"/>
        </w:sectPr>
      </w:pPr>
    </w:p>
    <w:bookmarkStart w:id="146" w:name="page147"/>
    <w:bookmarkEnd w:id="146"/>
    <w:p>
      <w:pPr>
        <w:ind w:left="460" w:firstLine="421"/>
        <w:spacing w:after="0" w:line="253" w:lineRule="auto"/>
        <w:tabs>
          <w:tab w:leader="none" w:pos="123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w:t>
      </w:r>
    </w:p>
    <w:p>
      <w:pPr>
        <w:spacing w:after="0" w:line="82" w:lineRule="exact"/>
        <w:rPr>
          <w:rFonts w:ascii="Times New Roman" w:cs="Times New Roman" w:eastAsia="Times New Roman" w:hAnsi="Times New Roman"/>
          <w:sz w:val="18"/>
          <w:szCs w:val="18"/>
          <w:color w:val="auto"/>
        </w:rPr>
      </w:pPr>
    </w:p>
    <w:p>
      <w:pPr>
        <w:ind w:right="100" w:firstLine="443"/>
        <w:spacing w:after="0" w:line="255" w:lineRule="auto"/>
        <w:tabs>
          <w:tab w:leader="none" w:pos="68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81"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20"/>
          </w:cols>
          <w:pgMar w:left="700" w:top="270" w:right="279" w:bottom="1440" w:gutter="0" w:footer="0" w:header="0"/>
        </w:sectPr>
      </w:pPr>
    </w:p>
    <w:bookmarkStart w:id="147" w:name="page148"/>
    <w:bookmarkEnd w:id="147"/>
    <w:p>
      <w:pPr>
        <w:ind w:firstLine="45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81" w:lineRule="exact"/>
        <w:rPr>
          <w:sz w:val="20"/>
          <w:szCs w:val="20"/>
          <w:color w:val="auto"/>
        </w:rPr>
      </w:pPr>
    </w:p>
    <w:p>
      <w:pPr>
        <w:ind w:left="460" w:right="160" w:firstLine="443"/>
        <w:spacing w:after="0" w:line="261" w:lineRule="auto"/>
        <w:tabs>
          <w:tab w:leader="none" w:pos="114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u w:val="single" w:color="auto"/>
          <w:color w:val="auto"/>
        </w:rPr>
        <w:t>Treatment of Certain Information; Confidentiality</w:t>
      </w:r>
      <w:r>
        <w:rPr>
          <w:rFonts w:ascii="Times New Roman" w:cs="Times New Roman" w:eastAsia="Times New Roman" w:hAnsi="Times New Roman"/>
          <w:sz w:val="18"/>
          <w:szCs w:val="18"/>
          <w:color w:val="auto"/>
        </w:rPr>
        <w:t>. Each of the Administrative Agent and the Lenders agrees to maintain the confidentiality of the Information (as defined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270" w:right="239" w:bottom="1440" w:gutter="0" w:footer="0" w:header="0"/>
        </w:sectPr>
      </w:pPr>
    </w:p>
    <w:bookmarkStart w:id="148" w:name="page149"/>
    <w:bookmarkEnd w:id="14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99"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each Lender and each of its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270" w:right="259" w:bottom="1440" w:gutter="0" w:footer="0" w:header="0"/>
        </w:sectPr>
      </w:pPr>
    </w:p>
    <w:bookmarkStart w:id="149" w:name="page150"/>
    <w:bookmarkEnd w:id="14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or Affiliate of such Lender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9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10.09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270" w:right="239" w:bottom="1440" w:gutter="0" w:footer="0" w:header="0"/>
        </w:sectPr>
      </w:pPr>
    </w:p>
    <w:bookmarkStart w:id="150" w:name="page151"/>
    <w:bookmarkEnd w:id="150"/>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10.11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the Borrower is entitled to replace a Lender pursuant to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80" w:lineRule="exact"/>
        <w:rPr>
          <w:sz w:val="20"/>
          <w:szCs w:val="20"/>
          <w:color w:val="auto"/>
        </w:rPr>
      </w:pPr>
    </w:p>
    <w:p>
      <w:pPr>
        <w:ind w:left="1140" w:hanging="237"/>
        <w:spacing w:after="0"/>
        <w:tabs>
          <w:tab w:leader="none" w:pos="1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120" w:firstLine="443"/>
        <w:spacing w:after="0" w:line="261" w:lineRule="auto"/>
        <w:tabs>
          <w:tab w:leader="none" w:pos="11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from the assignee (to the extent of such outstanding principal and accrued interest and fees) or the Borrower (in the case of all other amounts, including any amount payable under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270" w:right="239" w:bottom="1440" w:gutter="0" w:footer="0" w:header="0"/>
        </w:sectPr>
      </w:pPr>
    </w:p>
    <w:bookmarkStart w:id="151" w:name="page152"/>
    <w:bookmarkEnd w:id="151"/>
    <w:p>
      <w:pPr>
        <w:ind w:left="1160" w:hanging="257"/>
        <w:spacing w:after="0"/>
        <w:tabs>
          <w:tab w:leader="none" w:pos="11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assignment does not conflict with applicable Laws; and</w:t>
      </w:r>
    </w:p>
    <w:p>
      <w:pPr>
        <w:spacing w:after="0" w:line="117"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14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Governing Law; Jurisdiction;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firstLine="443"/>
        <w:spacing w:after="0" w:line="258" w:lineRule="auto"/>
        <w:tabs>
          <w:tab w:leader="none" w:pos="114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75" w:lineRule="exact"/>
        <w:rPr>
          <w:rFonts w:ascii="Times New Roman" w:cs="Times New Roman" w:eastAsia="Times New Roman" w:hAnsi="Times New Roman"/>
          <w:sz w:val="18"/>
          <w:szCs w:val="18"/>
          <w:color w:val="auto"/>
        </w:rPr>
      </w:pPr>
    </w:p>
    <w:p>
      <w:pPr>
        <w:ind w:left="460" w:right="40" w:firstLine="443"/>
        <w:spacing w:after="0" w:line="252" w:lineRule="auto"/>
        <w:tabs>
          <w:tab w:leader="none" w:pos="115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00"/>
          </w:cols>
          <w:pgMar w:left="240" w:top="270" w:right="259" w:bottom="1440" w:gutter="0" w:footer="0" w:header="0"/>
        </w:sectPr>
      </w:pPr>
    </w:p>
    <w:bookmarkStart w:id="152" w:name="page153"/>
    <w:bookmarkEnd w:id="152"/>
    <w:p>
      <w:pPr>
        <w:ind w:left="460" w:firstLine="443"/>
        <w:spacing w:after="0" w:line="256" w:lineRule="auto"/>
        <w:tabs>
          <w:tab w:leader="none" w:pos="114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VENUE</w:t>
      </w:r>
      <w:r>
        <w:rPr>
          <w:rFonts w:ascii="Times New Roman" w:cs="Times New Roman" w:eastAsia="Times New Roman" w:hAnsi="Times New Roman"/>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79"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5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270" w:right="239" w:bottom="1440" w:gutter="0" w:footer="0" w:header="0"/>
        </w:sectPr>
      </w:pPr>
    </w:p>
    <w:bookmarkStart w:id="153" w:name="page154"/>
    <w:bookmarkEnd w:id="15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the Arrangers nor any Lender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8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pursuant to procedures approved by it; and provided further, without limiting the foregoing, upon the request of any party, any electronic signature shall be promptly followed by such manually executed counterpart.</w:t>
      </w:r>
    </w:p>
    <w:p>
      <w:pPr>
        <w:spacing w:after="0" w:line="19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Inconsistencies with Other Documents</w:t>
      </w:r>
      <w:r>
        <w:rPr>
          <w:rFonts w:ascii="Times New Roman" w:cs="Times New Roman" w:eastAsia="Times New Roman" w:hAnsi="Times New Roman"/>
          <w:sz w:val="18"/>
          <w:szCs w:val="18"/>
          <w:color w:val="auto"/>
        </w:rPr>
        <w:t xml:space="preserve">. In the event there is a conflict or inconsistency between this Agreement and any other Loan Document (other than the Intercreditor Agreement), the terms of this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Intercreditor Agreement governs and controls in the event of any conflict with any other Loan Document (including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provision of the Security Documents which imposes additional burdens on the Borrower or any of its Subsidiaries or</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60"/>
          </w:cols>
          <w:pgMar w:left="240" w:top="270" w:right="299" w:bottom="1440" w:gutter="0" w:footer="0" w:header="0"/>
        </w:sectPr>
      </w:pPr>
    </w:p>
    <w:bookmarkStart w:id="154" w:name="page155"/>
    <w:bookmarkEnd w:id="15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restricts the rights of the Borrower or any of its Subsidiaries or gives the Administrative Agent or Lenders additional rights shall not be deemed to be in conflict or inconsistent with this Agreement or the Intercreditor Agreement and shall be given full force and effect.</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80"/>
          </w:cols>
          <w:pgMar w:left="240" w:top="270" w:right="3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Agreement to be duly executed as of the date first above written.</w:t>
      </w:r>
    </w:p>
    <w:p>
      <w:pPr>
        <w:spacing w:after="0" w:line="2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3340" w:type="dxa"/>
        <w:tblCellMar>
          <w:top w:w="0" w:type="dxa"/>
          <w:left w:w="0" w:type="dxa"/>
          <w:bottom w:w="0" w:type="dxa"/>
          <w:right w:w="0" w:type="dxa"/>
        </w:tblCellMar>
      </w:tblPr>
      <w:tr>
        <w:trPr>
          <w:trHeight w:val="234"/>
        </w:trPr>
        <w:tc>
          <w:tcPr>
            <w:tcW w:w="31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 Dorton</w:t>
            </w:r>
          </w:p>
        </w:tc>
      </w:tr>
      <w:tr>
        <w:trPr>
          <w:trHeight w:val="205"/>
        </w:trPr>
        <w:tc>
          <w:tcPr>
            <w:tcW w:w="3180" w:type="dxa"/>
            <w:vAlign w:val="bottom"/>
          </w:tcPr>
          <w:p>
            <w:pPr>
              <w:ind w:left="26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H. Dorton</w:t>
            </w:r>
          </w:p>
        </w:tc>
      </w:tr>
      <w:tr>
        <w:trPr>
          <w:trHeight w:val="216"/>
        </w:trPr>
        <w:tc>
          <w:tcPr>
            <w:tcW w:w="31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Corporate Development and</w:t>
            </w:r>
          </w:p>
        </w:tc>
      </w:tr>
      <w:tr>
        <w:trPr>
          <w:trHeight w:val="234"/>
        </w:trPr>
        <w:tc>
          <w:tcPr>
            <w:tcW w:w="31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4"/>
        </w:trPr>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PROJECT UNICORN</w:t>
            </w:r>
          </w:p>
        </w:tc>
        <w:tc>
          <w:tcPr>
            <w:tcW w:w="3980" w:type="dxa"/>
            <w:vAlign w:val="bottom"/>
          </w:tcPr>
          <w:p>
            <w:pPr>
              <w:spacing w:after="0"/>
              <w:rPr>
                <w:sz w:val="24"/>
                <w:szCs w:val="24"/>
                <w:color w:val="auto"/>
              </w:rPr>
            </w:pPr>
          </w:p>
        </w:tc>
      </w:tr>
      <w:tr>
        <w:trPr>
          <w:trHeight w:val="216"/>
        </w:trPr>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3980" w:type="dxa"/>
            <w:vAlign w:val="bottom"/>
          </w:tcPr>
          <w:p>
            <w:pPr>
              <w:spacing w:after="0"/>
              <w:rPr>
                <w:sz w:val="18"/>
                <w:szCs w:val="18"/>
                <w:color w:val="auto"/>
              </w:rPr>
            </w:pPr>
          </w:p>
        </w:tc>
      </w:tr>
      <w:tr>
        <w:trPr>
          <w:trHeight w:val="234"/>
        </w:trPr>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SIGNATURE PAGE</w:t>
            </w:r>
          </w:p>
        </w:tc>
        <w:tc>
          <w:tcPr>
            <w:tcW w:w="3980" w:type="dxa"/>
            <w:vAlign w:val="bottom"/>
          </w:tcPr>
          <w:p>
            <w:pPr>
              <w:spacing w:after="0"/>
              <w:rPr>
                <w:sz w:val="20"/>
                <w:szCs w:val="20"/>
                <w:color w:val="auto"/>
              </w:rPr>
            </w:pPr>
          </w:p>
        </w:tc>
      </w:tr>
    </w:tbl>
    <w:p>
      <w:pPr>
        <w:sectPr>
          <w:pgSz w:w="11900" w:h="16838" w:orient="portrait"/>
          <w:cols w:equalWidth="0" w:num="1">
            <w:col w:w="10500"/>
          </w:cols>
          <w:pgMar w:left="1160" w:top="268" w:right="239" w:bottom="1440" w:gutter="0" w:footer="0" w:header="0"/>
        </w:sectPr>
      </w:pPr>
    </w:p>
    <w:bookmarkStart w:id="156" w:name="page157"/>
    <w:bookmarkEnd w:id="156"/>
    <w:p>
      <w:pPr>
        <w:ind w:left="56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Administrative Agent</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Roberto O.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Roberto O. Salazar</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PROJECT UNICORN</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TERM LOAN CREDIT AGREEMENT</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80"/>
          </w:cols>
          <w:pgMar w:left="1440" w:top="266" w:right="779" w:bottom="1440" w:gutter="0" w:footer="0" w:header="0"/>
        </w:sectPr>
      </w:pPr>
    </w:p>
    <w:bookmarkStart w:id="157" w:name="page158"/>
    <w:bookmarkEnd w:id="157"/>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3060" w:type="dxa"/>
        <w:tblCellMar>
          <w:top w:w="0" w:type="dxa"/>
          <w:left w:w="0" w:type="dxa"/>
          <w:bottom w:w="0" w:type="dxa"/>
          <w:right w:w="0" w:type="dxa"/>
        </w:tblCellMar>
      </w:tblPr>
      <w:tr>
        <w:trPr>
          <w:trHeight w:val="234"/>
        </w:trPr>
        <w:tc>
          <w:tcPr>
            <w:tcW w:w="31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Hall</w:t>
            </w:r>
          </w:p>
        </w:tc>
      </w:tr>
      <w:tr>
        <w:trPr>
          <w:trHeight w:val="205"/>
        </w:trPr>
        <w:tc>
          <w:tcPr>
            <w:tcW w:w="3180" w:type="dxa"/>
            <w:vAlign w:val="bottom"/>
          </w:tcPr>
          <w:p>
            <w:pPr>
              <w:ind w:left="26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M. Hall</w:t>
            </w:r>
          </w:p>
        </w:tc>
      </w:tr>
      <w:tr>
        <w:trPr>
          <w:trHeight w:val="234"/>
        </w:trPr>
        <w:tc>
          <w:tcPr>
            <w:tcW w:w="31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14"/>
        </w:trPr>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PROJECT UNICORN</w:t>
            </w:r>
          </w:p>
        </w:tc>
        <w:tc>
          <w:tcPr>
            <w:tcW w:w="3980" w:type="dxa"/>
            <w:vAlign w:val="bottom"/>
          </w:tcPr>
          <w:p>
            <w:pPr>
              <w:spacing w:after="0"/>
              <w:rPr>
                <w:sz w:val="24"/>
                <w:szCs w:val="24"/>
                <w:color w:val="auto"/>
              </w:rPr>
            </w:pPr>
          </w:p>
        </w:tc>
      </w:tr>
      <w:tr>
        <w:trPr>
          <w:trHeight w:val="216"/>
        </w:trPr>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3980" w:type="dxa"/>
            <w:vAlign w:val="bottom"/>
          </w:tcPr>
          <w:p>
            <w:pPr>
              <w:spacing w:after="0"/>
              <w:rPr>
                <w:sz w:val="18"/>
                <w:szCs w:val="18"/>
                <w:color w:val="auto"/>
              </w:rPr>
            </w:pPr>
          </w:p>
        </w:tc>
      </w:tr>
      <w:tr>
        <w:trPr>
          <w:trHeight w:val="234"/>
        </w:trPr>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SIGNATURE PAGE</w:t>
            </w:r>
          </w:p>
        </w:tc>
        <w:tc>
          <w:tcPr>
            <w:tcW w:w="3980" w:type="dxa"/>
            <w:vAlign w:val="bottom"/>
          </w:tcPr>
          <w:p>
            <w:pPr>
              <w:spacing w:after="0"/>
              <w:rPr>
                <w:sz w:val="20"/>
                <w:szCs w:val="20"/>
                <w:color w:val="auto"/>
              </w:rPr>
            </w:pPr>
          </w:p>
        </w:tc>
      </w:tr>
    </w:tbl>
    <w:p>
      <w:pPr>
        <w:sectPr>
          <w:pgSz w:w="11900" w:h="16838" w:orient="portrait"/>
          <w:cols w:equalWidth="0" w:num="1">
            <w:col w:w="10220"/>
          </w:cols>
          <w:pgMar w:left="1440" w:top="266" w:right="239" w:bottom="1440" w:gutter="0" w:footer="0" w:header="0"/>
        </w:sectPr>
      </w:pPr>
    </w:p>
    <w:bookmarkStart w:id="158" w:name="page159"/>
    <w:bookmarkEnd w:id="158"/>
    <w:p>
      <w:pPr>
        <w:ind w:left="90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1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DEAL CUSIP NUMBER:</w:t>
      </w:r>
    </w:p>
    <w:p>
      <w:pPr>
        <w:spacing w:after="0" w:line="2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REVOLVER CUSIP NUMBER:</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AUGUST 29, 2014</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as U.S. Borrower,</w:t>
      </w:r>
    </w:p>
    <w:p>
      <w:pPr>
        <w:spacing w:after="0" w:line="203" w:lineRule="exact"/>
        <w:rPr>
          <w:sz w:val="20"/>
          <w:szCs w:val="20"/>
          <w:color w:val="auto"/>
        </w:rPr>
      </w:pPr>
    </w:p>
    <w:p>
      <w:pPr>
        <w:ind w:left="3640" w:right="4660" w:hanging="167"/>
        <w:spacing w:after="0" w:line="317" w:lineRule="auto"/>
        <w:tabs>
          <w:tab w:leader="none" w:pos="3769" w:val="left"/>
        </w:tabs>
        <w:numPr>
          <w:ilvl w:val="0"/>
          <w:numId w:val="1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NETHERLANDS B.V., </w:t>
      </w:r>
      <w:r>
        <w:rPr>
          <w:rFonts w:ascii="Times New Roman" w:cs="Times New Roman" w:eastAsia="Times New Roman" w:hAnsi="Times New Roman"/>
          <w:sz w:val="17"/>
          <w:szCs w:val="17"/>
          <w:b w:val="1"/>
          <w:bCs w:val="1"/>
          <w:i w:val="1"/>
          <w:iCs w:val="1"/>
          <w:color w:val="auto"/>
        </w:rPr>
        <w:t>as the Dutch Borrower,</w:t>
      </w:r>
    </w:p>
    <w:p>
      <w:pPr>
        <w:spacing w:after="0" w:line="1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LENDING INSTITUTIONS NAMED HEREIN,</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as Lenders,</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as an LC Issuer, Swing Line Lender, as the Administrative Agent,</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as the Joint Lead Arranger and the Joint Bookrunner</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as the Joint Lead Arranger and the Joint Bookrunner</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as the Syndication Agent and as the Foreign Collateral Agent</w:t>
      </w:r>
    </w:p>
    <w:p>
      <w:pPr>
        <w:spacing w:after="0" w:line="20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$100,000,000.00 Senior Secured Credit Facility</w:t>
      </w:r>
    </w:p>
    <w:p>
      <w:pPr>
        <w:sectPr>
          <w:pgSz w:w="11900" w:h="16838" w:orient="portrait"/>
          <w:cols w:equalWidth="0" w:num="1">
            <w:col w:w="10220"/>
          </w:cols>
          <w:pgMar w:left="1440" w:top="117"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92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409"/>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DEFINITIONS AND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Defined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Accounting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Terms Generally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 Forma Effect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TERMS OF THE CREDIT FACILITY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Establishment of the Credit Facility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2.02</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Facility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2.03</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Overadvances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2.04</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Swing Line Facility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2.05</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Letters of Credit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2.06</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 of Borrowing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2.07</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Funding Obligations; Disbursement of Funds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2.08</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Evidence of Obligations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2.09</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Default Rate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Conversion and Continuation of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Termination and Reduction of Revolving Commitments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2.13</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Voluntary, Scheduled and Mandatory Prepayments of 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Method and Place of Payment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Defaulting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2.16</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Collateral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2.17</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Commitments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2.18</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Liability of Credit Parties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2.19</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Banking Services and Hedge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2.20</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Non-Public Lender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INCREASED COSTS, ILLEGALITY AND TAXES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3.01</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Increased Costs, Illegality,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3.02</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Breakage Compensation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3.03</w:t>
            </w:r>
          </w:p>
        </w:tc>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5"/>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-i-</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0" w:name="page161"/>
    <w:bookmarkEnd w:id="16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3.04</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Increased Costs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3.05</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of Lending Office; Replacement of Lenders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3.06</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Dutch Tax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 PRECEDENT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4.01</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Precedent at Closing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4.02</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Precedent to All Credit Events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4.03</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Precedent to Initial Dutch Borrowings and Initial Dutch LC Issuances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5.01</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Status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5.02</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Power and Authority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5.03</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5.04</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 and Administrative Proceedings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5.05</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to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5.06</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Liens and Security Interests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5.07</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Returns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5.08</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5.09</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Locations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5.10</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Continued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5.11</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Benefits Plans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5.12</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Consents or Approvals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5.13</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5.14</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5.15</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Regulations; Use of Proceeds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5.16</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5.17</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5.18</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5.19</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Casualty, Etc.</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5.20</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5.21</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Anti-Terrorism Law Compliance and Anti-Money Laundering Law Compliance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5.22</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 Accounts; Securities Accounts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5.23</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Accurate and Complete Statements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ectPr>
          <w:pgSz w:w="11900" w:h="16838" w:orient="portrait"/>
          <w:cols w:equalWidth="0" w:num="1">
            <w:col w:w="11320"/>
          </w:cols>
          <w:pgMar w:left="240" w:top="266" w:right="339" w:bottom="1440" w:gutter="0" w:footer="0" w:header="0"/>
        </w:sectPr>
      </w:pPr>
    </w:p>
    <w:bookmarkStart w:id="161" w:name="page162"/>
    <w:bookmarkEnd w:id="1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90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19"/>
                <w:szCs w:val="19"/>
                <w:color w:val="auto"/>
              </w:rPr>
            </w:pPr>
          </w:p>
        </w:tc>
      </w:tr>
      <w:tr>
        <w:trPr>
          <w:trHeight w:val="234"/>
        </w:trPr>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0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(continued)</w:t>
            </w:r>
          </w:p>
        </w:tc>
        <w:tc>
          <w:tcPr>
            <w:tcW w:w="2480" w:type="dxa"/>
            <w:vAlign w:val="bottom"/>
          </w:tcPr>
          <w:p>
            <w:pPr>
              <w:spacing w:after="0"/>
              <w:rPr>
                <w:sz w:val="20"/>
                <w:szCs w:val="20"/>
                <w:color w:val="auto"/>
              </w:rPr>
            </w:pPr>
          </w:p>
        </w:tc>
      </w:tr>
      <w:tr>
        <w:trPr>
          <w:trHeight w:val="314"/>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5.24</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 Loan Indebtedness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5.25</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5.26</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Defaults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5.27</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Debt Status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5.28</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Centre of Main Interests and Establishment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AFFIRMATIVE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6.01</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Reporting Requirements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6.02</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Taxes and Claims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6.03</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6.04</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6.05</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6.06</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6.07</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Books, Records and Inspections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6.08</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Use of Proceeds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6.09</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6.11</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6.12</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6.13</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Maintenance of Debt Ratings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6.14</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6.15</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Control Agreements; Cash Management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6.16</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6.17</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Debt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6.18</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Subordination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6.19</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Lender Meetings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6.20</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Appraisals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6.21</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Post Closing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NEGATIVE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7.01</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Liens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7.02</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Indebtedness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7.03</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Investments and Acquisitions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7.04</w:t>
            </w:r>
          </w:p>
        </w:tc>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Fundamental Changes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ectPr>
          <w:pgSz w:w="11900" w:h="16838" w:orient="portrait"/>
          <w:cols w:equalWidth="0" w:num="1">
            <w:col w:w="11320"/>
          </w:cols>
          <w:pgMar w:left="240" w:top="266" w:right="33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8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19"/>
                <w:szCs w:val="19"/>
                <w:color w:val="auto"/>
              </w:rPr>
            </w:pPr>
          </w:p>
        </w:tc>
      </w:tr>
      <w:tr>
        <w:trPr>
          <w:trHeight w:val="234"/>
        </w:trPr>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8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(continued)</w:t>
            </w:r>
          </w:p>
        </w:tc>
        <w:tc>
          <w:tcPr>
            <w:tcW w:w="1800" w:type="dxa"/>
            <w:vAlign w:val="bottom"/>
          </w:tcPr>
          <w:p>
            <w:pPr>
              <w:spacing w:after="0"/>
              <w:rPr>
                <w:sz w:val="20"/>
                <w:szCs w:val="20"/>
                <w:color w:val="auto"/>
              </w:rPr>
            </w:pPr>
          </w:p>
        </w:tc>
      </w:tr>
      <w:tr>
        <w:trPr>
          <w:trHeight w:val="314"/>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7.05</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 Sales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7.06</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Payments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7.07</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Covenants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7.08</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7.09</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7.10</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Burdensome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7.11</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Use of Proceeds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7.12</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Fiscal Year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7.13</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Sanctions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7.14</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Modification of Certain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7.15</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Accounts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8.01</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Events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8.02</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Remedies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8.03</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of Certain Payments and Proceeds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8.04</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License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8.05</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Judgment Currency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ADMINISTRATIVE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9.01</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Appointment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9.02</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Delegation of Duties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9.03</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Exculpatory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9.04</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9.05</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9.06</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Non-Reliance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9.07</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Reliance on Administrative Agent’s Customer Identification Program</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9.08</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USA Patriot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9.09</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Administrative Agent and Foreign Collateral Agent in Individual Capacity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9.12</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24"/>
        </w:trPr>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9.13</w:t>
            </w:r>
          </w:p>
        </w:tc>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Collateral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ectPr>
          <w:pgSz w:w="11900" w:h="16838" w:orient="portrait"/>
          <w:cols w:equalWidth="0" w:num="1">
            <w:col w:w="11320"/>
          </w:cols>
          <w:pgMar w:left="240" w:top="266" w:right="339" w:bottom="1440" w:gutter="0" w:footer="0" w:header="0"/>
        </w:sectPr>
      </w:pPr>
    </w:p>
    <w:bookmarkStart w:id="163" w:name="page164"/>
    <w:bookmarkEnd w:id="1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9.14</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Agency for Perfection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9.15</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Proof of Claim</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9.16</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Posting of Approved Electronic Communications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9.17</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Bidding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GUARANTY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10.01</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Guaranty by the Company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10.02</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Undertaking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10.03</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Guaranty Unconditional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10.04</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Obligations to Remain in Effect; Restoration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10.05</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Waiver of Acceptance, etc.</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10.06</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Subrogation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10.07</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Stay; Limitations of Guaranty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10.08</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Keepwell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11.01</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Expenses etc.</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11.02</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11.03</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Setoff</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11.04</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Equalization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11.05</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11.06</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Successors and Assigns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11.07</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11.08</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Governing Law; Submission to Jurisdiction; Venue; Waiver of Jury Trial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11.09</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Counterparts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11.10</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Integration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11.11</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Headings Descriptive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11.12</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or Waiver; Acceleration by Required Lenders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11.13</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Survival of Indemnities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11.14</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Domicile of Loans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11.15</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Confidentiality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11.16</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Limitations on Liability of the LC Issuers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11.17</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Limitation of Liability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11.18</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Duty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ectPr>
          <w:pgSz w:w="11900" w:h="16838" w:orient="portrait"/>
          <w:cols w:equalWidth="0" w:num="1">
            <w:col w:w="11320"/>
          </w:cols>
          <w:pgMar w:left="240" w:top="266" w:right="339" w:bottom="1440" w:gutter="0" w:footer="0" w:header="0"/>
        </w:sectPr>
      </w:pPr>
    </w:p>
    <w:bookmarkStart w:id="164" w:name="page165"/>
    <w:bookmarkEnd w:id="16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11.19</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Lenders and Agent Not Fiduciary to Borrower, etc.</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11.20</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11.21</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Severability</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11.22</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11.23</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11.24</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USA Patriot Act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11.25</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Advertising and Publicity</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11.26</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 of Guarantees and Liens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11.27</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Set Aside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11.28</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Approved Electronic Communication System</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11.29</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Parallel Debt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11.30</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Dutch Credit Party Representation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COLLECTION ALLOCATION MECHANISM</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324"/>
        </w:trPr>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12.01</w:t>
            </w:r>
          </w:p>
        </w:tc>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Implementation of CAM</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ectPr>
          <w:pgSz w:w="11900" w:h="16838" w:orient="portrait"/>
          <w:cols w:equalWidth="0" w:num="1">
            <w:col w:w="11320"/>
          </w:cols>
          <w:pgMar w:left="240" w:top="266" w:right="33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r>
      <w:tr>
        <w:trPr>
          <w:trHeight w:val="46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A-1A</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Revolving Facility Note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A-1B</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Dutch Revolving Facility Note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Swing Line Note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Notice of Continuation or Conversion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B-3</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LC Request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C-1</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Guaranty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C-2</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Closing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Assignment Agreement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Borrowing Base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Opening Day Availability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Security Agreement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Collateral Assignment of Merger Documents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Intercompany Subordination Agreement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L-1</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L-2</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L-3</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L-4</w:t>
            </w:r>
          </w:p>
        </w:tc>
        <w:tc>
          <w:tcPr>
            <w:tcW w:w="4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bl>
    <w:p>
      <w:pPr>
        <w:sectPr>
          <w:pgSz w:w="11900" w:h="16838" w:orient="portrait"/>
          <w:cols w:equalWidth="0" w:num="1">
            <w:col w:w="10219"/>
          </w:cols>
          <w:pgMar w:left="240" w:top="257"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CREDIT AGREEMENT is entered into as of August 29, 2014 among the following: (i)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firstLine="8"/>
        <w:spacing w:after="0" w:line="252" w:lineRule="auto"/>
        <w:tabs>
          <w:tab w:leader="none" w:pos="26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Netherlands B.V.,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(iii) the lenders from time to time party hereto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(iv) KEYBANK NATIONAL ASSOCIATION, as the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Domestic Swing Line Lender (as hereinafter defined), the U.S. LC Issuer (as hereinafter defined) and a joint lead arranger and joint bookrunner (in such capacity, a “</w:t>
      </w:r>
      <w:r>
        <w:rPr>
          <w:rFonts w:ascii="Times New Roman" w:cs="Times New Roman" w:eastAsia="Times New Roman" w:hAnsi="Times New Roman"/>
          <w:sz w:val="18"/>
          <w:szCs w:val="18"/>
          <w:u w:val="single" w:color="auto"/>
          <w:color w:val="auto"/>
        </w:rPr>
        <w:t>Joint Arranger</w:t>
      </w:r>
      <w:r>
        <w:rPr>
          <w:rFonts w:ascii="Times New Roman" w:cs="Times New Roman" w:eastAsia="Times New Roman" w:hAnsi="Times New Roman"/>
          <w:sz w:val="18"/>
          <w:szCs w:val="18"/>
          <w:color w:val="auto"/>
        </w:rPr>
        <w:t>”); (v) BANK OF AMERICA, N.A. as the syndication agent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as a joint lead arranger and joint bookrunner (in such capacity, a “</w:t>
      </w:r>
      <w:r>
        <w:rPr>
          <w:rFonts w:ascii="Times New Roman" w:cs="Times New Roman" w:eastAsia="Times New Roman" w:hAnsi="Times New Roman"/>
          <w:sz w:val="18"/>
          <w:szCs w:val="18"/>
          <w:u w:val="single" w:color="auto"/>
          <w:color w:val="auto"/>
        </w:rPr>
        <w:t>Joint Arranger</w:t>
      </w:r>
      <w:r>
        <w:rPr>
          <w:rFonts w:ascii="Times New Roman" w:cs="Times New Roman" w:eastAsia="Times New Roman" w:hAnsi="Times New Roman"/>
          <w:sz w:val="18"/>
          <w:szCs w:val="18"/>
          <w:color w:val="auto"/>
        </w:rPr>
        <w:t>” and together with the other Joint Arranger, the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as the foreign collateral agent (the “</w:t>
      </w:r>
      <w:r>
        <w:rPr>
          <w:rFonts w:ascii="Times New Roman" w:cs="Times New Roman" w:eastAsia="Times New Roman" w:hAnsi="Times New Roman"/>
          <w:sz w:val="18"/>
          <w:szCs w:val="18"/>
          <w:u w:val="single" w:color="auto"/>
          <w:color w:val="auto"/>
        </w:rPr>
        <w:t>Foreign Collateral Agent</w:t>
      </w:r>
      <w:r>
        <w:rPr>
          <w:rFonts w:ascii="Times New Roman" w:cs="Times New Roman" w:eastAsia="Times New Roman" w:hAnsi="Times New Roman"/>
          <w:sz w:val="18"/>
          <w:szCs w:val="18"/>
          <w:color w:val="auto"/>
        </w:rPr>
        <w:t>”), the Dutch Swing Line Lender (as hereinafter defined) and the Dutch LC Issuer (as hereinafter defined).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ind w:right="260" w:firstLine="464"/>
        <w:spacing w:after="0" w:line="266" w:lineRule="auto"/>
        <w:tabs>
          <w:tab w:leader="none" w:pos="7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requested that the Lenders, the Swing Line Lenders (as hereinafter defined) and the LC Issuers (as hereinafter defined) extend credit to the Borrowers (as hereinafter defined) to (a) finance the ongoing working capital requirements of the Borrowers and (b) provide funds for other general corporate purposes, in each case, not inconsistent with the terms of this Agreement.</w:t>
      </w:r>
    </w:p>
    <w:p>
      <w:pPr>
        <w:spacing w:after="0" w:line="176"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the terms and conditions set forth herein, the Lenders, the Swing Line Lenders and the LC Issuers are willing to extend credit and make available to the Borrowers the credit facilities provided for herein for the foregoing purposes.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mutual covenants contained herein,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TERMS</w:t>
      </w:r>
    </w:p>
    <w:p>
      <w:pPr>
        <w:spacing w:after="0" w:line="229"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herein, the following terms shall have the meanings herein specified unless the context otherwise requires: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who is obligated under an Account, Chattel Paper or General Intangible.</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LIBOR Rate</w:t>
      </w:r>
      <w:r>
        <w:rPr>
          <w:rFonts w:ascii="Times New Roman" w:cs="Times New Roman" w:eastAsia="Times New Roman" w:hAnsi="Times New Roman"/>
          <w:sz w:val="18"/>
          <w:szCs w:val="18"/>
          <w:color w:val="auto"/>
        </w:rPr>
        <w:t>” means with respect to each Interest Period for (a) a LIBOR Loan denominated in Dollars, (i) the rate per annum equal to the London Interbank offered rate administered by ICE Benchmark Administration Limited (or any other Person which takes over administration of that rate) for the relevant currency and period displayed on pages LIBOR01 or LIBOR02 of the Reuters screen (or on the appropriate page of any successor to or substitute for such service, or, if such rate is not available, on the appropriate page of any generally recognized financial information service, as selected by the</w:t>
      </w:r>
    </w:p>
    <w:p>
      <w:pPr>
        <w:sectPr>
          <w:pgSz w:w="11900" w:h="16838" w:orient="portrait"/>
          <w:cols w:equalWidth="0" w:num="1">
            <w:col w:w="11400"/>
          </w:cols>
          <w:pgMar w:left="240" w:top="270" w:right="259" w:bottom="1440" w:gutter="0" w:footer="0" w:header="0"/>
        </w:sectPr>
      </w:pPr>
    </w:p>
    <w:bookmarkStart w:id="167" w:name="page168"/>
    <w:bookmarkEnd w:id="167"/>
    <w:p>
      <w:pPr>
        <w:ind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from time to time) that displays an average British Bankers Association Interest Settlement Rate at approximately 11:00 A.M. (London time) two Business Days prior to the commencement of such Interest Period, for deposits in Dollars with a maturity comparable to such Interest Period,</w:t>
      </w:r>
    </w:p>
    <w:p>
      <w:pPr>
        <w:spacing w:after="0" w:line="1" w:lineRule="exact"/>
        <w:rPr>
          <w:sz w:val="20"/>
          <w:szCs w:val="20"/>
          <w:color w:val="auto"/>
        </w:rPr>
      </w:pPr>
    </w:p>
    <w:p>
      <w:pPr>
        <w:ind w:firstLine="8"/>
        <w:spacing w:after="0" w:line="251" w:lineRule="auto"/>
        <w:tabs>
          <w:tab w:leader="none" w:pos="2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divided (and rounded to the nearest 1/16th of 1%) by a percentage equal to 100% minus the then stated maximum rate of all reserve requirements (including, without limitation,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and (b) a LIBOR Loan denominated in any other currency, the rate per annum equal to the London Interbank offered rate administered by ICE Benchmark Administration Limited (or any other Person which takes over administration of that rate) for the relevant currency and period displayed on pages LIBOR01 or LIBOR02 of the Reuters screen (or on the appropriate page of any successor to or substitute for such service, or, if such rate is not available, on the appropriate page of any generally recognized financial information service, as selected by the Foreign Collateral Agent from time to time) that displays an average British Bankers Association Interest Settlement Rate at approximately 11:00 A.M. (London time) two Business Days prior to the commencement of such Interest Period, for deposits in the relevant currency with a maturity comparable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rate referred to in clauses (a)(i) and (b) above is not available at any such time for any reason, then the rate referred to in clauses (a)(i) and (b) above shall instead be the interest rate per annum, as determined by the Administrative Agent and solely with respect to Dutch Loans, the Foreign Collateral Agent, to be the average (rounded to the nearest 1/16th of 1%) of the rates per annum at which deposits in the relevant current in an amount equal to the amount of such LIBOR Loan are offered to major banks in the London interbank market at approximately 11:00 A.M. (London time), two Business Days prior to the commencement of such Interest Period, for contracts that would be entered into at the commencement of such Interest Period for the same duration as such Interest Period.</w:t>
      </w:r>
    </w:p>
    <w:p>
      <w:pPr>
        <w:spacing w:after="0" w:line="19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provided in the first paragraph of this Agreement and includes any successor to the Administrative Agent appointed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direct or indirect common control with such Person, or, in the case of any Lender that is an investment fund, the investment advisor thereof and any investment fund having the same investment advisor. A Person shall be deemed to control a second Person if such first Person possesses, directly or indirectly, the power (a) to vote 10% or more of the securities having ordinary voting power for the election of directors or managers of such second Person or (b) to direct or cause the direction of the management and policies of such second Person, whether through the ownership of voting securities, by contract or otherwise. Notwithstanding the foregoing, neither the Administrative Agent nor any Lender shall in any event be considered an Affiliate of the Company or any of its Subsidiaries.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Advances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Letters</w:t>
      </w:r>
      <w:r>
        <w:rPr>
          <w:rFonts w:ascii="Times New Roman" w:cs="Times New Roman" w:eastAsia="Times New Roman" w:hAnsi="Times New Roman"/>
          <w:sz w:val="18"/>
          <w:szCs w:val="18"/>
          <w:color w:val="auto"/>
        </w:rPr>
        <w:t>” means, collectively, (a) the letter agreement, dated July 18, 2014, among the Company, the Administrative Agent and the Arrangers, (b) the letter agreement, dated July 18, 2014, between the Company and the Administrative Agent and (c) the letter agreement, dated July 18, 2014, between the Company, the Foreign Collateral Agent and Merrill Lynch, Pierce, Fenner &amp; Smith Incorporated.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Borrowing Base</w:t>
      </w:r>
      <w:r>
        <w:rPr>
          <w:rFonts w:ascii="Times New Roman" w:cs="Times New Roman" w:eastAsia="Times New Roman" w:hAnsi="Times New Roman"/>
          <w:sz w:val="18"/>
          <w:szCs w:val="18"/>
          <w:color w:val="auto"/>
        </w:rPr>
        <w:t>” means, at any time, the sum of the Dutch Borrowing Base and the U.S. Borrowing Base.</w:t>
      </w:r>
    </w:p>
    <w:p>
      <w:pPr>
        <w:sectPr>
          <w:pgSz w:w="11900" w:h="16838" w:orient="portrait"/>
          <w:cols w:equalWidth="0" w:num="1">
            <w:col w:w="11380"/>
          </w:cols>
          <w:pgMar w:left="240" w:top="270" w:right="279" w:bottom="1440" w:gutter="0" w:footer="0" w:header="0"/>
        </w:sectPr>
      </w:pPr>
    </w:p>
    <w:bookmarkStart w:id="168" w:name="page169"/>
    <w:bookmarkEnd w:id="168"/>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Credit Facility Exposure</w:t>
      </w:r>
      <w:r>
        <w:rPr>
          <w:rFonts w:ascii="Times New Roman" w:cs="Times New Roman" w:eastAsia="Times New Roman" w:hAnsi="Times New Roman"/>
          <w:sz w:val="18"/>
          <w:szCs w:val="18"/>
          <w:color w:val="auto"/>
        </w:rPr>
        <w:t>” means, at any time, the sum of the Aggregate Dutch Credit Facility Exposure and the Aggregate U.S. Credit Facility Exposure.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Dutch Credit Facility Exposure</w:t>
      </w:r>
      <w:r>
        <w:rPr>
          <w:rFonts w:ascii="Times New Roman" w:cs="Times New Roman" w:eastAsia="Times New Roman" w:hAnsi="Times New Roman"/>
          <w:sz w:val="18"/>
          <w:szCs w:val="18"/>
          <w:color w:val="auto"/>
        </w:rPr>
        <w:t>” means, at any time, the aggregate Dutch Credit Facility Exposure of all Dutch Lenders.</w:t>
      </w:r>
    </w:p>
    <w:p>
      <w:pPr>
        <w:spacing w:after="0" w:line="225"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Liquidity Threshold</w:t>
      </w:r>
      <w:r>
        <w:rPr>
          <w:rFonts w:ascii="Times New Roman" w:cs="Times New Roman" w:eastAsia="Times New Roman" w:hAnsi="Times New Roman"/>
          <w:sz w:val="18"/>
          <w:szCs w:val="18"/>
          <w:color w:val="auto"/>
        </w:rPr>
        <w:t>” means, at any time, the greater of (a) $8,000,000 and (b) the lesser of (i) 10.0% of the then Aggregate Borrowing Base and (ii) 10.0% of the then Total Credit Facility Amount.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U.S. Credit Facility Exposure</w:t>
      </w:r>
      <w:r>
        <w:rPr>
          <w:rFonts w:ascii="Times New Roman" w:cs="Times New Roman" w:eastAsia="Times New Roman" w:hAnsi="Times New Roman"/>
          <w:sz w:val="18"/>
          <w:szCs w:val="18"/>
          <w:color w:val="auto"/>
        </w:rPr>
        <w:t>” means, at any time, the aggregate U.S. Credit Facility Exposure of all U.S. Lenders.</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including any exhibits or schedules, as the same may from time to time be amended, restated, amended and restated, supplemented or otherwise modified.</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the UK Bribery Act 2010, or other similar legislation in other jurisdictions.</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w:t>
      </w:r>
      <w:r>
        <w:rPr>
          <w:rFonts w:ascii="Times New Roman" w:cs="Times New Roman" w:eastAsia="Times New Roman" w:hAnsi="Times New Roman"/>
          <w:sz w:val="18"/>
          <w:szCs w:val="18"/>
          <w:color w:val="auto"/>
        </w:rPr>
        <w:t>” means the USA Patriot Act or any other law pertaining to the prevention of future acts of terrorism, in each case as such law may be amended from time to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Commitment Fee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80" w:firstLine="464"/>
        <w:spacing w:after="0" w:line="282" w:lineRule="auto"/>
        <w:tabs>
          <w:tab w:leader="none" w:pos="70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thereafter until the first day of the month after receipt by the Administrative Agent of the Borrowing Base Certificate with respect to the third full month following the Closing Date, the Applicable Commitment Fee Rate shall be 37.5 basis points.</w:t>
      </w:r>
    </w:p>
    <w:p>
      <w:pPr>
        <w:spacing w:after="0" w:line="161" w:lineRule="exact"/>
        <w:rPr>
          <w:rFonts w:ascii="Times New Roman" w:cs="Times New Roman" w:eastAsia="Times New Roman" w:hAnsi="Times New Roman"/>
          <w:sz w:val="18"/>
          <w:szCs w:val="18"/>
          <w:color w:val="auto"/>
        </w:rPr>
      </w:pPr>
    </w:p>
    <w:p>
      <w:pPr>
        <w:ind w:right="80" w:firstLine="464"/>
        <w:spacing w:after="0" w:line="266" w:lineRule="auto"/>
        <w:tabs>
          <w:tab w:leader="none" w:pos="71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first day of the month after receipt by the Administrative Agent of the Borrowing Base Certificate with respect to the third full month following the Closing Date and thereafter, the Administrative Agent shall determine the Applicable Commitment Fee Rate in accordance with the following matrix, based on Commitment Usage:</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Commitment Usage (% of Total Credit Facility Amount)</w:t>
            </w:r>
          </w:p>
        </w:tc>
        <w:tc>
          <w:tcPr>
            <w:tcW w:w="1320" w:type="dxa"/>
            <w:vAlign w:val="bottom"/>
          </w:tcPr>
          <w:p>
            <w:pPr>
              <w:spacing w:after="0"/>
              <w:rPr>
                <w:sz w:val="16"/>
                <w:szCs w:val="16"/>
                <w:color w:val="auto"/>
              </w:rPr>
            </w:pPr>
          </w:p>
        </w:tc>
        <w:tc>
          <w:tcPr>
            <w:tcW w:w="2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Applicable Commitment Fee Rate</w:t>
            </w:r>
          </w:p>
        </w:tc>
      </w:tr>
      <w:tr>
        <w:trPr>
          <w:trHeight w:val="171"/>
        </w:trPr>
        <w:tc>
          <w:tcPr>
            <w:tcW w:w="48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Greater than or equal to 50% of the Total Credit Facility</w:t>
            </w:r>
          </w:p>
        </w:tc>
        <w:tc>
          <w:tcPr>
            <w:tcW w:w="76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4"/>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 bps</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50% of the Total Credit Facility Amount</w:t>
            </w:r>
          </w:p>
        </w:tc>
        <w:tc>
          <w:tcPr>
            <w:tcW w:w="760" w:type="dxa"/>
            <w:vAlign w:val="bottom"/>
          </w:tcPr>
          <w:p>
            <w:pPr>
              <w:spacing w:after="0"/>
              <w:rPr>
                <w:sz w:val="20"/>
                <w:szCs w:val="20"/>
                <w:color w:val="auto"/>
              </w:rPr>
            </w:pP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 bps</w:t>
            </w:r>
          </w:p>
        </w:tc>
      </w:tr>
    </w:tbl>
    <w:p>
      <w:pPr>
        <w:spacing w:after="0" w:line="179" w:lineRule="exact"/>
        <w:rPr>
          <w:sz w:val="20"/>
          <w:szCs w:val="20"/>
          <w:color w:val="auto"/>
        </w:rPr>
      </w:pPr>
    </w:p>
    <w:p>
      <w:pPr>
        <w:ind w:right="60" w:firstLine="464"/>
        <w:spacing w:after="0" w:line="255" w:lineRule="auto"/>
        <w:tabs>
          <w:tab w:leader="none" w:pos="701"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Commitment Fee Rate shall be determined as of the end of each fiscal quarter of the Company based upon the Commitment Usage. Each change in the Applicable Commitment Fee Rate resulting from a change in the Commitment Usage shall become effective on the first day of the next fiscal quarter of the Company and ending on the date immediately preceding the effective date of the next such change. Notwithstanding the foregoing provisions, during any period when (i) the Borrowers have failed to timely deliver their Borrowing Base Certificates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or</w:t>
      </w:r>
    </w:p>
    <w:p>
      <w:pPr>
        <w:spacing w:after="0" w:line="2" w:lineRule="exact"/>
        <w:rPr>
          <w:rFonts w:ascii="Times New Roman" w:cs="Times New Roman" w:eastAsia="Times New Roman" w:hAnsi="Times New Roman"/>
          <w:sz w:val="18"/>
          <w:szCs w:val="18"/>
          <w:color w:val="auto"/>
        </w:rPr>
      </w:pPr>
    </w:p>
    <w:p>
      <w:pPr>
        <w:jc w:val="both"/>
        <w:ind w:right="40" w:firstLine="8"/>
        <w:spacing w:after="0" w:line="255" w:lineRule="auto"/>
        <w:tabs>
          <w:tab w:leader="none" w:pos="26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the Applicable Commitment Fee Rate shall be the highest number of basis points indicated therefor in the above matrix, regardless of Commitment Usage at such time. The above matrix does not modify or waive, in any respect, the rights of the Administrative Agent and the Lenders to charge any default rate of interest or any of the other rights and remedies of the Administrative Agent and the Lenders hereunder.</w:t>
      </w:r>
    </w:p>
    <w:p>
      <w:pPr>
        <w:sectPr>
          <w:pgSz w:w="11900" w:h="16838" w:orient="portrait"/>
          <w:cols w:equalWidth="0" w:num="1">
            <w:col w:w="11400"/>
          </w:cols>
          <w:pgMar w:left="240" w:top="270" w:right="259" w:bottom="1440" w:gutter="0" w:footer="0" w:header="0"/>
        </w:sectPr>
      </w:pPr>
    </w:p>
    <w:bookmarkStart w:id="169" w:name="page170"/>
    <w:bookmarkEnd w:id="169"/>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Dutch Credit Party</w:t>
      </w:r>
      <w:r>
        <w:rPr>
          <w:rFonts w:ascii="Times New Roman" w:cs="Times New Roman" w:eastAsia="Times New Roman" w:hAnsi="Times New Roman"/>
          <w:sz w:val="18"/>
          <w:szCs w:val="18"/>
          <w:color w:val="auto"/>
        </w:rPr>
        <w:t>” means the Dutch Borrower or any Foreign Subsidiary organized and existing or subsisting under the laws of the Netherlands which has executed a Guaranty in respect of the Dutch Obligations.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each Lender, the office designated by such Lender to the Administrative Agent as such Lender’s lending office for all purposes of this Agreement. A Lender may have a different Applicable Lending Office for LIBOR Loans and for Dutch Base Loans and Domestic Base Rate Loans.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Loan Margin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60" w:firstLine="464"/>
        <w:spacing w:after="0" w:line="266" w:lineRule="auto"/>
        <w:tabs>
          <w:tab w:leader="none" w:pos="70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thereafter until the first day of the month after receipt by the Administrative Agent of the Borrowing Base Certificate with respect to the third full month following the Closing Date, the Applicable Revolving Loan Margin shall be (i) 175.0 basis points for Loans that are LIBOR Loans, (ii) 75.0 basis points for Loans that are Domestic Base Rate Loans and (iii) 175.0 basis points for Loans that are Dutch Base Rate Loans.</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71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first day of the month after receipt by the Administrative Agent of the Borrowing Base Certificate with respect to the third full month following the Closing Date and thereafter, the Administrative Agent shall determine the Applicable Revolving Loan Margin in accordance with the following matrix, based on Average Daily Availability:</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Revolving Loan</w:t>
            </w:r>
          </w:p>
        </w:tc>
        <w:tc>
          <w:tcPr>
            <w:tcW w:w="15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Revolving Loan</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Revolving Loan</w:t>
            </w: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Daily Availability (% of Total Credit Facility Amount)</w:t>
            </w:r>
          </w:p>
        </w:tc>
        <w:tc>
          <w:tcPr>
            <w:tcW w:w="1040" w:type="dxa"/>
            <w:vAlign w:val="bottom"/>
            <w:vMerge w:val="restart"/>
          </w:tcPr>
          <w:p>
            <w:pPr>
              <w:spacing w:after="0"/>
              <w:rPr>
                <w:sz w:val="12"/>
                <w:szCs w:val="12"/>
                <w:color w:val="auto"/>
              </w:rPr>
            </w:pPr>
          </w:p>
        </w:tc>
        <w:tc>
          <w:tcPr>
            <w:tcW w:w="17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Domestic Base Rate</w:t>
            </w:r>
          </w:p>
        </w:tc>
        <w:tc>
          <w:tcPr>
            <w:tcW w:w="15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Dutch Base Rate</w:t>
            </w: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Margin for LIBOR</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auto"/>
            </w:tcBorders>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78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158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12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71"/>
        </w:trPr>
        <w:tc>
          <w:tcPr>
            <w:tcW w:w="49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Greater than or equal to 66.7% of Total Credit Facility</w:t>
            </w:r>
          </w:p>
        </w:tc>
        <w:tc>
          <w:tcPr>
            <w:tcW w:w="12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50.0 bps</w:t>
            </w:r>
          </w:p>
        </w:tc>
        <w:tc>
          <w:tcPr>
            <w:tcW w:w="1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150.0 bps</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 bps</w:t>
            </w:r>
          </w:p>
        </w:tc>
        <w:tc>
          <w:tcPr>
            <w:tcW w:w="0" w:type="dxa"/>
            <w:vAlign w:val="bottom"/>
          </w:tcPr>
          <w:p>
            <w:pPr>
              <w:spacing w:after="0"/>
              <w:rPr>
                <w:sz w:val="1"/>
                <w:szCs w:val="1"/>
                <w:color w:val="auto"/>
              </w:rPr>
            </w:pPr>
          </w:p>
        </w:tc>
      </w:tr>
      <w:tr>
        <w:trPr>
          <w:trHeight w:val="198"/>
        </w:trPr>
        <w:tc>
          <w:tcPr>
            <w:tcW w:w="4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than 66.7% but greater than or equal to 33.3% of Total</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Facility Amount</w:t>
            </w: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75.0 bps</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175.0 bps</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 bps</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33.3% of Total Credit Facility Amount</w:t>
            </w:r>
          </w:p>
        </w:tc>
        <w:tc>
          <w:tcPr>
            <w:tcW w:w="1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100.0 bps</w:t>
            </w:r>
          </w:p>
        </w:tc>
        <w:tc>
          <w:tcPr>
            <w:tcW w:w="1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200.0 bps</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64"/>
        <w:spacing w:after="0" w:line="255" w:lineRule="auto"/>
        <w:tabs>
          <w:tab w:leader="none" w:pos="70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Revolving Loan Margin shall be determined as of the end of each fiscal quarter of the Company based upon the Average Daily Availability. Each change in the Applicable Revolving Loan Margin resulting from a change in the Average Daily Availability shall become effective on the first Business Day of the next fiscal quarter of the Company and ending immediately preceding the effective date of the next such change. Notwithstanding the foregoing provisions, during any period when (i) the Borrowers have failed to timely deliver their Borrowing Base Certificates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6.01(e)</w:t>
      </w:r>
      <w:r>
        <w:rPr>
          <w:rFonts w:ascii="Times New Roman" w:cs="Times New Roman" w:eastAsia="Times New Roman" w:hAnsi="Times New Roman"/>
          <w:sz w:val="18"/>
          <w:szCs w:val="18"/>
          <w:color w:val="auto"/>
        </w:rPr>
        <w:t>, or (ii) an Event of Default has occurred and is continuing, the Applicable Revolving Loan Margin shall be the highest number of basis points indicated therefor in the above matrix, regardless of Average Daily Availability at such time. The above matrix does not modify or waive, in any respect, the rights of the Administrative Agent and the Lenders to charge any default rate of interest or any of the other rights and remedies of the Administrative Agent and the Lenders hereunder.</w:t>
      </w:r>
    </w:p>
    <w:p>
      <w:pPr>
        <w:sectPr>
          <w:pgSz w:w="11900" w:h="16838" w:orient="portrait"/>
          <w:cols w:equalWidth="0" w:num="1">
            <w:col w:w="11380"/>
          </w:cols>
          <w:pgMar w:left="240" w:top="270" w:right="279" w:bottom="1440" w:gutter="0" w:footer="0" w:header="0"/>
        </w:sectPr>
      </w:pPr>
    </w:p>
    <w:bookmarkStart w:id="170" w:name="page171"/>
    <w:bookmarkEnd w:id="170"/>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Appraisal</w:t>
      </w:r>
      <w:r>
        <w:rPr>
          <w:rFonts w:ascii="Times New Roman" w:cs="Times New Roman" w:eastAsia="Times New Roman" w:hAnsi="Times New Roman"/>
          <w:sz w:val="18"/>
          <w:szCs w:val="18"/>
          <w:color w:val="auto"/>
        </w:rPr>
        <w:t>” means a net orderly liquidation value (NOLV) appraisal of each Credit Party’s Inventory using valuation methodology and other criteria acceptable to the Administrative Agent and, solely with respect to the Inventory of the Dutch Credit Parties, the Foreign Collateral Agent, which shall have been prepared by an independent appraiser acceptable to the Administrative Agent and, solely with respect to the Inventory of the Dutch Credit Parties, the Foreign Collateral Agent.</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SKF Concentration Limit</w:t>
      </w:r>
      <w:r>
        <w:rPr>
          <w:rFonts w:ascii="Times New Roman" w:cs="Times New Roman" w:eastAsia="Times New Roman" w:hAnsi="Times New Roman"/>
          <w:sz w:val="18"/>
          <w:szCs w:val="18"/>
          <w:color w:val="auto"/>
        </w:rPr>
        <w:t>” means, as at any time with respect to determining whether Accounts of SKF AB shall be Eligible Accounts to be included in the Dutch Borrowing Base or the U.S. Borrowing Base, the “Dutch Concentration Limit” with respect to such Accounts to be included in the Dutch Borrowing Base and the “U.S. Concentration Limit” with respect to such Accounts to be included in the U.S. Borrowing Base, as set forth in the following grid:</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S&amp;P Rating</w:t>
            </w:r>
          </w:p>
        </w:tc>
        <w:tc>
          <w:tcPr>
            <w:tcW w:w="17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Moody’s Rating</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Dutch Concentration Limit</w:t>
            </w: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Concentration Limit</w:t>
            </w:r>
          </w:p>
        </w:tc>
      </w:tr>
      <w:tr>
        <w:trPr>
          <w:trHeight w:val="95"/>
        </w:trPr>
        <w:tc>
          <w:tcPr>
            <w:tcW w:w="740" w:type="dxa"/>
            <w:vAlign w:val="bottom"/>
            <w:tcBorders>
              <w:top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or better</w:t>
            </w:r>
          </w:p>
        </w:tc>
        <w:tc>
          <w:tcPr>
            <w:tcW w:w="170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9"/>
              </w:rPr>
              <w:t>Baa2 or better</w:t>
            </w:r>
          </w:p>
        </w:tc>
        <w:tc>
          <w:tcPr>
            <w:tcW w:w="25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Up to 75%</w:t>
            </w:r>
          </w:p>
        </w:tc>
        <w:tc>
          <w:tcPr>
            <w:tcW w:w="17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Up to 50%</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to BB-</w:t>
            </w:r>
          </w:p>
        </w:tc>
        <w:tc>
          <w:tcPr>
            <w:tcW w:w="1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Baa3 to Ba3</w:t>
            </w: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Up to 50%</w:t>
            </w:r>
          </w:p>
        </w:tc>
        <w:tc>
          <w:tcPr>
            <w:tcW w:w="17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Up to 35%</w:t>
            </w:r>
          </w:p>
        </w:tc>
      </w:tr>
      <w:tr>
        <w:trPr>
          <w:trHeight w:val="108"/>
        </w:trPr>
        <w:tc>
          <w:tcPr>
            <w:tcW w:w="7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or worse</w:t>
            </w:r>
          </w:p>
        </w:tc>
        <w:tc>
          <w:tcPr>
            <w:tcW w:w="170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w w:val="99"/>
              </w:rPr>
              <w:t>B1 or worse</w:t>
            </w:r>
          </w:p>
        </w:tc>
        <w:tc>
          <w:tcPr>
            <w:tcW w:w="25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Up to 25%</w:t>
            </w:r>
          </w:p>
        </w:tc>
        <w:tc>
          <w:tcPr>
            <w:tcW w:w="17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Up to 25%</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provided in subpart (b) of the definition of “Cash Equivalents.”</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 System</w:t>
      </w:r>
      <w:r>
        <w:rPr>
          <w:rFonts w:ascii="Times New Roman" w:cs="Times New Roman" w:eastAsia="Times New Roman" w:hAnsi="Times New Roman"/>
          <w:sz w:val="18"/>
          <w:szCs w:val="18"/>
          <w:color w:val="auto"/>
        </w:rPr>
        <w:t>” means the StuckyNet System or any other equivalent electronic service, whether owned, operated or hosted by: (a) the Administrative Agent, any affiliate of the Administrative Agent, (b) the Foreign Collateral Agent, any affiliate of the Foreign Collateral Agent, or (c) any other Person.</w:t>
      </w:r>
    </w:p>
    <w:p>
      <w:pPr>
        <w:spacing w:after="0" w:line="176"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Fund</w:t>
      </w:r>
      <w:r>
        <w:rPr>
          <w:rFonts w:ascii="Times New Roman" w:cs="Times New Roman" w:eastAsia="Times New Roman" w:hAnsi="Times New Roman"/>
          <w:sz w:val="17"/>
          <w:szCs w:val="17"/>
          <w:color w:val="auto"/>
        </w:rPr>
        <w:t>” means a fund that is engaged in making, purchasing, holding or otherwise investing in commercial loans and similar extensions of credit in the ordinary course of its business and that is administered or managed by a Lender or an Affiliate of a Lender or an entity or an Affiliate of an entity that administers or manages such Lender. With respect to any Lender, an Approved Fund shall also include any swap, special purpose vehicle purchasing or acquiring security interests in collateralized loan obligations or any other vehicle through which such Lender may leverage its investments from time to time.</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ectPr>
          <w:pgSz w:w="11900" w:h="16838" w:orient="portrait"/>
          <w:cols w:equalWidth="0" w:num="1">
            <w:col w:w="11380"/>
          </w:cols>
          <w:pgMar w:left="240" w:top="270" w:right="279"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means an Assignment Agreement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collectively, the Company Audited Financial Statements and the Target Audited Financial Statements.</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with respect to (a) any U.S. Credit Party, any of the following officers: the President, the Chief Executive Officer, the Chief Financial Officer, any Vice President, the Treasurer, the Assistant Treasurer or the Controller, or such other Person as is authorized in writing to act on behalf of such Person and is acceptable to the Administrative Agent and (b) any Dutch Credit Party, any Person authorized in writing to act on behalf of such Dutch Credit Party that is acceptable to the Administrative Agent and the Foreign Collateral Agent.</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an amount equal to (a) the lesser of (i) the then Total Credit Facility Amount and (ii) the then Aggregate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then Aggregate Credit Facility Exposure.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Daily Availability</w:t>
      </w:r>
      <w:r>
        <w:rPr>
          <w:rFonts w:ascii="Times New Roman" w:cs="Times New Roman" w:eastAsia="Times New Roman" w:hAnsi="Times New Roman"/>
          <w:sz w:val="18"/>
          <w:szCs w:val="18"/>
          <w:color w:val="auto"/>
        </w:rPr>
        <w:t>” means, at any time, the sum of the Dutch Average Daily Availability and the U.S. Average Daily Availability.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Agreements</w:t>
      </w:r>
      <w:r>
        <w:rPr>
          <w:rFonts w:ascii="Times New Roman" w:cs="Times New Roman" w:eastAsia="Times New Roman" w:hAnsi="Times New Roman"/>
          <w:sz w:val="18"/>
          <w:szCs w:val="18"/>
          <w:color w:val="auto"/>
        </w:rPr>
        <w:t>” means Dutch Banking Services Agreements and U.S. Banking Services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the Dutch Banking Services Obligations and the U.S. Banking Services Obligations.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Providers</w:t>
      </w:r>
      <w:r>
        <w:rPr>
          <w:rFonts w:ascii="Times New Roman" w:cs="Times New Roman" w:eastAsia="Times New Roman" w:hAnsi="Times New Roman"/>
          <w:sz w:val="18"/>
          <w:szCs w:val="18"/>
          <w:color w:val="auto"/>
        </w:rPr>
        <w:t>” means Dutch Banking Services Providers and U.S. Banking Services Providers.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Reserves</w:t>
      </w:r>
      <w:r>
        <w:rPr>
          <w:rFonts w:ascii="Times New Roman" w:cs="Times New Roman" w:eastAsia="Times New Roman" w:hAnsi="Times New Roman"/>
          <w:sz w:val="18"/>
          <w:szCs w:val="18"/>
          <w:color w:val="auto"/>
        </w:rPr>
        <w:t>” means the Dutch Banking Services Reserves and the U.S. Banking Services Reserves.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or hereafter in effect, or any successor thereto, as hereafter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Domestic Base Rate or the Dutch Base Rate, as applicable.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any Loan bearing interest at a rate based upon the Base Rate in effect from time to time.</w:t>
      </w:r>
    </w:p>
    <w:p>
      <w:pPr>
        <w:spacing w:after="0" w:line="225"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Creditors</w:t>
      </w:r>
      <w:r>
        <w:rPr>
          <w:rFonts w:ascii="Times New Roman" w:cs="Times New Roman" w:eastAsia="Times New Roman" w:hAnsi="Times New Roman"/>
          <w:sz w:val="18"/>
          <w:szCs w:val="18"/>
          <w:color w:val="auto"/>
        </w:rPr>
        <w:t xml:space="preserve">” means, with respect to the Company Guaranteed Obligations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each of the Administrative Agent, the Foreign Collateral Agent, the Lenders, each LC Issuer and the Swing Line Lenders and each Designated Hedge Creditor, and the respective successors and assigns of each of the foregoing.</w:t>
      </w:r>
    </w:p>
    <w:p>
      <w:pPr>
        <w:sectPr>
          <w:pgSz w:w="11900" w:h="16838" w:orient="portrait"/>
          <w:cols w:equalWidth="0" w:num="1">
            <w:col w:w="11420"/>
          </w:cols>
          <w:pgMar w:left="240" w:top="270" w:right="239"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the Dutch Borrower and the U.S. Borrower and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any of them, as the context may require.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Borrowing or the incurrence of a Swing Loan.</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for purposes of the Closing Date delivery required hereunder, a certificate, signed and certified as accurate and complete by a Financial Officer of the Borrowers, in substantially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and otherwise acceptable to the Administrative Agent, in its Permitted Discretion and (b) from and after the Closing Date, an electronic report of the Aggregate Borrowing Base, the Dutch Borrowing Base and the U.S. Borrowing Base in form and substance acceptable to the Administrative Agent, in its Permitted Discretion, and, solely with respect to the Dutch Borrowing Base, the Foreign Collateral Agent, in its Permitted Discretion, to be submitted to the Administrative Agent and the Foreign Collateral Agent via an Approved Electronic Communication System.</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any day other than Saturday, Sunday or any other day on which commercial banks in New York City or Cleveland, Ohio are authorized or required by law to close, (b) with respect to any matters relating to LIBOR Loans, any day other than a day on which banks are not open for the transaction of banking business in London, England, and (c) with respect to any matters relating to Dutch Revolving Loans and the issuance of Dutch Letters of Credit, any day other than a day (i) on which banks are not open for banking business in London, England and Amsterdam, the Netherlands and (ii) in respect of any such Dutch Revolving Loan denominated in Euros, any day that is not a TARGET Day.</w:t>
      </w:r>
    </w:p>
    <w:p>
      <w:pPr>
        <w:spacing w:after="0" w:line="184"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w:t>
      </w:r>
      <w:r>
        <w:rPr>
          <w:rFonts w:ascii="Times New Roman" w:cs="Times New Roman" w:eastAsia="Times New Roman" w:hAnsi="Times New Roman"/>
          <w:sz w:val="18"/>
          <w:szCs w:val="18"/>
          <w:color w:val="auto"/>
        </w:rPr>
        <w:t xml:space="preserve">” means the mechanism for the allocation and exchange of interests in Loans, participations in Letters of Credit and other extensions of credit and collections thereunder established under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 Exchange</w:t>
      </w:r>
      <w:r>
        <w:rPr>
          <w:rFonts w:ascii="Times New Roman" w:cs="Times New Roman" w:eastAsia="Times New Roman" w:hAnsi="Times New Roman"/>
          <w:sz w:val="18"/>
          <w:szCs w:val="18"/>
          <w:color w:val="auto"/>
        </w:rPr>
        <w:t xml:space="preserve">” means the exchange of the Lender’s interests provided for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 Exchange Date</w:t>
      </w:r>
      <w:r>
        <w:rPr>
          <w:rFonts w:ascii="Times New Roman" w:cs="Times New Roman" w:eastAsia="Times New Roman" w:hAnsi="Times New Roman"/>
          <w:sz w:val="18"/>
          <w:szCs w:val="18"/>
          <w:color w:val="auto"/>
        </w:rPr>
        <w:t xml:space="preserve">” means the first date on which there shall occur (i) any event referred to in </w:t>
      </w:r>
      <w:r>
        <w:rPr>
          <w:rFonts w:ascii="Times New Roman" w:cs="Times New Roman" w:eastAsia="Times New Roman" w:hAnsi="Times New Roman"/>
          <w:sz w:val="18"/>
          <w:szCs w:val="18"/>
          <w:u w:val="single" w:color="auto"/>
          <w:color w:val="auto"/>
        </w:rPr>
        <w:t>Section 8.01(i)(i)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 acceleration of Loans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 Percentage</w:t>
      </w:r>
      <w:r>
        <w:rPr>
          <w:rFonts w:ascii="Times New Roman" w:cs="Times New Roman" w:eastAsia="Times New Roman" w:hAnsi="Times New Roman"/>
          <w:sz w:val="18"/>
          <w:szCs w:val="18"/>
          <w:color w:val="auto"/>
        </w:rPr>
        <w:t>” means, as to each Lender, a fraction, expressed as a decimal, of which (i) the numerator shall be the aggregate Dollar Equivalent (determined on the basis of Spot Rates prevailing on the date of the initial issuance dates for such Loans) of the Obligations in respect of Loans owed to such Lender (whether or not at the time due and payable) immediately prior to the occurrence of the CAM Exchange Date, and (ii) the denominator shall be the aggregate Dollar Equivalent (as so determined) of Obligations in respect of Loans owed to all the Lenders (whether or not at the time due and payable).</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Distribution</w:t>
      </w:r>
      <w:r>
        <w:rPr>
          <w:rFonts w:ascii="Times New Roman" w:cs="Times New Roman" w:eastAsia="Times New Roman" w:hAnsi="Times New Roman"/>
          <w:sz w:val="18"/>
          <w:szCs w:val="18"/>
          <w:color w:val="auto"/>
        </w:rPr>
        <w:t>” means a payment made, liability incurred or other consideration given by the Company or any of its Subsidiaries, for the purchase, acquisition, redemption, repurchase, payment, defeasance, cancellation, termination or retirement of any capital stock or other Equity Interest of the Company or such Subsidiary, as applicable, or as a dividend, return of capital or other distribution (other than any stock dividend, stock split or other equity distribution payable only in its common capital stock or other common Equity Interests) in respect of the Company’s or such Subsidiary’s (as the case may be) capital stock or other Equity Interest.</w:t>
      </w:r>
    </w:p>
    <w:p>
      <w:pPr>
        <w:sectPr>
          <w:pgSz w:w="11900" w:h="16838" w:orient="portrait"/>
          <w:cols w:equalWidth="0" w:num="1">
            <w:col w:w="11420"/>
          </w:cols>
          <w:pgMar w:left="240" w:top="270" w:right="239" w:bottom="1440" w:gutter="0" w:footer="0" w:header="0"/>
        </w:sectPr>
      </w:pPr>
    </w:p>
    <w:bookmarkStart w:id="173" w:name="page174"/>
    <w:bookmarkEnd w:id="173"/>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specified Person for any period, the aggregate of all expenditures (whether paid in cash or accrued as liabilities and including amounts expended or capitalized under Capital Leases) by such Person and its Subsidiaries during such period that, in conformity with GAAP, are or are required to be included as additions during such period to property, plant or equipment reflected in the consolidated balance sheet of such Person and its Subsidiaries.</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as applied to any Person means any lease of any property (whether real, personal or mixed) by that Person as lessee that, in conformity with GAAP, should be accounted for as a capital lease on the balance sheet of that Person.</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means, with respect to any Person, all obligations under Capital Leases of such Person, without duplication, in each case taken at the amount thereof accounted for as liabilities identified as “capital lease obligations” (or any similar words) on a consolidated balance sheet of such Person prepared in accordance with GAAP.</w:t>
      </w:r>
    </w:p>
    <w:p>
      <w:pPr>
        <w:spacing w:after="0" w:line="17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(a) to deposit into a cash collateral account maintained with (or on behalf of) the Administrative Agent or the Foreign Collateral Agent, as applicable, and under the sole dominion and control of the Administrative Agent or the Foreign Collateral Agent, as applicable, including, without limitation, any LC Collateral Account, or (b) to pledge and deposit with or deliver to the Administrative Agent or the Foreign Collateral Agent, as applicable, for the benefit of one or more of the LC Issuers or Lenders, as collateral for LC Outstandings or obligations of Lenders to fund participations in respect of LC Outstandings, cash or deposit account balances or, if the Administrative Agent and each applicable LC Issuer shall agree in their sole discretion, other credit support; in each case pursuant to documentation in form and substance satisfactory to the Administrative Agent or the Foreign Collateral Agent, as applicable, and each applicable LC Issuer.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means a Capital Distribution by a Person payable in cash to the holders of Equity Interests of such Person with respect to any class or series of Equity Interest of such Person.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right="20" w:firstLine="464"/>
        <w:spacing w:after="0" w:line="282" w:lineRule="auto"/>
        <w:tabs>
          <w:tab w:leader="none" w:pos="70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or any agency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thereof) having maturities of not more than one year from the date of acquisition;</w:t>
      </w:r>
    </w:p>
    <w:p>
      <w:pPr>
        <w:spacing w:after="0" w:line="161" w:lineRule="exact"/>
        <w:rPr>
          <w:rFonts w:ascii="Times New Roman" w:cs="Times New Roman" w:eastAsia="Times New Roman" w:hAnsi="Times New Roman"/>
          <w:sz w:val="18"/>
          <w:szCs w:val="18"/>
          <w:color w:val="auto"/>
        </w:rPr>
      </w:pPr>
    </w:p>
    <w:p>
      <w:pPr>
        <w:ind w:right="20" w:firstLine="464"/>
        <w:spacing w:after="0" w:line="256" w:lineRule="auto"/>
        <w:tabs>
          <w:tab w:leader="none" w:pos="71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denominated time deposits, certificates of deposit and bankers’ acceptances of (i) any Lender, (ii) any commercial bank of recognized standing organized under the laws of the United States (or any state thereof or the District of Columbia) and having capital and surplus in excess of $500,000,000 or (iii) any commercial bank (or the parent company of such bank) of recognized standing organized under the laws of the United States (or any state thereof or the District of Columbia) and whose short-term commercial paper rating from S&amp;P is at least A-1, A-2 or the equivalent thereof or from Moody’s is at least P-1, P-2 or the equivalent thereof (any such bank,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maturities of not more than 180 days from the date of acquisition;</w:t>
      </w:r>
    </w:p>
    <w:p>
      <w:pPr>
        <w:spacing w:after="0" w:line="187" w:lineRule="exact"/>
        <w:rPr>
          <w:rFonts w:ascii="Times New Roman" w:cs="Times New Roman" w:eastAsia="Times New Roman" w:hAnsi="Times New Roman"/>
          <w:sz w:val="18"/>
          <w:szCs w:val="18"/>
          <w:color w:val="auto"/>
        </w:rPr>
      </w:pPr>
    </w:p>
    <w:p>
      <w:pPr>
        <w:ind w:right="40" w:firstLine="464"/>
        <w:spacing w:after="0" w:line="261" w:lineRule="auto"/>
        <w:tabs>
          <w:tab w:leader="none" w:pos="70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Lender or Approved Bank or by the parent company of any Lender or Approved Bank and commercial paper issued by, or guaranteed by, any industrial or financial company with a short-term commercial paper rating of at least A-1 or the equivalent thereof by S&amp;P or at least P-1 or the equivalent thereof by Moody’s, or guaranteed by any industrial company with a long-term unsecured debt rating of at least A or A2, or the equivalent of each thereof, from S&amp;P or Moody’s, as the case may be, and in each case maturing within 180 days after the date of acquisition;</w:t>
      </w:r>
    </w:p>
    <w:p>
      <w:pPr>
        <w:sectPr>
          <w:pgSz w:w="11900" w:h="16838" w:orient="portrait"/>
          <w:cols w:equalWidth="0" w:num="1">
            <w:col w:w="11420"/>
          </w:cols>
          <w:pgMar w:left="240" w:top="270" w:right="239" w:bottom="1440" w:gutter="0" w:footer="0" w:header="0"/>
        </w:sectPr>
      </w:pPr>
    </w:p>
    <w:bookmarkStart w:id="174" w:name="page175"/>
    <w:bookmarkEnd w:id="174"/>
    <w:p>
      <w:pPr>
        <w:ind w:right="280" w:firstLine="464"/>
        <w:spacing w:after="0" w:line="282" w:lineRule="auto"/>
        <w:tabs>
          <w:tab w:leader="none" w:pos="71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fully collateralized repurchase agreements entered into with any Lender or Approved Bank having a term of not more than 30 days and covering securities described in clause (a) above;</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substantially all the assets of which are comprised of securities of the types described in clauses (a) through</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access to which is provided as part of “sweep” accounts maintained with a Lender or an Approved Bank;</w:t>
      </w:r>
    </w:p>
    <w:p>
      <w:pPr>
        <w:spacing w:after="0" w:line="225" w:lineRule="exact"/>
        <w:rPr>
          <w:rFonts w:ascii="Times New Roman" w:cs="Times New Roman" w:eastAsia="Times New Roman" w:hAnsi="Times New Roman"/>
          <w:sz w:val="18"/>
          <w:szCs w:val="18"/>
          <w:color w:val="auto"/>
        </w:rPr>
      </w:pPr>
    </w:p>
    <w:p>
      <w:pPr>
        <w:jc w:val="both"/>
        <w:ind w:firstLine="464"/>
        <w:spacing w:after="0" w:line="266" w:lineRule="auto"/>
        <w:tabs>
          <w:tab w:leader="none" w:pos="71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 Approved Bank; and</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pooled funds or investment accounts consisting of investments of the nature described in the foregoing clause (g).</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Proceeds</w:t>
      </w:r>
      <w:r>
        <w:rPr>
          <w:rFonts w:ascii="Times New Roman" w:cs="Times New Roman" w:eastAsia="Times New Roman" w:hAnsi="Times New Roman"/>
          <w:sz w:val="18"/>
          <w:szCs w:val="18"/>
          <w:color w:val="auto"/>
        </w:rPr>
        <w:t>” means, with respect to (a) any Asset Sale, the aggregate cash payments (including any cash received by way of deferred payment pursuant to a note receivable issued in connection with such Asset Sale, other than the portion of such deferred payment constituting interest, but only as and when so received) received by the Borrowers or any Subsidiary from such Asset Sale, (b) any Extraordinary Receipt, the aggregate cash payments, including all insurance proceeds and proceeds of any award for condemnation or taking, received in connection with such Extraordinary Receipt and (c) the issuance or incurrence of any Indebtedness, the aggregate cash proceeds received by the Borrowers or any Subsidiary in connection with the issuance or incurrence of such Indebtedness.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Proceeds From ABL Extraordinary Receipts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2.13(b)(ix)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means the Comprehensive Environmental Response, Compensation, and Liability Act of 1980, as the same may be amended from time to time, 42 U.S.C. § 9601 </w:t>
      </w:r>
      <w:r>
        <w:rPr>
          <w:rFonts w:ascii="Times New Roman" w:cs="Times New Roman" w:eastAsia="Times New Roman" w:hAnsi="Times New Roman"/>
          <w:sz w:val="18"/>
          <w:szCs w:val="18"/>
          <w:i w:val="1"/>
          <w:iCs w:val="1"/>
          <w:color w:val="auto"/>
        </w:rPr>
        <w:t>et seq.</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160" w:firstLine="464"/>
        <w:spacing w:after="0" w:line="261" w:lineRule="auto"/>
        <w:tabs>
          <w:tab w:leader="none" w:pos="7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Company;</w:t>
      </w:r>
    </w:p>
    <w:p>
      <w:pPr>
        <w:spacing w:after="0" w:line="180" w:lineRule="exact"/>
        <w:rPr>
          <w:rFonts w:ascii="Times New Roman" w:cs="Times New Roman" w:eastAsia="Times New Roman" w:hAnsi="Times New Roman"/>
          <w:sz w:val="18"/>
          <w:szCs w:val="18"/>
          <w:color w:val="auto"/>
        </w:rPr>
      </w:pPr>
    </w:p>
    <w:p>
      <w:pPr>
        <w:ind w:right="60" w:firstLine="464"/>
        <w:spacing w:after="0" w:line="255" w:lineRule="auto"/>
        <w:tabs>
          <w:tab w:leader="none" w:pos="71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w:t>
      </w:r>
    </w:p>
    <w:p>
      <w:pPr>
        <w:sectPr>
          <w:pgSz w:w="11900" w:h="16838" w:orient="portrait"/>
          <w:cols w:equalWidth="0" w:num="1">
            <w:col w:w="11400"/>
          </w:cols>
          <w:pgMar w:left="240" w:top="270" w:right="259" w:bottom="1440" w:gutter="0" w:footer="0" w:header="0"/>
        </w:sectPr>
      </w:pPr>
    </w:p>
    <w:bookmarkStart w:id="175" w:name="page176"/>
    <w:bookmarkEnd w:id="175"/>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or threatened solicitation of proxies or consents for the election or removal of one or more directors by any person or group other than a solicitation for the election of one or more directors by or on behalf of the board of directors);</w:t>
      </w:r>
    </w:p>
    <w:p>
      <w:pPr>
        <w:spacing w:after="0" w:line="162" w:lineRule="exact"/>
        <w:rPr>
          <w:sz w:val="20"/>
          <w:szCs w:val="20"/>
          <w:color w:val="auto"/>
        </w:rPr>
      </w:pPr>
    </w:p>
    <w:p>
      <w:pPr>
        <w:ind w:left="700" w:hanging="236"/>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cease to own, directly or indirectly, one hundred percent (100%) of the record and beneficial ownership of each other Credit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or</w:t>
      </w:r>
    </w:p>
    <w:p>
      <w:pPr>
        <w:spacing w:after="0" w:line="20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or other similar provision, as defined in any Material Indebtedness Agreement or the Term Loan Documents.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August 29, 2014.</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Equity Contribution</w:t>
      </w:r>
      <w:r>
        <w:rPr>
          <w:rFonts w:ascii="Times New Roman" w:cs="Times New Roman" w:eastAsia="Times New Roman" w:hAnsi="Times New Roman"/>
          <w:sz w:val="18"/>
          <w:szCs w:val="18"/>
          <w:color w:val="auto"/>
        </w:rPr>
        <w:t>” means the issuance of common equity interests in the Company to certain shareholders of the Target reasonably satisfactory to the Administrative Agent in an aggregate amount not less than $25,000,000.</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the regulations promulgated and the rulings issued thereunder. Section references to the Code are to the Code as in effect at the Closing Date and any subsequent provisions of the Code, amendatory thereof, supplemental thereto or substituted therefor.</w:t>
      </w:r>
    </w:p>
    <w:p>
      <w:pPr>
        <w:spacing w:after="0" w:line="176"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the “Collateral” as defined in the Security Documents, together with any other collateral (whether Real Property or personal property) covered by any Security Document.</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a landlord’s waiver, mortgagee’s waiver or bailee’s waiver, or other agreement each in form and substance satisfactory to the Administrative Agent in the case of Collateral of the U.S. Credit Parties or the Foreign Collateral Agent in the case of Collateral of the Dutch Credit Parties between the Administrative Agent or the Foreign Collateral Agent, as applicable, and any third party (including any bailee, consignee, customs broker, or other similar Person) in possession of any Collateral or any landlord of or mortgagee with respect to any real property where any Collateral is located, and providing, among other things, for waiver of Lien, certain notices and opportunity to cure and access to Collateral, delivered by a Credit Party in connection with this Agreement, as the same may from time to time be amended, restated or otherwise modified.</w:t>
      </w:r>
    </w:p>
    <w:p>
      <w:pPr>
        <w:sectPr>
          <w:pgSz w:w="11900" w:h="16838" w:orient="portrait"/>
          <w:cols w:equalWidth="0" w:num="1">
            <w:col w:w="11420"/>
          </w:cols>
          <w:pgMar w:left="240" w:top="270" w:right="239" w:bottom="1440" w:gutter="0" w:footer="0" w:header="0"/>
        </w:sectPr>
      </w:pPr>
    </w:p>
    <w:bookmarkStart w:id="176" w:name="page177"/>
    <w:bookmarkEnd w:id="176"/>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Assignment of Merger Documents</w:t>
      </w:r>
      <w:r>
        <w:rPr>
          <w:rFonts w:ascii="Times New Roman" w:cs="Times New Roman" w:eastAsia="Times New Roman" w:hAnsi="Times New Roman"/>
          <w:sz w:val="18"/>
          <w:szCs w:val="18"/>
          <w:color w:val="auto"/>
        </w:rPr>
        <w:t xml:space="preserve">” means a Collateral Assignment of Merger Documents,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pursuant to which the Company and the Merger Sub, among other things, collaterally assigns its rights and benefits under the Target Acquisition Documentation to the Administrative Agent.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Reports</w:t>
      </w:r>
      <w:r>
        <w:rPr>
          <w:rFonts w:ascii="Times New Roman" w:cs="Times New Roman" w:eastAsia="Times New Roman" w:hAnsi="Times New Roman"/>
          <w:sz w:val="18"/>
          <w:szCs w:val="18"/>
          <w:color w:val="auto"/>
        </w:rPr>
        <w:t>” means the Appraisals and the Field Examinations.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Letter of Credit</w:t>
      </w:r>
      <w:r>
        <w:rPr>
          <w:rFonts w:ascii="Times New Roman" w:cs="Times New Roman" w:eastAsia="Times New Roman" w:hAnsi="Times New Roman"/>
          <w:sz w:val="18"/>
          <w:szCs w:val="18"/>
          <w:color w:val="auto"/>
        </w:rPr>
        <w:t>” means any letter of credit or similar instrument issued for the purpose of providing the primary payment mechanism in connection with the purchase of materials, goods or services in the ordinary course of business.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means the Dutch Commitment Fees and the U.S. Commitment Fees.</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Usage</w:t>
      </w:r>
      <w:r>
        <w:rPr>
          <w:rFonts w:ascii="Times New Roman" w:cs="Times New Roman" w:eastAsia="Times New Roman" w:hAnsi="Times New Roman"/>
          <w:sz w:val="18"/>
          <w:szCs w:val="18"/>
          <w:color w:val="auto"/>
        </w:rPr>
        <w:t>” means, as of the end of any period, the average of the Aggregate Credit Facility Exposure for each of the days of such period, as determined with reference to the daily Revolving Borrowings and LC Outstandings for such period.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27"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Hedge Agreement</w:t>
      </w:r>
      <w:r>
        <w:rPr>
          <w:rFonts w:ascii="Times New Roman" w:cs="Times New Roman" w:eastAsia="Times New Roman" w:hAnsi="Times New Roman"/>
          <w:sz w:val="18"/>
          <w:szCs w:val="18"/>
          <w:color w:val="auto"/>
        </w:rPr>
        <w:t>” means a commodities contract purchased by the Company or any of its Subsidiaries in the ordinary course of business, and not for speculative purposes, with respect to raw materials necessary to the manufacturing or production of goods in connection with the business of the Company and its Subsidiaries.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Audited Financial Statements</w:t>
      </w:r>
      <w:r>
        <w:rPr>
          <w:rFonts w:ascii="Times New Roman" w:cs="Times New Roman" w:eastAsia="Times New Roman" w:hAnsi="Times New Roman"/>
          <w:sz w:val="18"/>
          <w:szCs w:val="18"/>
          <w:color w:val="auto"/>
        </w:rPr>
        <w:t>” means the audited consolidated balance sheet of the Company and its Subsidiaries (but not including the Target and its Subsidiaries) for the fiscal year ended December 31, 2013, and the related consolidated statements of income or operations, shareholders’ equity and cash flows for such fiscal year of the Company and its Subsidiaries, including the notes thereto.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Interim Financial Statements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4.01(m)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Conditions to Regular Borrowing Base</w:t>
      </w:r>
      <w:r>
        <w:rPr>
          <w:rFonts w:ascii="Times New Roman" w:cs="Times New Roman" w:eastAsia="Times New Roman" w:hAnsi="Times New Roman"/>
          <w:sz w:val="18"/>
          <w:szCs w:val="18"/>
          <w:color w:val="auto"/>
        </w:rPr>
        <w:t xml:space="preserve">” means the conditions precedent set forth in </w:t>
      </w:r>
      <w:r>
        <w:rPr>
          <w:rFonts w:ascii="Times New Roman" w:cs="Times New Roman" w:eastAsia="Times New Roman" w:hAnsi="Times New Roman"/>
          <w:sz w:val="18"/>
          <w:szCs w:val="18"/>
          <w:u w:val="single" w:color="auto"/>
          <w:color w:val="auto"/>
        </w:rPr>
        <w:t>Sections 4.01, 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and the following:</w:t>
      </w:r>
    </w:p>
    <w:p>
      <w:pPr>
        <w:spacing w:after="0" w:line="225" w:lineRule="exact"/>
        <w:rPr>
          <w:sz w:val="20"/>
          <w:szCs w:val="20"/>
          <w:color w:val="auto"/>
        </w:rPr>
      </w:pPr>
    </w:p>
    <w:p>
      <w:pPr>
        <w:ind w:right="40" w:firstLine="464"/>
        <w:spacing w:after="0" w:line="261" w:lineRule="auto"/>
        <w:tabs>
          <w:tab w:leader="none" w:pos="70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establishment and maintenance by the Company and the U.S. Credit Parties of lockbox, cash collateral accounts, controlled disbursement and collection accounts, (ii) the establishment of a subscription to the Administrative Agent’s financial reporting system and (iii) the establishment of all necessary operating and collection accounts with the Administrative Agent or such other Lender as may be acceptable to the Administrative Agent in its Permitted Discretion;</w:t>
      </w:r>
    </w:p>
    <w:p>
      <w:pPr>
        <w:spacing w:after="0" w:line="18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Administrative Agent of all Control Agreements deemed necessary by the Administrative Agent in its Permitted Discretion;</w:t>
      </w:r>
    </w:p>
    <w:p>
      <w:pPr>
        <w:sectPr>
          <w:pgSz w:w="11900" w:h="16838" w:orient="portrait"/>
          <w:cols w:equalWidth="0" w:num="1">
            <w:col w:w="11420"/>
          </w:cols>
          <w:pgMar w:left="240" w:top="270" w:right="239" w:bottom="1440" w:gutter="0" w:footer="0" w:header="0"/>
        </w:sectPr>
      </w:pPr>
    </w:p>
    <w:bookmarkStart w:id="177" w:name="page178"/>
    <w:bookmarkEnd w:id="177"/>
    <w:p>
      <w:pPr>
        <w:ind w:right="200" w:firstLine="464"/>
        <w:spacing w:after="0" w:line="261" w:lineRule="auto"/>
        <w:tabs>
          <w:tab w:leader="none" w:pos="70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establishment and maintenance by the Dutch Borrower and the Dutch Guarantors of cash collateral accounts, controlled disbursement and collection accounts, (ii) the establishment of a subscription to the Foreign Collateral Agent’s financial reporting system and (iii) the establishment of all necessary operating and collection accounts with the Foreign Collateral Agent or such other Lender as may be acceptable to the Foreign Collateral Agent in its Permitted Discretion;</w:t>
      </w:r>
    </w:p>
    <w:p>
      <w:pPr>
        <w:spacing w:after="0" w:line="18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Foreign Collateral Agent of all Control Agreements deemed necessary by the Foreign Collateral Agent in its Permitted Discretion;</w:t>
      </w:r>
    </w:p>
    <w:p>
      <w:pPr>
        <w:spacing w:after="0" w:line="225" w:lineRule="exact"/>
        <w:rPr>
          <w:rFonts w:ascii="Times New Roman" w:cs="Times New Roman" w:eastAsia="Times New Roman" w:hAnsi="Times New Roman"/>
          <w:sz w:val="18"/>
          <w:szCs w:val="18"/>
          <w:color w:val="auto"/>
        </w:rPr>
      </w:pPr>
    </w:p>
    <w:p>
      <w:pPr>
        <w:ind w:right="340" w:firstLine="464"/>
        <w:spacing w:after="0" w:line="282" w:lineRule="auto"/>
        <w:tabs>
          <w:tab w:leader="none" w:pos="70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solely with respect to the Collateral of the Dutch Credit Parties, the Foreign Collateral Agent shall have received, reviewed and be satisfied with the Collateral Reports;</w:t>
      </w:r>
    </w:p>
    <w:p>
      <w:pPr>
        <w:spacing w:after="0" w:line="161" w:lineRule="exact"/>
        <w:rPr>
          <w:rFonts w:ascii="Times New Roman" w:cs="Times New Roman" w:eastAsia="Times New Roman" w:hAnsi="Times New Roman"/>
          <w:sz w:val="18"/>
          <w:szCs w:val="18"/>
          <w:color w:val="auto"/>
        </w:rPr>
      </w:pPr>
    </w:p>
    <w:p>
      <w:pPr>
        <w:ind w:right="740" w:firstLine="464"/>
        <w:spacing w:after="0" w:line="282" w:lineRule="auto"/>
        <w:tabs>
          <w:tab w:leader="none" w:pos="68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solely with respect to the accounting and cash management systems of the Dutch Credit Parties, the Foreign Collateral Agent shall be satisfied with the accounting and cash management systems of each Credit Party;</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complete customer and supplier due diligence satisfactory to the Administrative Agent; and</w:t>
      </w:r>
    </w:p>
    <w:p>
      <w:pPr>
        <w:spacing w:after="0" w:line="225" w:lineRule="exact"/>
        <w:rPr>
          <w:rFonts w:ascii="Times New Roman" w:cs="Times New Roman" w:eastAsia="Times New Roman" w:hAnsi="Times New Roman"/>
          <w:sz w:val="18"/>
          <w:szCs w:val="18"/>
          <w:color w:val="auto"/>
        </w:rPr>
      </w:pPr>
    </w:p>
    <w:p>
      <w:pPr>
        <w:ind w:right="500" w:firstLine="464"/>
        <w:spacing w:after="0" w:line="282" w:lineRule="auto"/>
        <w:tabs>
          <w:tab w:leader="none" w:pos="71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solely as they relate to the Dutch Credit Parties, the Foreign Collateral Agent shall have received the Insurance Endorsements.</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Administrative Agent may require additional conditions in its Permitted Discretion prior to the effectiveness of each Regular Borrowing Base and the initial Credit Event with respect thereto.</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Capital Expenditures</w:t>
      </w:r>
      <w:r>
        <w:rPr>
          <w:rFonts w:ascii="Times New Roman" w:cs="Times New Roman" w:eastAsia="Times New Roman" w:hAnsi="Times New Roman"/>
          <w:sz w:val="18"/>
          <w:szCs w:val="18"/>
          <w:color w:val="auto"/>
        </w:rPr>
        <w:t>” means, for any period, the aggregate of all Capital Expenditures made by the Company and its Subsidiaries for such period, as determined on a consolidated basis and in accordance with GAAP.</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Charges</w:t>
      </w:r>
      <w:r>
        <w:rPr>
          <w:rFonts w:ascii="Times New Roman" w:cs="Times New Roman" w:eastAsia="Times New Roman" w:hAnsi="Times New Roman"/>
          <w:sz w:val="18"/>
          <w:szCs w:val="18"/>
          <w:color w:val="auto"/>
        </w:rPr>
        <w:t>” means, for any period, the aggregate of all depreciation and amortization charges for fixed assets, leasehold improvements and general intangibles (specifically including goodwill) of the Company and its Subsidiaries for such period, as determined on a consolidated basis and in accordance with GAAP.</w:t>
      </w:r>
    </w:p>
    <w:p>
      <w:pPr>
        <w:spacing w:after="0" w:line="17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as determined on a consolidated basis, Consolidated Net Earnings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without duplication, the aggregate amounts deducted in determining such Consolidated Net Earnings in respect of: (i) Consolidated Interest Expense,</w:t>
      </w:r>
    </w:p>
    <w:p>
      <w:pPr>
        <w:sectPr>
          <w:pgSz w:w="11900" w:h="16838" w:orient="portrait"/>
          <w:cols w:equalWidth="0" w:num="1">
            <w:col w:w="11420"/>
          </w:cols>
          <w:pgMar w:left="240" w:top="270" w:right="239" w:bottom="1440" w:gutter="0" w:footer="0" w:header="0"/>
        </w:sectPr>
      </w:pPr>
    </w:p>
    <w:bookmarkStart w:id="178" w:name="page179"/>
    <w:bookmarkEnd w:id="178"/>
    <w:p>
      <w:pPr>
        <w:ind w:right="40" w:firstLine="8"/>
        <w:spacing w:after="0" w:line="253" w:lineRule="auto"/>
        <w:tabs>
          <w:tab w:leader="none" w:pos="26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Consolidated Income Tax Expense, (iii) Consolidated Depreciation and Amortization Charges, (iv) actual non-recurring non-cash restructuring charges to the extent such amounts together do not exceed $10,000,000 in the aggregate over all periods, (v) foreign exchange losses as reported in “Other Income” according to GAAP and the negative impact to Consolidated EBITDA resulting from converting foreign currency-based income to Dollar-based income to the extent such amounts together exceed $10,000,000 for such period, (vi) synergies, cost savings and other pro forma adjustments to actual historical Consolidated EBITDA in connection with the Merger or any Acquisition permitted pursuant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to the extent realized within 12 months of the Merger or such Acquisition,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synergies, cost savings and other adjustments are (A) directly attributable to the Merger or such Acquisition, (B) factually supportable, (C) reasonably identifiable, (D) expected to have a continuing impact on the Company and its Subsidiaries and</w:t>
      </w:r>
    </w:p>
    <w:p>
      <w:pPr>
        <w:spacing w:after="0" w:line="3"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consistent with Regulation S-X of the United States Securities and Exchange Commission and (vii) to the extent deducted in calculating Consolidated Net Earnings for such period, Transaction Costs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without duplication, the aggregate amounts included in determining such Consolidated Net Earnings in respect of: (i) unusual non-cash gains not incurred in the ordinary course of business and (ii) foreign exchange gains as reported in Other Income according to GAAP and the positive impact to Consolidated EBITDA resulting from converting foreign currency-based income to Dollar-based income to the extent such amounts together exceed $10,000,000 for such period. For purposes of this Agreement, Consolidated EBITDA shall be adjusted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right="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to the contrary contained herein, Consolidated EBITDA for each of the fiscal quarters ended September 30, 2013, December 31, 2013, March 31, 2014 and June 30, 2014 shall be deemed to equal $23,519,000, $22,851,000, $25,024,000 and $27,654,000, respectively.</w:t>
      </w:r>
    </w:p>
    <w:p>
      <w:pPr>
        <w:spacing w:after="0" w:line="18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xml:space="preserve">” means, for any period, as determined on a consolidated basis and in accordance with GAAP, the sum (without duplication) of (a) Consolidated Interest Expense actually paid in cash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current portion of long term liabilities (which, for the avoidance of doubt, shall not include the current portion of any Revolving Loans or Swing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current portion of Capitalized Lease Obligations of the Company or any of its Subsidiaries,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prepayments of Indebtedness of the Company or any of its Subsidiaries utilizing funds other than proceeds of issuances of Equity Interests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(d) shall only apply for purposes of calculating the Fixed Charge Coverage Ratio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Income Tax Expense</w:t>
      </w:r>
      <w:r>
        <w:rPr>
          <w:rFonts w:ascii="Times New Roman" w:cs="Times New Roman" w:eastAsia="Times New Roman" w:hAnsi="Times New Roman"/>
          <w:sz w:val="18"/>
          <w:szCs w:val="18"/>
          <w:color w:val="auto"/>
        </w:rPr>
        <w:t>” means, for any period, all provisions for taxes based on the gross or net income of the Company and its Subsidiaries (including, without limitation, any additions to such taxes, and any penalties and interest with respect thereto), all as determined on a consolidated basis in accordance with GAAP.</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total interest expense (including, without limitation, that which is capitalized and that which is attributable to Capital Leases or Synthetic Leases) of the Company and its Subsidiaries on a consolidated basis in accordance with GAAP.</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Earnings</w:t>
      </w:r>
      <w:r>
        <w:rPr>
          <w:rFonts w:ascii="Times New Roman" w:cs="Times New Roman" w:eastAsia="Times New Roman" w:hAnsi="Times New Roman"/>
          <w:sz w:val="18"/>
          <w:szCs w:val="18"/>
          <w:color w:val="auto"/>
        </w:rPr>
        <w:t xml:space="preserve">” means, for any period, the net income (or loss) of the Company and its Subsidiaries for such period, as determined on a consolidated basis and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Earnings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Organizational Documents or any agreement, instrument or Law applicable to such Subsidiary during such period, except that the Company’s equity in any net loss of any such Subsidiary for such period shall be included in determining Consolidated Net Earnings, and (c) any income (or loss) for such period of any Person if such Person is not a Subsidiary, except that the Company’s equity in the net income of any such Person for such period shall be included in Consolidated</w:t>
      </w:r>
    </w:p>
    <w:p>
      <w:pPr>
        <w:sectPr>
          <w:pgSz w:w="11900" w:h="16838" w:orient="portrait"/>
          <w:cols w:equalWidth="0" w:num="1">
            <w:col w:w="11400"/>
          </w:cols>
          <w:pgMar w:left="240" w:top="270" w:right="259" w:bottom="1440" w:gutter="0" w:footer="0" w:header="0"/>
        </w:sectPr>
      </w:pPr>
    </w:p>
    <w:bookmarkStart w:id="179" w:name="page180"/>
    <w:bookmarkEnd w:id="17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Earnings up to the aggregate amount of cash actually distributed by such Person during such period to the Company or a Subsidiary as a dividend or other distribution (and in the case of a dividend or other distribution to a Subsidiary, such Subsidiary is not precluded from further distributing such amount to the Company as described in clause (b) of this proviso).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Continuation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Continued</w:t>
      </w:r>
      <w:r>
        <w:rPr>
          <w:rFonts w:ascii="Times New Roman" w:cs="Times New Roman" w:eastAsia="Times New Roman" w:hAnsi="Times New Roman"/>
          <w:sz w:val="18"/>
          <w:szCs w:val="18"/>
          <w:color w:val="auto"/>
        </w:rPr>
        <w:t xml:space="preserve">” each refers to a continuation of a LIBOR Loan for an additional Interest Period as provided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has the meaning set forth in the Security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Loans of one Type into Loans of another Type.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Obligations</w:t>
      </w:r>
      <w:r>
        <w:rPr>
          <w:rFonts w:ascii="Times New Roman" w:cs="Times New Roman" w:eastAsia="Times New Roman" w:hAnsi="Times New Roman"/>
          <w:sz w:val="18"/>
          <w:szCs w:val="18"/>
          <w:color w:val="auto"/>
        </w:rPr>
        <w:t>” means the Dutch Obligations as they may exist from time to time, other than the Parallel Debts.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Threshold (Other)</w:t>
      </w:r>
      <w:r>
        <w:rPr>
          <w:rFonts w:ascii="Times New Roman" w:cs="Times New Roman" w:eastAsia="Times New Roman" w:hAnsi="Times New Roman"/>
          <w:sz w:val="18"/>
          <w:szCs w:val="18"/>
          <w:color w:val="auto"/>
        </w:rPr>
        <w:t>” means, at any time, the greater of (a) $12,500,000 and (b) the lesser of (i) 15.0% of the then Aggregate Borrowing Base and (ii) 15.0% of the then Total Credit Facility Amount.</w:t>
      </w:r>
    </w:p>
    <w:p>
      <w:pPr>
        <w:spacing w:after="0" w:line="16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Threshold (RP)</w:t>
      </w:r>
      <w:r>
        <w:rPr>
          <w:rFonts w:ascii="Times New Roman" w:cs="Times New Roman" w:eastAsia="Times New Roman" w:hAnsi="Times New Roman"/>
          <w:sz w:val="18"/>
          <w:szCs w:val="18"/>
          <w:color w:val="auto"/>
        </w:rPr>
        <w:t>” means, at any time, the greater of (a) $12,500,000 and (b) the lesser of (i) 17.5% of the then Aggregate Borrowing Base and (ii) 17.5% of the then Total Credit Facility Amount.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the making of any Borrowing, any Conversion or Continuation or any LC Issuance.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collectively, the Dutch Credit Facility and the U.S. Credit Facility and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 Exposure</w:t>
      </w:r>
      <w:r>
        <w:rPr>
          <w:rFonts w:ascii="Times New Roman" w:cs="Times New Roman" w:eastAsia="Times New Roman" w:hAnsi="Times New Roman"/>
          <w:sz w:val="18"/>
          <w:szCs w:val="18"/>
          <w:color w:val="auto"/>
        </w:rPr>
        <w:t>” means, with respect to any Lender at any time, the sum of its Dutch Credit Facility Exposure and U.S. Credit Facility Exposure.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means, collectively, the Dutch Credit Parties and the U.S. Credit Parties and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Creditor Representative</w:t>
      </w:r>
      <w:r>
        <w:rPr>
          <w:rFonts w:ascii="Times New Roman" w:cs="Times New Roman" w:eastAsia="Times New Roman" w:hAnsi="Times New Roman"/>
          <w:sz w:val="18"/>
          <w:szCs w:val="18"/>
          <w:color w:val="auto"/>
        </w:rPr>
        <w:t>” means under any applicable law, a receiver, manager, controller, interim receiver, receiver and manager, trustee (including any trustee in bankruptcy), custodian, conservator, administrator, examiner, sheriff, monitor, assignee, liquidator, provisional liquidator, sequestrator, administrative receiver, judicial manager, statutory manager or similar officer or fiduciary.</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CRR</w:t>
      </w:r>
      <w:r>
        <w:rPr>
          <w:rFonts w:ascii="Times New Roman" w:cs="Times New Roman" w:eastAsia="Times New Roman" w:hAnsi="Times New Roman"/>
          <w:sz w:val="18"/>
          <w:szCs w:val="18"/>
          <w:color w:val="auto"/>
        </w:rPr>
        <w:t>” means the Council Regulation (EU) No. 575/2013 of the European Parliament and of the Council of 26 June 2013 on prudential requirements for credit institutions and investment firms and amending Regulation (EU) No. 648/2012.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act or condition that with notice or lapse of time, or both, would constitute an Event of Default.</w:t>
      </w:r>
    </w:p>
    <w:p>
      <w:pPr>
        <w:sectPr>
          <w:pgSz w:w="11900" w:h="16838" w:orient="portrait"/>
          <w:cols w:equalWidth="0" w:num="1">
            <w:col w:w="11420"/>
          </w:cols>
          <w:pgMar w:left="240" w:top="270" w:right="239" w:bottom="1440" w:gutter="0" w:footer="0" w:header="0"/>
        </w:sectPr>
      </w:pPr>
    </w:p>
    <w:bookmarkStart w:id="180" w:name="page181"/>
    <w:bookmarkEnd w:id="180"/>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for any day, (a) with respect to any Loan, a rate per annum equal to 2% per annum above the interest rate that is or would be applicable from time to time to such Loan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and (b) with respect to any other amount, a rate per annum equal to 2% per annum above the rate that would be applicable to Revolving Loans that are Base Rate Loans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any Lender that (a) has failed to (i) fund all or any portion of its Loans within two Business Days of the date such Loans were required to be funded hereunder unless such Lender notifies the Administrative Agent and the applicable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Foreign Collateral Agent, any LC Issuer, any Swing Line Lender or any other Lender any other amount required to be paid by it hereunder (including in respect of its participation in Letters of Credit, Swing Loans, Agent Advances or Overadvances) within two Business Days of the date when due, (b) has notified the Borrowers, the Administrative Agent, the Foreign Collateral Agent or any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two Business Days after written request by the Administrative Agent or the Borrowers, to confirm in writing to the Administrative Agent and the Borrowers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w:t>
      </w:r>
    </w:p>
    <w:p>
      <w:pPr>
        <w:spacing w:after="0" w:line="3" w:lineRule="exact"/>
        <w:rPr>
          <w:sz w:val="20"/>
          <w:szCs w:val="20"/>
          <w:color w:val="auto"/>
        </w:rPr>
      </w:pPr>
    </w:p>
    <w:p>
      <w:pPr>
        <w:ind w:left="260" w:hanging="252"/>
        <w:spacing w:after="0"/>
        <w:tabs>
          <w:tab w:leader="none" w:pos="2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such written confirmation by the Administrative Agent and the Borrowers), or (d) has, or has a direct or indirect parent company that has,</w:t>
      </w:r>
    </w:p>
    <w:p>
      <w:pPr>
        <w:spacing w:after="0" w:line="9" w:lineRule="exact"/>
        <w:rPr>
          <w:rFonts w:ascii="Times New Roman" w:cs="Times New Roman" w:eastAsia="Times New Roman" w:hAnsi="Times New Roman"/>
          <w:sz w:val="18"/>
          <w:szCs w:val="18"/>
          <w:color w:val="auto"/>
        </w:rPr>
      </w:pPr>
    </w:p>
    <w:p>
      <w:pPr>
        <w:ind w:right="160" w:firstLine="8"/>
        <w:spacing w:after="0" w:line="251" w:lineRule="auto"/>
        <w:tabs>
          <w:tab w:leader="none" w:pos="2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 the subject of a proceeding under the Bankruptcy Code or any other liquidation, conservatorship, bankruptcy, assignment for the benefit of creditors, moratorium, rearrangement, receivership, insolvency, reorganization, or similar debtor relief laws of the United States or other applicable jurisdictions from time to time in effect,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or foreign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other applicable jurisdiction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upon delivery of written notice of such determination to the Borrowers, each LC Issuer, each Swing Line Lender and each Lender.</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Hedge Agreement</w:t>
      </w:r>
      <w:r>
        <w:rPr>
          <w:rFonts w:ascii="Times New Roman" w:cs="Times New Roman" w:eastAsia="Times New Roman" w:hAnsi="Times New Roman"/>
          <w:sz w:val="18"/>
          <w:szCs w:val="18"/>
          <w:color w:val="auto"/>
        </w:rPr>
        <w:t>” means any Hedge Agreement to which the Company or any of its Subsidiaries is a party and as to which a Lender or any of its Affiliates is a counterparty that, pursuant to a written instrument signed by the Administrative Agent, has been designated as a Designated Hedge Agreement so that the Company’s or such Subsidiary’s counterparty’s credit exposure thereunder will be entitled to share in the benefits of the applicable Guaranty and the applicable Security Documents to the extent the applicable Guaranty and such applicable Security Documents provide guarantees or security for creditors of the Company or any Subsidiary under Designated Hedge Agreements.</w:t>
      </w:r>
    </w:p>
    <w:p>
      <w:pPr>
        <w:sectPr>
          <w:pgSz w:w="11900" w:h="16838" w:orient="portrait"/>
          <w:cols w:equalWidth="0" w:num="1">
            <w:col w:w="11420"/>
          </w:cols>
          <w:pgMar w:left="240" w:top="270" w:right="239" w:bottom="1440" w:gutter="0" w:footer="0" w:header="0"/>
        </w:sectPr>
      </w:pPr>
    </w:p>
    <w:bookmarkStart w:id="181" w:name="page182"/>
    <w:bookmarkEnd w:id="181"/>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Hedge Creditor</w:t>
      </w:r>
      <w:r>
        <w:rPr>
          <w:rFonts w:ascii="Times New Roman" w:cs="Times New Roman" w:eastAsia="Times New Roman" w:hAnsi="Times New Roman"/>
          <w:sz w:val="18"/>
          <w:szCs w:val="18"/>
          <w:color w:val="auto"/>
        </w:rPr>
        <w:t>” means each Lender or Affiliate of a Lender that participates as a counterparty to any Credit Party pursuant to any Designated Hedge Agreement with such Lender or Affiliate of such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(i) with respect to any amount denominated in U.S. Dollars, such amount, and (ii) with respect to any amount denominated in Euro, the equivalent amount thereof in U.S. Dollars as determined by the Foreign Collateral Agent at such time on the basis of the Spot Rate (determined in respect of the most recent Revaluation Date) for the purchase of U.S. Dollars with such Euro.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each means lawful money of the United States.</w:t>
      </w:r>
    </w:p>
    <w:p>
      <w:pPr>
        <w:spacing w:after="0" w:line="2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Base Rate</w:t>
      </w:r>
      <w:r>
        <w:rPr>
          <w:rFonts w:ascii="Times New Roman" w:cs="Times New Roman" w:eastAsia="Times New Roman" w:hAnsi="Times New Roman"/>
          <w:sz w:val="18"/>
          <w:szCs w:val="18"/>
          <w:color w:val="auto"/>
        </w:rPr>
        <w:t xml:space="preserve">” means, for any day, a fluctuating interest rate per annum as shall be in effect from time to time, which rate per annum shall at all times be equal to the greatest of: (a) the rate of interest established by KeyBank National Association, from time to time, as its “prime rate,” whether or not publicly announced, which interest rate may or may not be the lowest rate charged by it for commercial loans or other extensions of credit; (b) the Federal Funds Effective Rate in effect from time to time, determined one Business Day in arrears,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per annum; and (c) the Adjusted LIBOR Rate for a one-month Interest Period on such day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1.00%.</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organized under the laws of the United States, any State thereof, or the District of Columbia.</w:t>
      </w:r>
    </w:p>
    <w:p>
      <w:pPr>
        <w:spacing w:after="0" w:line="225"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Agent Advance Exposure</w:t>
      </w:r>
      <w:r>
        <w:rPr>
          <w:rFonts w:ascii="Times New Roman" w:cs="Times New Roman" w:eastAsia="Times New Roman" w:hAnsi="Times New Roman"/>
          <w:sz w:val="18"/>
          <w:szCs w:val="18"/>
          <w:color w:val="auto"/>
        </w:rPr>
        <w:t>” means, at any time, the aggregate principal amount of all Agent Advances made by the Foreign Collateral Agent outstanding. The Dutch Agent Advance Exposure of any Dutch Lender at any time shall be its Dutch Revolving Facility Percentage of the aggregate Dutch Agent Advance Exposure.</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Availability</w:t>
      </w:r>
      <w:r>
        <w:rPr>
          <w:rFonts w:ascii="Times New Roman" w:cs="Times New Roman" w:eastAsia="Times New Roman" w:hAnsi="Times New Roman"/>
          <w:sz w:val="18"/>
          <w:szCs w:val="18"/>
          <w:color w:val="auto"/>
        </w:rPr>
        <w:t xml:space="preserve">” means, at any time, an amount equal to (a) the lesser of (i) the Total Dutch Credit Facility Amount and (ii) the Dutch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Dutch Credit Facility Exposure. Notwithstanding the foregoing, until the conditions precedent to initial Dutch Borrowings and initial Dutch LC Issuances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are satisfied, the Dutch Availability shall be deemed to be zero.</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Average Daily Availability</w:t>
      </w:r>
      <w:r>
        <w:rPr>
          <w:rFonts w:ascii="Times New Roman" w:cs="Times New Roman" w:eastAsia="Times New Roman" w:hAnsi="Times New Roman"/>
          <w:sz w:val="18"/>
          <w:szCs w:val="18"/>
          <w:color w:val="auto"/>
        </w:rPr>
        <w:t>” means, as of the end of any period, the average of the Dutch Availability for each of the Business Days of such period, as determined with reference to the Borrowing Base Certificates applicable to such period and the daily Dutch Revolving Borrowings and Dutch LC Outstandings for such period.</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Banking Services Agreements</w:t>
      </w:r>
      <w:r>
        <w:rPr>
          <w:rFonts w:ascii="Times New Roman" w:cs="Times New Roman" w:eastAsia="Times New Roman" w:hAnsi="Times New Roman"/>
          <w:sz w:val="18"/>
          <w:szCs w:val="18"/>
          <w:color w:val="auto"/>
        </w:rPr>
        <w:t>” means commercial credit cards (including, without limitation, credit or debit cards for commercial customers and purchasing cards), stored value cards, or treasury and cash management services (including controlled disbursement, automated clearinghouse transactions, return items, e-payables, overdrafts, netting and interstate depository network services) provided by any Dutch Lender (or any of its Affiliates) (a “</w:t>
      </w:r>
      <w:r>
        <w:rPr>
          <w:rFonts w:ascii="Times New Roman" w:cs="Times New Roman" w:eastAsia="Times New Roman" w:hAnsi="Times New Roman"/>
          <w:sz w:val="18"/>
          <w:szCs w:val="18"/>
          <w:u w:val="single" w:color="auto"/>
          <w:color w:val="auto"/>
        </w:rPr>
        <w:t>Dutch Banking Service Provider</w:t>
      </w:r>
      <w:r>
        <w:rPr>
          <w:rFonts w:ascii="Times New Roman" w:cs="Times New Roman" w:eastAsia="Times New Roman" w:hAnsi="Times New Roman"/>
          <w:sz w:val="18"/>
          <w:szCs w:val="18"/>
          <w:color w:val="auto"/>
        </w:rPr>
        <w:t>”) to any Dutch Credit Party.</w:t>
      </w:r>
    </w:p>
    <w:p>
      <w:pPr>
        <w:sectPr>
          <w:pgSz w:w="11900" w:h="16838" w:orient="portrait"/>
          <w:cols w:equalWidth="0" w:num="1">
            <w:col w:w="11420"/>
          </w:cols>
          <w:pgMar w:left="240" w:top="270" w:right="239" w:bottom="1440" w:gutter="0" w:footer="0" w:header="0"/>
        </w:sectPr>
      </w:pPr>
    </w:p>
    <w:bookmarkStart w:id="182" w:name="page183"/>
    <w:bookmarkEnd w:id="182"/>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Dutch Banking Services Obligations</w:t>
      </w:r>
      <w:r>
        <w:rPr>
          <w:rFonts w:ascii="Times New Roman" w:cs="Times New Roman" w:eastAsia="Times New Roman" w:hAnsi="Times New Roman"/>
          <w:sz w:val="18"/>
          <w:szCs w:val="18"/>
          <w:color w:val="auto"/>
        </w:rPr>
        <w:t>” means all obligations of the Dutch Credit Parties, whether absolute or contingent, and howsoever and whensoever created, arising, evidenced or acquired in connection with the provision of Dutch Banking Services Agreements.</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Banking Services Reserves</w:t>
      </w:r>
      <w:r>
        <w:rPr>
          <w:rFonts w:ascii="Times New Roman" w:cs="Times New Roman" w:eastAsia="Times New Roman" w:hAnsi="Times New Roman"/>
          <w:sz w:val="18"/>
          <w:szCs w:val="18"/>
          <w:color w:val="auto"/>
        </w:rPr>
        <w:t>” means all reserves which the Foreign Collateral Agent from time to time establishes in its Permitted Discretion in respect of Dutch Banking Service Obligations.</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Base Rate</w:t>
      </w:r>
      <w:r>
        <w:rPr>
          <w:rFonts w:ascii="Times New Roman" w:cs="Times New Roman" w:eastAsia="Times New Roman" w:hAnsi="Times New Roman"/>
          <w:sz w:val="18"/>
          <w:szCs w:val="18"/>
          <w:color w:val="auto"/>
        </w:rPr>
        <w:t>” means, for any day, with respect to Dollars funded outside of the United States and with respect to Euros, a fluctuating rate of interest per annum equal to the rate of interest in effect for such day as announced from time to time by Bank of America, N.A. as its “base rate” with respect to such currency. Any change in such rate shall take effect at the opening of business on the day of such change.</w:t>
      </w:r>
    </w:p>
    <w:p>
      <w:pPr>
        <w:spacing w:after="0" w:line="174" w:lineRule="exact"/>
        <w:rPr>
          <w:sz w:val="20"/>
          <w:szCs w:val="20"/>
          <w:color w:val="auto"/>
        </w:rPr>
      </w:pPr>
    </w:p>
    <w:p>
      <w:pPr>
        <w:ind w:right="560" w:firstLine="45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Borrower</w:t>
      </w:r>
      <w:r>
        <w:rPr>
          <w:rFonts w:ascii="Times New Roman" w:cs="Times New Roman" w:eastAsia="Times New Roman" w:hAnsi="Times New Roman"/>
          <w:sz w:val="18"/>
          <w:szCs w:val="18"/>
          <w:color w:val="auto"/>
        </w:rPr>
        <w:t>” means NN Netherlands B.V., a private company with limited liability (</w:t>
      </w:r>
      <w:r>
        <w:rPr>
          <w:rFonts w:ascii="Times New Roman" w:cs="Times New Roman" w:eastAsia="Times New Roman" w:hAnsi="Times New Roman"/>
          <w:sz w:val="18"/>
          <w:szCs w:val="18"/>
          <w:i w:val="1"/>
          <w:iCs w:val="1"/>
          <w:color w:val="auto"/>
        </w:rPr>
        <w:t>besloten vennootschap met beperkte aanspakelijkheid</w:t>
      </w:r>
      <w:r>
        <w:rPr>
          <w:rFonts w:ascii="Times New Roman" w:cs="Times New Roman" w:eastAsia="Times New Roman" w:hAnsi="Times New Roman"/>
          <w:sz w:val="18"/>
          <w:szCs w:val="18"/>
          <w:color w:val="auto"/>
        </w:rPr>
        <w:t>) incorporated under the laws of the Netherlands.</w:t>
      </w:r>
    </w:p>
    <w:p>
      <w:pPr>
        <w:spacing w:after="0" w:line="16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Borrowing Base</w:t>
      </w:r>
      <w:r>
        <w:rPr>
          <w:rFonts w:ascii="Times New Roman" w:cs="Times New Roman" w:eastAsia="Times New Roman" w:hAnsi="Times New Roman"/>
          <w:sz w:val="18"/>
          <w:szCs w:val="18"/>
          <w:color w:val="auto"/>
        </w:rPr>
        <w:t>” means (a) from the Closing Date to the earlier to occur of (i) 65 days after the Closing Date and (ii) the date on which the Conditions to Regular Borrowing Base are satisfied, the Temporary Dutch Borrowing Base and (b) from and after the date on which the Conditions to Regular Borrowing Base are satisfied, the Regular Dutch Borrowing Base. For the avoidance of doubt, the Foreign Collateral Agent may begin inputting into its systems Dutch Collateral Information as such Dutch Collateral Information becomes available to the Foreign Collateral Agent, whether from the applicable Collateral Reports or otherwise. As such Dutch Collateral Information is inputted, (1) the advance rates with respect to the Eligible Dutch Accounts as to which such inputted Dutch Collateral Information relates shall change to those indicated in the Regular Dutch Borrowing Base and (2) so long as an Appraisal on such Eligible Dutch Inventory has been completed, the advance rates with respect to the Eligible Dutch Inventory as to which such inputted Dutch Collateral Information relates shall change to those indicated in the Regular Dutch Borrowing Base. To the extent no Dutch Collateral Information exists with respect to particular categories of Eligible Dutch Receivables or Eligible Dutch Inventory, the advance rates with respect thereto shall remain those set forth in the Temporary Dutch Borrowing Base until such information is available and inputted. If after the expiration of the 65 day period referred to in clause (a), the Conditions to Regular Borrowing Base shall not have been fully satisfied, (y) the Temporary Dutch Borrowing Base shall cease to be in place hereunder with respect to particular categories of Eligible Dutch Receivables or Eligible Dutch Inventory to the extent a Field Examination and an Appraisal with respect thereto have not been completed on or prior to the end of such 65 day period and (z) the Regular Dutch Borrowing Base shall be deemed to be implemented to the extent of and only with respect to Eligible Dutch Receivables and Eligible Dutch Inventory to the extent a Field Examination and an Appraisal with respect thereto have been completed on or prior to the end of such 65 day period (a “</w:t>
      </w:r>
      <w:r>
        <w:rPr>
          <w:rFonts w:ascii="Times New Roman" w:cs="Times New Roman" w:eastAsia="Times New Roman" w:hAnsi="Times New Roman"/>
          <w:sz w:val="18"/>
          <w:szCs w:val="18"/>
          <w:u w:val="single" w:color="auto"/>
          <w:color w:val="auto"/>
        </w:rPr>
        <w:t>Dutch Borrowing Base Extension</w:t>
      </w:r>
      <w:r>
        <w:rPr>
          <w:rFonts w:ascii="Times New Roman" w:cs="Times New Roman" w:eastAsia="Times New Roman" w:hAnsi="Times New Roman"/>
          <w:sz w:val="18"/>
          <w:szCs w:val="18"/>
          <w:color w:val="auto"/>
        </w:rPr>
        <w:t>”). For the avoidance of doubt, as additional Dutch Collateral Information is inputted following the expiration of the 65 day period, the advance rates with respect to the Eligible Dutch Accounts and the Eligible Dutch Inventory (only if an Appraisal has been completed for such Eligible Dutch Inventory) as to which such inputted Dutch Collateral Information relates shall change to those indicated in the Regular Dutch Borrowing Base.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Borrowing Base Extension</w:t>
      </w:r>
      <w:r>
        <w:rPr>
          <w:rFonts w:ascii="Times New Roman" w:cs="Times New Roman" w:eastAsia="Times New Roman" w:hAnsi="Times New Roman"/>
          <w:sz w:val="18"/>
          <w:szCs w:val="18"/>
          <w:color w:val="auto"/>
        </w:rPr>
        <w:t>” has the meaning provided in the definition of “Dutch Borrowing Base.”</w:t>
      </w:r>
    </w:p>
    <w:p>
      <w:pPr>
        <w:sectPr>
          <w:pgSz w:w="11900" w:h="16838" w:orient="portrait"/>
          <w:cols w:equalWidth="0" w:num="1">
            <w:col w:w="11420"/>
          </w:cols>
          <w:pgMar w:left="240" w:top="270" w:right="239" w:bottom="1440" w:gutter="0" w:footer="0" w:header="0"/>
        </w:sectPr>
      </w:pPr>
    </w:p>
    <w:bookmarkStart w:id="183" w:name="page184"/>
    <w:bookmarkEnd w:id="183"/>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Dutch Cash Dominion Period</w:t>
      </w:r>
      <w:r>
        <w:rPr>
          <w:rFonts w:ascii="Times New Roman" w:cs="Times New Roman" w:eastAsia="Times New Roman" w:hAnsi="Times New Roman"/>
          <w:sz w:val="18"/>
          <w:szCs w:val="18"/>
          <w:color w:val="auto"/>
        </w:rPr>
        <w:t xml:space="preserve">” means the period from the date that Dutch Availability shall have been less than the Dutch Liquidity Threshold;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such time Dutch Availability has been greater than the Dutch Liquidity Cure Threshold for thirty consecutive calendar days, the Dutch Cash Dominion Period shall cease to exist;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Dutch Cash Dominion Period is subject to reinstatement after discontinuance thereof in the event that after such discontinuance, Dutch Availability shall have been less than the Dutch Liquidity Threshold;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after (a) Dutch Availability is less than the Dutch Liquidity Threshold for the fifth time or (b) U.S. Availability is less than the U.S. Liquidity Threshold for the fifth time, the Dutch Cash Dominion Period shall remain in place until the Revolving Facility Termination Date.</w:t>
      </w:r>
    </w:p>
    <w:p>
      <w:pPr>
        <w:spacing w:after="0" w:line="188"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Collateral Information</w:t>
      </w:r>
      <w:r>
        <w:rPr>
          <w:rFonts w:ascii="Times New Roman" w:cs="Times New Roman" w:eastAsia="Times New Roman" w:hAnsi="Times New Roman"/>
          <w:sz w:val="18"/>
          <w:szCs w:val="18"/>
          <w:color w:val="auto"/>
        </w:rPr>
        <w:t>” means information with respect to, as applicable, Eligible Dutch Accounts, Eligible Dutch Inventory, NOLV Percentage and Value necessary for the implementation of the Regular Dutch Borrowing Base.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Commitment Fees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Credit Facility</w:t>
      </w:r>
      <w:r>
        <w:rPr>
          <w:rFonts w:ascii="Times New Roman" w:cs="Times New Roman" w:eastAsia="Times New Roman" w:hAnsi="Times New Roman"/>
          <w:sz w:val="18"/>
          <w:szCs w:val="18"/>
          <w:color w:val="auto"/>
        </w:rPr>
        <w:t>” means the credit facility established under this Agreement pursuant to which (a) the Dutch Lenders shall make Dutch Revolving Loans to the Dutch Borrower, and shall participate in Dutch LC Issuances, under the Dutch Revolving Facility pursuant to the Dutch Revolving Commitment of each such Dutch Lender, (b) the Dutch Swing Line Lender shall make Dutch Swing Loans to the Dutch Borrower under the Dutch Swing Line Facility pursuant to the Dutch Swing Line Commitment, and (c) each Dutch LC Issuer shall issue Dutch Letters of Credit for the account of the Dutch LC Obligors in accordance with the terms of this Agreement.</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Credit Facility Exposure</w:t>
      </w:r>
      <w:r>
        <w:rPr>
          <w:rFonts w:ascii="Times New Roman" w:cs="Times New Roman" w:eastAsia="Times New Roman" w:hAnsi="Times New Roman"/>
          <w:sz w:val="18"/>
          <w:szCs w:val="18"/>
          <w:color w:val="auto"/>
        </w:rPr>
        <w:t>” means, for any Dutch Lender at any time, the sum of (a) the Dollar Equivalent of the principal amount of Dutch Revolving Loans made by such Dutch Lender and outstanding at such time, (b) such Dutch Lender’s Dutch Swing Line Exposure at such time, (c) such Dutch Lender’s Dutch Overadvance Exposure at such time, (d) such Dutch Lender’s Dutch LC Exposure at such time, and (e) such Dutch Lender’s Dutch Agent Advance Exposure at such time.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Credit Parties</w:t>
      </w:r>
      <w:r>
        <w:rPr>
          <w:rFonts w:ascii="Times New Roman" w:cs="Times New Roman" w:eastAsia="Times New Roman" w:hAnsi="Times New Roman"/>
          <w:sz w:val="18"/>
          <w:szCs w:val="18"/>
          <w:color w:val="auto"/>
        </w:rPr>
        <w:t>” means, collectively, the Dutch Borrower and the Dutch Guarantors and “</w:t>
      </w:r>
      <w:r>
        <w:rPr>
          <w:rFonts w:ascii="Times New Roman" w:cs="Times New Roman" w:eastAsia="Times New Roman" w:hAnsi="Times New Roman"/>
          <w:sz w:val="18"/>
          <w:szCs w:val="18"/>
          <w:u w:val="single" w:color="auto"/>
          <w:color w:val="auto"/>
        </w:rPr>
        <w:t>Dutch Credit Party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Guarantors</w:t>
      </w:r>
      <w:r>
        <w:rPr>
          <w:rFonts w:ascii="Times New Roman" w:cs="Times New Roman" w:eastAsia="Times New Roman" w:hAnsi="Times New Roman"/>
          <w:sz w:val="18"/>
          <w:szCs w:val="18"/>
          <w:color w:val="auto"/>
        </w:rPr>
        <w:t xml:space="preserve">” means the U.S. Borrower, the U.S. Guarantors and the Foreign Subsidiaries which have executed a Guaranty in respect of the Dutch Obligations.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lists each Dutch Guarantor as of the Closing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Collateral Account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2.05(j)(ii)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5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Dutch LC Commitment</w:t>
      </w:r>
      <w:r>
        <w:rPr>
          <w:rFonts w:ascii="Times New Roman" w:cs="Times New Roman" w:eastAsia="Times New Roman" w:hAnsi="Times New Roman"/>
          <w:sz w:val="17"/>
          <w:szCs w:val="17"/>
          <w:color w:val="auto"/>
        </w:rPr>
        <w:t xml:space="preserve">” means, with respect to each Dutch Lender, the amount set forth opposite such Dutch Lender’s name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 as its “Dutch LC Commitment” or in the case of any Dutch Lenders that becomes a party hereto pursuant to an Assignment Agreement, the amount set forth in such Assignment Agreement, as such commitment may be reduced or increased from time to time pursuant to (a) </w:t>
      </w:r>
      <w:r>
        <w:rPr>
          <w:rFonts w:ascii="Times New Roman" w:cs="Times New Roman" w:eastAsia="Times New Roman" w:hAnsi="Times New Roman"/>
          <w:sz w:val="17"/>
          <w:szCs w:val="17"/>
          <w:u w:val="single" w:color="auto"/>
          <w:color w:val="auto"/>
        </w:rPr>
        <w:t>Sections 2.12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respectively, and</w:t>
      </w:r>
    </w:p>
    <w:p>
      <w:pPr>
        <w:spacing w:after="0" w:line="2" w:lineRule="exact"/>
        <w:rPr>
          <w:sz w:val="20"/>
          <w:szCs w:val="20"/>
          <w:color w:val="auto"/>
        </w:rPr>
      </w:pPr>
    </w:p>
    <w:p>
      <w:pPr>
        <w:ind w:left="460" w:right="6340" w:hanging="452"/>
        <w:spacing w:after="0" w:line="490" w:lineRule="auto"/>
        <w:tabs>
          <w:tab w:leader="none" w:pos="25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assignments by or to such Dutch Lender pursuant to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Dutch LC Commitment Amount</w:t>
      </w:r>
      <w:r>
        <w:rPr>
          <w:rFonts w:ascii="Times New Roman" w:cs="Times New Roman" w:eastAsia="Times New Roman" w:hAnsi="Times New Roman"/>
          <w:sz w:val="18"/>
          <w:szCs w:val="18"/>
          <w:color w:val="auto"/>
        </w:rPr>
        <w:t>” means $2,000,000.</w:t>
      </w:r>
    </w:p>
    <w:p>
      <w:pPr>
        <w:spacing w:after="0" w:line="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Documents</w:t>
      </w:r>
      <w:r>
        <w:rPr>
          <w:rFonts w:ascii="Times New Roman" w:cs="Times New Roman" w:eastAsia="Times New Roman" w:hAnsi="Times New Roman"/>
          <w:sz w:val="18"/>
          <w:szCs w:val="18"/>
          <w:color w:val="auto"/>
        </w:rPr>
        <w:t>” means, with respect to any Dutch Letter of Credit, any documents executed in connection with such Dutch Letter of Credit, including the Dutch Letter of Credit itself.</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Exposure</w:t>
      </w:r>
      <w:r>
        <w:rPr>
          <w:rFonts w:ascii="Times New Roman" w:cs="Times New Roman" w:eastAsia="Times New Roman" w:hAnsi="Times New Roman"/>
          <w:sz w:val="18"/>
          <w:szCs w:val="18"/>
          <w:color w:val="auto"/>
        </w:rPr>
        <w:t>” means for any Dutch Lender at any time, such Lender’s Dutch Revolving Facility Percentage of the Dutch LC Outstandings at such time.</w:t>
      </w:r>
    </w:p>
    <w:p>
      <w:pPr>
        <w:sectPr>
          <w:pgSz w:w="11900" w:h="16838" w:orient="portrait"/>
          <w:cols w:equalWidth="0" w:num="1">
            <w:col w:w="11420"/>
          </w:cols>
          <w:pgMar w:left="240" w:top="270" w:right="239"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Dutch LC Fee</w:t>
      </w:r>
      <w:r>
        <w:rPr>
          <w:rFonts w:ascii="Times New Roman" w:cs="Times New Roman" w:eastAsia="Times New Roman" w:hAnsi="Times New Roman"/>
          <w:sz w:val="18"/>
          <w:szCs w:val="18"/>
          <w:color w:val="auto"/>
        </w:rPr>
        <w:t xml:space="preserve">” means any of the fees payable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respect of Dutch Letters of Credit.</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Issuance</w:t>
      </w:r>
      <w:r>
        <w:rPr>
          <w:rFonts w:ascii="Times New Roman" w:cs="Times New Roman" w:eastAsia="Times New Roman" w:hAnsi="Times New Roman"/>
          <w:sz w:val="18"/>
          <w:szCs w:val="18"/>
          <w:color w:val="auto"/>
        </w:rPr>
        <w:t>” means the issuance of any Dutch Letter of Credit by any Dutch LC Issuer for the account of an Dutch LC Obligor in accordance with the terms of this Agreement, and shall include any amendment thereto that increases the Stated Amount thereof or extends the expiry date of such Dutch Letter of Credit.</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Issuer</w:t>
      </w:r>
      <w:r>
        <w:rPr>
          <w:rFonts w:ascii="Times New Roman" w:cs="Times New Roman" w:eastAsia="Times New Roman" w:hAnsi="Times New Roman"/>
          <w:sz w:val="18"/>
          <w:szCs w:val="18"/>
          <w:color w:val="auto"/>
        </w:rPr>
        <w:t>” means Bank of America, N.A. (London) or any of its Affiliates, or such other Lender that is requested by the Dutch Borrower and agrees to be a Dutch LC Issuer hereunder and is approved by the Administrative Agent.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Loan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2.05(g)(ii)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Obligor</w:t>
      </w:r>
      <w:r>
        <w:rPr>
          <w:rFonts w:ascii="Times New Roman" w:cs="Times New Roman" w:eastAsia="Times New Roman" w:hAnsi="Times New Roman"/>
          <w:sz w:val="18"/>
          <w:szCs w:val="18"/>
          <w:color w:val="auto"/>
        </w:rPr>
        <w:t>” means, with respect to each Dutch LC Issuance, the Applicable Dutch Credit Party for whose account such Dutch Letter of Credit is issued.</w:t>
      </w:r>
    </w:p>
    <w:p>
      <w:pPr>
        <w:spacing w:after="0" w:line="162"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Outstandings</w:t>
      </w:r>
      <w:r>
        <w:rPr>
          <w:rFonts w:ascii="Times New Roman" w:cs="Times New Roman" w:eastAsia="Times New Roman" w:hAnsi="Times New Roman"/>
          <w:sz w:val="18"/>
          <w:szCs w:val="18"/>
          <w:color w:val="auto"/>
        </w:rPr>
        <w:t>” means, at any time, the sum, without duplication, of the Dollar Equivalent of (a) the aggregate Stated Amount of all outstanding Dutch Letters of Credit and (b) the aggregate amount of all Unpaid Drawings with respect to Dutch Letters of Credit.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Participant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Participation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LC Request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Lender</w:t>
      </w:r>
      <w:r>
        <w:rPr>
          <w:rFonts w:ascii="Times New Roman" w:cs="Times New Roman" w:eastAsia="Times New Roman" w:hAnsi="Times New Roman"/>
          <w:sz w:val="18"/>
          <w:szCs w:val="18"/>
          <w:color w:val="auto"/>
        </w:rPr>
        <w:t>” means each Lender that has issued a Dutch Revolving Commitment.</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Letter of Credit</w:t>
      </w:r>
      <w:r>
        <w:rPr>
          <w:rFonts w:ascii="Times New Roman" w:cs="Times New Roman" w:eastAsia="Times New Roman" w:hAnsi="Times New Roman"/>
          <w:sz w:val="18"/>
          <w:szCs w:val="18"/>
          <w:color w:val="auto"/>
        </w:rPr>
        <w:t xml:space="preserve">” means any Standby Letter of Credit, Commercial Letter of Credit, any indemnity, performance bond, guarantee, exposure transmittal memorandum or similar form of credit support, in each case issued by any Dutch LC Issuer under this Agreement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for the account of any Dutch LC Obligor.</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Liquidity Cure Threshold</w:t>
      </w:r>
      <w:r>
        <w:rPr>
          <w:rFonts w:ascii="Times New Roman" w:cs="Times New Roman" w:eastAsia="Times New Roman" w:hAnsi="Times New Roman"/>
          <w:sz w:val="18"/>
          <w:szCs w:val="18"/>
          <w:color w:val="auto"/>
        </w:rPr>
        <w:t>” means, at any time, the greater of (a) 12.5% of the then Dutch Borrowing Base and (b) 12.5% of the then Total Dutch Credit Facility Amount.</w:t>
      </w:r>
    </w:p>
    <w:p>
      <w:pPr>
        <w:spacing w:after="0" w:line="162"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Liquidity Threshold</w:t>
      </w:r>
      <w:r>
        <w:rPr>
          <w:rFonts w:ascii="Times New Roman" w:cs="Times New Roman" w:eastAsia="Times New Roman" w:hAnsi="Times New Roman"/>
          <w:sz w:val="18"/>
          <w:szCs w:val="18"/>
          <w:color w:val="auto"/>
        </w:rPr>
        <w:t>” means, at any time, the greater of (a) $1,200,000 and (b) the lesser of (i) 10.0% of the then Dutch Borrowing Base and (ii) 10.0% of the then Total Dutch Credit Facility Amount.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Obligations</w:t>
      </w:r>
      <w:r>
        <w:rPr>
          <w:rFonts w:ascii="Times New Roman" w:cs="Times New Roman" w:eastAsia="Times New Roman" w:hAnsi="Times New Roman"/>
          <w:sz w:val="18"/>
          <w:szCs w:val="18"/>
          <w:color w:val="auto"/>
        </w:rPr>
        <w:t>” means all Obligations of the Dutch Credit Parties (but excluding, for the avoidance of doubt, the U.S. Obligations).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Overadvance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Overadvance Exposure</w:t>
      </w:r>
      <w:r>
        <w:rPr>
          <w:rFonts w:ascii="Times New Roman" w:cs="Times New Roman" w:eastAsia="Times New Roman" w:hAnsi="Times New Roman"/>
          <w:sz w:val="18"/>
          <w:szCs w:val="18"/>
          <w:color w:val="auto"/>
        </w:rPr>
        <w:t>” means, at any time, the sum of the Dollar Equivalent of the aggregate principal amount of all outstanding Dutch Overadvances. The Dutch Overadvance Exposure of any Dutch Lender at any time shall be its Dutch Revolving Facility Percentage of the aggregate Dutch Overadvance Exposure.</w:t>
      </w:r>
    </w:p>
    <w:p>
      <w:pPr>
        <w:sectPr>
          <w:pgSz w:w="11900" w:h="16838" w:orient="portrait"/>
          <w:cols w:equalWidth="0" w:num="1">
            <w:col w:w="11360"/>
          </w:cols>
          <w:pgMar w:left="240" w:top="270" w:right="299" w:bottom="1440" w:gutter="0" w:footer="0" w:header="0"/>
        </w:sectPr>
      </w:pPr>
    </w:p>
    <w:bookmarkStart w:id="185" w:name="page186"/>
    <w:bookmarkEnd w:id="185"/>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Dutch Priority Payables Reserve</w:t>
      </w:r>
      <w:r>
        <w:rPr>
          <w:rFonts w:ascii="Times New Roman" w:cs="Times New Roman" w:eastAsia="Times New Roman" w:hAnsi="Times New Roman"/>
          <w:sz w:val="18"/>
          <w:szCs w:val="18"/>
          <w:color w:val="auto"/>
        </w:rPr>
        <w:t xml:space="preserve">” means, on any date of determination, a reserve in such amount as the Foreign Collateral Agent may determine in its Permitted Discretion which reflects amounts secured by Liens, choate or inchoate, which rank or are capable of ranking in priority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Foreign Collateral Agent’s Liens and/or for amounts which may represent costs relating to the enforcement of the Foreign Collateral Agent’s Liens.</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Reserves</w:t>
      </w:r>
      <w:r>
        <w:rPr>
          <w:rFonts w:ascii="Times New Roman" w:cs="Times New Roman" w:eastAsia="Times New Roman" w:hAnsi="Times New Roman"/>
          <w:sz w:val="18"/>
          <w:szCs w:val="18"/>
          <w:color w:val="auto"/>
        </w:rPr>
        <w:t>” means any and all reserves which the Foreign Collateral Agent deems necessary, in its Permitted Discretion, to maintain (including, without limitation, reserves for accrued and unpaid interest on the Dutch Obligations, Dutch Banking Services Reserves, Dutch Priority Payables Reserves, volatility reserves, reserves for rent at locations leased by any Dutch Credit Party and for consignee’s, warehousemen’s and bailee’s charges, reserves for dilution of Accounts, reserves for Inventory shrinkage, reserves for customs charges and shipping charges related to any Inventory in transit, reserves for Hedging Obligations, reserves for contingent liabilities of any Dutch Credit Party, reserves for uninsured losses of any Dutch Credit Party, reserves for uninsured, underinsured, un-indemnified or under-indemnified liabilities or potential liabilities with respect to any litigation and reserves for taxes, fees, assessments, and other governmental charges) with respect to the Collateral or any Dutch Credit Party.</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Revolving Availability</w:t>
      </w:r>
      <w:r>
        <w:rPr>
          <w:rFonts w:ascii="Times New Roman" w:cs="Times New Roman" w:eastAsia="Times New Roman" w:hAnsi="Times New Roman"/>
          <w:sz w:val="18"/>
          <w:szCs w:val="18"/>
          <w:color w:val="auto"/>
        </w:rPr>
        <w:t xml:space="preserve">” means, at any time, an amount equal to (a) the lesser of (i) the then Total Dutch Revolving Commitment and (ii) the then Dutch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then Aggregate Dutch Credit Facility Exposure.</w:t>
      </w:r>
    </w:p>
    <w:p>
      <w:pPr>
        <w:spacing w:after="0" w:line="162"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Revolving Borrowing</w:t>
      </w:r>
      <w:r>
        <w:rPr>
          <w:rFonts w:ascii="Times New Roman" w:cs="Times New Roman" w:eastAsia="Times New Roman" w:hAnsi="Times New Roman"/>
          <w:sz w:val="18"/>
          <w:szCs w:val="18"/>
          <w:color w:val="auto"/>
        </w:rPr>
        <w:t xml:space="preserve">” means the incurrence of Dutch Revolving Loans consisting of one Type of Dutch Revolving Loan by the Dutch Borrower from all of the Dutch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on a given date (or resulting from Conversions or Continuations on a given date) in the same currency, having in the case of any LIBOR Loans, the same Interest Period.</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Revolving Commitment</w:t>
      </w:r>
      <w:r>
        <w:rPr>
          <w:rFonts w:ascii="Times New Roman" w:cs="Times New Roman" w:eastAsia="Times New Roman" w:hAnsi="Times New Roman"/>
          <w:sz w:val="18"/>
          <w:szCs w:val="18"/>
          <w:color w:val="auto"/>
        </w:rPr>
        <w:t xml:space="preserve">” means, with respect to each Dutch Lender, the commitment, if any, of such Dutch Lender to make Dutch Revolving Loans and to acquire participations in Dutch Overadvances, Dutch Letters of Credit and Dutch Swing Loans hereunder, expressed as an amount representing the maximum possible aggregate amount of such Dutch Lender’s Dutch Credit Facility Exposure hereunder, as such commitment may be reduced or increased from time to time pursuant to (a)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respectively, and (b) assignments by or to such Dutch Lender pursuant to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The initial amount of each Dutch Lender’s Dutch Revolving Commitment is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or in the Assignment Agreement pursuant to which such Dutch Lender shall have assumed its Dutch Revolving Commitment, as applicable.</w:t>
      </w:r>
    </w:p>
    <w:p>
      <w:pPr>
        <w:spacing w:after="0" w:line="18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Revolving Facility</w:t>
      </w:r>
      <w:r>
        <w:rPr>
          <w:rFonts w:ascii="Times New Roman" w:cs="Times New Roman" w:eastAsia="Times New Roman" w:hAnsi="Times New Roman"/>
          <w:sz w:val="18"/>
          <w:szCs w:val="18"/>
          <w:color w:val="auto"/>
        </w:rPr>
        <w:t xml:space="preserve">” means the credit facility established under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pursuant to the Dutch Revolving Commitment of each Dutch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Revolving Facility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A-1B</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Revolving Facility Percentage</w:t>
      </w:r>
      <w:r>
        <w:rPr>
          <w:rFonts w:ascii="Times New Roman" w:cs="Times New Roman" w:eastAsia="Times New Roman" w:hAnsi="Times New Roman"/>
          <w:sz w:val="18"/>
          <w:szCs w:val="18"/>
          <w:color w:val="auto"/>
        </w:rPr>
        <w:t xml:space="preserve">” means, at any time for any Dutch Lender, the percentage obtained by dividing such Dutch Lender’s Dutch Revolving Commitment by the Total Dutch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Dutch Revolving Commitments have been terminated, the Dutch Revolving Facility Percentage for each Dutch Lender shall be determined by dividing such Dutch Lender’s Dutch Revolving Commitment immediately prior to such termination by the Total Dutch Revolving Commitment immediately prior to such termination. The Dutch Revolving Facility Percentage of each Dutch Lender as of the Closing Date is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ectPr>
          <w:pgSz w:w="11900" w:h="16838" w:orient="portrait"/>
          <w:cols w:equalWidth="0" w:num="1">
            <w:col w:w="11380"/>
          </w:cols>
          <w:pgMar w:left="240" w:top="270" w:right="279" w:bottom="1440" w:gutter="0" w:footer="0" w:header="0"/>
        </w:sectPr>
      </w:pPr>
    </w:p>
    <w:bookmarkStart w:id="186" w:name="page187"/>
    <w:bookmarkEnd w:id="186"/>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Dutch Revolving Loan</w:t>
      </w:r>
      <w:r>
        <w:rPr>
          <w:rFonts w:ascii="Times New Roman" w:cs="Times New Roman" w:eastAsia="Times New Roman" w:hAnsi="Times New Roman"/>
          <w:sz w:val="18"/>
          <w:szCs w:val="18"/>
          <w:color w:val="auto"/>
        </w:rPr>
        <w:t xml:space="preserve">” means, with respect to each Dutch Lender, any loan made by such Dutch Lender pursuant to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Unless the context shall otherwise require, the term “Dutch Revolving Loans” shall include Incremental Dutch Revolving Loans.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Security Documents</w:t>
      </w:r>
      <w:r>
        <w:rPr>
          <w:rFonts w:ascii="Times New Roman" w:cs="Times New Roman" w:eastAsia="Times New Roman" w:hAnsi="Times New Roman"/>
          <w:sz w:val="18"/>
          <w:szCs w:val="18"/>
          <w:color w:val="auto"/>
        </w:rPr>
        <w:t>” means, collectively, each pledge (including, without limitation, each pledge over movable assets (undisclosed and non-possessory) and each pledge of receivables), deed of charge or security agreement among any Dutch Credit Party and the Foreign Collateral Agent.</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Swing Line Commitment</w:t>
      </w:r>
      <w:r>
        <w:rPr>
          <w:rFonts w:ascii="Times New Roman" w:cs="Times New Roman" w:eastAsia="Times New Roman" w:hAnsi="Times New Roman"/>
          <w:sz w:val="18"/>
          <w:szCs w:val="18"/>
          <w:color w:val="auto"/>
        </w:rPr>
        <w:t>” means the commitment of the Dutch Swing Line Lender to make Dutch Swing Loans to the Dutch Borrower up to the aggregate Dollar Equivalent of an amount at any time outstanding of Three Million Dollars ($3,000,000).</w:t>
      </w:r>
    </w:p>
    <w:p>
      <w:pPr>
        <w:spacing w:after="0" w:line="162" w:lineRule="exact"/>
        <w:rPr>
          <w:sz w:val="20"/>
          <w:szCs w:val="20"/>
          <w:color w:val="auto"/>
        </w:rPr>
      </w:pPr>
    </w:p>
    <w:p>
      <w:pPr>
        <w:jc w:val="both"/>
        <w:ind w:right="40" w:firstLine="456"/>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Dutch Swing Line Exposure</w:t>
      </w:r>
      <w:r>
        <w:rPr>
          <w:rFonts w:ascii="Times New Roman" w:cs="Times New Roman" w:eastAsia="Times New Roman" w:hAnsi="Times New Roman"/>
          <w:sz w:val="17"/>
          <w:szCs w:val="17"/>
          <w:color w:val="auto"/>
        </w:rPr>
        <w:t>” means, at any time, the Dollar Equivalent of the aggregate principal amount of all Dutch Swing Loans outstanding. The Dutch Swing Line Exposure of any Dutch Lender at any time shall be its Dutch Revolving Facility Percentage of the aggregate Dutch Swing Line Exposure.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Swing Line Lender</w:t>
      </w:r>
      <w:r>
        <w:rPr>
          <w:rFonts w:ascii="Times New Roman" w:cs="Times New Roman" w:eastAsia="Times New Roman" w:hAnsi="Times New Roman"/>
          <w:sz w:val="18"/>
          <w:szCs w:val="18"/>
          <w:color w:val="auto"/>
        </w:rPr>
        <w:t>” means Bank of America, N.A. or any of its Affiliates.</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Swing Loan</w:t>
      </w:r>
      <w:r>
        <w:rPr>
          <w:rFonts w:ascii="Times New Roman" w:cs="Times New Roman" w:eastAsia="Times New Roman" w:hAnsi="Times New Roman"/>
          <w:sz w:val="18"/>
          <w:szCs w:val="18"/>
          <w:color w:val="auto"/>
        </w:rPr>
        <w:t xml:space="preserve">” means a Loan that shall be denominated in Euros or, at the option of the Dutch Borrower, Dollars granted to the Dutch Borrower by the Dutch Swing Line Lender under the Dutch Swing Line Commitment, in accordance with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hereof, which Dutch Swingline Loan shall be a Dutch Base Rate Loan.</w:t>
      </w:r>
    </w:p>
    <w:p>
      <w:pPr>
        <w:spacing w:after="0" w:line="17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 Currency</w:t>
      </w:r>
      <w:r>
        <w:rPr>
          <w:rFonts w:ascii="Times New Roman" w:cs="Times New Roman" w:eastAsia="Times New Roman" w:hAnsi="Times New Roman"/>
          <w:sz w:val="18"/>
          <w:szCs w:val="18"/>
          <w:color w:val="auto"/>
        </w:rPr>
        <w:t>” means (a) with respect to the U.S. Borrowing Base, U.S. or Canadian Dollars, Euros and such other currencies as agreed upon by the Company and the Administrative Agent, and (b) with respect to the Dutch Borrowing Base, Euros, U.S. Dollars, Pounds Sterling and such other currencies as agreed upon by the Company and the Foreign Collateral Agent.</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 Debtor Jurisdictions</w:t>
      </w:r>
      <w:r>
        <w:rPr>
          <w:rFonts w:ascii="Times New Roman" w:cs="Times New Roman" w:eastAsia="Times New Roman" w:hAnsi="Times New Roman"/>
          <w:sz w:val="18"/>
          <w:szCs w:val="18"/>
          <w:color w:val="auto"/>
        </w:rPr>
        <w:t xml:space="preserve">” means (a) with respect to the U.S. Borrowing Base, the United States, Canada, Mexico and any member state of the European Union prior to May 2004 that is acceptable to the Administrative Agent in its Permitted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may from time to time, in its Permitted Discretion, designate any of the foregoing jurisdictions in this clause (a), including any jurisdiction previously determined by Administrative Agent in its Permitted Discretion to be an Eligible Account Debtor Jurisdiction, to no longer be an eligible jurisdiction for Account Debtors (other than Canada and the United States), and (b) with respect to the Dutch Borrowing Base, the United States, Canada and any member state of the European Union prior to May 2004, and such other jurisdictions determined by the Foreign Collateral Agent in its sole discretion, in each case together with any state or province thereof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Foreign Collateral Agent may from time to time, in its Permitted Discretion, designate any of the foregoing jurisdictions in this clause (b), including any jurisdiction previously determined by Foreign Collateral Agent in its Permitted Discretion to be an Eligible Account Debtor Jurisdiction, to no longer be an eligible jurisdiction for Account Debtors (other than the Netherlands, Canada and the United States).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means Eligible U.S. Accounts and Eligible Dutch Accounts, as applicable.</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a natural Person) approved by (i) the Administrative Agent, (ii) the Foreign Collateral Agent (solely with respect to assignments under the Dutch Credit Facility), (iii) each LC Issuer, and (iv) unless an Event of Default has occurred and is continuing, the Company (each such approval not to be unreasonably withheld or delayed (and the Company shall be deemed to have</w:t>
      </w:r>
    </w:p>
    <w:p>
      <w:pPr>
        <w:sectPr>
          <w:pgSz w:w="11900" w:h="16838" w:orient="portrait"/>
          <w:cols w:equalWidth="0" w:num="1">
            <w:col w:w="11360"/>
          </w:cols>
          <w:pgMar w:left="240" w:top="270" w:right="299" w:bottom="1440" w:gutter="0" w:footer="0" w:header="0"/>
        </w:sectPr>
      </w:pPr>
    </w:p>
    <w:bookmarkStart w:id="187" w:name="page188"/>
    <w:bookmarkEnd w:id="187"/>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consented if it fails to object to any assignment within five Business Days after it received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notwithstanding the foregoing, “</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shall not include (x) the Company or any of the Company’s Affiliates or Subsidiaries, (y) any holder of any Subordinated Indebtedness or any of such holder’s Affiliates or (z) any Defaulting Lender or any of its Subsidiaries, or any Person who, upon becoming a Lender hereunder, would constitute any of the foregoing Persons described in this clause (z).</w:t>
      </w:r>
    </w:p>
    <w:p>
      <w:pPr>
        <w:spacing w:after="0" w:line="182"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Dutch Accounts</w:t>
      </w:r>
      <w:r>
        <w:rPr>
          <w:rFonts w:ascii="Times New Roman" w:cs="Times New Roman" w:eastAsia="Times New Roman" w:hAnsi="Times New Roman"/>
          <w:sz w:val="18"/>
          <w:szCs w:val="18"/>
          <w:color w:val="auto"/>
        </w:rPr>
        <w:t>” means, at any time, the Accounts of the Applicable Dutch Credit Parties which Foreign Collateral Agent determines in its Permitted Discretion are eligible for the extension of Dutch Revolving Loans and Dutch Swing Loans and the issuance of Dutch Letters of Credit. Without limiting the Foreign Collateral Agent’s discretion provided herein, Eligible Dutch Accounts shall not include any Account:</w:t>
      </w:r>
    </w:p>
    <w:p>
      <w:pPr>
        <w:spacing w:after="0" w:line="176" w:lineRule="exact"/>
        <w:rPr>
          <w:sz w:val="20"/>
          <w:szCs w:val="20"/>
          <w:color w:val="auto"/>
        </w:rPr>
      </w:pPr>
    </w:p>
    <w:p>
      <w:pPr>
        <w:ind w:right="60" w:firstLine="464"/>
        <w:spacing w:after="0" w:line="266" w:lineRule="auto"/>
        <w:tabs>
          <w:tab w:leader="none" w:pos="70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not subject to a first priority perfected Lien in favor of the Foreign Collateral Agent, subject only to Permitted Encumbrances which do not have priority over the Lien in favor of the Foreign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 Dutch Cash Dominion Period, Eligible Dutch Accounts shall not include any Accounts which are also not subject to a first priority perfected Lien under the relevant laws of the Account Debtor’s jurisdiction of organization;</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remains outstanding more than 90 days after the original invoice date or which has been written off the books of the</w:t>
      </w:r>
    </w:p>
    <w:p>
      <w:pPr>
        <w:spacing w:after="0" w:line="27" w:lineRule="exact"/>
        <w:rPr>
          <w:rFonts w:ascii="Times New Roman" w:cs="Times New Roman" w:eastAsia="Times New Roman" w:hAnsi="Times New Roman"/>
          <w:sz w:val="18"/>
          <w:szCs w:val="18"/>
          <w:color w:val="auto"/>
        </w:rPr>
      </w:pPr>
    </w:p>
    <w:p>
      <w:pPr>
        <w:ind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Dutch Credit Party or otherwise designated as uncollectible by such Applicable Dutch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calculating the delinquent portions of an Account hereunder, credit balances more than 90 days old shall be excluded;</w:t>
      </w:r>
    </w:p>
    <w:p>
      <w:pPr>
        <w:spacing w:after="0" w:line="179" w:lineRule="exact"/>
        <w:rPr>
          <w:rFonts w:ascii="Times New Roman" w:cs="Times New Roman" w:eastAsia="Times New Roman" w:hAnsi="Times New Roman"/>
          <w:sz w:val="18"/>
          <w:szCs w:val="18"/>
          <w:color w:val="auto"/>
        </w:rPr>
      </w:pPr>
    </w:p>
    <w:p>
      <w:pPr>
        <w:ind w:right="180" w:firstLine="464"/>
        <w:spacing w:after="0" w:line="282" w:lineRule="auto"/>
        <w:tabs>
          <w:tab w:leader="none" w:pos="70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for which more than 50% of the Accounts owing from such Account Debtor and its Affiliates are more than 90 days past the original invoice date hereunder;</w:t>
      </w:r>
    </w:p>
    <w:p>
      <w:pPr>
        <w:spacing w:after="0" w:line="161" w:lineRule="exact"/>
        <w:rPr>
          <w:rFonts w:ascii="Times New Roman" w:cs="Times New Roman" w:eastAsia="Times New Roman" w:hAnsi="Times New Roman"/>
          <w:sz w:val="18"/>
          <w:szCs w:val="18"/>
          <w:color w:val="auto"/>
        </w:rPr>
      </w:pPr>
    </w:p>
    <w:p>
      <w:pPr>
        <w:ind w:right="420" w:firstLine="464"/>
        <w:spacing w:after="0" w:line="266" w:lineRule="auto"/>
        <w:tabs>
          <w:tab w:leader="none" w:pos="71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owing by an Account Debtor to the extent the aggregate amount of Eligible Dutch Accounts owing from such Account Debtor and its Affiliates to the Applicable Dutch Credit Parties exceeds 25% of the aggregate Eligible Dutch Accounts;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Eligible Dutch Accounts owing from SKF AB and its Affiliates, the foregoing percentage shall be the then Applicable SKF Concentration Limit;</w:t>
      </w:r>
    </w:p>
    <w:p>
      <w:pPr>
        <w:spacing w:after="0" w:line="176" w:lineRule="exact"/>
        <w:rPr>
          <w:rFonts w:ascii="Times New Roman" w:cs="Times New Roman" w:eastAsia="Times New Roman" w:hAnsi="Times New Roman"/>
          <w:sz w:val="18"/>
          <w:szCs w:val="18"/>
          <w:color w:val="auto"/>
        </w:rPr>
      </w:pPr>
    </w:p>
    <w:p>
      <w:pPr>
        <w:ind w:right="40" w:firstLine="464"/>
        <w:spacing w:after="0" w:line="261" w:lineRule="auto"/>
        <w:tabs>
          <w:tab w:leader="none" w:pos="70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(i) covenant contained in this Agreement or in any Dutch Security Document has been breached in any respect, or (ii) any representation or warranty contained in this Agreement or in any Dutch Security Document is not true in any material respect (or, if any such representation or warranty is by its terms qualified by concepts of materiality or reference to Material Adverse Effect, such covenant, representation, warranty or statement in any respect);</w:t>
      </w:r>
    </w:p>
    <w:p>
      <w:pPr>
        <w:spacing w:after="0" w:line="180" w:lineRule="exact"/>
        <w:rPr>
          <w:rFonts w:ascii="Times New Roman" w:cs="Times New Roman" w:eastAsia="Times New Roman" w:hAnsi="Times New Roman"/>
          <w:sz w:val="18"/>
          <w:szCs w:val="18"/>
          <w:color w:val="auto"/>
        </w:rPr>
      </w:pPr>
    </w:p>
    <w:p>
      <w:pPr>
        <w:ind w:firstLine="464"/>
        <w:spacing w:after="0" w:line="261" w:lineRule="auto"/>
        <w:tabs>
          <w:tab w:leader="none" w:pos="6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arise from the sale of goods or performance of services in the ordinary course of business, (ii) is not evidenced by an invoice or other documentation which has been sent to the Account Debtor, (iii) represents a progress billing, (iv) is contingent upon the Dutch Borrower’s or any other Credit Party’s completion of any further performance, (v) represents a sale on a bill-and-hold, guaranteed sale, sale-and-return, sale on approval, consignment, cash-on-delivery or any other repurchase or return basis or (vi) relates to payments of interest;</w:t>
      </w:r>
    </w:p>
    <w:p>
      <w:pPr>
        <w:spacing w:after="0" w:line="180" w:lineRule="exact"/>
        <w:rPr>
          <w:rFonts w:ascii="Times New Roman" w:cs="Times New Roman" w:eastAsia="Times New Roman" w:hAnsi="Times New Roman"/>
          <w:sz w:val="18"/>
          <w:szCs w:val="18"/>
          <w:color w:val="auto"/>
        </w:rPr>
      </w:pPr>
    </w:p>
    <w:p>
      <w:pPr>
        <w:ind w:right="100" w:firstLine="464"/>
        <w:spacing w:after="0" w:line="282" w:lineRule="auto"/>
        <w:tabs>
          <w:tab w:leader="none" w:pos="71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goods giving rise to such Account have not been shipped to the Account Debtor or for which the services giving rise to such Account have not been performed by the Dutch Borrower or other applicable Credit Party or if such Account was invoiced more than once;</w:t>
      </w:r>
    </w:p>
    <w:p>
      <w:pPr>
        <w:sectPr>
          <w:pgSz w:w="11900" w:h="16838" w:orient="portrait"/>
          <w:cols w:equalWidth="0" w:num="1">
            <w:col w:w="11420"/>
          </w:cols>
          <w:pgMar w:left="240" w:top="268" w:right="239" w:bottom="1440" w:gutter="0" w:footer="0" w:header="0"/>
        </w:sectPr>
      </w:pPr>
    </w:p>
    <w:bookmarkStart w:id="188" w:name="page189"/>
    <w:bookmarkEnd w:id="188"/>
    <w:p>
      <w:pPr>
        <w:ind w:left="720" w:hanging="256"/>
        <w:spacing w:after="0"/>
        <w:tabs>
          <w:tab w:leader="none" w:pos="7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which any check or other instrument of payment has been returned uncollected for any reason;</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(i) has applied for or is the subject of a petition or application for, suffered, or consented to the</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any receiver, custodian, trustee, administrator, liquidator or similar official for such Account Debtor or its assets, (ii) has had possession of all or a material part of its property taken by any receiver, custodian, trustee or liquidator, (iii) filed, or had filed against it, under any insolvency laws, any assignment, application, request or petition for liquidation, reorganization, compromise, arrangement, adjustment of debts, stay of proceedings, adjudication as bankrupt, winding-up, or voluntary or involuntary case or proceeding, (iv) has admitted in writing its inability, or is generally unable to, pay its debts as they become due, (v) is insolvent, or (vi) ceased operation of its business;</w:t>
      </w:r>
    </w:p>
    <w:p>
      <w:pPr>
        <w:spacing w:after="0" w:line="187"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in any currency other than an Eligible Account Currency;</w:t>
      </w:r>
    </w:p>
    <w:p>
      <w:pPr>
        <w:spacing w:after="0" w:line="225" w:lineRule="exact"/>
        <w:rPr>
          <w:rFonts w:ascii="Times New Roman" w:cs="Times New Roman" w:eastAsia="Times New Roman" w:hAnsi="Times New Roman"/>
          <w:sz w:val="18"/>
          <w:szCs w:val="18"/>
          <w:color w:val="auto"/>
        </w:rPr>
      </w:pPr>
    </w:p>
    <w:p>
      <w:pPr>
        <w:ind w:right="40" w:firstLine="464"/>
        <w:spacing w:after="0" w:line="266" w:lineRule="auto"/>
        <w:tabs>
          <w:tab w:leader="none" w:pos="7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(i) Governmental Authority (or any department, agency, public corporation, or instrumentality thereof) of any country unless such Account is backed by a letter of credit acceptable to the Foreign Collateral Agent which is in the possession of, has been assigned to and is directly drawable by the Foreign Collateral Agent, or (ii) the Foreign Collateral Agent otherwise approves;</w:t>
      </w:r>
    </w:p>
    <w:p>
      <w:pPr>
        <w:spacing w:after="0" w:line="17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Affiliate, employee, officer, director or agent of any Credit Party;</w:t>
      </w:r>
    </w:p>
    <w:p>
      <w:pPr>
        <w:spacing w:after="0" w:line="225" w:lineRule="exact"/>
        <w:rPr>
          <w:rFonts w:ascii="Times New Roman" w:cs="Times New Roman" w:eastAsia="Times New Roman" w:hAnsi="Times New Roman"/>
          <w:sz w:val="18"/>
          <w:szCs w:val="18"/>
          <w:color w:val="auto"/>
        </w:rPr>
      </w:pPr>
    </w:p>
    <w:p>
      <w:pPr>
        <w:ind w:right="140" w:firstLine="464"/>
        <w:spacing w:after="0" w:line="266" w:lineRule="auto"/>
        <w:tabs>
          <w:tab w:leader="none" w:pos="76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or any Affiliate of such Account Debtor to which any Credit Party is indebted, but only to the extent of such indebtedness or is subject to any security, deposit, progress payment, retainage or other similar advance made by or for the benefit of an Account Debtor, in each case to the extent thereof;</w:t>
      </w:r>
    </w:p>
    <w:p>
      <w:pPr>
        <w:spacing w:after="0" w:line="176" w:lineRule="exact"/>
        <w:rPr>
          <w:rFonts w:ascii="Times New Roman" w:cs="Times New Roman" w:eastAsia="Times New Roman" w:hAnsi="Times New Roman"/>
          <w:sz w:val="18"/>
          <w:szCs w:val="18"/>
          <w:color w:val="auto"/>
        </w:rPr>
      </w:pPr>
    </w:p>
    <w:p>
      <w:pPr>
        <w:ind w:firstLine="464"/>
        <w:spacing w:after="0" w:line="282" w:lineRule="auto"/>
        <w:tabs>
          <w:tab w:leader="none" w:pos="7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counterclaim, deduction, defense, setoff or dispute but only to the extent of any such counterclaim, deduction, defense, setoff or dispute;</w:t>
      </w:r>
    </w:p>
    <w:p>
      <w:pPr>
        <w:spacing w:after="0" w:line="161" w:lineRule="exact"/>
        <w:rPr>
          <w:rFonts w:ascii="Times New Roman" w:cs="Times New Roman" w:eastAsia="Times New Roman" w:hAnsi="Times New Roman"/>
          <w:sz w:val="18"/>
          <w:szCs w:val="18"/>
          <w:color w:val="auto"/>
        </w:rPr>
      </w:pPr>
    </w:p>
    <w:p>
      <w:pPr>
        <w:ind w:right="420" w:firstLine="464"/>
        <w:spacing w:after="0" w:line="282" w:lineRule="auto"/>
        <w:tabs>
          <w:tab w:leader="none" w:pos="7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evidenced by any promissory note, Chattel Paper, or instrument, unless such promissory notes, chattel paper or instruments have been endorsed and pledged to the Foreign Collateral Agent;</w:t>
      </w:r>
    </w:p>
    <w:p>
      <w:pPr>
        <w:spacing w:after="0" w:line="161" w:lineRule="exact"/>
        <w:rPr>
          <w:rFonts w:ascii="Times New Roman" w:cs="Times New Roman" w:eastAsia="Times New Roman" w:hAnsi="Times New Roman"/>
          <w:sz w:val="18"/>
          <w:szCs w:val="18"/>
          <w:color w:val="auto"/>
        </w:rPr>
      </w:pPr>
    </w:p>
    <w:p>
      <w:pPr>
        <w:ind w:right="200" w:firstLine="464"/>
        <w:spacing w:after="0" w:line="256" w:lineRule="auto"/>
        <w:tabs>
          <w:tab w:leader="none" w:pos="7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located in any jurisdiction that requires, as a condition to access to the courts of such jurisdiction, that a creditor qualify to transact business, file a business activities report or other report or form, or take one or more other actions, unless the Applicable Dutch Credit Party has so qualified, filed such reports or forms, or taken such actions (and, in each case, paid any required fees or other charges), except to the extent the Applicable Dutch Credit Party may qualify subsequently as a foreign entity authorized to transact business in such jurisdiction and gain access to such courts, without incurring any cost or penalty reasonably viewed by the Foreign Collateral Agent to be material in amount, and such later qualification cures any access to such courts to enforce payment of such Account;</w:t>
      </w:r>
    </w:p>
    <w:p>
      <w:pPr>
        <w:spacing w:after="0" w:line="187" w:lineRule="exact"/>
        <w:rPr>
          <w:rFonts w:ascii="Times New Roman" w:cs="Times New Roman" w:eastAsia="Times New Roman" w:hAnsi="Times New Roman"/>
          <w:sz w:val="18"/>
          <w:szCs w:val="18"/>
          <w:color w:val="auto"/>
        </w:rPr>
      </w:pPr>
    </w:p>
    <w:p>
      <w:pPr>
        <w:jc w:val="both"/>
        <w:ind w:right="140" w:firstLine="464"/>
        <w:spacing w:after="0" w:line="266" w:lineRule="auto"/>
        <w:tabs>
          <w:tab w:leader="none" w:pos="7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limitation on assignment or other restriction (whether arising by operating of law, by agreement or otherwise) which would under the local governing law of the contract have the effect of restricting the assignment for or by way of security or the creation of a security or pledge, in each case unless the Foreign Collateral Agent has determined that such limitation is not enforceable;</w:t>
      </w:r>
    </w:p>
    <w:p>
      <w:pPr>
        <w:sectPr>
          <w:pgSz w:w="11900" w:h="16838" w:orient="portrait"/>
          <w:cols w:equalWidth="0" w:num="1">
            <w:col w:w="11420"/>
          </w:cols>
          <w:pgMar w:left="240" w:top="270" w:right="239" w:bottom="1440" w:gutter="0" w:footer="0" w:header="0"/>
        </w:sectPr>
      </w:pPr>
    </w:p>
    <w:bookmarkStart w:id="189" w:name="page190"/>
    <w:bookmarkEnd w:id="189"/>
    <w:p>
      <w:pPr>
        <w:ind w:firstLine="464"/>
        <w:spacing w:after="0" w:line="266" w:lineRule="auto"/>
        <w:tabs>
          <w:tab w:leader="none" w:pos="68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which the Applicable Dutch Credit party has made any agreement with the Account Debtor for any reduction thereof, other than discounts and adjustments given in the ordinary course of business, but solely to the extent of such reduction, or any Account which was partially paid and the Applicable Dutch Credit Party created a new receivable for the unpaid portion of such Account;</w:t>
      </w:r>
    </w:p>
    <w:p>
      <w:pPr>
        <w:spacing w:after="0" w:line="176" w:lineRule="exact"/>
        <w:rPr>
          <w:rFonts w:ascii="Times New Roman" w:cs="Times New Roman" w:eastAsia="Times New Roman" w:hAnsi="Times New Roman"/>
          <w:sz w:val="18"/>
          <w:szCs w:val="18"/>
          <w:color w:val="auto"/>
        </w:rPr>
      </w:pPr>
    </w:p>
    <w:p>
      <w:pPr>
        <w:ind w:right="120" w:firstLine="464"/>
        <w:spacing w:after="0" w:line="282" w:lineRule="auto"/>
        <w:tabs>
          <w:tab w:leader="none" w:pos="69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comply in all material respects with the requirements of all applicable Laws and regulations, whether federal, provincial, territorial, state or local;</w:t>
      </w:r>
    </w:p>
    <w:p>
      <w:pPr>
        <w:spacing w:after="0" w:line="161" w:lineRule="exact"/>
        <w:rPr>
          <w:rFonts w:ascii="Times New Roman" w:cs="Times New Roman" w:eastAsia="Times New Roman" w:hAnsi="Times New Roman"/>
          <w:sz w:val="18"/>
          <w:szCs w:val="18"/>
          <w:color w:val="auto"/>
        </w:rPr>
      </w:pPr>
    </w:p>
    <w:p>
      <w:pPr>
        <w:ind w:right="120" w:firstLine="464"/>
        <w:spacing w:after="0" w:line="266" w:lineRule="auto"/>
        <w:tabs>
          <w:tab w:leader="none" w:pos="67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for goods that have been sold under a purchase order or pursuant to the terms of a contract or other agreement or understanding (written or oral) that indicates or purports that any Person other than the Applicable Dutch Credit Party has an ownership interest in such goods, or which indicates any party other than the Applicable Dutch Credit Party as payee or remittance party;</w:t>
      </w:r>
    </w:p>
    <w:p>
      <w:pPr>
        <w:spacing w:after="0" w:line="176" w:lineRule="exact"/>
        <w:rPr>
          <w:rFonts w:ascii="Times New Roman" w:cs="Times New Roman" w:eastAsia="Times New Roman" w:hAnsi="Times New Roman"/>
          <w:sz w:val="18"/>
          <w:szCs w:val="18"/>
          <w:color w:val="auto"/>
        </w:rPr>
      </w:pPr>
    </w:p>
    <w:p>
      <w:pPr>
        <w:ind w:right="120" w:firstLine="464"/>
        <w:spacing w:after="0" w:line="266" w:lineRule="auto"/>
        <w:tabs>
          <w:tab w:leader="none" w:pos="71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limitation on assignments or pledges (whether arising by operation of law, by contractual agreement or otherwise), unless the Foreign Collateral Agent has determined that such limitation is not enforceable or the Foreign Collateral Agent has otherwise approved such Account for inclusion as an Eligible Dutch Account;</w:t>
      </w:r>
    </w:p>
    <w:p>
      <w:pPr>
        <w:spacing w:after="0" w:line="176" w:lineRule="exact"/>
        <w:rPr>
          <w:rFonts w:ascii="Times New Roman" w:cs="Times New Roman" w:eastAsia="Times New Roman" w:hAnsi="Times New Roman"/>
          <w:sz w:val="18"/>
          <w:szCs w:val="18"/>
          <w:color w:val="auto"/>
        </w:rPr>
      </w:pPr>
    </w:p>
    <w:p>
      <w:pPr>
        <w:ind w:right="740" w:firstLine="464"/>
        <w:spacing w:after="0" w:line="282" w:lineRule="auto"/>
        <w:tabs>
          <w:tab w:leader="none" w:pos="71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governed by the laws of any jurisdiction other than the United States, any state thereof or the District of Columbia, Canada or the jurisdiction of a member state of the European Union prior to May 2004;</w:t>
      </w:r>
    </w:p>
    <w:p>
      <w:pPr>
        <w:spacing w:after="0" w:line="161"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arose from the sale of Inventory which is the subject of a recall;</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Account Debtor which has sold all or a substantially all of its assets;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for any Account Debtor, exceeds a credit limit determined by the Foreign Collateral Agent, to the extent of such excess;</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was created on cash on delivery terms;</w:t>
      </w:r>
    </w:p>
    <w:p>
      <w:pPr>
        <w:spacing w:after="0" w:line="225" w:lineRule="exact"/>
        <w:rPr>
          <w:sz w:val="20"/>
          <w:szCs w:val="20"/>
          <w:color w:val="auto"/>
        </w:rPr>
      </w:pPr>
    </w:p>
    <w:p>
      <w:pPr>
        <w:ind w:right="420" w:firstLine="464"/>
        <w:spacing w:after="0" w:line="266" w:lineRule="auto"/>
        <w:tabs>
          <w:tab w:leader="none" w:pos="78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is not organized under the applicable law of an Eligible Account Debtor Jurisdiction unless such Account is backed by a letter of credit or other credit support reasonably acceptable to the Foreign Collateral Agent and which is in the possession of the Foreign Collateral Agent; or</w:t>
      </w:r>
    </w:p>
    <w:p>
      <w:pPr>
        <w:spacing w:after="0" w:line="176" w:lineRule="exact"/>
        <w:rPr>
          <w:rFonts w:ascii="Times New Roman" w:cs="Times New Roman" w:eastAsia="Times New Roman" w:hAnsi="Times New Roman"/>
          <w:sz w:val="18"/>
          <w:szCs w:val="18"/>
          <w:color w:val="auto"/>
        </w:rPr>
      </w:pPr>
    </w:p>
    <w:p>
      <w:pPr>
        <w:ind w:right="140" w:firstLine="464"/>
        <w:spacing w:after="0" w:line="282" w:lineRule="auto"/>
        <w:tabs>
          <w:tab w:leader="none" w:pos="80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Foreign Collateral Agent determines, in its Permitted Discretion, may not be paid by reason of the Account Debtor’s inability to pay or which the Foreign Collateral Agent otherwise determines, in its Permitted Discretion, is unacceptable for any reason whatsoever.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event that an Account which was previously an Eligible Dutch Account ceases to be an Eligible Dutch Account hereunder, the Dutch Borrower shall notify the Foreign Collateral Agent thereof on and at the time of submission to the Foreign Collateral Agent of the next Borrowing Base Certificate. In determining the amount of an Eligible Dutch Account, the face amount of an Account may, in the Foreign Collateral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the Applicable Dutch Credit Party may be obligated to rebate to an Account Debtor pursuant to the terms of any agreement or understanding (written or oral)) and (ii) the aggregate amount of all cash received in respect of such Account but not yet applied by the Applicable Dutch Credit Party to reduce the amount of such Account.</w:t>
      </w:r>
    </w:p>
    <w:p>
      <w:pPr>
        <w:sectPr>
          <w:pgSz w:w="11900" w:h="16838" w:orient="portrait"/>
          <w:cols w:equalWidth="0" w:num="1">
            <w:col w:w="11420"/>
          </w:cols>
          <w:pgMar w:left="240" w:top="270" w:right="239" w:bottom="1440" w:gutter="0" w:footer="0" w:header="0"/>
        </w:sectPr>
      </w:pPr>
    </w:p>
    <w:bookmarkStart w:id="190" w:name="page191"/>
    <w:bookmarkEnd w:id="190"/>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Eligible Dutch Inventory</w:t>
      </w:r>
      <w:r>
        <w:rPr>
          <w:rFonts w:ascii="Times New Roman" w:cs="Times New Roman" w:eastAsia="Times New Roman" w:hAnsi="Times New Roman"/>
          <w:sz w:val="18"/>
          <w:szCs w:val="18"/>
          <w:color w:val="auto"/>
        </w:rPr>
        <w:t>” shall mean, at any time, the Inventory of the Applicable Dutch Credit Parties which the Foreign Collateral Agent determines in its Permitted Discretion is eligible as the basis for the extension of Dutch Revolving Loans and Dutch Swing Loans and the issuance of Dutch Letters of Credit. Without limiting the Foreign Collateral Agent’s discretion provided herein, Eligible Dutch Inventory shall not include any Inventory:</w:t>
      </w:r>
    </w:p>
    <w:p>
      <w:pPr>
        <w:spacing w:after="0" w:line="176" w:lineRule="exact"/>
        <w:rPr>
          <w:sz w:val="20"/>
          <w:szCs w:val="20"/>
          <w:color w:val="auto"/>
        </w:rPr>
      </w:pPr>
    </w:p>
    <w:p>
      <w:pPr>
        <w:ind w:right="60" w:firstLine="464"/>
        <w:spacing w:after="0" w:line="282" w:lineRule="auto"/>
        <w:tabs>
          <w:tab w:leader="none" w:pos="70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the Foreign Collateral Agent, subject only to Permitted Encumbrances which do not have priority over the Lien in favor of the Foreign Collateral Agent;</w:t>
      </w:r>
    </w:p>
    <w:p>
      <w:pPr>
        <w:spacing w:after="0" w:line="161" w:lineRule="exact"/>
        <w:rPr>
          <w:rFonts w:ascii="Times New Roman" w:cs="Times New Roman" w:eastAsia="Times New Roman" w:hAnsi="Times New Roman"/>
          <w:sz w:val="18"/>
          <w:szCs w:val="18"/>
          <w:color w:val="auto"/>
        </w:rPr>
      </w:pPr>
    </w:p>
    <w:p>
      <w:pPr>
        <w:ind w:right="100" w:firstLine="464"/>
        <w:spacing w:after="0" w:line="266" w:lineRule="auto"/>
        <w:tabs>
          <w:tab w:leader="none" w:pos="71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the Foreign Collateral Agent’s Permitted Discretion, slow moving, obsolete, unmerchantable, defective, used, unfit for sale, not salable at prices approximating at least the cost of such Inventory in the ordinary course of business or unacceptable due to age, type, category, quantity, and/or failure to meet applicable customer specifications or acceptance procedures; or which is the subject of a recall;</w:t>
      </w:r>
    </w:p>
    <w:p>
      <w:pPr>
        <w:spacing w:after="0" w:line="176" w:lineRule="exact"/>
        <w:rPr>
          <w:rFonts w:ascii="Times New Roman" w:cs="Times New Roman" w:eastAsia="Times New Roman" w:hAnsi="Times New Roman"/>
          <w:sz w:val="18"/>
          <w:szCs w:val="18"/>
          <w:color w:val="auto"/>
        </w:rPr>
      </w:pPr>
    </w:p>
    <w:p>
      <w:pPr>
        <w:ind w:right="80" w:firstLine="464"/>
        <w:spacing w:after="0" w:line="266" w:lineRule="auto"/>
        <w:tabs>
          <w:tab w:leader="none" w:pos="70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any Dutch Security Document has been breached or is not true in any material respect and which does not conform in all material respects to all standards imposed by any Governmental Authority (except that any standard that is qualified as to “materiality” shall have conformed in all respects);</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an Applicable Dutch Credit Party shall (i) have any direct or indirect ownership, interest or title to such Inventory or</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indicated on any purchase order or invoice with respect to such Inventory as having or purporting to have an interest therein;</w:t>
      </w:r>
    </w:p>
    <w:p>
      <w:pPr>
        <w:spacing w:after="0" w:line="206" w:lineRule="exact"/>
        <w:rPr>
          <w:rFonts w:ascii="Times New Roman" w:cs="Times New Roman" w:eastAsia="Times New Roman" w:hAnsi="Times New Roman"/>
          <w:sz w:val="18"/>
          <w:szCs w:val="18"/>
          <w:color w:val="auto"/>
        </w:rPr>
      </w:pPr>
    </w:p>
    <w:p>
      <w:pPr>
        <w:ind w:right="180" w:firstLine="464"/>
        <w:spacing w:after="0" w:line="261" w:lineRule="auto"/>
        <w:tabs>
          <w:tab w:leader="none" w:pos="70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constitutes work-in process, spare or replacement parts, subassemblies, packaging and shipping material, manufacturing supplies, samples, prototypes, displays or display items, bill-and-hold goods, goods that are returned or marked for return, repossessed goods, defective or damaged goods, goods held on consignment, or goods which are not of a type held for sale in the ordinary course of business or which is the subject of a consignment by the Applicable Dutch Credit Party as consignor;</w:t>
      </w:r>
    </w:p>
    <w:p>
      <w:pPr>
        <w:spacing w:after="0" w:line="180"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located in the Netherlands;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transit with a common carrier from a vendor or supplier, or in transit to or from any third party location or outside processor;</w:t>
      </w:r>
    </w:p>
    <w:p>
      <w:pPr>
        <w:spacing w:after="0" w:line="225" w:lineRule="exact"/>
        <w:rPr>
          <w:rFonts w:ascii="Times New Roman" w:cs="Times New Roman" w:eastAsia="Times New Roman" w:hAnsi="Times New Roman"/>
          <w:sz w:val="18"/>
          <w:szCs w:val="18"/>
          <w:color w:val="auto"/>
        </w:rPr>
      </w:pPr>
    </w:p>
    <w:p>
      <w:pPr>
        <w:ind w:right="160" w:firstLine="464"/>
        <w:spacing w:after="0" w:line="261" w:lineRule="auto"/>
        <w:tabs>
          <w:tab w:leader="none" w:pos="71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location leased by such Applicable Dutch Credit Party unless (i) the lessor has delivered to the Foreign Collateral Agent a Collateral Access Agreement in form and substance satisfactory to the Foreign Collateral Agent, in its Permitted Discretion, or (ii) a Dutch Reserve for rent, charges, and other amounts due or to become due with respect to such facility has been established by the Foreign Collateral Agent in its Permitted Discretion;</w:t>
      </w:r>
    </w:p>
    <w:p>
      <w:pPr>
        <w:spacing w:after="0" w:line="180" w:lineRule="exact"/>
        <w:rPr>
          <w:rFonts w:ascii="Times New Roman" w:cs="Times New Roman" w:eastAsia="Times New Roman" w:hAnsi="Times New Roman"/>
          <w:sz w:val="18"/>
          <w:szCs w:val="18"/>
          <w:color w:val="auto"/>
        </w:rPr>
      </w:pPr>
    </w:p>
    <w:p>
      <w:pPr>
        <w:ind w:right="100" w:firstLine="464"/>
        <w:spacing w:after="0" w:line="266" w:lineRule="auto"/>
        <w:tabs>
          <w:tab w:leader="none" w:pos="67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third party warehouse or is in the possession of a bailee (other than a third party processor) unless (i) such warehouseman or bailee has delivered to the Foreign Collateral Agent a Collateral Access Agreement and such other documentation as the Foreign Collateral Agent may reasonably require or (ii) an appropriate Dutch Reserve has been established by the Foreign Collateral Agent in its Permitted Discretion;</w:t>
      </w:r>
    </w:p>
    <w:p>
      <w:pPr>
        <w:spacing w:after="0" w:line="176" w:lineRule="exact"/>
        <w:rPr>
          <w:rFonts w:ascii="Times New Roman" w:cs="Times New Roman" w:eastAsia="Times New Roman" w:hAnsi="Times New Roman"/>
          <w:sz w:val="18"/>
          <w:szCs w:val="18"/>
          <w:color w:val="auto"/>
        </w:rPr>
      </w:pPr>
    </w:p>
    <w:p>
      <w:pPr>
        <w:ind w:right="300" w:firstLine="464"/>
        <w:spacing w:after="0" w:line="282" w:lineRule="auto"/>
        <w:tabs>
          <w:tab w:leader="none" w:pos="67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discontinued product or component thereof, is beyond the “best if used by” date for such Inventory or is otherwise unacceptable to the Applicable Dutch Credit Party’s customers;</w:t>
      </w:r>
    </w:p>
    <w:p>
      <w:pPr>
        <w:sectPr>
          <w:pgSz w:w="11900" w:h="16838" w:orient="portrait"/>
          <w:cols w:equalWidth="0" w:num="1">
            <w:col w:w="11420"/>
          </w:cols>
          <w:pgMar w:left="240" w:top="270" w:right="239" w:bottom="1440" w:gutter="0" w:footer="0" w:header="0"/>
        </w:sectPr>
      </w:pPr>
    </w:p>
    <w:bookmarkStart w:id="191" w:name="page192"/>
    <w:bookmarkEnd w:id="191"/>
    <w:p>
      <w:pPr>
        <w:ind w:right="280" w:firstLine="464"/>
        <w:spacing w:after="0" w:line="276" w:lineRule="auto"/>
        <w:tabs>
          <w:tab w:leader="none" w:pos="711"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contains, bears or is subject to any intellectual property rights licensed to an Applicable Dutch Credit Party unless the Foreign Collateral Agent is satisfied, after reviewing the licensing arrangements that it may sell or otherwise dispose of such Inventory without (i) the consent of the licensor,</w:t>
      </w:r>
    </w:p>
    <w:p>
      <w:pPr>
        <w:ind w:right="260" w:firstLine="8"/>
        <w:spacing w:after="0" w:line="261" w:lineRule="auto"/>
        <w:tabs>
          <w:tab w:leader="none" w:pos="26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infringing the rights of such licensor, (iii) violating any contract with such licensor, and (iv) incurring any liability with respect to payment of royalties, other than royalties payable to the licensor incurred pursuant to sale of such Inventory under the applicable licensing agreement;</w:t>
      </w:r>
    </w:p>
    <w:p>
      <w:pPr>
        <w:spacing w:after="0" w:line="179"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properly reflected in a current perpetual or physical inventory report of the Applicable Dutch Credit Party;</w:t>
      </w:r>
    </w:p>
    <w:p>
      <w:pPr>
        <w:spacing w:after="0" w:line="225"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w:t>
      </w:r>
    </w:p>
    <w:p>
      <w:pPr>
        <w:spacing w:after="0" w:line="225" w:lineRule="exact"/>
        <w:rPr>
          <w:rFonts w:ascii="Times New Roman" w:cs="Times New Roman" w:eastAsia="Times New Roman" w:hAnsi="Times New Roman"/>
          <w:sz w:val="18"/>
          <w:szCs w:val="18"/>
          <w:color w:val="auto"/>
        </w:rPr>
      </w:pPr>
    </w:p>
    <w:p>
      <w:pPr>
        <w:ind w:firstLine="464"/>
        <w:spacing w:after="0" w:line="261" w:lineRule="auto"/>
        <w:tabs>
          <w:tab w:leader="none" w:pos="71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such Applicable Dutch Credit Party shall (i) have any direct or indirect ownership, interest or title or (ii) be indicated on any purchase order or invoice with respect to such Inventory as having or purporting to have an interest therein, including Inventory for which (A) any contract or related documentation (such as invoices or purchase orders) relating to such Inventory includes retention of title rights in favor of the vendor or supplier thereof, or (B) under applicable governing laws, retention of title may be imposed unilaterally by the vendor or supplier thereof;</w:t>
      </w:r>
    </w:p>
    <w:p>
      <w:pPr>
        <w:spacing w:after="0" w:line="18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constitutes movable assets as set out in section 21 paragraph 2 in conjunction with section 22 paragraph 3 of the Dutch Tax Collection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Invorderingswet</w:t>
      </w:r>
      <w:r>
        <w:rPr>
          <w:rFonts w:ascii="Times New Roman" w:cs="Times New Roman" w:eastAsia="Times New Roman" w:hAnsi="Times New Roman"/>
          <w:sz w:val="18"/>
          <w:szCs w:val="18"/>
          <w:color w:val="auto"/>
        </w:rPr>
        <w:t xml:space="preserve"> 1990);</w:t>
      </w:r>
    </w:p>
    <w:p>
      <w:pPr>
        <w:spacing w:after="0" w:line="207" w:lineRule="exact"/>
        <w:rPr>
          <w:sz w:val="20"/>
          <w:szCs w:val="20"/>
          <w:color w:val="auto"/>
        </w:rPr>
      </w:pPr>
    </w:p>
    <w:p>
      <w:pPr>
        <w:ind w:right="740" w:firstLine="464"/>
        <w:spacing w:after="0" w:line="282" w:lineRule="auto"/>
        <w:tabs>
          <w:tab w:leader="none" w:pos="7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being processed offsite at a third party location or outside processor, or is in-transit to or from such third party location or outside processor;</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perishable; or</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Foreign Collateral Agent otherwise determines, in its Permitted Discretion, is unacceptable for any reason whatsoever.</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the event that Inventory which was previously Eligible Dutch Inventory ceases to be Eligible Dutch Inventory hereunder, the Applicable Dutch Credit Parties shall notify the Foreign Collateral Agent thereof on and at the time of submission to the Foreign Collateral Agent of the next Borrowing Base Certificate.</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U.S. Accounts</w:t>
      </w:r>
      <w:r>
        <w:rPr>
          <w:rFonts w:ascii="Times New Roman" w:cs="Times New Roman" w:eastAsia="Times New Roman" w:hAnsi="Times New Roman"/>
          <w:sz w:val="18"/>
          <w:szCs w:val="18"/>
          <w:color w:val="auto"/>
        </w:rPr>
        <w:t>” means, at any time, the Accounts of U.S. Credit Parties which Administrative Agent determines in its Permitted Discretion are eligible for the extension of U.S. Revolving Loans and U.S. Swing Loans and the issuance of U.S. Letters of Credit. Without limiting the Administrative Agent’s discretion provided herein, Eligible U.S. Accounts shall not include any Account:</w:t>
      </w:r>
    </w:p>
    <w:p>
      <w:pPr>
        <w:spacing w:after="0" w:line="176" w:lineRule="exact"/>
        <w:rPr>
          <w:sz w:val="20"/>
          <w:szCs w:val="20"/>
          <w:color w:val="auto"/>
        </w:rPr>
      </w:pPr>
    </w:p>
    <w:p>
      <w:pPr>
        <w:ind w:right="100" w:firstLine="464"/>
        <w:spacing w:after="0" w:line="282" w:lineRule="auto"/>
        <w:tabs>
          <w:tab w:leader="none" w:pos="70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the Administrative Agent, subject only Permitted Encumbrances which do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ind w:right="80" w:firstLine="464"/>
        <w:spacing w:after="0" w:line="258" w:lineRule="auto"/>
        <w:tabs>
          <w:tab w:leader="none" w:pos="71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which remains outstanding more than 90 days after the original invoice date (or solely with respect to Accounts where Emerson Climate Control (Copeland) Division is the Account Debtor, 30 days after the due date, not to exceed 150 days after the original invoice date) or which has been written off the books of the applicable US. Credit Party or otherwise designated as uncollectible by the applicable U.S.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calculating the delinquent portions of an Account hereunder, credit balances more than 90 days (or solely with respect to Accounts where Emerson Climate Control (Copeland) Division is the Account Debtor, 150 days) old shall be excluded;</w:t>
      </w:r>
    </w:p>
    <w:p>
      <w:pPr>
        <w:sectPr>
          <w:pgSz w:w="11900" w:h="16838" w:orient="portrait"/>
          <w:cols w:equalWidth="0" w:num="1">
            <w:col w:w="11420"/>
          </w:cols>
          <w:pgMar w:left="240" w:top="270" w:right="239" w:bottom="1440" w:gutter="0" w:footer="0" w:header="0"/>
        </w:sectPr>
      </w:pPr>
    </w:p>
    <w:bookmarkStart w:id="192" w:name="page193"/>
    <w:bookmarkEnd w:id="192"/>
    <w:p>
      <w:pPr>
        <w:ind w:firstLine="464"/>
        <w:spacing w:after="0" w:line="266" w:lineRule="auto"/>
        <w:tabs>
          <w:tab w:leader="none" w:pos="70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is owing by an Account Debtor for which more than 50% of the Accounts owing from such Account Debtor and its Affiliates are more than 90 days past the original invoice date (or solely with respect to Accounts where Emerson Climate Control (Copeland) Division is the Account Debtor, 30 days after the due date, not to exceed 150 days after the original invoice date);</w:t>
      </w:r>
    </w:p>
    <w:p>
      <w:pPr>
        <w:spacing w:after="0" w:line="176" w:lineRule="exact"/>
        <w:rPr>
          <w:rFonts w:ascii="Times New Roman" w:cs="Times New Roman" w:eastAsia="Times New Roman" w:hAnsi="Times New Roman"/>
          <w:sz w:val="18"/>
          <w:szCs w:val="18"/>
          <w:color w:val="auto"/>
        </w:rPr>
      </w:pPr>
    </w:p>
    <w:p>
      <w:pPr>
        <w:ind w:right="240" w:firstLine="464"/>
        <w:spacing w:after="0" w:line="266" w:lineRule="auto"/>
        <w:tabs>
          <w:tab w:leader="none" w:pos="71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owing by an Account Debtor to the extent the aggregate amount of Eligible U.S. Accounts owing from such Account Debtor and its Affiliates to the U.S. Credit Parties exceeds 25% of the aggregate Eligible U.S. Accounts;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Eligible U.S. Accounts owing from SKF AB and its Affiliates, the foregoing percentage shall be the then Applicable SKF Concentration Limit;</w:t>
      </w:r>
    </w:p>
    <w:p>
      <w:pPr>
        <w:spacing w:after="0" w:line="176" w:lineRule="exact"/>
        <w:rPr>
          <w:rFonts w:ascii="Times New Roman" w:cs="Times New Roman" w:eastAsia="Times New Roman" w:hAnsi="Times New Roman"/>
          <w:sz w:val="18"/>
          <w:szCs w:val="18"/>
          <w:color w:val="auto"/>
        </w:rPr>
      </w:pPr>
    </w:p>
    <w:p>
      <w:pPr>
        <w:jc w:val="both"/>
        <w:ind w:right="60" w:firstLine="464"/>
        <w:spacing w:after="0" w:line="261" w:lineRule="auto"/>
        <w:tabs>
          <w:tab w:leader="none" w:pos="70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(i) covenant contained in this Agreement or in any U.S. Security Agreement has been breached in any respect, or (ii) any representation or warranty contained in this Agreement or in any U.S. Security Agreement is not true in any material respect (or, if any such representation or warranty is by its terms qualified by concepts of materiality or reference to Material Adverse Effect, such covenant, representation, warranty or statement in any respect);</w:t>
      </w:r>
    </w:p>
    <w:p>
      <w:pPr>
        <w:spacing w:after="0" w:line="180" w:lineRule="exact"/>
        <w:rPr>
          <w:rFonts w:ascii="Times New Roman" w:cs="Times New Roman" w:eastAsia="Times New Roman" w:hAnsi="Times New Roman"/>
          <w:sz w:val="18"/>
          <w:szCs w:val="18"/>
          <w:color w:val="auto"/>
        </w:rPr>
      </w:pPr>
    </w:p>
    <w:p>
      <w:pPr>
        <w:jc w:val="both"/>
        <w:ind w:right="220" w:firstLine="464"/>
        <w:spacing w:after="0" w:line="261" w:lineRule="auto"/>
        <w:tabs>
          <w:tab w:leader="none" w:pos="68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arise from the sale of goods or performance of services in the ordinary course of business, (ii) is not evidenced by an invoice or other documentation which has been sent to the Account Debtor, (iii) represents a progress billing, (iv) is contingent upon any Credit Party’s completion of any further performance, (v) represents a sale on a bill-and-hold, guaranteed sale, sale-and-return, sale on approval, consignment, cash-on-delivery or any other repurchase or return basis or (vi) relates to payments of interest;</w:t>
      </w:r>
    </w:p>
    <w:p>
      <w:pPr>
        <w:spacing w:after="0" w:line="180" w:lineRule="exact"/>
        <w:rPr>
          <w:rFonts w:ascii="Times New Roman" w:cs="Times New Roman" w:eastAsia="Times New Roman" w:hAnsi="Times New Roman"/>
          <w:sz w:val="18"/>
          <w:szCs w:val="18"/>
          <w:color w:val="auto"/>
        </w:rPr>
      </w:pPr>
    </w:p>
    <w:p>
      <w:pPr>
        <w:ind w:right="100" w:firstLine="464"/>
        <w:spacing w:after="0" w:line="282" w:lineRule="auto"/>
        <w:tabs>
          <w:tab w:leader="none" w:pos="71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goods giving rise to such Account have not been shipped to the Account Debtor or for which the services giving rise to such Account have not been performed by the applicable U.S. Credit Party or if such Account was invoiced more than once;</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check or other instrument of payment has been returned uncollected for any reason;</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(i) has applied for or is the subject of a petition or application for, suffered, or consented to the</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any receiver, custodian, trustee, administrator, liquidator or similar official for such Account Debtor or its assets, (ii) has had possession of all or a material part of its property taken by any receiver, custodian, trustee or liquidator, (iii) filed, or had filed against it, under any insolvency laws, any assignment, application, request or petition for liquidation, reorganization, compromise, arrangement, adjustment of debts, stay of proceedings, adjudication as bankrupt, winding-up, or voluntary or involuntary case or proceeding, (iv) has admitted in writing its inability, or is generally unable to, pay its debts as they become due, (v) is insolvent, or (vi) ceased operation of its business;</w:t>
      </w:r>
    </w:p>
    <w:p>
      <w:pPr>
        <w:spacing w:after="0" w:line="187"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in any currency other than an Eligible Account Currency;</w:t>
      </w:r>
    </w:p>
    <w:p>
      <w:pPr>
        <w:spacing w:after="0" w:line="225" w:lineRule="exact"/>
        <w:rPr>
          <w:rFonts w:ascii="Times New Roman" w:cs="Times New Roman" w:eastAsia="Times New Roman" w:hAnsi="Times New Roman"/>
          <w:sz w:val="18"/>
          <w:szCs w:val="18"/>
          <w:color w:val="auto"/>
        </w:rPr>
      </w:pPr>
    </w:p>
    <w:p>
      <w:pPr>
        <w:ind w:firstLine="464"/>
        <w:spacing w:after="0" w:line="258" w:lineRule="auto"/>
        <w:tabs>
          <w:tab w:leader="none" w:pos="71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owed by (i) a Governmental Authority (or any department, agency, public corporation, or instrumentality thereof) of any country other than the U.S. unless such Account is backed by a letter of credit acceptable to the Administrative Agent which is in the possession of, has been assigned to and is directly drawable by the Administrative Agent, or (ii) the government of the U.S., or any department, agency, public corporation, or instrumentality thereof, unless the Federal Assignment of Claims Act of 1940, as amended (31 U.S.C. § 3727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41 U.S.C. § 15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applicable, and any other steps necessary to perfect the Lien of the Administrative Agent in such Account have been complied with to the satisfaction of the Administrative Agent;</w:t>
      </w:r>
    </w:p>
    <w:p>
      <w:pPr>
        <w:sectPr>
          <w:pgSz w:w="11900" w:h="16838" w:orient="portrait"/>
          <w:cols w:equalWidth="0" w:num="1">
            <w:col w:w="11420"/>
          </w:cols>
          <w:pgMar w:left="240" w:top="270" w:right="239" w:bottom="1440" w:gutter="0" w:footer="0" w:header="0"/>
        </w:sectPr>
      </w:pPr>
    </w:p>
    <w:bookmarkStart w:id="193" w:name="page194"/>
    <w:bookmarkEnd w:id="193"/>
    <w:p>
      <w:pPr>
        <w:ind w:left="216" w:hanging="216"/>
        <w:spacing w:after="0"/>
        <w:tabs>
          <w:tab w:leader="none" w:pos="21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is owed by any Affiliate, employee, officer, director or agent of any Credit Party;</w:t>
      </w:r>
    </w:p>
    <w:p>
      <w:pPr>
        <w:spacing w:after="0" w:line="225" w:lineRule="exact"/>
        <w:rPr>
          <w:rFonts w:ascii="Times New Roman" w:cs="Times New Roman" w:eastAsia="Times New Roman" w:hAnsi="Times New Roman"/>
          <w:sz w:val="18"/>
          <w:szCs w:val="18"/>
          <w:color w:val="auto"/>
        </w:rPr>
      </w:pPr>
    </w:p>
    <w:p>
      <w:pPr>
        <w:ind w:left="-464" w:right="140" w:firstLine="464"/>
        <w:spacing w:after="0" w:line="266" w:lineRule="auto"/>
        <w:tabs>
          <w:tab w:leader="none" w:pos="29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or any Affiliate of such Account Debtor to which any Credit Party is indebted, but only to the extent of such indebtedness or is subject to any security, deposit, progress payment, retainage or other similar advance made by or for the benefit of an Account Debtor, in each case to the extent thereof;</w:t>
      </w:r>
    </w:p>
    <w:p>
      <w:pPr>
        <w:spacing w:after="0" w:line="176" w:lineRule="exact"/>
        <w:rPr>
          <w:rFonts w:ascii="Times New Roman" w:cs="Times New Roman" w:eastAsia="Times New Roman" w:hAnsi="Times New Roman"/>
          <w:sz w:val="18"/>
          <w:szCs w:val="18"/>
          <w:color w:val="auto"/>
        </w:rPr>
      </w:pPr>
    </w:p>
    <w:p>
      <w:pPr>
        <w:ind w:left="-464" w:firstLine="464"/>
        <w:spacing w:after="0" w:line="282" w:lineRule="auto"/>
        <w:tabs>
          <w:tab w:leader="none" w:pos="24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counterclaim, deduction, defense, setoff or dispute but only to the extent of any such counterclaim, deduction, defense, setoff or dispute;</w:t>
      </w:r>
    </w:p>
    <w:p>
      <w:pPr>
        <w:spacing w:after="0" w:line="161" w:lineRule="exact"/>
        <w:rPr>
          <w:rFonts w:ascii="Times New Roman" w:cs="Times New Roman" w:eastAsia="Times New Roman" w:hAnsi="Times New Roman"/>
          <w:sz w:val="18"/>
          <w:szCs w:val="18"/>
          <w:color w:val="auto"/>
        </w:rPr>
      </w:pPr>
    </w:p>
    <w:p>
      <w:pPr>
        <w:ind w:left="-464" w:right="420" w:firstLine="464"/>
        <w:spacing w:after="0" w:line="282" w:lineRule="auto"/>
        <w:tabs>
          <w:tab w:leader="none" w:pos="24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evidenced by any promissory note, Chattel Paper, or instrument, unless such promissory notes, chattel paper or instruments have been endorsed and pledged to the Administrative Agent;</w:t>
      </w:r>
    </w:p>
    <w:p>
      <w:pPr>
        <w:spacing w:after="0" w:line="161" w:lineRule="exact"/>
        <w:rPr>
          <w:rFonts w:ascii="Times New Roman" w:cs="Times New Roman" w:eastAsia="Times New Roman" w:hAnsi="Times New Roman"/>
          <w:sz w:val="18"/>
          <w:szCs w:val="18"/>
          <w:color w:val="auto"/>
        </w:rPr>
      </w:pPr>
    </w:p>
    <w:p>
      <w:pPr>
        <w:ind w:left="-464" w:right="240" w:firstLine="464"/>
        <w:spacing w:after="0" w:line="266" w:lineRule="auto"/>
        <w:tabs>
          <w:tab w:leader="none" w:pos="24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located in any jurisdiction which requires filing of a “Notice of Business Activities Report” or other similar report in order to permit the applicable U.S. Credit Party to seek judicial enforcement in such jurisdiction of payment of such Account, unless such U.S. Credit Party has filed such report or qualified to do business in such jurisdiction;</w:t>
      </w:r>
    </w:p>
    <w:p>
      <w:pPr>
        <w:spacing w:after="0" w:line="176" w:lineRule="exact"/>
        <w:rPr>
          <w:rFonts w:ascii="Times New Roman" w:cs="Times New Roman" w:eastAsia="Times New Roman" w:hAnsi="Times New Roman"/>
          <w:sz w:val="18"/>
          <w:szCs w:val="18"/>
          <w:color w:val="auto"/>
        </w:rPr>
      </w:pPr>
    </w:p>
    <w:p>
      <w:pPr>
        <w:ind w:left="-464" w:right="260" w:firstLine="464"/>
        <w:spacing w:after="0" w:line="266" w:lineRule="auto"/>
        <w:tabs>
          <w:tab w:leader="none" w:pos="24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the applicable U.S. Credit Party has made any agreement with the Account Debtor for any reduction thereof, other than discounts and adjustments given in the ordinary course of business, but solely to the extent of such reduction, or any Account which was partially paid and such U.S. Credit Party created a new receivable for the unpaid portion of such Account;</w:t>
      </w:r>
    </w:p>
    <w:p>
      <w:pPr>
        <w:spacing w:after="0" w:line="176" w:lineRule="exact"/>
        <w:rPr>
          <w:rFonts w:ascii="Times New Roman" w:cs="Times New Roman" w:eastAsia="Times New Roman" w:hAnsi="Times New Roman"/>
          <w:sz w:val="18"/>
          <w:szCs w:val="18"/>
          <w:color w:val="auto"/>
        </w:rPr>
      </w:pPr>
    </w:p>
    <w:p>
      <w:pPr>
        <w:ind w:left="-464" w:right="200" w:firstLine="464"/>
        <w:spacing w:after="0" w:line="282" w:lineRule="auto"/>
        <w:tabs>
          <w:tab w:leader="none" w:pos="21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comply in all material respects with the requirements of all applicable laws and regulations, whether federal, provincial, territorial, state or local, including without limitation the Federal Consumer Credit Protection Act, the Federal Truth in Lending Act and Regulation Z of the Board;</w:t>
      </w:r>
    </w:p>
    <w:p>
      <w:pPr>
        <w:spacing w:after="0" w:line="161" w:lineRule="exact"/>
        <w:rPr>
          <w:rFonts w:ascii="Times New Roman" w:cs="Times New Roman" w:eastAsia="Times New Roman" w:hAnsi="Times New Roman"/>
          <w:sz w:val="18"/>
          <w:szCs w:val="18"/>
          <w:color w:val="auto"/>
        </w:rPr>
      </w:pPr>
    </w:p>
    <w:p>
      <w:pPr>
        <w:ind w:left="-464" w:right="100" w:firstLine="464"/>
        <w:spacing w:after="0" w:line="266" w:lineRule="auto"/>
        <w:tabs>
          <w:tab w:leader="none" w:pos="22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for goods that have been sold under a purchase order or pursuant to the terms of a contract or other agreement or understanding (written or oral) that indicates or purports that any Person other than the applicable U.S. Credit Party has an ownership interest in such goods, or which indicates any party other than such a U.S. Credit Party as payee or remittance party;</w:t>
      </w:r>
    </w:p>
    <w:p>
      <w:pPr>
        <w:spacing w:after="0" w:line="176" w:lineRule="exact"/>
        <w:rPr>
          <w:rFonts w:ascii="Times New Roman" w:cs="Times New Roman" w:eastAsia="Times New Roman" w:hAnsi="Times New Roman"/>
          <w:sz w:val="18"/>
          <w:szCs w:val="18"/>
          <w:color w:val="auto"/>
        </w:rPr>
      </w:pPr>
    </w:p>
    <w:p>
      <w:pPr>
        <w:ind w:left="-464" w:right="40" w:firstLine="464"/>
        <w:spacing w:after="0" w:line="266" w:lineRule="auto"/>
        <w:tabs>
          <w:tab w:leader="none" w:pos="20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limitation on assignments or pledges (whether arising by operation of law, by contractual agreement or otherwise), unless the Administrative Agent has determined that such limitation is not enforceable or the Administrative Agent has otherwise approved such Account for inclusion as an Eligible Account;</w:t>
      </w:r>
    </w:p>
    <w:p>
      <w:pPr>
        <w:spacing w:after="0" w:line="176" w:lineRule="exact"/>
        <w:rPr>
          <w:rFonts w:ascii="Times New Roman" w:cs="Times New Roman" w:eastAsia="Times New Roman" w:hAnsi="Times New Roman"/>
          <w:sz w:val="18"/>
          <w:szCs w:val="18"/>
          <w:color w:val="auto"/>
        </w:rPr>
      </w:pPr>
    </w:p>
    <w:p>
      <w:pPr>
        <w:ind w:left="-464" w:right="560" w:firstLine="464"/>
        <w:spacing w:after="0" w:line="282" w:lineRule="auto"/>
        <w:tabs>
          <w:tab w:leader="none" w:pos="24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governed by the laws of any jurisdiction other than the United States, any state thereof or the District of Columbia or Canada or any province thereof;</w:t>
      </w:r>
    </w:p>
    <w:p>
      <w:pPr>
        <w:spacing w:after="0" w:line="161"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arose from the sale of Inventory which is the subject of a recall;</w:t>
      </w:r>
    </w:p>
    <w:p>
      <w:pPr>
        <w:spacing w:after="0" w:line="225" w:lineRule="exact"/>
        <w:rPr>
          <w:rFonts w:ascii="Times New Roman" w:cs="Times New Roman" w:eastAsia="Times New Roman" w:hAnsi="Times New Roman"/>
          <w:sz w:val="18"/>
          <w:szCs w:val="18"/>
          <w:color w:val="auto"/>
        </w:rPr>
      </w:pPr>
    </w:p>
    <w:p>
      <w:pPr>
        <w:ind w:left="296" w:hanging="296"/>
        <w:spacing w:after="0"/>
        <w:tabs>
          <w:tab w:leader="none" w:pos="29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Account Debtor which has sold all or a substantially all of its assets;</w:t>
      </w:r>
    </w:p>
    <w:p>
      <w:pPr>
        <w:spacing w:after="0" w:line="225"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for any Account Debtor, exceeds a credit limit determined by the Administrative Agent, to the extent of such excess;</w:t>
      </w:r>
    </w:p>
    <w:p>
      <w:pPr>
        <w:spacing w:after="0" w:line="225"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was created on cash on delivery terms;</w:t>
      </w:r>
    </w:p>
    <w:p>
      <w:pPr>
        <w:sectPr>
          <w:pgSz w:w="11900" w:h="16838" w:orient="portrait"/>
          <w:cols w:equalWidth="0" w:num="1">
            <w:col w:w="10956"/>
          </w:cols>
          <w:pgMar w:left="704" w:top="270" w:right="239" w:bottom="1440" w:gutter="0" w:footer="0" w:header="0"/>
        </w:sectPr>
      </w:pPr>
    </w:p>
    <w:bookmarkStart w:id="194" w:name="page195"/>
    <w:bookmarkEnd w:id="194"/>
    <w:p>
      <w:pPr>
        <w:ind w:right="40" w:firstLine="464"/>
        <w:spacing w:after="0" w:line="267" w:lineRule="auto"/>
        <w:tabs>
          <w:tab w:leader="none" w:pos="701"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which is owed by an Account Debtor which is not organized under the applicable law of an Eligible Account Debtor Jurisdiction unless such Account is backed by a letter of credit or other credit support reasonably acceptable to the Administrative Agent and which is in the possession of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notwithstanding the foregoing, with respect to Accounts of the U.S. Credit Parties owed by Account Debtors organized under the law of Mexico (to the extent Mexico is an Eligible Account Debtor Jurisdiction hereunder), (A) the maximum amount of such Accounts which may be included as part of the U.S. Borrowing Base is $5,000,000 and (B) no such Account shall be an Eligible U.S. Account unless (1) it is guaranteed by a Qualified U.S. Affiliate of the applicable Account Debtor pursuant to a guaranty, the terms of which shall be acceptable to the Administrative Agent in its Permitted Discretion and (2) such Account is otherwise an Eligible U.S. Account;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the foregoing, with respect to Accounts of the U.S. Credit Parties owed by Account Debtors organized under the law of any country, state or other political subdivision of the European Union (to the extent such country, state or other political subdivision is an Eligible Account Debtor Jurisdiction under clause</w:t>
      </w:r>
    </w:p>
    <w:p>
      <w:pPr>
        <w:spacing w:after="0" w:line="5"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the maximum amount of such Accounts which may be included as part of the U.S. Borrowing Base is $5,000,000; or</w:t>
      </w:r>
    </w:p>
    <w:p>
      <w:pPr>
        <w:spacing w:after="0" w:line="206" w:lineRule="exact"/>
        <w:rPr>
          <w:rFonts w:ascii="Times New Roman" w:cs="Times New Roman" w:eastAsia="Times New Roman" w:hAnsi="Times New Roman"/>
          <w:sz w:val="18"/>
          <w:szCs w:val="18"/>
          <w:color w:val="auto"/>
        </w:rPr>
      </w:pPr>
    </w:p>
    <w:p>
      <w:pPr>
        <w:ind w:right="400" w:firstLine="464"/>
        <w:spacing w:after="0" w:line="282" w:lineRule="auto"/>
        <w:tabs>
          <w:tab w:leader="none" w:pos="78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determines, in its Permitted Discretion, may not be paid by reason of the Account Debtor’s inability to pay or which the Administrative Agent otherwise determines, in its Permitted Discretion, is unacceptable for any reason whatsoever.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event that an Account which was previously an Eligible U.S. Account ceases to be an Eligible U.S. Account, the Company shall notify the Administrative Agent thereof on and at the time of submission to the Administrative Agent of the next Borrowing Base Certificate. In determining the amount of an Eligible U.S. Account,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the applicable U.S. Credit Party may be obligated to rebate to an Account Debtor pursuant to the terms of any agreement or understanding (written or oral)) and (ii) the aggregate amount of all cash received in respect of such Account but not yet applied by the applicable U.S. Credit Party to reduce the amount of such Account.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means Eligible Dutch Inventory and Eligible U.S. Inventory.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Spare Parts Inventory</w:t>
      </w:r>
      <w:r>
        <w:rPr>
          <w:rFonts w:ascii="Times New Roman" w:cs="Times New Roman" w:eastAsia="Times New Roman" w:hAnsi="Times New Roman"/>
          <w:sz w:val="18"/>
          <w:szCs w:val="18"/>
          <w:color w:val="auto"/>
        </w:rPr>
        <w:t>” means Eligible U.S. Inventory of a U.S. Credit Party constituting spare or replacement parts.</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U.S. Inventory</w:t>
      </w:r>
      <w:r>
        <w:rPr>
          <w:rFonts w:ascii="Times New Roman" w:cs="Times New Roman" w:eastAsia="Times New Roman" w:hAnsi="Times New Roman"/>
          <w:sz w:val="18"/>
          <w:szCs w:val="18"/>
          <w:color w:val="auto"/>
        </w:rPr>
        <w:t>” shall mean, at any time, the Inventory of the U.S. Credit Parties which the Administrative Agent determines in its Permitted Discretion is eligible as the basis for the extension of U.S. Revolving Loans and U.S. Swing Loans and the issuance of U.S. Letters of Credit. Without limiting the Administrative Agent’s discretion provided herein, Eligible U.S. Inventory shall not include any Inventory:</w:t>
      </w:r>
    </w:p>
    <w:p>
      <w:pPr>
        <w:spacing w:after="0" w:line="176" w:lineRule="exact"/>
        <w:rPr>
          <w:sz w:val="20"/>
          <w:szCs w:val="20"/>
          <w:color w:val="auto"/>
        </w:rPr>
      </w:pPr>
    </w:p>
    <w:p>
      <w:pPr>
        <w:ind w:right="300" w:firstLine="464"/>
        <w:spacing w:after="0" w:line="282" w:lineRule="auto"/>
        <w:tabs>
          <w:tab w:leader="none" w:pos="70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the Administrative Agent, subject only to Permitted Encumbrances which do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right="160" w:firstLine="464"/>
        <w:spacing w:after="0" w:line="266" w:lineRule="auto"/>
        <w:tabs>
          <w:tab w:leader="none" w:pos="71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the Administrative Agent’s Permitted Discretion, slow moving, obsolete, unmerchantable, defective, used, unfit for sale, not salable at prices approximating at least the cost of such Inventory in the ordinary course of business or unacceptable due to age, type, category, quantity, and/or failure to meet applicable customer specifications or acceptance procedures; or which is the subject of a recall;</w:t>
      </w:r>
    </w:p>
    <w:p>
      <w:pPr>
        <w:sectPr>
          <w:pgSz w:w="11900" w:h="16838" w:orient="portrait"/>
          <w:cols w:equalWidth="0" w:num="1">
            <w:col w:w="11420"/>
          </w:cols>
          <w:pgMar w:left="240" w:top="270" w:right="239" w:bottom="1440" w:gutter="0" w:footer="0" w:header="0"/>
        </w:sectPr>
      </w:pPr>
    </w:p>
    <w:bookmarkStart w:id="195" w:name="page196"/>
    <w:bookmarkEnd w:id="195"/>
    <w:p>
      <w:pPr>
        <w:ind w:left="-464" w:firstLine="464"/>
        <w:spacing w:after="0" w:line="266" w:lineRule="auto"/>
        <w:tabs>
          <w:tab w:leader="none" w:pos="23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which any covenant, representation, or warranty contained in this Agreement or the U.S. Security Agreement has been breached or is not true in any material respect and which does not conform in all material respects to all standards imposed by any Governmental Authority (except that any standard that is qualified as to “materiality” shall have conformed in all respects);</w:t>
      </w:r>
    </w:p>
    <w:p>
      <w:pPr>
        <w:spacing w:after="0" w:line="176" w:lineRule="exact"/>
        <w:rPr>
          <w:rFonts w:ascii="Times New Roman" w:cs="Times New Roman" w:eastAsia="Times New Roman" w:hAnsi="Times New Roman"/>
          <w:sz w:val="18"/>
          <w:szCs w:val="18"/>
          <w:color w:val="auto"/>
        </w:rPr>
      </w:pPr>
    </w:p>
    <w:p>
      <w:pPr>
        <w:ind w:left="-464" w:right="580" w:firstLine="464"/>
        <w:spacing w:after="0" w:line="282" w:lineRule="auto"/>
        <w:tabs>
          <w:tab w:leader="none" w:pos="24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a U.S. Credit Party shall (i) have any direct or indirect ownership, interest or title to such Inventory or (ii) be indicated on any purchase order or invoice with respect to such Inventory as having or purporting to have an interest therein;</w:t>
      </w:r>
    </w:p>
    <w:p>
      <w:pPr>
        <w:spacing w:after="0" w:line="161" w:lineRule="exact"/>
        <w:rPr>
          <w:rFonts w:ascii="Times New Roman" w:cs="Times New Roman" w:eastAsia="Times New Roman" w:hAnsi="Times New Roman"/>
          <w:sz w:val="18"/>
          <w:szCs w:val="18"/>
          <w:color w:val="auto"/>
        </w:rPr>
      </w:pPr>
    </w:p>
    <w:p>
      <w:pPr>
        <w:ind w:left="-464" w:right="200" w:firstLine="464"/>
        <w:spacing w:after="0" w:line="261" w:lineRule="auto"/>
        <w:tabs>
          <w:tab w:leader="none" w:pos="23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constitutes work-in process, spare or replacement parts, subassemblies, packaging and shipping material, manufacturing supplies, samples, prototypes, displays or display items, bill-and-hold goods, goods that are returned or marked for return, repossessed goods, defective or damaged goods, goods held on consignment, or goods which are not of a type held for sale in the ordinary course of business or which is the subject of a consignment by a U.S. Credit Party as consignor;</w:t>
      </w:r>
    </w:p>
    <w:p>
      <w:pPr>
        <w:spacing w:after="0" w:line="180" w:lineRule="exact"/>
        <w:rPr>
          <w:rFonts w:ascii="Times New Roman" w:cs="Times New Roman" w:eastAsia="Times New Roman" w:hAnsi="Times New Roman"/>
          <w:sz w:val="18"/>
          <w:szCs w:val="18"/>
          <w:color w:val="auto"/>
        </w:rPr>
      </w:pPr>
    </w:p>
    <w:p>
      <w:pPr>
        <w:ind w:left="216" w:hanging="216"/>
        <w:spacing w:after="0"/>
        <w:tabs>
          <w:tab w:leader="none" w:pos="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located in the United States;</w:t>
      </w:r>
    </w:p>
    <w:p>
      <w:pPr>
        <w:spacing w:after="0" w:line="225"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transit with a common carrier from a vendor or supplier, or in transit to or from any third party location or outside processor;</w:t>
      </w:r>
    </w:p>
    <w:p>
      <w:pPr>
        <w:spacing w:after="0" w:line="225" w:lineRule="exact"/>
        <w:rPr>
          <w:rFonts w:ascii="Times New Roman" w:cs="Times New Roman" w:eastAsia="Times New Roman" w:hAnsi="Times New Roman"/>
          <w:sz w:val="18"/>
          <w:szCs w:val="18"/>
          <w:color w:val="auto"/>
        </w:rPr>
      </w:pPr>
    </w:p>
    <w:p>
      <w:pPr>
        <w:ind w:left="-464" w:right="340" w:firstLine="464"/>
        <w:spacing w:after="0" w:line="266" w:lineRule="auto"/>
        <w:tabs>
          <w:tab w:leader="none" w:pos="24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location leased by a U.S. Credit Party unless (i) the lessor has delivered to the Administrative Agent a Collateral Access Agreement in form and substance satisfactory to the Administrative Agent, in its Permitted Discretion, or (ii) a U.S. Reserve for rent, charges, and other amounts due or to become due with respect to such facility has been established by the Administrative Agent in its Permitted Discretion;</w:t>
      </w:r>
    </w:p>
    <w:p>
      <w:pPr>
        <w:spacing w:after="0" w:line="176" w:lineRule="exact"/>
        <w:rPr>
          <w:rFonts w:ascii="Times New Roman" w:cs="Times New Roman" w:eastAsia="Times New Roman" w:hAnsi="Times New Roman"/>
          <w:sz w:val="18"/>
          <w:szCs w:val="18"/>
          <w:color w:val="auto"/>
        </w:rPr>
      </w:pPr>
    </w:p>
    <w:p>
      <w:pPr>
        <w:ind w:left="-464" w:right="180" w:firstLine="464"/>
        <w:spacing w:after="0" w:line="261" w:lineRule="auto"/>
        <w:tabs>
          <w:tab w:leader="none" w:pos="20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reasonably require or (ii) an appropriate U.S. Reserve has been established by the Administrative Agent in its Permitted Discretion;</w:t>
      </w:r>
    </w:p>
    <w:p>
      <w:pPr>
        <w:spacing w:after="0" w:line="180" w:lineRule="exact"/>
        <w:rPr>
          <w:rFonts w:ascii="Times New Roman" w:cs="Times New Roman" w:eastAsia="Times New Roman" w:hAnsi="Times New Roman"/>
          <w:sz w:val="18"/>
          <w:szCs w:val="18"/>
          <w:color w:val="auto"/>
        </w:rPr>
      </w:pPr>
    </w:p>
    <w:p>
      <w:pPr>
        <w:ind w:left="-464" w:right="280" w:firstLine="464"/>
        <w:spacing w:after="0" w:line="282" w:lineRule="auto"/>
        <w:tabs>
          <w:tab w:leader="none" w:pos="20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discontinued product or component thereof, is beyond the “best if used by” date for such Inventory or is otherwise unacceptable to the applicable U.S. Credit Party’s customers;</w:t>
      </w:r>
    </w:p>
    <w:p>
      <w:pPr>
        <w:spacing w:after="0" w:line="161" w:lineRule="exact"/>
        <w:rPr>
          <w:rFonts w:ascii="Times New Roman" w:cs="Times New Roman" w:eastAsia="Times New Roman" w:hAnsi="Times New Roman"/>
          <w:sz w:val="18"/>
          <w:szCs w:val="18"/>
          <w:color w:val="auto"/>
        </w:rPr>
      </w:pPr>
    </w:p>
    <w:p>
      <w:pPr>
        <w:jc w:val="both"/>
        <w:ind w:left="-464" w:right="100" w:firstLine="464"/>
        <w:spacing w:after="0" w:line="261" w:lineRule="auto"/>
        <w:tabs>
          <w:tab w:leader="none" w:pos="24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bears or is subject to any intellectual property rights licensed to a U.S. Credit Party unless the Administrative Agent is satisfied, after reviewing the licensing arrangements that it may sell or otherwise dispose of such Inventory without (i) the consent of the licensor, (ii) infringing the rights of such licensor, (iii) violating any contract with such licensor, and (iv) incurring any liability with respect to payment of royalties, other than royalties payable to the licensor incurred pursuant to sale of such Inventory under the applicable licensing agreement;</w:t>
      </w:r>
    </w:p>
    <w:p>
      <w:pPr>
        <w:spacing w:after="0" w:line="180" w:lineRule="exact"/>
        <w:rPr>
          <w:rFonts w:ascii="Times New Roman" w:cs="Times New Roman" w:eastAsia="Times New Roman" w:hAnsi="Times New Roman"/>
          <w:sz w:val="18"/>
          <w:szCs w:val="18"/>
          <w:color w:val="auto"/>
        </w:rPr>
      </w:pPr>
    </w:p>
    <w:p>
      <w:pPr>
        <w:ind w:left="216" w:hanging="216"/>
        <w:spacing w:after="0"/>
        <w:tabs>
          <w:tab w:leader="none" w:pos="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properly reflected in a current perpetual or physical inventory report of the U.S. Credit Party;</w:t>
      </w:r>
    </w:p>
    <w:p>
      <w:pPr>
        <w:spacing w:after="0" w:line="225" w:lineRule="exact"/>
        <w:rPr>
          <w:rFonts w:ascii="Times New Roman" w:cs="Times New Roman" w:eastAsia="Times New Roman" w:hAnsi="Times New Roman"/>
          <w:sz w:val="18"/>
          <w:szCs w:val="18"/>
          <w:color w:val="auto"/>
        </w:rPr>
      </w:pPr>
    </w:p>
    <w:p>
      <w:pPr>
        <w:ind w:left="296" w:hanging="296"/>
        <w:spacing w:after="0"/>
        <w:tabs>
          <w:tab w:leader="none" w:pos="29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w:t>
      </w:r>
    </w:p>
    <w:p>
      <w:pPr>
        <w:spacing w:after="0" w:line="225"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enforceable retention of title arrangement;</w:t>
      </w:r>
    </w:p>
    <w:p>
      <w:pPr>
        <w:sectPr>
          <w:pgSz w:w="11900" w:h="16838" w:orient="portrait"/>
          <w:cols w:equalWidth="0" w:num="1">
            <w:col w:w="10936"/>
          </w:cols>
          <w:pgMar w:left="704" w:top="270" w:right="259" w:bottom="1440" w:gutter="0" w:footer="0" w:header="0"/>
        </w:sectPr>
      </w:pPr>
    </w:p>
    <w:bookmarkStart w:id="196" w:name="page197"/>
    <w:bookmarkEnd w:id="196"/>
    <w:p>
      <w:pPr>
        <w:ind w:left="720" w:hanging="256"/>
        <w:spacing w:after="0"/>
        <w:tabs>
          <w:tab w:leader="none" w:pos="7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is produced in violation of the Fair Labor Standards Act and is subject to the “hot goods” provisions contained in Title 29 U.S.C. §215;</w:t>
      </w:r>
    </w:p>
    <w:p>
      <w:pPr>
        <w:spacing w:after="0" w:line="225" w:lineRule="exact"/>
        <w:rPr>
          <w:rFonts w:ascii="Times New Roman" w:cs="Times New Roman" w:eastAsia="Times New Roman" w:hAnsi="Times New Roman"/>
          <w:sz w:val="18"/>
          <w:szCs w:val="18"/>
          <w:color w:val="auto"/>
        </w:rPr>
      </w:pPr>
    </w:p>
    <w:p>
      <w:pPr>
        <w:ind w:right="720" w:firstLine="464"/>
        <w:spacing w:after="0" w:line="282" w:lineRule="auto"/>
        <w:tabs>
          <w:tab w:leader="none" w:pos="7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being processed offsite at a third party location or outside processor, or is in-transit to or from such third party location or outside processor;</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perishable; or</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otherwise determines, in its Permitted Discretion, is unacceptable for any reason whatsoever.</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the event that Inventory which was previously Eligible U.S. Inventory ceases to be Eligible U.S. Inventory hereunder, the Company shall notify the Administrative Agent thereof on and at the time of submission to the Administrative Agent of the next Borrowing Base Certificate.</w:t>
      </w:r>
    </w:p>
    <w:p>
      <w:pPr>
        <w:spacing w:after="0" w:line="162"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air, surface water, groundwater, drinking water, soil, surface and subsurface strata, and natural resources such as wetland, flora and fauna.</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threat of Release of Hazardous Materials.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225"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 Section references to ERISA are to ERISA, as in effect at the Closing Date and any subsequent provisions of ERISA, amendatory thereof, supplemental thereto or substituted therefor.</w:t>
      </w:r>
    </w:p>
    <w:p>
      <w:pPr>
        <w:spacing w:after="0" w:line="1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Person (as defined in Section 3(9) of ERISA), which together with the Borrowers or a Subsidiary of a Borrower, would be deemed to be a “single employer” (i) within the meaning of Section 414(b), (c), (m) or (o) of the Code or Section 4001(a)(14) or 4001(b)(i) of ERISA or (ii) as a result of the Borrowers or a Subsidiary of a Borrower being or having been a general partner of such Person.</w:t>
      </w:r>
    </w:p>
    <w:p>
      <w:pPr>
        <w:sectPr>
          <w:pgSz w:w="11900" w:h="16838" w:orient="portrait"/>
          <w:cols w:equalWidth="0" w:num="1">
            <w:col w:w="11400"/>
          </w:cols>
          <w:pgMar w:left="240" w:top="270" w:right="259" w:bottom="1440" w:gutter="0" w:footer="0" w:header="0"/>
        </w:sectPr>
      </w:pPr>
    </w:p>
    <w:bookmarkStart w:id="197" w:name="page198"/>
    <w:bookmarkEnd w:id="197"/>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Company or any ERISA Affiliate; or (i) a failure by the Company or any ERISA Affiliate to meet all applicable requirements under the Pension Funding Rules in respect of a Pension Plan, whether or not waived, or the failure by the Company or any ERISA Affiliate to make any required contribution to a Multiemployer Plan.</w:t>
      </w:r>
    </w:p>
    <w:p>
      <w:pPr>
        <w:spacing w:after="0" w:line="193"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and the symbol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Participating Member States introduced in accordance with the EMU Legislation.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the Borrowers or any Guarantor, (i) as it relates to all or a portion of a Guaranty of such Guarantor or the Borrowers,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or a Borrowers’ failure for any reason to constitute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as defined in the Commodity Exchange Act and the regulations thereunder at the time the guarantee of such Guarantor or a Borrower becomes effective with respect to such Swap Obligation or (ii) as it relates to all or a portion of the grant by such Guarantor or a Borrower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or a Borrowers’ failure for any reason to constitute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as defined in the Commodity Exchange Act and the regulations thereunder at the time the security interest of such Guarantor or a Borrower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or Dutch withholding Taxes imposed on amounts payable to or for the account</w:t>
      </w:r>
    </w:p>
    <w:p>
      <w:pPr>
        <w:sectPr>
          <w:pgSz w:w="11900" w:h="16838" w:orient="portrait"/>
          <w:cols w:equalWidth="0" w:num="1">
            <w:col w:w="11380"/>
          </w:cols>
          <w:pgMar w:left="240" w:top="270" w:right="279" w:bottom="1440" w:gutter="0" w:footer="0" w:header="0"/>
        </w:sectPr>
      </w:pPr>
    </w:p>
    <w:bookmarkStart w:id="198" w:name="page199"/>
    <w:bookmarkEnd w:id="19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such Lender with respect to an applicable interest in a Loan or Revolving Commitment pursuant to a law in effect on the date on which (i) such Lender acquires such interest in the Loan or Revolving Commitment (other than pursuant to an assignment request by the Borrowers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(ii) such Lender changes its Applicable Lending Office, except in each case to the extent that,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Applicable Lending Office, (c) Taxes attributable to such Recipient’s failure to comply with </w:t>
      </w:r>
      <w:r>
        <w:rPr>
          <w:rFonts w:ascii="Times New Roman" w:cs="Times New Roman" w:eastAsia="Times New Roman" w:hAnsi="Times New Roman"/>
          <w:sz w:val="18"/>
          <w:szCs w:val="18"/>
          <w:u w:val="single" w:color="auto"/>
          <w:color w:val="auto"/>
        </w:rPr>
        <w:t>Section 3.03(g)</w:t>
      </w:r>
      <w:r>
        <w:rPr>
          <w:rFonts w:ascii="Times New Roman" w:cs="Times New Roman" w:eastAsia="Times New Roman" w:hAnsi="Times New Roman"/>
          <w:sz w:val="18"/>
          <w:szCs w:val="18"/>
          <w:color w:val="auto"/>
        </w:rPr>
        <w:t xml:space="preserve"> and (d) any U.S. federal withholding Taxes imposed under FATCA.</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Third Amended and Restated Credit Agreement, dated as of October 26, 2012, among the Company, the other borrowers party thereto from time to time, the lenders party thereto from time to time, and KeyBank National Association, as Administrative Agent, as amended through the Closing Date.</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xml:space="preserve">” means all existing Indebtedness of the Company and its Subsidiaries (including, without limitation, the Target and its Subsidiaries), including, without limitation, (a) the Indebtedness under the Existing Credit Agreement, (b) the Existing Note Purchase Agreement Indebtedness, (c) the Existing Target Subordinated Indebtedness and (d) the Existing JPMorgan Indebtedness, but excluding Indebtedness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6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JPMorgan Indebtedness</w:t>
      </w:r>
      <w:r>
        <w:rPr>
          <w:rFonts w:ascii="Times New Roman" w:cs="Times New Roman" w:eastAsia="Times New Roman" w:hAnsi="Times New Roman"/>
          <w:sz w:val="18"/>
          <w:szCs w:val="18"/>
          <w:color w:val="auto"/>
        </w:rPr>
        <w:t>” means all Indebtedness evidenced by that certain Credit Agreement, dated as of June 3, 2010, as amended October 30, 2013 (and as further amended through the Closing Date), by and between the Target and JPMorgan Chase Bank, N.A. and the other loan documents thereunder.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xml:space="preserve">” means each letter of credit identified on </w:t>
      </w:r>
      <w:r>
        <w:rPr>
          <w:rFonts w:ascii="Times New Roman" w:cs="Times New Roman" w:eastAsia="Times New Roman" w:hAnsi="Times New Roman"/>
          <w:sz w:val="18"/>
          <w:szCs w:val="18"/>
          <w:u w:val="single" w:color="auto"/>
          <w:color w:val="auto"/>
        </w:rPr>
        <w:t>Schedule 1.01</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 Purchase Agreement</w:t>
      </w:r>
      <w:r>
        <w:rPr>
          <w:rFonts w:ascii="Times New Roman" w:cs="Times New Roman" w:eastAsia="Times New Roman" w:hAnsi="Times New Roman"/>
          <w:sz w:val="18"/>
          <w:szCs w:val="18"/>
          <w:color w:val="auto"/>
        </w:rPr>
        <w:t>” means that certain Third Amended and Restated Note Purchase and Shelf Agreement dated December 21, 2010 (as amended through the Closing Date), among the Company and certain note purchasers party thereto.</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 Purchase Agreement Indebtedness</w:t>
      </w:r>
      <w:r>
        <w:rPr>
          <w:rFonts w:ascii="Times New Roman" w:cs="Times New Roman" w:eastAsia="Times New Roman" w:hAnsi="Times New Roman"/>
          <w:sz w:val="18"/>
          <w:szCs w:val="18"/>
          <w:color w:val="auto"/>
        </w:rPr>
        <w:t>” means all Indebtedness evidenced by the Existing Note Purchase Agreement and the other note purchase documents thereunder.</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Target Subordinated Indebtedness</w:t>
      </w:r>
      <w:r>
        <w:rPr>
          <w:rFonts w:ascii="Times New Roman" w:cs="Times New Roman" w:eastAsia="Times New Roman" w:hAnsi="Times New Roman"/>
          <w:sz w:val="18"/>
          <w:szCs w:val="18"/>
          <w:color w:val="auto"/>
        </w:rPr>
        <w:t>” means all Indebtedness evidenced by that certain Subordinated Promissory Note, dated as of March 7, 2013 (as amended through the Closing Date), by and between the Target and Autocam Medical Devices, LLC, a Michigan limited liability company and the other note documents thereunder.</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Receipts</w:t>
      </w:r>
      <w:r>
        <w:rPr>
          <w:rFonts w:ascii="Times New Roman" w:cs="Times New Roman" w:eastAsia="Times New Roman" w:hAnsi="Times New Roman"/>
          <w:sz w:val="18"/>
          <w:szCs w:val="18"/>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18"/>
          <w:szCs w:val="18"/>
          <w:u w:val="single" w:color="auto"/>
          <w:color w:val="auto"/>
        </w:rPr>
        <w:t>Section 2.13(b)(ix)</w:t>
      </w:r>
      <w:r>
        <w:rPr>
          <w:rFonts w:ascii="Times New Roman" w:cs="Times New Roman" w:eastAsia="Times New Roman" w:hAnsi="Times New Roman"/>
          <w:sz w:val="18"/>
          <w:szCs w:val="18"/>
          <w:color w:val="auto"/>
        </w:rPr>
        <w:t>.</w:t>
      </w:r>
    </w:p>
    <w:p>
      <w:pPr>
        <w:sectPr>
          <w:pgSz w:w="11900" w:h="16838" w:orient="portrait"/>
          <w:cols w:equalWidth="0" w:num="1">
            <w:col w:w="11360"/>
          </w:cols>
          <w:pgMar w:left="240" w:top="270" w:right="299" w:bottom="1440" w:gutter="0" w:footer="0" w:header="0"/>
        </w:sectPr>
      </w:pPr>
    </w:p>
    <w:bookmarkStart w:id="199" w:name="page200"/>
    <w:bookmarkEnd w:id="199"/>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substantially comparable and not materially more onerous to comply with), any current or future regulations or official interpretations thereof and any agreements entered into pursuant to Section 1471(b)(1) of the Code.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period, a fluctuating interest rate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Administrative Agent from three Federal Funds brokers of recognized standing selected by the Administrative Agent.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means all amounts payable pursuant to, or referred to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 Examination</w:t>
      </w:r>
      <w:r>
        <w:rPr>
          <w:rFonts w:ascii="Times New Roman" w:cs="Times New Roman" w:eastAsia="Times New Roman" w:hAnsi="Times New Roman"/>
          <w:sz w:val="18"/>
          <w:szCs w:val="18"/>
          <w:color w:val="auto"/>
        </w:rPr>
        <w:t>” means a field examination of each Credit Party’s assets, liabilities, books and records acceptable to the Administrative Agent and the Foreign Collateral Agent in their Permitted Discretion, the results of which shall set forth proposed Eligible Accounts, Eligible Inventory and other amounts used in the calculation of the Aggregate Borrowing Base, the Dutch Borrowing Base and the U.S. Borrowing Base.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executive officer, the president, the chief financial officer, the treasurer or the controller of the Borrowers.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means, for any Testing Period determined for the Company and its Subsidiaries on a consolidated basis, the ratio of</w:t>
      </w:r>
    </w:p>
    <w:p>
      <w:pPr>
        <w:spacing w:after="0" w:line="27" w:lineRule="exact"/>
        <w:rPr>
          <w:sz w:val="20"/>
          <w:szCs w:val="20"/>
          <w:color w:val="auto"/>
        </w:rPr>
      </w:pPr>
    </w:p>
    <w:p>
      <w:pPr>
        <w:ind w:firstLine="8"/>
        <w:spacing w:after="0" w:line="261" w:lineRule="auto"/>
        <w:tabs>
          <w:tab w:leader="none" w:pos="2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EBITDA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unfunded Capital Expenditures (i.e., Capital Expenditures not funded by Indebtedness permitted hereunder (not to include any Loans)),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taxes paid in cash,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Cash Dividends, to (b) Consolidated Fixed Charges.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the Company or any of its Subsidiaries has any liability with respect to any employee or former employee, but excluding any Foreign Pension Plan.</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Collateral Agent</w:t>
      </w:r>
      <w:r>
        <w:rPr>
          <w:rFonts w:ascii="Times New Roman" w:cs="Times New Roman" w:eastAsia="Times New Roman" w:hAnsi="Times New Roman"/>
          <w:sz w:val="18"/>
          <w:szCs w:val="18"/>
          <w:color w:val="auto"/>
        </w:rPr>
        <w:t xml:space="preserve">” has the meaning provided in the first paragraph of this Agreement and includes any successor to the Foreign Collateral Agent appointed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applicable Borrower is a U.S. Person, a Lender that is not a U.S. Person, and (b) if the applicable Borrower is not a U.S. Person, a Lender that is resident or organized under the laws of a jurisdiction other than that in which the applicable Borrower is resident for tax purposes.</w:t>
      </w:r>
    </w:p>
    <w:p>
      <w:pPr>
        <w:spacing w:after="0" w:line="17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means any pension plan, pension undertaking, supplemental pension, retirement savings or other retirement income plan, obligations or arrangement of any kind that is established, maintained or contributed to by the Company or any of its Subsidiaries or Affiliates for their employees or former employees employed outside the United States of America, other than any state social security arrangements, in respect of which the Company or any of its Subsidiaries or Affiliates has any liability obligation or contingent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ectPr>
          <w:pgSz w:w="11900" w:h="16838" w:orient="portrait"/>
          <w:cols w:equalWidth="0" w:num="1">
            <w:col w:w="11360"/>
          </w:cols>
          <w:pgMar w:left="240" w:top="270" w:right="299" w:bottom="1440" w:gutter="0" w:footer="0" w:header="0"/>
        </w:sectPr>
      </w:pPr>
    </w:p>
    <w:bookmarkStart w:id="200" w:name="page201"/>
    <w:bookmarkEnd w:id="200"/>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any LC Issuer, such Defaulting Lender’s Revolving Facility Percentage of LC Outstandings with respect to Letters of Credit issued by such LC Issuer other than LC Outstandings as to which such Defaulting Lender’s participation obligation has been reallocated to other Lenders or Cash Collateralized in accordance with the terms hereof, and (b) with respect to any Swing Line Lender, such Defaulting Lender’s Revolving Facility Percentage of outstanding Swing Loans made by such Swing Line Lender other than Swing Loans as to which such Defaulting Lender’s participation obligation has been reallocated to other Lenders.</w:t>
      </w:r>
    </w:p>
    <w:p>
      <w:pPr>
        <w:spacing w:after="0" w:line="184"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Intangible</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shall mean, collectively, the U.S. Guarantors and the Dutch Guarantors and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Obligations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each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1" w:lineRule="exact"/>
        <w:rPr>
          <w:sz w:val="20"/>
          <w:szCs w:val="20"/>
          <w:color w:val="auto"/>
        </w:rPr>
      </w:pPr>
    </w:p>
    <w:p>
      <w:pPr>
        <w:ind w:right="60" w:firstLine="8"/>
        <w:spacing w:after="0" w:line="253" w:lineRule="auto"/>
        <w:tabs>
          <w:tab w:leader="none" w:pos="2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8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ectPr>
          <w:pgSz w:w="11900" w:h="16838" w:orient="portrait"/>
          <w:cols w:equalWidth="0" w:num="1">
            <w:col w:w="11360"/>
          </w:cols>
          <w:pgMar w:left="240" w:top="270" w:right="299" w:bottom="1440" w:gutter="0" w:footer="0" w:header="0"/>
        </w:sectPr>
      </w:pPr>
    </w:p>
    <w:bookmarkStart w:id="201" w:name="page202"/>
    <w:bookmarkEnd w:id="201"/>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Hedge Agreement</w:t>
      </w:r>
      <w:r>
        <w:rPr>
          <w:rFonts w:ascii="Times New Roman" w:cs="Times New Roman" w:eastAsia="Times New Roman" w:hAnsi="Times New Roman"/>
          <w:sz w:val="18"/>
          <w:szCs w:val="18"/>
          <w:color w:val="auto"/>
        </w:rPr>
        <w:t>” means (a) any interest rate swap agreement, any interest rate cap agreement, any interest rate collar agreement or other similar interest rate management agreement or arrangement, (b) any currency swap or option agreement, foreign exchange contract, forward currency purchase agreement or similar currency management agreement or arrangement or (c) any Commodities Hedge Agreement.</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all obligations of any Credit Party under and in respect of (a) any Hedge Agreements entered into with any Secured Hedge Provider or (b) any Designated Hedge Agreement.</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of the Company that, (a) together with its Subsidiaries, (i) contributed less than 2% of the Consolidated EBITDA of the Company and its Subsidiaries, taken as a whole, during the most recently-ended four fiscal quarter period (taken as a single period) and (ii) as of any applicable date of determination has assets that constitute less than 2% aggregate net book value of the assets of the Company and its Subsidiaries, taken as a whole, (b) does not Guarantee or provide a Lien on its assets or otherwise provide credit support with respect to any Indebtedness of the Company or any of the Company’s other Subsidiaries, (c) does not own, directly or indirectly, any Equity Interests or Indebtedness of, or own or hold any Lien on any property of, a Credit Party, (d) does not own any other Subsidiaries (other than Inactive Subsidiaries or Immaterial Subsidiaries) and (e) has not been designated to be a Credit Party pursuant to </w:t>
      </w:r>
      <w:r>
        <w:rPr>
          <w:rFonts w:ascii="Times New Roman" w:cs="Times New Roman" w:eastAsia="Times New Roman" w:hAnsi="Times New Roman"/>
          <w:sz w:val="18"/>
          <w:szCs w:val="18"/>
          <w:u w:val="single" w:color="auto"/>
          <w:color w:val="auto"/>
        </w:rPr>
        <w:t>Section 6.10(k)</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Inactive Subsidiary</w:t>
      </w:r>
      <w:r>
        <w:rPr>
          <w:rFonts w:ascii="Times New Roman" w:cs="Times New Roman" w:eastAsia="Times New Roman" w:hAnsi="Times New Roman"/>
          <w:sz w:val="18"/>
          <w:szCs w:val="18"/>
          <w:color w:val="auto"/>
        </w:rPr>
        <w:t xml:space="preserve">” means any Subsidiary of the Company that (a) owns no assets (other than assets of de minimis value), has no Subsidiaries (other than other Inactive Subsidiaries) and conducts no operations, (b) does not Guarantee or provide a Lien on its assets or otherwise provide credit support with respect to any Indebtedness of the Company or any of the Company’s other Subsidiaries, (c) does not own, directly or indirectly, any Equity Interests or Indebtedness of, or own or hold any Lien on any property of, a Credit Party and (d) has not been designated to be a Credit Party pursuant to </w:t>
      </w:r>
      <w:r>
        <w:rPr>
          <w:rFonts w:ascii="Times New Roman" w:cs="Times New Roman" w:eastAsia="Times New Roman" w:hAnsi="Times New Roman"/>
          <w:sz w:val="18"/>
          <w:szCs w:val="18"/>
          <w:u w:val="single" w:color="auto"/>
          <w:color w:val="auto"/>
        </w:rPr>
        <w:t>Section 6.10(k)</w:t>
      </w:r>
      <w:r>
        <w:rPr>
          <w:rFonts w:ascii="Times New Roman" w:cs="Times New Roman" w:eastAsia="Times New Roman" w:hAnsi="Times New Roman"/>
          <w:sz w:val="18"/>
          <w:szCs w:val="18"/>
          <w:color w:val="auto"/>
        </w:rPr>
        <w:t xml:space="preserve"> hereof.</w:t>
      </w:r>
    </w:p>
    <w:p>
      <w:pPr>
        <w:spacing w:after="0" w:line="18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Incremental Dutch Revolving Credit Commitment</w:t>
      </w:r>
      <w:r>
        <w:rPr>
          <w:rFonts w:ascii="Times New Roman" w:cs="Times New Roman" w:eastAsia="Times New Roman" w:hAnsi="Times New Roman"/>
          <w:sz w:val="18"/>
          <w:szCs w:val="18"/>
          <w:color w:val="auto"/>
        </w:rPr>
        <w:t xml:space="preserve">” means the commitment of any Incremental Dutch Revolving Credit Lender, established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to make Incremental Dutch Revolving Loans to the Dutch Borrower.</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Dutch Revolving Credit Lender</w:t>
      </w:r>
      <w:r>
        <w:rPr>
          <w:rFonts w:ascii="Times New Roman" w:cs="Times New Roman" w:eastAsia="Times New Roman" w:hAnsi="Times New Roman"/>
          <w:sz w:val="18"/>
          <w:szCs w:val="18"/>
          <w:color w:val="auto"/>
        </w:rPr>
        <w:t>” means a Dutch Lender with an Incremental Dutch Revolving Credit Commitment or an outstanding Incremental Dutch Revolving Loan.</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Dutch Revolving Loans</w:t>
      </w:r>
      <w:r>
        <w:rPr>
          <w:rFonts w:ascii="Times New Roman" w:cs="Times New Roman" w:eastAsia="Times New Roman" w:hAnsi="Times New Roman"/>
          <w:sz w:val="18"/>
          <w:szCs w:val="18"/>
          <w:color w:val="auto"/>
        </w:rPr>
        <w:t xml:space="preserve">” means Dutch Revolving Loans made by one or more Incremental Dutch Revolving Credit Lenders to the Dutch Borrower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Incremental Dutch Revolving Loans shall be made in the form of additional Dutch Revolving Loans.</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Credit Assumption Agreement</w:t>
      </w:r>
      <w:r>
        <w:rPr>
          <w:rFonts w:ascii="Times New Roman" w:cs="Times New Roman" w:eastAsia="Times New Roman" w:hAnsi="Times New Roman"/>
          <w:sz w:val="18"/>
          <w:szCs w:val="18"/>
          <w:color w:val="auto"/>
        </w:rPr>
        <w:t>” means an Incremental Revolving Credit Assumption Agreement in form and substance reasonably satisfactory to the Administrative Agent, among the Borrowers, the Administrative Agent and one or more Incremental Revolving Credit Lenders.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Credit Commitment</w:t>
      </w:r>
      <w:r>
        <w:rPr>
          <w:rFonts w:ascii="Times New Roman" w:cs="Times New Roman" w:eastAsia="Times New Roman" w:hAnsi="Times New Roman"/>
          <w:sz w:val="18"/>
          <w:szCs w:val="18"/>
          <w:color w:val="auto"/>
        </w:rPr>
        <w:t>” means an Incremental Dutch Revolving Credit Commitment and an Incremental U.S. Revolving Credit Commitment, in each case to be arranged by the Arrangers (unless any Arranger, in its sole discretion, declines such arrangement).</w:t>
      </w:r>
    </w:p>
    <w:p>
      <w:pPr>
        <w:sectPr>
          <w:pgSz w:w="11900" w:h="16838" w:orient="portrait"/>
          <w:cols w:equalWidth="0" w:num="1">
            <w:col w:w="11400"/>
          </w:cols>
          <w:pgMar w:left="240" w:top="270" w:right="259" w:bottom="1440" w:gutter="0" w:footer="0" w:header="0"/>
        </w:sectPr>
      </w:pPr>
    </w:p>
    <w:bookmarkStart w:id="202" w:name="page203"/>
    <w:bookmarkEnd w:id="202"/>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Revolving Credit Lender</w:t>
      </w:r>
      <w:r>
        <w:rPr>
          <w:rFonts w:ascii="Times New Roman" w:cs="Times New Roman" w:eastAsia="Times New Roman" w:hAnsi="Times New Roman"/>
          <w:sz w:val="18"/>
          <w:szCs w:val="18"/>
          <w:color w:val="auto"/>
        </w:rPr>
        <w:t>” means an Incremental Dutch Revolving Credit Lender or an Incremental U.S. Revolving Credit Lender, as the context may require.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means Incremental Dutch Revolving Loans or Incremental U.S. Revolving Loans, as the context may require.</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U.S. Revolving Credit Commitment</w:t>
      </w:r>
      <w:r>
        <w:rPr>
          <w:rFonts w:ascii="Times New Roman" w:cs="Times New Roman" w:eastAsia="Times New Roman" w:hAnsi="Times New Roman"/>
          <w:sz w:val="18"/>
          <w:szCs w:val="18"/>
          <w:color w:val="auto"/>
        </w:rPr>
        <w:t xml:space="preserve">” means the commitment of any Incremental U.S. Revolving Credit Lender, established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to make Incremental U.S. Revolving Loans to the Company.</w:t>
      </w:r>
    </w:p>
    <w:p>
      <w:pPr>
        <w:spacing w:after="0" w:line="162"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U.S. Revolving Credit Lender</w:t>
      </w:r>
      <w:r>
        <w:rPr>
          <w:rFonts w:ascii="Times New Roman" w:cs="Times New Roman" w:eastAsia="Times New Roman" w:hAnsi="Times New Roman"/>
          <w:sz w:val="18"/>
          <w:szCs w:val="18"/>
          <w:color w:val="auto"/>
        </w:rPr>
        <w:t>” means a U.S. Lender with an Incremental U.S. Revolving Credit Commitment or an outstanding Incremental U.S. Revolving Loan.</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U.S. Revolving Loans</w:t>
      </w:r>
      <w:r>
        <w:rPr>
          <w:rFonts w:ascii="Times New Roman" w:cs="Times New Roman" w:eastAsia="Times New Roman" w:hAnsi="Times New Roman"/>
          <w:sz w:val="18"/>
          <w:szCs w:val="18"/>
          <w:color w:val="auto"/>
        </w:rPr>
        <w:t xml:space="preserve">” means U.S. Revolving Loans made by one or more Incremental U.S. Revolving Credit Lenders to the Company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Incremental U.S. Revolving Loans shall be made in the form of additional U.S. Revolving Loans.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as to any Person at a particular time, without duplication, all of the following, whether or not included as indebtedness or liabilities in accordance with GAAP:</w:t>
      </w:r>
    </w:p>
    <w:p>
      <w:pPr>
        <w:spacing w:after="0" w:line="54" w:lineRule="exact"/>
        <w:rPr>
          <w:sz w:val="20"/>
          <w:szCs w:val="20"/>
          <w:color w:val="auto"/>
        </w:rPr>
      </w:pPr>
    </w:p>
    <w:p>
      <w:pPr>
        <w:ind w:left="460" w:right="20" w:firstLine="443"/>
        <w:spacing w:after="0" w:line="282" w:lineRule="auto"/>
        <w:tabs>
          <w:tab w:leader="none" w:pos="114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ind w:left="460" w:firstLine="443"/>
        <w:spacing w:after="0" w:line="282" w:lineRule="auto"/>
        <w:tabs>
          <w:tab w:leader="none" w:pos="115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Hedge Agreements;</w:t>
      </w:r>
    </w:p>
    <w:p>
      <w:pPr>
        <w:spacing w:after="0" w:line="117" w:lineRule="exact"/>
        <w:rPr>
          <w:rFonts w:ascii="Times New Roman" w:cs="Times New Roman" w:eastAsia="Times New Roman" w:hAnsi="Times New Roman"/>
          <w:sz w:val="18"/>
          <w:szCs w:val="18"/>
          <w:color w:val="auto"/>
        </w:rPr>
      </w:pPr>
    </w:p>
    <w:p>
      <w:pPr>
        <w:ind w:left="460" w:firstLine="443"/>
        <w:spacing w:after="0" w:line="266" w:lineRule="auto"/>
        <w:tabs>
          <w:tab w:leader="none" w:pos="115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68" w:lineRule="exact"/>
        <w:rPr>
          <w:rFonts w:ascii="Times New Roman" w:cs="Times New Roman" w:eastAsia="Times New Roman" w:hAnsi="Times New Roman"/>
          <w:sz w:val="18"/>
          <w:szCs w:val="18"/>
          <w:color w:val="auto"/>
        </w:rPr>
      </w:pPr>
    </w:p>
    <w:p>
      <w:pPr>
        <w:ind w:left="460" w:right="300" w:firstLine="443"/>
        <w:spacing w:after="0" w:line="266" w:lineRule="auto"/>
        <w:tabs>
          <w:tab w:leader="none" w:pos="114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in respect of Capitalized Leases and Synthetic Lease Obligations of such Person and all Synthetic Debt of such</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98" w:lineRule="exact"/>
        <w:rPr>
          <w:rFonts w:ascii="Times New Roman" w:cs="Times New Roman" w:eastAsia="Times New Roman" w:hAnsi="Times New Roman"/>
          <w:sz w:val="18"/>
          <w:szCs w:val="18"/>
          <w:color w:val="auto"/>
        </w:rPr>
      </w:pPr>
    </w:p>
    <w:p>
      <w:pPr>
        <w:ind w:left="460" w:right="120" w:firstLine="443"/>
        <w:spacing w:after="0" w:line="266" w:lineRule="auto"/>
        <w:tabs>
          <w:tab w:leader="none" w:pos="115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w:t>
      </w:r>
    </w:p>
    <w:p>
      <w:pPr>
        <w:sectPr>
          <w:pgSz w:w="11900" w:h="16838" w:orient="portrait"/>
          <w:cols w:equalWidth="0" w:num="1">
            <w:col w:w="11380"/>
          </w:cols>
          <w:pgMar w:left="240" w:top="270" w:right="279" w:bottom="1440" w:gutter="0" w:footer="0" w:header="0"/>
        </w:sectPr>
      </w:pPr>
    </w:p>
    <w:bookmarkStart w:id="203" w:name="page204"/>
    <w:bookmarkEnd w:id="203"/>
    <w:p>
      <w:pPr>
        <w:ind w:left="460" w:right="20" w:firstLine="443"/>
        <w:spacing w:after="0" w:line="282" w:lineRule="auto"/>
        <w:tabs>
          <w:tab w:leader="none" w:pos="115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such Person with respect to asset securitization financing programs to the extent that there is recourse against such Person or such Person is liable (contingent or otherwise) under any such program; and</w:t>
      </w:r>
    </w:p>
    <w:p>
      <w:pPr>
        <w:spacing w:after="0" w:line="53"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Credit Party under any Loan Document and (b) to the extent not otherwise described in (a), Other Taxes.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means, with respect to any Person:</w:t>
      </w:r>
    </w:p>
    <w:p>
      <w:pPr>
        <w:spacing w:after="0" w:line="225" w:lineRule="exact"/>
        <w:rPr>
          <w:sz w:val="20"/>
          <w:szCs w:val="20"/>
          <w:color w:val="auto"/>
        </w:rPr>
      </w:pPr>
    </w:p>
    <w:p>
      <w:pPr>
        <w:ind w:left="700" w:hanging="236"/>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voluntary case by such Person under the Bankruptcy Code;</w:t>
      </w:r>
    </w:p>
    <w:p>
      <w:pPr>
        <w:spacing w:after="0" w:line="225" w:lineRule="exact"/>
        <w:rPr>
          <w:rFonts w:ascii="Times New Roman" w:cs="Times New Roman" w:eastAsia="Times New Roman" w:hAnsi="Times New Roman"/>
          <w:sz w:val="18"/>
          <w:szCs w:val="18"/>
          <w:color w:val="auto"/>
        </w:rPr>
      </w:pPr>
    </w:p>
    <w:p>
      <w:pPr>
        <w:ind w:right="460" w:firstLine="464"/>
        <w:spacing w:after="0" w:line="266" w:lineRule="auto"/>
        <w:tabs>
          <w:tab w:leader="none" w:pos="7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any case, proceeding or action by such Person under any laws relating to bankruptcy, judicial management, insolvency, reorganization or relief of debtors legislation or analogous law in any jurisdiction outside of the United States (including in respect of any Insolvency Proceeding);</w:t>
      </w:r>
    </w:p>
    <w:p>
      <w:pPr>
        <w:spacing w:after="0" w:line="176" w:lineRule="exact"/>
        <w:rPr>
          <w:rFonts w:ascii="Times New Roman" w:cs="Times New Roman" w:eastAsia="Times New Roman" w:hAnsi="Times New Roman"/>
          <w:sz w:val="18"/>
          <w:szCs w:val="18"/>
          <w:color w:val="auto"/>
        </w:rPr>
      </w:pPr>
    </w:p>
    <w:p>
      <w:pPr>
        <w:ind w:right="20" w:firstLine="464"/>
        <w:spacing w:after="0" w:line="266" w:lineRule="auto"/>
        <w:tabs>
          <w:tab w:leader="none" w:pos="70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 involuntary case against such Person under the Bankruptcy Code or any laws relating to bankruptcy, judicial management, insolvency, reorganization or relief of debtors legislation or analogous law in any jurisdiction outside of the United States and the petition is not controverted within 10 days, or is not dismissed within 60 days, after commencement of the case;</w:t>
      </w:r>
    </w:p>
    <w:p>
      <w:pPr>
        <w:spacing w:after="0" w:line="176" w:lineRule="exact"/>
        <w:rPr>
          <w:rFonts w:ascii="Times New Roman" w:cs="Times New Roman" w:eastAsia="Times New Roman" w:hAnsi="Times New Roman"/>
          <w:sz w:val="18"/>
          <w:szCs w:val="18"/>
          <w:color w:val="auto"/>
        </w:rPr>
      </w:pPr>
    </w:p>
    <w:p>
      <w:pPr>
        <w:ind w:right="480" w:firstLine="464"/>
        <w:spacing w:after="0" w:line="282" w:lineRule="auto"/>
        <w:tabs>
          <w:tab w:leader="none" w:pos="7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(as defined in the Bankruptcy Code) or a Creditor Representative is appointed for, or takes charge of, all or substantially all of the property of such Person;</w:t>
      </w:r>
    </w:p>
    <w:p>
      <w:pPr>
        <w:spacing w:after="0" w:line="159" w:lineRule="exact"/>
        <w:rPr>
          <w:rFonts w:ascii="Times New Roman" w:cs="Times New Roman" w:eastAsia="Times New Roman" w:hAnsi="Times New Roman"/>
          <w:sz w:val="18"/>
          <w:szCs w:val="18"/>
          <w:color w:val="auto"/>
        </w:rPr>
      </w:pPr>
    </w:p>
    <w:p>
      <w:pPr>
        <w:ind w:right="20" w:firstLine="464"/>
        <w:spacing w:after="0" w:line="267" w:lineRule="auto"/>
        <w:tabs>
          <w:tab w:leader="none" w:pos="70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Dutch Credit Party, any bankruptcy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suspension of payments (</w:t>
      </w:r>
      <w:r>
        <w:rPr>
          <w:rFonts w:ascii="Times New Roman" w:cs="Times New Roman" w:eastAsia="Times New Roman" w:hAnsi="Times New Roman"/>
          <w:sz w:val="18"/>
          <w:szCs w:val="18"/>
          <w:i w:val="1"/>
          <w:iCs w:val="1"/>
          <w:color w:val="auto"/>
        </w:rPr>
        <w:t>surseance van betaling</w:t>
      </w:r>
      <w:r>
        <w:rPr>
          <w:rFonts w:ascii="Times New Roman" w:cs="Times New Roman" w:eastAsia="Times New Roman" w:hAnsi="Times New Roman"/>
          <w:sz w:val="18"/>
          <w:szCs w:val="18"/>
          <w:color w:val="auto"/>
        </w:rPr>
        <w:t>), debt rescheduling for natural persons (</w:t>
      </w:r>
      <w:r>
        <w:rPr>
          <w:rFonts w:ascii="Times New Roman" w:cs="Times New Roman" w:eastAsia="Times New Roman" w:hAnsi="Times New Roman"/>
          <w:sz w:val="18"/>
          <w:szCs w:val="18"/>
          <w:i w:val="1"/>
          <w:iCs w:val="1"/>
          <w:color w:val="auto"/>
        </w:rPr>
        <w:t>schuldsanering natuurlijke personen</w:t>
      </w:r>
      <w:r>
        <w:rPr>
          <w:rFonts w:ascii="Times New Roman" w:cs="Times New Roman" w:eastAsia="Times New Roman" w:hAnsi="Times New Roman"/>
          <w:sz w:val="18"/>
          <w:szCs w:val="18"/>
          <w:color w:val="auto"/>
        </w:rPr>
        <w:t>), administration (</w:t>
      </w:r>
      <w:r>
        <w:rPr>
          <w:rFonts w:ascii="Times New Roman" w:cs="Times New Roman" w:eastAsia="Times New Roman" w:hAnsi="Times New Roman"/>
          <w:sz w:val="18"/>
          <w:szCs w:val="18"/>
          <w:i w:val="1"/>
          <w:iCs w:val="1"/>
          <w:color w:val="auto"/>
        </w:rPr>
        <w:t>onderbewindstelling</w:t>
      </w:r>
      <w:r>
        <w:rPr>
          <w:rFonts w:ascii="Times New Roman" w:cs="Times New Roman" w:eastAsia="Times New Roman" w:hAnsi="Times New Roman"/>
          <w:sz w:val="18"/>
          <w:szCs w:val="18"/>
          <w:color w:val="auto"/>
        </w:rPr>
        <w:t>), dissolution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death of a natural person and any other event whereby the relevant company or natural person is limited in the right to dispose of its assets;</w:t>
      </w:r>
    </w:p>
    <w:p>
      <w:pPr>
        <w:spacing w:after="0" w:line="175" w:lineRule="exact"/>
        <w:rPr>
          <w:rFonts w:ascii="Times New Roman" w:cs="Times New Roman" w:eastAsia="Times New Roman" w:hAnsi="Times New Roman"/>
          <w:sz w:val="18"/>
          <w:szCs w:val="18"/>
          <w:color w:val="auto"/>
        </w:rPr>
      </w:pPr>
    </w:p>
    <w:p>
      <w:pPr>
        <w:ind w:firstLine="464"/>
        <w:spacing w:after="0" w:line="261" w:lineRule="auto"/>
        <w:tabs>
          <w:tab w:leader="none" w:pos="68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commences (including by way of applying for or consenting to the appointment of, or the taking of possession by, a rehabilitator, receiver, custodian, trustee, conservator, Creditor Representative or liquidator (collectively, a “</w:t>
      </w:r>
      <w:r>
        <w:rPr>
          <w:rFonts w:ascii="Times New Roman" w:cs="Times New Roman" w:eastAsia="Times New Roman" w:hAnsi="Times New Roman"/>
          <w:sz w:val="18"/>
          <w:szCs w:val="18"/>
          <w:u w:val="single" w:color="auto"/>
          <w:color w:val="auto"/>
        </w:rPr>
        <w:t>conservator</w:t>
      </w:r>
      <w:r>
        <w:rPr>
          <w:rFonts w:ascii="Times New Roman" w:cs="Times New Roman" w:eastAsia="Times New Roman" w:hAnsi="Times New Roman"/>
          <w:sz w:val="18"/>
          <w:szCs w:val="18"/>
          <w:color w:val="auto"/>
        </w:rPr>
        <w:t>”) of such Person or all or any substantial portion of its property) any other proceeding under any reorganization, arrangement, adjustment of debt, relief of debtors, dissolution, insolvency, liquidation, rehabilitation, conservatorship or similar law of any jurisdiction whether now or hereafter in effect relating to such Person;</w:t>
      </w:r>
    </w:p>
    <w:p>
      <w:pPr>
        <w:spacing w:after="0" w:line="180" w:lineRule="exact"/>
        <w:rPr>
          <w:rFonts w:ascii="Times New Roman" w:cs="Times New Roman" w:eastAsia="Times New Roman" w:hAnsi="Times New Roman"/>
          <w:sz w:val="18"/>
          <w:szCs w:val="18"/>
          <w:color w:val="auto"/>
        </w:rPr>
      </w:pPr>
    </w:p>
    <w:p>
      <w:pPr>
        <w:ind w:right="300" w:firstLine="464"/>
        <w:spacing w:after="0" w:line="282" w:lineRule="auto"/>
        <w:tabs>
          <w:tab w:leader="none" w:pos="7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proceeding of the type set forth in clause (d) above is commenced against such Person to the extent such proceeding is consented to by such Person or remains undismissed for a period of 60 days;</w:t>
      </w:r>
    </w:p>
    <w:p>
      <w:pPr>
        <w:sectPr>
          <w:pgSz w:w="11900" w:h="16838" w:orient="portrait"/>
          <w:cols w:equalWidth="0" w:num="1">
            <w:col w:w="11400"/>
          </w:cols>
          <w:pgMar w:left="240" w:top="270" w:right="259" w:bottom="1440" w:gutter="0" w:footer="0" w:header="0"/>
        </w:sectPr>
      </w:pPr>
    </w:p>
    <w:bookmarkStart w:id="204" w:name="page205"/>
    <w:bookmarkEnd w:id="204"/>
    <w:p>
      <w:pPr>
        <w:ind w:left="720" w:hanging="256"/>
        <w:spacing w:after="0"/>
        <w:tabs>
          <w:tab w:leader="none" w:pos="7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Person is adjudicated insolvent or bankrupt;</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of relief or other order approving any such case or proceeding is entered;</w:t>
      </w:r>
    </w:p>
    <w:p>
      <w:pPr>
        <w:spacing w:after="0" w:line="225" w:lineRule="exact"/>
        <w:rPr>
          <w:rFonts w:ascii="Times New Roman" w:cs="Times New Roman" w:eastAsia="Times New Roman" w:hAnsi="Times New Roman"/>
          <w:sz w:val="18"/>
          <w:szCs w:val="18"/>
          <w:color w:val="auto"/>
        </w:rPr>
      </w:pPr>
    </w:p>
    <w:p>
      <w:pPr>
        <w:ind w:right="520" w:firstLine="464"/>
        <w:spacing w:after="0" w:line="282" w:lineRule="auto"/>
        <w:tabs>
          <w:tab w:leader="none" w:pos="67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suffers any appointment of any conservator or the like for it or any substantial part of its property that continues undischarged or unstayed for a period of 60 days;</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makes a general assignment for the benefit of creditors or generally does not pay its debts as such debts become due; or</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(or similar organizational) action is taken by such Person for the purpose of effecting any of the foregoing.</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any case or proceeding, application, meeting convened, resolution passed, proposal, corporate, action or any other proceeding commenced by or against a Person under any state, provincial, federal or foreign law for, or any agreement of such Person to:</w:t>
      </w:r>
    </w:p>
    <w:p>
      <w:pPr>
        <w:spacing w:after="0" w:line="162" w:lineRule="exact"/>
        <w:rPr>
          <w:sz w:val="20"/>
          <w:szCs w:val="20"/>
          <w:color w:val="auto"/>
        </w:rPr>
      </w:pPr>
    </w:p>
    <w:p>
      <w:pPr>
        <w:ind w:left="700" w:hanging="236"/>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for relief under any insolvency, bankruptcy, debtor relief, receivership, debt adjustment law or other similar law;</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Creditor Representative or other custodian for such Person or any part of its property;</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or trust mortgage for the benefit of creditors;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strike off of the Person;</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or implementation of a scheme of arrangement; or</w:t>
      </w:r>
    </w:p>
    <w:p>
      <w:pPr>
        <w:spacing w:after="0" w:line="225"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of payment, moratorium of any debts, official assignment, composition or arrangement with a Person’s creditors.</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Endorsements</w:t>
      </w:r>
      <w:r>
        <w:rPr>
          <w:rFonts w:ascii="Times New Roman" w:cs="Times New Roman" w:eastAsia="Times New Roman" w:hAnsi="Times New Roman"/>
          <w:sz w:val="18"/>
          <w:szCs w:val="18"/>
          <w:color w:val="auto"/>
        </w:rPr>
        <w:t xml:space="preserve">” means the endorsements to the Borrowers’ insurance policies, which policies shall satisfy the requirements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which name the Administrative Agent or the Foreign Collateral Agent, as applicable, as additional insured, lender loss payee, and if applicable, mortgagee, in each case in form and substance satisfactory to the Administrative Agent and the Foreign Collateral Agent, as applicable.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means the Intercompany Subordination Agreement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the intercreditor agreement dated as of the Closing Date, in form and substance acceptable to the Administrative Agent, among the Term Loan Agent (and any successor thereto under the Term Loan Credit Agreement), the Administrative Agent, and acknowledged by the Borrowers and each other Credit Party, as it may be amended, supplemented, modified, replaced or restated from time to time in accordance with this Agreement.</w:t>
      </w:r>
    </w:p>
    <w:p>
      <w:pPr>
        <w:spacing w:after="0" w:line="178" w:lineRule="exact"/>
        <w:rPr>
          <w:sz w:val="20"/>
          <w:szCs w:val="20"/>
          <w:color w:val="auto"/>
        </w:rPr>
      </w:pPr>
    </w:p>
    <w:p>
      <w:pPr>
        <w:jc w:val="both"/>
        <w:ind w:right="40" w:firstLine="45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each LIBOR Loan, a period of one, two, three or six months as selected by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 the initial Interest Period for any Borrowing of such LIBOR Loan shall commence on the date of such Borrowing (the date of a Borrowing resulting from a Conversion or Continuation shall be the date of such Conversion or</w:t>
      </w:r>
    </w:p>
    <w:p>
      <w:pPr>
        <w:sectPr>
          <w:pgSz w:w="11900" w:h="16838" w:orient="portrait"/>
          <w:cols w:equalWidth="0" w:num="1">
            <w:col w:w="11360"/>
          </w:cols>
          <w:pgMar w:left="240" w:top="270" w:right="299" w:bottom="1440" w:gutter="0" w:footer="0" w:header="0"/>
        </w:sectPr>
      </w:pPr>
    </w:p>
    <w:bookmarkStart w:id="205" w:name="page206"/>
    <w:bookmarkEnd w:id="20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Continuation) and each Interest Period occurring thereafter in respect of such Borrowing shall commence on the day on which the next preceding Interest Period expires; (b) if any Interest Period begins on a day for which there is no numerically corresponding day in the calendar month at the end of such Interest Period, such Interest Period shall end on the last Business Day of such calendar month; (c) 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next preceding Business Day; (d) no Interest Period for any LIBOR Loan may be selected that would end after the Revolving Facility Termination Date, as the case may be; and (e) if, upon the expiration of any Interest Period, the applicable Borrower has failed to (or may not) elect a new Interest Period to be applicable to the respective Borrowing of LIBOR Loans as provided above, the applicable Borrower shall be deemed to have elected to Convert such Borrowing to Base Rate Loans effective as of the expiration date of such current Interest Period.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set forth in the Security Documents.</w:t>
      </w:r>
    </w:p>
    <w:p>
      <w:pPr>
        <w:spacing w:after="0" w:line="2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means the Dutch LC Collateral Account or the U.S. LC Collateral Account.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means, with respect to any Lender at any time, the sum of its Dutch LC Commitment and U.S. LC Commitment.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 Amount</w:t>
      </w:r>
      <w:r>
        <w:rPr>
          <w:rFonts w:ascii="Times New Roman" w:cs="Times New Roman" w:eastAsia="Times New Roman" w:hAnsi="Times New Roman"/>
          <w:sz w:val="18"/>
          <w:szCs w:val="18"/>
          <w:color w:val="auto"/>
        </w:rPr>
        <w:t>” means $7,000,000.</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Documents</w:t>
      </w:r>
      <w:r>
        <w:rPr>
          <w:rFonts w:ascii="Times New Roman" w:cs="Times New Roman" w:eastAsia="Times New Roman" w:hAnsi="Times New Roman"/>
          <w:sz w:val="18"/>
          <w:szCs w:val="18"/>
          <w:color w:val="auto"/>
        </w:rPr>
        <w:t>” means, with respect to any Letter of Credit, any documents executed in connection with such Letter of Credit, including the Letter of Credit itself.</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for any Lender at any time, such Lender’s Revolving Facility Percentage of the LC Outstandings at such time.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w:t>
      </w:r>
      <w:r>
        <w:rPr>
          <w:rFonts w:ascii="Times New Roman" w:cs="Times New Roman" w:eastAsia="Times New Roman" w:hAnsi="Times New Roman"/>
          <w:sz w:val="18"/>
          <w:szCs w:val="18"/>
          <w:color w:val="auto"/>
        </w:rPr>
        <w:t xml:space="preserve">” means any of the fees payable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respect of Letters of Credit.</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Issuance</w:t>
      </w:r>
      <w:r>
        <w:rPr>
          <w:rFonts w:ascii="Times New Roman" w:cs="Times New Roman" w:eastAsia="Times New Roman" w:hAnsi="Times New Roman"/>
          <w:sz w:val="18"/>
          <w:szCs w:val="18"/>
          <w:color w:val="auto"/>
        </w:rPr>
        <w:t>” means the issuance of any Letter of Credit by any LC Issuer for the account of an LC Obligor in accordance with the terms of this Agreement, and shall include any amendment thereto that increases the Stated Amount thereof or extends the expiry date of such Letter of Credit.</w:t>
      </w:r>
    </w:p>
    <w:p>
      <w:pPr>
        <w:sectPr>
          <w:pgSz w:w="11900" w:h="16838" w:orient="portrait"/>
          <w:cols w:equalWidth="0" w:num="1">
            <w:col w:w="11400"/>
          </w:cols>
          <w:pgMar w:left="240" w:top="270" w:right="259"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Issuers</w:t>
      </w:r>
      <w:r>
        <w:rPr>
          <w:rFonts w:ascii="Times New Roman" w:cs="Times New Roman" w:eastAsia="Times New Roman" w:hAnsi="Times New Roman"/>
          <w:sz w:val="18"/>
          <w:szCs w:val="18"/>
          <w:color w:val="auto"/>
        </w:rPr>
        <w:t>” means the U.S. LC Issuer and the Dutch LC Issuer and “</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either of them, as the context my require.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Loan</w:t>
      </w:r>
      <w:r>
        <w:rPr>
          <w:rFonts w:ascii="Times New Roman" w:cs="Times New Roman" w:eastAsia="Times New Roman" w:hAnsi="Times New Roman"/>
          <w:sz w:val="18"/>
          <w:szCs w:val="18"/>
          <w:color w:val="auto"/>
        </w:rPr>
        <w:t>” means a Dutch LC Loan or a U.S. LC Loan, as the context may require.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Obligor</w:t>
      </w:r>
      <w:r>
        <w:rPr>
          <w:rFonts w:ascii="Times New Roman" w:cs="Times New Roman" w:eastAsia="Times New Roman" w:hAnsi="Times New Roman"/>
          <w:sz w:val="18"/>
          <w:szCs w:val="18"/>
          <w:color w:val="auto"/>
        </w:rPr>
        <w:t>” means a Dutch LC Obligor or a U.S. LC Obligor, as the context may require.</w:t>
      </w:r>
    </w:p>
    <w:p>
      <w:pPr>
        <w:spacing w:after="0" w:line="225"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Outstandings</w:t>
      </w:r>
      <w:r>
        <w:rPr>
          <w:rFonts w:ascii="Times New Roman" w:cs="Times New Roman" w:eastAsia="Times New Roman" w:hAnsi="Times New Roman"/>
          <w:sz w:val="18"/>
          <w:szCs w:val="18"/>
          <w:color w:val="auto"/>
        </w:rPr>
        <w:t>” means, at any time, the sum, without duplication, of (a) the aggregate Dollar Equivalent of the Stated Amount of all outstanding Letters of Credit and (b) the Dollar Equivalent of the aggregate amount of all Unpaid Drawings with respect to Letters of Credit.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Request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Leaseholds</w:t>
      </w:r>
      <w:r>
        <w:rPr>
          <w:rFonts w:ascii="Times New Roman" w:cs="Times New Roman" w:eastAsia="Times New Roman" w:hAnsi="Times New Roman"/>
          <w:sz w:val="18"/>
          <w:szCs w:val="18"/>
          <w:color w:val="auto"/>
        </w:rPr>
        <w:t>” of any Person means all the right, title and interest of such Person as lessee or licensee in, to and under leases or licenses of land, improvements and/or fixtures.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have the meaning provided in the first paragraph of this Agreement and includes each Incremental Revolving Credit Lender and any other Person that becomes a party hereto pursuant to an Assignment Agreement, other than any such Person that ceases to be a party hereto pursuant to an Assignment Agreement. Unless the context otherwise requires, the term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includes the Swing Line Lenders.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Register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 Dutch Letter of Credit or a U.S. Letter of Credit, as the context may require.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 Loan</w:t>
      </w:r>
      <w:r>
        <w:rPr>
          <w:rFonts w:ascii="Times New Roman" w:cs="Times New Roman" w:eastAsia="Times New Roman" w:hAnsi="Times New Roman"/>
          <w:sz w:val="18"/>
          <w:szCs w:val="18"/>
          <w:color w:val="auto"/>
        </w:rPr>
        <w:t>” means each Loan bearing interest at a rate based upon the Adjusted LIBOR Rate.</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Revolving Loan, Swing Loan, Agent Advance, Overadvance, LC Issuance or LC Loan, as the context may require.</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Notes, each Guaranty, the Security Documents, the Agent Fee Letters, the Intercompany Subordination Agreement, the Intercreditor Agreement, each Letter of Credit and each other LC Document.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provided in Regulation U.</w:t>
      </w:r>
    </w:p>
    <w:p>
      <w:pPr>
        <w:sectPr>
          <w:pgSz w:w="11900" w:h="16838" w:orient="portrait"/>
          <w:cols w:equalWidth="0" w:num="1">
            <w:col w:w="11300"/>
          </w:cols>
          <w:pgMar w:left="240" w:top="270" w:right="359" w:bottom="1440" w:gutter="0" w:footer="0" w:header="0"/>
        </w:sectPr>
      </w:pPr>
    </w:p>
    <w:bookmarkStart w:id="207" w:name="page208"/>
    <w:bookmarkEnd w:id="207"/>
    <w:p>
      <w:pPr>
        <w:ind w:firstLine="456"/>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any or all of the following: (a) any material adverse effect on the business, operations, property, assets, liabilities (actual or contingent), financial or other condition of, or prospects of the Company or the Company and its Subsidiaries, taken as a whole; (b) any material adverse effect on the ability of any Credit Party to perform its obligations under any of the Loan Documents to which it is a party; (c) any material adverse effect on the validity, effectiveness or enforceability, as against any Credit Party, of any of the Loan Documents to which it is a party; (d) any material adverse effect on the rights and remedies of the Administrative Agent, the Foreign Collateral Agent or any Lender under any Loan Document; or (e) any material adverse effect on the validity, perfection or priority of any Lien in favor of the Administrative Agent or the Foreign Collateral Agent on any of the Collateral.</w:t>
      </w:r>
    </w:p>
    <w:p>
      <w:pPr>
        <w:spacing w:after="0" w:line="17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each contract or agreement to which the Company or any of its Subsidiaries is a party (a) involving aggregate consideration payable to or by the Company or such Subsidiary of $10,000,000 (or the Dollar Equivalent thereof if denominated in a currency other than Dollars) or more per annum or (b) that if breached or cancelled could reasonably be expected to have a Material Adverse Effect.</w:t>
      </w:r>
    </w:p>
    <w:p>
      <w:pPr>
        <w:spacing w:after="0" w:line="176"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as to the Company or any of its Subsidiaries, any particular Indebtedness (other than the Loans) of the Company or such Subsidiary (including any Guaranty Obligations) in excess of the aggregate principal amount of $10,000,000 (or the Dollar Equivalent thereof if denominated in a currency other than Dollars).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 Agreement</w:t>
      </w:r>
      <w:r>
        <w:rPr>
          <w:rFonts w:ascii="Times New Roman" w:cs="Times New Roman" w:eastAsia="Times New Roman" w:hAnsi="Times New Roman"/>
          <w:sz w:val="18"/>
          <w:szCs w:val="18"/>
          <w:color w:val="auto"/>
        </w:rPr>
        <w:t>” means any agreement governing or evidencing any Material Indebtedness.</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Real Property of a Credit Party that (a) has a fair market value of $5,000,000 (or the Dollar Equivalent thereof if denominated in a currency other than Dollars) or (b) is designated by the Borrowers in accordance with </w:t>
      </w:r>
      <w:r>
        <w:rPr>
          <w:rFonts w:ascii="Times New Roman" w:cs="Times New Roman" w:eastAsia="Times New Roman" w:hAnsi="Times New Roman"/>
          <w:sz w:val="18"/>
          <w:szCs w:val="18"/>
          <w:u w:val="single" w:color="auto"/>
          <w:color w:val="auto"/>
        </w:rPr>
        <w:t>Section 6.12(h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(including all schedules and exhibits thereto and all Ancillary Agreements (as defined therein)) dated as of July 18, 2014 among (a) the Company, as buyer, (b) Merger Sub, as merger subsidiary, (c) the Target, (d) Newport Global Advisors, L.P., in its capacity as a shareholder representative thereunder and (e) John C. Kennedy, in its capacity as a shareholder representative thereunder and with respect to certain sections thereunder.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means PMC Global Acquisition Corporation, a Michigan corporation and wholly owned Subsidiary of the Company.</w:t>
      </w:r>
    </w:p>
    <w:p>
      <w:pPr>
        <w:spacing w:after="0" w:line="225"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Amount</w:t>
      </w:r>
      <w:r>
        <w:rPr>
          <w:rFonts w:ascii="Times New Roman" w:cs="Times New Roman" w:eastAsia="Times New Roman" w:hAnsi="Times New Roman"/>
          <w:sz w:val="18"/>
          <w:szCs w:val="18"/>
          <w:color w:val="auto"/>
        </w:rPr>
        <w:t>” means (a) with respect to any Base Rate Loan, $1,000,000 (or €200,000 with respect to Dutch Credit Facility), with minimum increments thereafter of $100,000 (or €50,000 with respect to Dutch Credit Facility), (b) with respect to any LIBOR Loans under the U.S. Credit Facility, $1,000,000, with minimum increments thereafter of $100,000, (c) with respect to any LIBOR Loans under the Dutch Credit Facility, $250,000 or €200,000 as applicable, with minimum increments thereafter of $100,000 or €50,000 as applicable, (d) with respect to Swing Loans under the U.S. Credit Facility, $500,000, with minimum increments thereafter of $100,000 and (e) with respect to Swing Loans under the Dutch Credit Facility, $200,000 or €100,000 as applicable, with minimum increments thereafter of $100,000 or €50,000 as applicable.</w:t>
      </w:r>
    </w:p>
    <w:p>
      <w:pPr>
        <w:sectPr>
          <w:pgSz w:w="11900" w:h="16838" w:orient="portrait"/>
          <w:cols w:equalWidth="0" w:num="1">
            <w:col w:w="11400"/>
          </w:cols>
          <w:pgMar w:left="240" w:top="270" w:right="259" w:bottom="1440" w:gutter="0" w:footer="0" w:header="0"/>
        </w:sectPr>
      </w:pPr>
    </w:p>
    <w:bookmarkStart w:id="208" w:name="page209"/>
    <w:bookmarkEnd w:id="208"/>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(a) with respect to Cash Collateral consisting of cash or deposit account balances, an amount equal to 105% of the Fronting Exposure of all applicable LC Issuers with respect to applicable Letters of Credit issued and outstanding at such time and (b) otherwise, an amount determined by the Administrative Agent and the applicable LC Issuers in their Permitted Discretion.</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FCCR Amount (Other)</w:t>
      </w:r>
      <w:r>
        <w:rPr>
          <w:rFonts w:ascii="Times New Roman" w:cs="Times New Roman" w:eastAsia="Times New Roman" w:hAnsi="Times New Roman"/>
          <w:sz w:val="18"/>
          <w:szCs w:val="18"/>
          <w:color w:val="auto"/>
        </w:rPr>
        <w:t>” means, at any time, the greater of (a) $15,000,000 and (b) the lesser of (i) 20.0% of the then Aggregate Borrowing Base and (ii) 20.0% of the then Total Credit Facility Amount.</w:t>
      </w:r>
    </w:p>
    <w:p>
      <w:pPr>
        <w:spacing w:after="0" w:line="16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FCCR Amount (RP)</w:t>
      </w:r>
      <w:r>
        <w:rPr>
          <w:rFonts w:ascii="Times New Roman" w:cs="Times New Roman" w:eastAsia="Times New Roman" w:hAnsi="Times New Roman"/>
          <w:sz w:val="18"/>
          <w:szCs w:val="18"/>
          <w:color w:val="auto"/>
        </w:rPr>
        <w:t>” means, at any time, the greater of (a) $20,000,000 and (b) the lesser of (i) 25.0% of the then Aggregate Borrowing Base and (ii) 25.0% of the then Total Credit Facility Amount.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Rating</w:t>
      </w:r>
      <w:r>
        <w:rPr>
          <w:rFonts w:ascii="Times New Roman" w:cs="Times New Roman" w:eastAsia="Times New Roman" w:hAnsi="Times New Roman"/>
          <w:sz w:val="18"/>
          <w:szCs w:val="18"/>
          <w:color w:val="auto"/>
        </w:rPr>
        <w:t>” means the senior corporate family rating accorded to the Company’s senior credit facilities by Moody’s.</w:t>
      </w:r>
    </w:p>
    <w:p>
      <w:pPr>
        <w:spacing w:after="0" w:line="225"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Credit Party in favor of the Administrative Agent, on behalf of the Lenders, as security for any of the Obligations, each of which shall be in form and substance satisfactory to the Administrative Agent.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Schedule 6.21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any real property owned in fee simple by any Credit Party or leased by any Credit Party, which real property is or is intended under the terms hereof to be subject to a Lien in favor of the Administrative Agent for the benefit of the Lenders.</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220" w:firstLine="464"/>
        <w:spacing w:after="0" w:line="272" w:lineRule="auto"/>
        <w:tabs>
          <w:tab w:leader="none" w:pos="701"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Asset Sale by the Company or any of its Subsidiaries, or any Extraordinary Receipt received or paid to the account of the Company or any of its Subsidiaries, the excess, if any, of (i) the Cash Proceeds received in connection with such transaction over (ii) the sum of (A) the principal amount of any Indebtedness that is secured by the applicable asset and that is required to be repaid in connection with such transaction (other than</w:t>
      </w:r>
    </w:p>
    <w:p>
      <w:pPr>
        <w:spacing w:after="0" w:line="1" w:lineRule="exact"/>
        <w:rPr>
          <w:rFonts w:ascii="Times New Roman" w:cs="Times New Roman" w:eastAsia="Times New Roman" w:hAnsi="Times New Roman"/>
          <w:sz w:val="17"/>
          <w:szCs w:val="17"/>
          <w:color w:val="auto"/>
        </w:rPr>
      </w:pPr>
    </w:p>
    <w:p>
      <w:pPr>
        <w:ind w:firstLine="8"/>
        <w:spacing w:after="0" w:line="253" w:lineRule="auto"/>
        <w:tabs>
          <w:tab w:leader="none" w:pos="2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 or (2) the Term Loan Facility), (B) the reasonable and customary out-of-pocket fees and expenses incurred by the Company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w:t>
      </w:r>
    </w:p>
    <w:p>
      <w:pPr>
        <w:sectPr>
          <w:pgSz w:w="11900" w:h="16838" w:orient="portrait"/>
          <w:cols w:equalWidth="0" w:num="1">
            <w:col w:w="11420"/>
          </w:cols>
          <w:pgMar w:left="240" w:top="270" w:right="239" w:bottom="1440" w:gutter="0" w:footer="0" w:header="0"/>
        </w:sectPr>
      </w:pPr>
    </w:p>
    <w:bookmarkStart w:id="209" w:name="page210"/>
    <w:bookmarkEnd w:id="209"/>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therewith; provided that, if the amount of any estimated taxes pursuant to this subclause (C) exceeds the amount of taxes actually required to be paid in cash in respect of such Asset Sale, the aggregate amount of such excess shall constitute Net Cash Proceeds and (D) amounts held in any reserve created for escrow, holdback, indemnity or similar obligations of the Company or any of its Subsidiaries in connection with such Asset Sale (provided that</w:t>
      </w:r>
    </w:p>
    <w:p>
      <w:pPr>
        <w:spacing w:after="0" w:line="2" w:lineRule="exact"/>
        <w:rPr>
          <w:sz w:val="20"/>
          <w:szCs w:val="20"/>
          <w:color w:val="auto"/>
        </w:rPr>
      </w:pPr>
    </w:p>
    <w:p>
      <w:pPr>
        <w:ind w:firstLine="8"/>
        <w:spacing w:after="0" w:line="254" w:lineRule="auto"/>
        <w:tabs>
          <w:tab w:leader="none" w:pos="25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held in such reserves shall not exceed 10% of the gross cash proceeds received with respect to such Asset Sale and (2) such amounts held in such reserves shall constitute Net Cash Proceeds upon release to, or receipt by, the Company or any of its Subsidiaries); provided further that such Cash Proceeds received in connection with any Asset Sale or Extraordinary Receipt shall only constitute Net Cash Proceeds under this clause (a) in any fiscal year to the extent that the aggregate amount of such Cash Proceeds received in such fiscal year exceeds $3,000,000 (and solely to the extent of such excess); and</w:t>
      </w:r>
    </w:p>
    <w:p>
      <w:pPr>
        <w:spacing w:after="0" w:line="185" w:lineRule="exact"/>
        <w:rPr>
          <w:rFonts w:ascii="Times New Roman" w:cs="Times New Roman" w:eastAsia="Times New Roman" w:hAnsi="Times New Roman"/>
          <w:sz w:val="18"/>
          <w:szCs w:val="18"/>
          <w:color w:val="auto"/>
        </w:rPr>
      </w:pPr>
    </w:p>
    <w:p>
      <w:pPr>
        <w:jc w:val="both"/>
        <w:ind w:right="360" w:firstLine="464"/>
        <w:spacing w:after="0" w:line="266" w:lineRule="auto"/>
        <w:tabs>
          <w:tab w:leader="none" w:pos="71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incurrence or issuance of any Indebtedness by the Company or any of its Subsidiaries, the excess of (i) the sum of the Cash Proceeds received in connection with such transaction over (ii) the underwriting discounts and commissions, and other reasonable and customary out-of-pocket expenses, incurred by the Company or such Subsidiary in connection therewith.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NOLV Percentage</w:t>
      </w:r>
      <w:r>
        <w:rPr>
          <w:rFonts w:ascii="Times New Roman" w:cs="Times New Roman" w:eastAsia="Times New Roman" w:hAnsi="Times New Roman"/>
          <w:sz w:val="18"/>
          <w:szCs w:val="18"/>
          <w:color w:val="auto"/>
        </w:rPr>
        <w:t>” means, with respect to Inventory of any Person, the orderly liquidation value, expressed as a percentage, thereof determined in a manner acceptable to the Administrative Agent by an appraiser acceptable to the Administrative Agent, net of all costs of liquidation thereof.</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Non-Public Lender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20" w:firstLine="464"/>
        <w:spacing w:after="0" w:line="313" w:lineRule="auto"/>
        <w:tabs>
          <w:tab w:leader="none" w:pos="701"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interpretation of “public” as referred to in the CRR by the relevant authority/ies, an entity that provides repayable funds to the Dutch Borrower for a minimum amount of EUR 100,000 (or its equivalent in another currency) or an entity otherwise qualifying as not forming part of the public); and</w:t>
      </w:r>
    </w:p>
    <w:p>
      <w:pPr>
        <w:spacing w:after="0" w:line="138" w:lineRule="exact"/>
        <w:rPr>
          <w:rFonts w:ascii="Times New Roman" w:cs="Times New Roman" w:eastAsia="Times New Roman" w:hAnsi="Times New Roman"/>
          <w:sz w:val="17"/>
          <w:szCs w:val="17"/>
          <w:color w:val="auto"/>
        </w:rPr>
      </w:pPr>
    </w:p>
    <w:p>
      <w:pPr>
        <w:ind w:right="100" w:firstLine="464"/>
        <w:spacing w:after="0" w:line="282" w:lineRule="auto"/>
        <w:tabs>
          <w:tab w:leader="none" w:pos="71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publication of an interpretation of “public” as referred to in the CRR by the relevant authority/ies, such amount or such criterion as a result of which such entity shall qualify as not forming part of the public.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Revolving Facility Note or a Swing Line Note, as applicable.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Continuation or Conversion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Swing Loan Refunding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Office</w:t>
      </w:r>
      <w:r>
        <w:rPr>
          <w:rFonts w:ascii="Times New Roman" w:cs="Times New Roman" w:eastAsia="Times New Roman" w:hAnsi="Times New Roman"/>
          <w:sz w:val="18"/>
          <w:szCs w:val="18"/>
          <w:color w:val="auto"/>
        </w:rPr>
        <w:t>” means, as context may require, the office of (a) the Administrative Agent at 127 Public Square, Cleveland, Ohio 44114, Attention: Asset Based Lending, c/o Paul Taubeneck (facsimile: (216) 689-8470), or such other office as the Administrative Agent may designate in writing to the Borrowers from time to time or (b) the Foreign Collateral Agent, at 26 Elmfield Road, Bromley, BR1 1LR United Kingdom, Attention: Joanna Harris or Michelle Stanley (facsimile: +44 (208) 695-3384) or such other office as the Foreign Collateral Agent may designate in writing to the Borrowers from time to time.</w:t>
      </w:r>
    </w:p>
    <w:p>
      <w:pPr>
        <w:sectPr>
          <w:pgSz w:w="11900" w:h="16838" w:orient="portrait"/>
          <w:cols w:equalWidth="0" w:num="1">
            <w:col w:w="11380"/>
          </w:cols>
          <w:pgMar w:left="240" w:top="270" w:right="279" w:bottom="1440" w:gutter="0" w:footer="0" w:header="0"/>
        </w:sectPr>
      </w:pPr>
    </w:p>
    <w:bookmarkStart w:id="210" w:name="page211"/>
    <w:bookmarkEnd w:id="210"/>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amounts, indemnities and reimbursement obligations, direct or indirect, contingent or absolute, of every type or description, and at any time existing, owing by the Borrowers or any other Credit Party to the Administrative Agent, Foreign Collateral Agent, any Lender, any Affiliate of any Lender, any Swing Line Lender, any Secured Hedge Provider or any LC Issuer pursuant to the terms of this Agreement, any other Loan Document or any Designated Hedge Agreement (including, but not limited to, interest and fees that accrue after the commencement by or against any Credit Party of any insolvency proceeding, regardless of whether allowed or allowable in such proceeding or subject to an automatic stay under Section 362(a) of the Bankruptcy Code or analogous law in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Obligations shall not include any Excluded Swap Obligations. Without limiting the generality of the foregoing description of Obligations, the Obligations include (a) the obligation to pay principal, interest, Letter of Credit commissions, charges, expenses, fees, attorneys’ fees and disbursements, indemnities and other amounts payable by the Credit Parties (or any of them) under any Loan Document, (b) Banking Services Obligations, (c) Hedging Obligations and (d) the obligation to reimburse any amount in respect of any of the foregoing that Administrative Agent, Foreign Collateral Agent, any Lender or any Affiliate thereof or any Secured Hedge Provider of any of them, in connection with the terms of any Loan Document, may elect to pay or advance on behalf of the Credit Parties.</w:t>
      </w:r>
    </w:p>
    <w:p>
      <w:pPr>
        <w:spacing w:after="0" w:line="193"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Lease</w:t>
      </w:r>
      <w:r>
        <w:rPr>
          <w:rFonts w:ascii="Times New Roman" w:cs="Times New Roman" w:eastAsia="Times New Roman" w:hAnsi="Times New Roman"/>
          <w:sz w:val="18"/>
          <w:szCs w:val="18"/>
          <w:color w:val="auto"/>
        </w:rPr>
        <w:t>” as applied to any Person means any lease of any property (whether real, personal or mixed) by that Person as lessee that, in conformity with GAAP, is not accounted for as a Capital Lease on the balance sheet of that Person.</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(other than an individual), such Person’s Articles (Certificate) of Incorporation, or equivalent formation documents, and Regulations (Bylaws), or equivalent governing documents, and, in the case of any partnership, includes any partnership agreement and any amendments to any of the foregoing.</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means a Dutch Overadvance and/or a U.S. Overadvance.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 Exposure</w:t>
      </w:r>
      <w:r>
        <w:rPr>
          <w:rFonts w:ascii="Times New Roman" w:cs="Times New Roman" w:eastAsia="Times New Roman" w:hAnsi="Times New Roman"/>
          <w:sz w:val="18"/>
          <w:szCs w:val="18"/>
          <w:color w:val="auto"/>
        </w:rPr>
        <w:t>” means Dutch Overadvance Exposure and U.S. Overadvance Exposure.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Parallel Debt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States</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ectPr>
          <w:pgSz w:w="11900" w:h="16838" w:orient="portrait"/>
          <w:cols w:equalWidth="0" w:num="1">
            <w:col w:w="11400"/>
          </w:cols>
          <w:pgMar w:left="240" w:top="270" w:right="259" w:bottom="1440" w:gutter="0" w:footer="0" w:header="0"/>
        </w:sectPr>
      </w:pPr>
    </w:p>
    <w:bookmarkStart w:id="211" w:name="page212"/>
    <w:bookmarkEnd w:id="211"/>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Payment Office</w:t>
      </w:r>
      <w:r>
        <w:rPr>
          <w:rFonts w:ascii="Times New Roman" w:cs="Times New Roman" w:eastAsia="Times New Roman" w:hAnsi="Times New Roman"/>
          <w:sz w:val="18"/>
          <w:szCs w:val="18"/>
          <w:color w:val="auto"/>
        </w:rPr>
        <w:t>” means, as context may require, the office of (a) the Administrative Agent at 127 Public Square, Cleveland, Ohio 44114, Attention: Asset Based Lending, c/o Paul Taubeneck (facsimile: (216) 689-8470), or such other office(s), as the Administrative Agent may designate to the Borrowers in writing from time to time (b) the Foreign Collateral Agent, at 26 Elmfield Road, Bromley, BR1 1LR United Kingdom, Attention: Joanna Harris or Michelle Stanley (facsimile: +44 (208) 695-3384) or such other office as the Foreign Agent may designate in writing to the Borrowers from time to time.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Section 4002 of ERISA, or any successor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business judgment.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Foreign Subsidiary and other Loans and Investments</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ind w:right="100" w:firstLine="464"/>
        <w:spacing w:after="0" w:line="282" w:lineRule="auto"/>
        <w:tabs>
          <w:tab w:leader="none" w:pos="70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existing as of the Closing Date by the Borrowers or any of their Subsidiaries in, and any loan existing as of the Closing Date by the Borrowers or any of their Subsidiaries to, a Foreign Subsidiary, in each case as set forth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80" w:firstLine="464"/>
        <w:spacing w:after="0" w:line="282" w:lineRule="auto"/>
        <w:tabs>
          <w:tab w:leader="none" w:pos="71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by a Foreign Subsidiary in, or loan from a Foreign Subsidiary to, or Guarantee by a Foreign Subsidiary of Indebtedness of,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loan is subordinated to the Obligations on terms and conditions satisfactory to the Administrative Agent; and</w:t>
      </w:r>
    </w:p>
    <w:p>
      <w:pPr>
        <w:spacing w:after="0" w:line="161" w:lineRule="exact"/>
        <w:rPr>
          <w:rFonts w:ascii="Times New Roman" w:cs="Times New Roman" w:eastAsia="Times New Roman" w:hAnsi="Times New Roman"/>
          <w:sz w:val="18"/>
          <w:szCs w:val="18"/>
          <w:color w:val="auto"/>
        </w:rPr>
      </w:pPr>
    </w:p>
    <w:p>
      <w:pPr>
        <w:ind w:right="180" w:firstLine="464"/>
        <w:spacing w:after="0" w:line="255" w:lineRule="auto"/>
        <w:tabs>
          <w:tab w:leader="none" w:pos="70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investment by any Credit Party in, or loan by any Credit Party to, or Guarantee by any Credit Party of the Indebtedness of, a Foreign Subsidiary that is not a Credit Party or (ii) any investment by any Credit Party in the Equity Interest of, or loan, contribution or advance by any Credit Party to, a Person (other than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(as determined when each such investment, loan, Guarantee, contribution or advance is made and after giving effect thereto) of all such investments, loans, Guarantees, contributions and advances made pursuant to clauses (i)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not exceed $20,000,000 during any fiscal year and $50,000,000 during the term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xml:space="preserve">” means any Lien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joint venture, firm, corporation, limited liability company, association, central bank, trust or other enterprise or any governmental or political subdivision or any agency, department or instrumentality thereof.</w:t>
      </w:r>
    </w:p>
    <w:p>
      <w:pPr>
        <w:sectPr>
          <w:pgSz w:w="11900" w:h="16838" w:orient="portrait"/>
          <w:cols w:equalWidth="0" w:num="1">
            <w:col w:w="11400"/>
          </w:cols>
          <w:pgMar w:left="240" w:top="270" w:right="259" w:bottom="1440" w:gutter="0" w:footer="0" w:header="0"/>
        </w:sectPr>
      </w:pPr>
    </w:p>
    <w:bookmarkStart w:id="212" w:name="page213"/>
    <w:bookmarkEnd w:id="212"/>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Indebtedness</w:t>
      </w:r>
      <w:r>
        <w:rPr>
          <w:rFonts w:ascii="Times New Roman" w:cs="Times New Roman" w:eastAsia="Times New Roman" w:hAnsi="Times New Roman"/>
          <w:sz w:val="18"/>
          <w:szCs w:val="18"/>
          <w:color w:val="auto"/>
        </w:rPr>
        <w:t>” has the meaning provided in the definition of “Guaranty Obligations.”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has the meaning provided in the definition of “Guaranty Obligations.”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Obligations with respect to a Designated Hedge Agreement, each Credit Party that has total assets exceeding $10,000,000 at the time the relevant guarantee or grant of the relevant security interest becomes effective with respect to such Obligations or such other person as constitutes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under the Commodity Exchange Act or any regulations promulgated thereunder and can cause another person to qualify as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at such time by entering into a keepwell under Section 1a(18)(A)(v)(II) of the Commodity Exchange Act but only to the extent the maximum liability of such Credit Party upon entrance into the keepwell does not exceed the amount which can be guaranteed by such Credit Party under applicable federal and state laws and comparable applicable foreign laws relating to insolvency of debtors.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U.S. Affiliate</w:t>
      </w:r>
      <w:r>
        <w:rPr>
          <w:rFonts w:ascii="Times New Roman" w:cs="Times New Roman" w:eastAsia="Times New Roman" w:hAnsi="Times New Roman"/>
          <w:sz w:val="18"/>
          <w:szCs w:val="18"/>
          <w:color w:val="auto"/>
        </w:rPr>
        <w:t>” means, with respect to an Account Debtor, an affiliate of such Account Debtor that is organized under the law of the United States (or any state thereof) and otherwise acceptable to the Administrative Agent in its Permitted Discretion.</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Requirements</w:t>
      </w:r>
      <w:r>
        <w:rPr>
          <w:rFonts w:ascii="Times New Roman" w:cs="Times New Roman" w:eastAsia="Times New Roman" w:hAnsi="Times New Roman"/>
          <w:sz w:val="18"/>
          <w:szCs w:val="18"/>
          <w:color w:val="auto"/>
        </w:rPr>
        <w:t>” means, with respect to any Material Real Property, the documentation and other items of the type specified in Section 11 of Schedule 6.21.</w:t>
      </w:r>
    </w:p>
    <w:p>
      <w:pPr>
        <w:spacing w:after="0" w:line="162"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of any Person shall mean all of the right, title and interest of such Person in and to land, improvements and fixtures, including Leaseholds.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the Foreign Collateral Agent, (c) any Lender and (d) any LC Issuer, as applicable.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Borrowing Base</w:t>
      </w:r>
      <w:r>
        <w:rPr>
          <w:rFonts w:ascii="Times New Roman" w:cs="Times New Roman" w:eastAsia="Times New Roman" w:hAnsi="Times New Roman"/>
          <w:sz w:val="18"/>
          <w:szCs w:val="18"/>
          <w:color w:val="auto"/>
        </w:rPr>
        <w:t>” means the Regular Dutch Borrowing Base or the Regular U.S. Borrowing Base, as applicable.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Dutch Borrowing Base</w:t>
      </w:r>
      <w:r>
        <w:rPr>
          <w:rFonts w:ascii="Times New Roman" w:cs="Times New Roman" w:eastAsia="Times New Roman" w:hAnsi="Times New Roman"/>
          <w:sz w:val="18"/>
          <w:szCs w:val="18"/>
          <w:color w:val="auto"/>
        </w:rPr>
        <w:t>” at any time, with respect to the Dutch Borrower, an amount equal to the sum (expressed in Euros) of</w:t>
      </w:r>
    </w:p>
    <w:p>
      <w:pPr>
        <w:spacing w:after="0" w:line="223" w:lineRule="exact"/>
        <w:rPr>
          <w:sz w:val="20"/>
          <w:szCs w:val="20"/>
          <w:color w:val="auto"/>
        </w:rPr>
      </w:pPr>
    </w:p>
    <w:p>
      <w:pPr>
        <w:ind w:left="700" w:hanging="236"/>
        <w:spacing w:after="0"/>
        <w:tabs>
          <w:tab w:leader="none" w:pos="7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85% of the Eligible Dutch Accounts at such time;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right="60" w:firstLine="464"/>
        <w:spacing w:after="0" w:line="266" w:lineRule="auto"/>
        <w:tabs>
          <w:tab w:leader="none" w:pos="71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up to 65% of the lower of cost or market value (determined on a first in, first out basis in accordance with GAAP) of Eligible Dutch Inventory, and (ii) up to 85% of the NOLV Percentage of the Value of Eligible Dutch Inventory based upon the most recent inventory appraisal ordered by and satisfactory to the Administrative Agent and the Foreign Collateral Agent, </w:t>
      </w:r>
      <w:r>
        <w:rPr>
          <w:rFonts w:ascii="Times New Roman" w:cs="Times New Roman" w:eastAsia="Times New Roman" w:hAnsi="Times New Roman"/>
          <w:sz w:val="18"/>
          <w:szCs w:val="18"/>
          <w:i w:val="1"/>
          <w:iCs w:val="1"/>
          <w:u w:val="single" w:color="auto"/>
          <w:color w:val="auto"/>
        </w:rPr>
        <w:t>minus</w:t>
      </w:r>
    </w:p>
    <w:p>
      <w:pPr>
        <w:spacing w:after="0" w:line="176"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Dutch Reserves, if any;</w:t>
      </w:r>
    </w:p>
    <w:p>
      <w:pPr>
        <w:sectPr>
          <w:pgSz w:w="11900" w:h="16838" w:orient="portrait"/>
          <w:cols w:equalWidth="0" w:num="1">
            <w:col w:w="11400"/>
          </w:cols>
          <w:pgMar w:left="240" w:top="270" w:right="259" w:bottom="1440" w:gutter="0" w:footer="0" w:header="0"/>
        </w:sectPr>
      </w:pPr>
    </w:p>
    <w:bookmarkStart w:id="213" w:name="page214"/>
    <w:bookmarkEnd w:id="213"/>
    <w:p>
      <w:pPr>
        <w:ind w:right="4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the maximum amount of Inventory which may be included as part of the Regular Dutch Borrowing Base is 50% of the Total Dutch Revolving Commitment. The Administrative Agent or the Foreign Collateral Agent may, in its Permitted Discretion, reduce the advance rates set forth above, adjust Dutch Reserves or reduce one or more of the other elements used in computing the Regular Dutch Borrowing Base (including, without limitation, as required to account for foreign capital maintenance or other applicable laws).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U.S. Borrowing Base</w:t>
      </w:r>
      <w:r>
        <w:rPr>
          <w:rFonts w:ascii="Times New Roman" w:cs="Times New Roman" w:eastAsia="Times New Roman" w:hAnsi="Times New Roman"/>
          <w:sz w:val="18"/>
          <w:szCs w:val="18"/>
          <w:color w:val="auto"/>
        </w:rPr>
        <w:t>” at any time, with respect to the U.S. Borrower, an amount equal to the sum (expressed in Dollars) of</w:t>
      </w:r>
    </w:p>
    <w:p>
      <w:pPr>
        <w:spacing w:after="0" w:line="223" w:lineRule="exact"/>
        <w:rPr>
          <w:sz w:val="20"/>
          <w:szCs w:val="20"/>
          <w:color w:val="auto"/>
        </w:rPr>
      </w:pPr>
    </w:p>
    <w:p>
      <w:pPr>
        <w:ind w:left="700" w:hanging="236"/>
        <w:spacing w:after="0"/>
        <w:tabs>
          <w:tab w:leader="none" w:pos="7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85% of the Eligible U.S. Accounts at such time;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right="100" w:firstLine="464"/>
        <w:spacing w:after="0" w:line="266" w:lineRule="auto"/>
        <w:tabs>
          <w:tab w:leader="none" w:pos="71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up to 65% of the lower of cost or market value (determined on a first in, first out basis in accordance with GAAP) of Eligible U.S. Inventory, and (ii) up to 85% of the NOLV Percentage of the Value of Eligible U.S. Inventory based upon the most recent inventory appraisal ordered by and satisfactory to the Administrative Agent; </w:t>
      </w:r>
      <w:r>
        <w:rPr>
          <w:rFonts w:ascii="Times New Roman" w:cs="Times New Roman" w:eastAsia="Times New Roman" w:hAnsi="Times New Roman"/>
          <w:sz w:val="18"/>
          <w:szCs w:val="18"/>
          <w:i w:val="1"/>
          <w:iCs w:val="1"/>
          <w:u w:val="single" w:color="auto"/>
          <w:color w:val="auto"/>
        </w:rPr>
        <w:t>plus</w:t>
      </w:r>
    </w:p>
    <w:p>
      <w:pPr>
        <w:spacing w:after="0" w:line="176"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 of the lower of cost or market value (determined on a first in, first out basis in accordance with GAAP) of Eligible Spare Parts Inventory;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minus</w:t>
      </w:r>
    </w:p>
    <w:p>
      <w:pPr>
        <w:spacing w:after="0" w:line="20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Reserves, if any;</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amount of Inventory which may be included as part of the Regular U.S. Borrowing Base is 50% of the Total U.S. Revolving Commitment;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maximum amount of Inventory consisting of spare or replacement parts which may be included as part of the Regular U.S. Borrowing Base is $2,500,000. The Administrative Agent may, in its Permitted Discretion, reduce the advance rates set forth above, adjust U.S. Reserves or reduce one or more of the other elements used in computing the Regular U.S. Borrowing Base.</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of Governors of the Federal Reserve System as from time to time in effect and any successor to all or a portion thereof establishing reserve requirements.</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of Governors of the Federal Reserve System as from time to time in effect and any successor to all or a portion thereof establishing margin requirements.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directors, officers, employees, agents and advisors of such Person and of such Person’s Affiliates.</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Lenders whose Credit Facility Exposure and Unused Commitment constitute more than 50% of the sum of the Aggregate Credit Facility Exposure and the Unused Total Commitment; provided that to the extent there is more than one Lender, Required Lenders must include at least two unaffiliated Lenders. The Credit Facility Exposure and Unused Commitment of any Defaulting Lender shall be disregarded in determining Required Lenders at any time.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means Dutch Reserves or U.S. Reserves, as the context may require.</w:t>
      </w:r>
    </w:p>
    <w:p>
      <w:pPr>
        <w:sectPr>
          <w:pgSz w:w="11900" w:h="16838" w:orient="portrait"/>
          <w:cols w:equalWidth="0" w:num="1">
            <w:col w:w="11420"/>
          </w:cols>
          <w:pgMar w:left="240" w:top="270" w:right="239" w:bottom="1440" w:gutter="0" w:footer="0" w:header="0"/>
        </w:sectPr>
      </w:pPr>
    </w:p>
    <w:bookmarkStart w:id="214" w:name="page215"/>
    <w:bookmarkEnd w:id="214"/>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(a) any Capital Distribution, (b) any amount paid by the Company or any of its Subsidiaries in repayment, redemption, retirement, repurchase, direct or indirect, of any Subordinated Indebtedness, (c) any voluntary prepayment of principal of the Term Loans (other than in connection with a refinancing, replacement, renewal or extension thereof that is within the parameters set forth in </w:t>
      </w:r>
      <w:r>
        <w:rPr>
          <w:rFonts w:ascii="Times New Roman" w:cs="Times New Roman" w:eastAsia="Times New Roman" w:hAnsi="Times New Roman"/>
          <w:sz w:val="18"/>
          <w:szCs w:val="18"/>
          <w:u w:val="single" w:color="auto"/>
          <w:color w:val="auto"/>
        </w:rPr>
        <w:t>Section 7.02(k)</w:t>
      </w:r>
      <w:r>
        <w:rPr>
          <w:rFonts w:ascii="Times New Roman" w:cs="Times New Roman" w:eastAsia="Times New Roman" w:hAnsi="Times New Roman"/>
          <w:sz w:val="18"/>
          <w:szCs w:val="18"/>
          <w:color w:val="auto"/>
        </w:rPr>
        <w:t xml:space="preserve"> and not otherwise prohibited hereunder or under the Intercreditor Agreement), (d) any voluntary prepayment of Material Indebtedness consisting of Capital Leases listed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on the Closing Date or (e) any voluntary or mandatory prepayment of principal of any other Material Indebtedness (other than voluntary or mandatory prepayment of the Obligations or the Term Loan Obligations).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(i) with respect to any Loan, each of the following: (A) each date of a Borrowing of a Loan denominated in Euro, (B) each date of a continuation of a Loan denominated in Euro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(C) each additional date as the Foreign Collateral Agent shall determine; and (ii) with respect to any Letter of Credit, each of the following: (A) each date of issuance of a Letter of Credit denominated in Euro, (B) each date of an amendment of any such Letter of Credit having the effect of increasing the amount thereof (solely with respect to the increased amount), (C) each date of any payment by an LC Issuer under any Letter of Credit denominated in Euro and (D) each additional date as the Foreign Collateral Agent shall determine.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Dutch Revolving Borrowing and U.S. Revolving Borrowing.</w:t>
      </w:r>
    </w:p>
    <w:p>
      <w:pPr>
        <w:spacing w:after="0" w:line="225"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any Lender at any time, the sum of its Dutch Revolving Commitment and U.S. Revolving Commitment.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Dutch Revolving Facility and the U.S. Revolving Facility.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Availability Period</w:t>
      </w:r>
      <w:r>
        <w:rPr>
          <w:rFonts w:ascii="Times New Roman" w:cs="Times New Roman" w:eastAsia="Times New Roman" w:hAnsi="Times New Roman"/>
          <w:sz w:val="18"/>
          <w:szCs w:val="18"/>
          <w:color w:val="auto"/>
        </w:rPr>
        <w:t>” means the period from the Closing Date until the Revolving Facility Termination Date.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Note</w:t>
      </w:r>
      <w:r>
        <w:rPr>
          <w:rFonts w:ascii="Times New Roman" w:cs="Times New Roman" w:eastAsia="Times New Roman" w:hAnsi="Times New Roman"/>
          <w:sz w:val="18"/>
          <w:szCs w:val="18"/>
          <w:color w:val="auto"/>
        </w:rPr>
        <w:t>” means a Dutch Revolving Facility Note and a U.S. Revolving Facility Note.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Percentage</w:t>
      </w:r>
      <w:r>
        <w:rPr>
          <w:rFonts w:ascii="Times New Roman" w:cs="Times New Roman" w:eastAsia="Times New Roman" w:hAnsi="Times New Roman"/>
          <w:sz w:val="18"/>
          <w:szCs w:val="18"/>
          <w:color w:val="auto"/>
        </w:rPr>
        <w:t>” means the Dutch Revolving Facility Percentage and the U.S. Revolving Facility Percentage, as context may require.</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Termination Date</w:t>
      </w:r>
      <w:r>
        <w:rPr>
          <w:rFonts w:ascii="Times New Roman" w:cs="Times New Roman" w:eastAsia="Times New Roman" w:hAnsi="Times New Roman"/>
          <w:sz w:val="18"/>
          <w:szCs w:val="18"/>
          <w:color w:val="auto"/>
        </w:rPr>
        <w:t xml:space="preserve">” means the earliest of (a) August 28, 2019, (b) the date that is six months prior to the maturity of the Term Loan Credit Agreement or (c) the date that the Revolving Commitments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with respect to each Lender, any loan made by such Lender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Unless the context shall otherwise require, the term “Revolving Loans” shall include Incremental Revolving Loans.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McGraw Hill, Inc., and its successors.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 Rating</w:t>
      </w:r>
      <w:r>
        <w:rPr>
          <w:rFonts w:ascii="Times New Roman" w:cs="Times New Roman" w:eastAsia="Times New Roman" w:hAnsi="Times New Roman"/>
          <w:sz w:val="18"/>
          <w:szCs w:val="18"/>
          <w:color w:val="auto"/>
        </w:rPr>
        <w:t>” means the senior corporate family rating accorded to the Company’s senior credit facilities by S&amp;P.</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11.06(f)</w:t>
      </w:r>
      <w:r>
        <w:rPr>
          <w:rFonts w:ascii="Times New Roman" w:cs="Times New Roman" w:eastAsia="Times New Roman" w:hAnsi="Times New Roman"/>
          <w:sz w:val="18"/>
          <w:szCs w:val="18"/>
          <w:color w:val="auto"/>
        </w:rPr>
        <w:t>.</w:t>
      </w:r>
    </w:p>
    <w:p>
      <w:pPr>
        <w:sectPr>
          <w:pgSz w:w="11900" w:h="16838" w:orient="portrait"/>
          <w:cols w:equalWidth="0" w:num="1">
            <w:col w:w="11340"/>
          </w:cols>
          <w:pgMar w:left="240" w:top="270" w:right="319" w:bottom="1440" w:gutter="0" w:footer="0" w:header="0"/>
        </w:sectPr>
      </w:pPr>
    </w:p>
    <w:bookmarkStart w:id="215" w:name="page216"/>
    <w:bookmarkEnd w:id="215"/>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arrangement with any Person providing for the leasing by the Borrowers or any Subsidiary of a Borrower of any property (except for temporary leases for a term, including any renewal thereof, of not more than one year and except for leases between the Borrowers and a Subsidiary or between Subsidiaries), which property has been or is to be sold or transferred by the Borrowers or such Subsidiary to such Person.</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Regulation D</w:t>
      </w:r>
      <w:r>
        <w:rPr>
          <w:rFonts w:ascii="Times New Roman" w:cs="Times New Roman" w:eastAsia="Times New Roman" w:hAnsi="Times New Roman"/>
          <w:sz w:val="18"/>
          <w:szCs w:val="18"/>
          <w:color w:val="auto"/>
        </w:rPr>
        <w:t>” means Regulation D as promulgated under the Securities Act of 1933, as amended, as the same may be in effect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 has the meaning provided in the Security Agreements.</w:t>
      </w:r>
    </w:p>
    <w:p>
      <w:pPr>
        <w:spacing w:after="0" w:line="225"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Provider</w:t>
      </w:r>
      <w:r>
        <w:rPr>
          <w:rFonts w:ascii="Times New Roman" w:cs="Times New Roman" w:eastAsia="Times New Roman" w:hAnsi="Times New Roman"/>
          <w:sz w:val="18"/>
          <w:szCs w:val="18"/>
          <w:color w:val="auto"/>
        </w:rPr>
        <w:t>” means a Lender or an Affiliate of a Lender (or a Person who was a Lender or an Affiliate of a Lender at the time of execution and delivery of a Hedge Agreement) who has entered into a Hedge Agreement with the Company or any of its Subsidiaries.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means the Dutch Security Documents and the U.S. Security Agreement.</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Dutch Security Documents, the U.S. Security Agreement, each Mortgage, the Collateral Assignment of Merger Documents, each Collateral Access Agreement, any UCC financing statement, any Control Agreement, each Security Joinder Agreement, any collateral assignments of intellectual property or intellectual property security agreements, any perfection certificate and any document pursuant to which any Lien is granted or perfected by any Credit Party to the Administrative Agent or the Foreign Collateral Agent as security for any of the Obligations.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Joinder Agreement</w:t>
      </w:r>
      <w:r>
        <w:rPr>
          <w:rFonts w:ascii="Times New Roman" w:cs="Times New Roman" w:eastAsia="Times New Roman" w:hAnsi="Times New Roman"/>
          <w:sz w:val="18"/>
          <w:szCs w:val="18"/>
          <w:color w:val="auto"/>
        </w:rPr>
        <w:t>” has the meaning specified in the U.S. Security Agreement.</w:t>
      </w:r>
    </w:p>
    <w:p>
      <w:pPr>
        <w:spacing w:after="0" w:line="22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(e) such Person is able to pay its debts and liabilities, contingent obligations and other commitments as they mature in the ordinary course of business, and (f) in the case of a Dutch Credit Party such Person has not stopped paying its debts (</w:t>
      </w:r>
      <w:r>
        <w:rPr>
          <w:rFonts w:ascii="Times New Roman" w:cs="Times New Roman" w:eastAsia="Times New Roman" w:hAnsi="Times New Roman"/>
          <w:sz w:val="18"/>
          <w:szCs w:val="18"/>
          <w:i w:val="1"/>
          <w:iCs w:val="1"/>
          <w:color w:val="auto"/>
        </w:rPr>
        <w:t>verkeert niet in 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toestand dat hij is opgehouden te betalen</w:t>
      </w:r>
      <w:r>
        <w:rPr>
          <w:rFonts w:ascii="Times New Roman" w:cs="Times New Roman" w:eastAsia="Times New Roman" w:hAnsi="Times New Roman"/>
          <w:sz w:val="18"/>
          <w:szCs w:val="18"/>
          <w:color w:val="auto"/>
        </w:rPr>
        <w:t>) . The amount of contingent liabilities at any time shall be computed as the amount that, in the light of all the facts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circumstances existing at such time, represents the amount that can reasonably be expected to become an actual or matured liability.</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Purchase Agreement Representations</w:t>
      </w:r>
      <w:r>
        <w:rPr>
          <w:rFonts w:ascii="Times New Roman" w:cs="Times New Roman" w:eastAsia="Times New Roman" w:hAnsi="Times New Roman"/>
          <w:sz w:val="18"/>
          <w:szCs w:val="18"/>
          <w:color w:val="auto"/>
        </w:rPr>
        <w:t>” means the representations and warranties made by, or with respect to, the Target and its Subsidiaries in the Merger Agreement as are material to the</w:t>
      </w:r>
    </w:p>
    <w:p>
      <w:pPr>
        <w:sectPr>
          <w:pgSz w:w="11900" w:h="16838" w:orient="portrait"/>
          <w:cols w:equalWidth="0" w:num="1">
            <w:col w:w="11380"/>
          </w:cols>
          <w:pgMar w:left="240" w:top="270" w:right="279" w:bottom="1440" w:gutter="0" w:footer="0" w:header="0"/>
        </w:sectPr>
      </w:pPr>
    </w:p>
    <w:bookmarkStart w:id="216" w:name="page217"/>
    <w:bookmarkEnd w:id="21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of the Lenders, in their capacity as such, but only to the extent that the Company or any of its Affiliates have the right to terminate their obligations under the Merger Agreement (or the right to decline or otherwise refuse to consummate the Target Acquisition pursuant to the Merger Agreement) as a result of the breach of one or more of such representations in the Merger Agreement or any such representation and warranty not being accurate (in each case, determined without regard to any notice requirement).</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(other than clauses (b) and (c) thereof),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xml:space="preserve"> (subject to the last sentence of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with respect to the perfection of liens),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(determined for this purpose for the Company and its Subsidiaries on a consolidated basis as of the Closing Date and after giving effect to the Transactions),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Split Rating</w:t>
      </w:r>
      <w:r>
        <w:rPr>
          <w:rFonts w:ascii="Times New Roman" w:cs="Times New Roman" w:eastAsia="Times New Roman" w:hAnsi="Times New Roman"/>
          <w:sz w:val="18"/>
          <w:szCs w:val="18"/>
          <w:color w:val="auto"/>
        </w:rPr>
        <w:t>” shall exist at any time there shall be a difference in level between the Moody’s Rating and the corresponding S&amp;P Rating.</w:t>
      </w:r>
    </w:p>
    <w:p>
      <w:pPr>
        <w:spacing w:after="0" w:line="2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for a currency, the rate determined by the Foreign Collateral Agent to be the rate quoted by the Person acting in such capacity as the spot rate for the purchase by such Person of such currency with another currency through its principal foreign exchange trading office at approximately 11:00 A.M. on the date one Business Day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Foreign Collateral Agent may obtain such spot rate from another financial institution designated by the Foreign Collateral Agent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 LC Issuer may use such spot rate quoted on the date as of which the foreign exchange computation is made in the case of any Letter of Credit denominated in Euro.</w:t>
      </w:r>
    </w:p>
    <w:p>
      <w:pPr>
        <w:spacing w:after="0" w:line="18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Letter of Credit</w:t>
      </w:r>
      <w:r>
        <w:rPr>
          <w:rFonts w:ascii="Times New Roman" w:cs="Times New Roman" w:eastAsia="Times New Roman" w:hAnsi="Times New Roman"/>
          <w:sz w:val="18"/>
          <w:szCs w:val="18"/>
          <w:color w:val="auto"/>
        </w:rPr>
        <w:t>” means any standby letter of credit issued for the purpose of supporting workers compensation, liability insurance, releases of contract retention obligations, contract performance guarantee requirements and other bonding obligations or for other lawful purposes.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Amount</w:t>
      </w:r>
      <w:r>
        <w:rPr>
          <w:rFonts w:ascii="Times New Roman" w:cs="Times New Roman" w:eastAsia="Times New Roman" w:hAnsi="Times New Roman"/>
          <w:sz w:val="18"/>
          <w:szCs w:val="18"/>
          <w:color w:val="auto"/>
        </w:rPr>
        <w:t>” of each Letter of Credit shall mean the maximum amount available to be drawn thereunder (regardless of whether any conditions or other requirements for drawing could then be met).</w:t>
      </w:r>
    </w:p>
    <w:p>
      <w:pPr>
        <w:spacing w:after="0" w:line="16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Debt Documents</w:t>
      </w:r>
      <w:r>
        <w:rPr>
          <w:rFonts w:ascii="Times New Roman" w:cs="Times New Roman" w:eastAsia="Times New Roman" w:hAnsi="Times New Roman"/>
          <w:sz w:val="18"/>
          <w:szCs w:val="18"/>
          <w:color w:val="auto"/>
        </w:rPr>
        <w:t>” means, collectively, any loan agreements, indentures, note purchase agreements, promissory notes, guarantees and other instruments and agreements evidencing the terms of any Subordinated Indebtedness.</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that has been subordinated to the prior payment in full of all of the Obligations pursuant to a written agreement or written terms acceptable to the Administrative Agent in its Permitted Discretion.</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refer to a Subsidiary or Subsidiaries of the Company.</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the Borrowers or any Guarantor, any obligation to pay or perform under any agreement, contract or transaction that constitutes a “</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within the meaning of Section 1a(47) of the Commodity Exchange Act.</w:t>
      </w:r>
    </w:p>
    <w:p>
      <w:pPr>
        <w:sectPr>
          <w:pgSz w:w="11900" w:h="16838" w:orient="portrait"/>
          <w:cols w:equalWidth="0" w:num="1">
            <w:col w:w="11400"/>
          </w:cols>
          <w:pgMar w:left="240" w:top="270" w:right="259"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means the U.S. Swing Line Commitment or the Dutch Swing Line Commitment.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Exposure</w:t>
      </w:r>
      <w:r>
        <w:rPr>
          <w:rFonts w:ascii="Times New Roman" w:cs="Times New Roman" w:eastAsia="Times New Roman" w:hAnsi="Times New Roman"/>
          <w:sz w:val="18"/>
          <w:szCs w:val="18"/>
          <w:color w:val="auto"/>
        </w:rPr>
        <w:t>” means the U.S. Swing Line Exposure or the Dutch Swing Line Exposure.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xml:space="preserve">” means the credit facility established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pursuant to the Swing Line Commitments of the Swing Line Lenders.</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Lenders</w:t>
      </w:r>
      <w:r>
        <w:rPr>
          <w:rFonts w:ascii="Times New Roman" w:cs="Times New Roman" w:eastAsia="Times New Roman" w:hAnsi="Times New Roman"/>
          <w:sz w:val="18"/>
          <w:szCs w:val="18"/>
          <w:color w:val="auto"/>
        </w:rPr>
        <w:t>” means the U.S. Swing Line Lender and the Dutch Swing Line Lender and “</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either of them, as the context may require.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means a U.S. Swing Line Note.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w:t>
      </w:r>
      <w:r>
        <w:rPr>
          <w:rFonts w:ascii="Times New Roman" w:cs="Times New Roman" w:eastAsia="Times New Roman" w:hAnsi="Times New Roman"/>
          <w:sz w:val="18"/>
          <w:szCs w:val="18"/>
          <w:color w:val="auto"/>
        </w:rPr>
        <w:t>” means a U.S. Swing Loan or a Dutch Swing Loan, as the context may require.</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Maturity Date</w:t>
      </w:r>
      <w:r>
        <w:rPr>
          <w:rFonts w:ascii="Times New Roman" w:cs="Times New Roman" w:eastAsia="Times New Roman" w:hAnsi="Times New Roman"/>
          <w:sz w:val="18"/>
          <w:szCs w:val="18"/>
          <w:color w:val="auto"/>
        </w:rPr>
        <w:t>” means, with respect to any Swing Loan, the earlier of (a) the last day of the period for such Swing Loan as established by a Swing Line Lender and agreed to by the Borrowers, which shall be less than 7 days, and (b) the Revolving Facility Termination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Participation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or as a liability on the consolidated balance sheet of such Person and its Subsidiaries in accordance with GAAP.</w:t>
      </w:r>
    </w:p>
    <w:p>
      <w:pPr>
        <w:spacing w:after="0" w:line="18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means any lease (a) that is accounted for by the lessee as an Operating Lease, and (b) under which the lessee is intended to be the “owner” of the leased property for federal income tax purposes.</w:t>
      </w:r>
    </w:p>
    <w:p>
      <w:pPr>
        <w:spacing w:after="0" w:line="162"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Obligations</w:t>
      </w:r>
      <w:r>
        <w:rPr>
          <w:rFonts w:ascii="Times New Roman" w:cs="Times New Roman" w:eastAsia="Times New Roman" w:hAnsi="Times New Roman"/>
          <w:sz w:val="18"/>
          <w:szCs w:val="18"/>
          <w:color w:val="auto"/>
        </w:rPr>
        <w:t>” means, as to any person, an amount equal to the capitalized amount of the remaining lease payments under any Synthetic Lease that would appear on a balance sheet of such person in accordance with GAAP if such obligations were accounted for as Capitalized Lease Obligations.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Autocam Corporation, a Michigan corporation.</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Acquisition</w:t>
      </w:r>
      <w:r>
        <w:rPr>
          <w:rFonts w:ascii="Times New Roman" w:cs="Times New Roman" w:eastAsia="Times New Roman" w:hAnsi="Times New Roman"/>
          <w:sz w:val="18"/>
          <w:szCs w:val="18"/>
          <w:color w:val="auto"/>
        </w:rPr>
        <w:t>” means the merger of the Merger Sub with and into the Target, upon the terms and conditions set forth in the Merger Agreement, with the Target surviving the merger.</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Acquisition Documentation</w:t>
      </w:r>
      <w:r>
        <w:rPr>
          <w:rFonts w:ascii="Times New Roman" w:cs="Times New Roman" w:eastAsia="Times New Roman" w:hAnsi="Times New Roman"/>
          <w:sz w:val="18"/>
          <w:szCs w:val="18"/>
          <w:color w:val="auto"/>
        </w:rPr>
        <w:t>” means, collectively, the Merger Agreement and all schedules, exhibits and annexes thereto and all side letters and agreements affecting the terms thereof or entered into in connection therewith, in each case, as amended, supplemented or otherwise modified from time to time in accordance with the provisions of this Agreement.</w:t>
      </w:r>
    </w:p>
    <w:p>
      <w:pPr>
        <w:spacing w:after="0" w:line="176"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Audited Financial Statements</w:t>
      </w:r>
      <w:r>
        <w:rPr>
          <w:rFonts w:ascii="Times New Roman" w:cs="Times New Roman" w:eastAsia="Times New Roman" w:hAnsi="Times New Roman"/>
          <w:sz w:val="18"/>
          <w:szCs w:val="18"/>
          <w:color w:val="auto"/>
        </w:rPr>
        <w:t>” means the audited consolidated balance sheet of the Target and its Subsidiaries for the fiscal year ended December 31, 2013, and the related consolidated statements of income or operations, shareholders’ equity and cash flows for such fiscal year of the Target and its Subsidiaries, including the notes thereto.</w:t>
      </w:r>
    </w:p>
    <w:p>
      <w:pPr>
        <w:sectPr>
          <w:pgSz w:w="11900" w:h="16838" w:orient="portrait"/>
          <w:cols w:equalWidth="0" w:num="1">
            <w:col w:w="11420"/>
          </w:cols>
          <w:pgMar w:left="240" w:top="270" w:right="239" w:bottom="1440" w:gutter="0" w:footer="0" w:header="0"/>
        </w:sectPr>
      </w:pPr>
    </w:p>
    <w:bookmarkStart w:id="218" w:name="page219"/>
    <w:bookmarkEnd w:id="218"/>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(TARGET2) payment system (or, if such payment system ceases to be operative, such other payment system (if any) determined by the Foreign Collateral Agent to be a suitable replacement) is open for the settlement of payments in Euro.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Interim Financial Statements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4.01(m)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Material Adverse Effect</w:t>
      </w:r>
      <w:r>
        <w:rPr>
          <w:rFonts w:ascii="Times New Roman" w:cs="Times New Roman" w:eastAsia="Times New Roman" w:hAnsi="Times New Roman"/>
          <w:sz w:val="18"/>
          <w:szCs w:val="18"/>
          <w:color w:val="auto"/>
        </w:rPr>
        <w:t xml:space="preserve">” any event, occurrence, fact, condition, or change that is, or would reasonably be expected to be, individually or in the aggregate, materially adverse to (a) the business, results of operations, condition (financial or otherwise) or assets of the Target or its Subsidiaries on a consolidated basis, or (b) the ability of the Target to consummate the transactions contemplated by the Merger Agreement in accordance with the terms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“Target Material Adverse Effect” shall not include any event, occurrence, fact, condition or change, directly or indirectly, arising out of or attributable to: (i) general economic, financial, social or political conditions; (ii) conditions generally affecting the industries in which the Target or any of its Subsidiaries operates (including legal and regulatory changes); (iii) any changes in financial, debt, credit, banking or securities markets in general; (iv) acts of war (whether or not declared), hostilities or terrorism, political instability or other national or international calamity, crisis or emergency, or any governmental or other response to any of the foregoing, in each case whether or not involving the United States, or the escalation or worsening thereof; (v) acts of God or other natural disasters; (vi) any action required by the Merger Agreement (other than compliance with the initial paragraph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Merger Agreement)); (vii) any changes in applicable Laws or accounting rules, including GAAP, or standards, interpretations or enforcement thereof; (viii) the public announcement, pendency or completion of the transactions contemplated by the Merger Agreement; (ix) the failure to meet any projections or forecasts (but the underlying causes of such failure to meet such projections or forecasts shall be considered, unless such underlying causes would (after giving effect to the proviso below) otherwise be excluded from this definition of Target Material Adverse Effect pursuant to any of clauses (i) to (viii) and (x) hereof) and (x) any act or failure to act consented to in writing or requested by the Borrower, as buyer (and consented to by the Lead Arrangers);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any event, occurrence, fact, condition or change referred to in clauses (i) through (v) or (vii) immediately above shall be taken into account in determining whether a Target Material Adverse Effect has occurred or would reasonably be expected to occur to the extent that such event, occurrence, fact, condition or change has a disproportionate effect on the Target and its Subsidiaries compared to other participants in the industries in which the Target and its Subsidiaries conducts its businesses.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Deduction</w:t>
      </w:r>
      <w:r>
        <w:rPr>
          <w:rFonts w:ascii="Times New Roman" w:cs="Times New Roman" w:eastAsia="Times New Roman" w:hAnsi="Times New Roman"/>
          <w:sz w:val="18"/>
          <w:szCs w:val="18"/>
          <w:color w:val="auto"/>
        </w:rPr>
        <w:t>” means a deduction or withholding for or on account of Tax from a payment under a Loan Document.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Payment</w:t>
      </w:r>
      <w:r>
        <w:rPr>
          <w:rFonts w:ascii="Times New Roman" w:cs="Times New Roman" w:eastAsia="Times New Roman" w:hAnsi="Times New Roman"/>
          <w:sz w:val="18"/>
          <w:szCs w:val="18"/>
          <w:color w:val="auto"/>
        </w:rPr>
        <w:t xml:space="preserve">” means either the increase in a payment made by a Borrower to a Lender under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a payment under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Borrowing Base</w:t>
      </w:r>
      <w:r>
        <w:rPr>
          <w:rFonts w:ascii="Times New Roman" w:cs="Times New Roman" w:eastAsia="Times New Roman" w:hAnsi="Times New Roman"/>
          <w:sz w:val="18"/>
          <w:szCs w:val="18"/>
          <w:color w:val="auto"/>
        </w:rPr>
        <w:t>” means the Temporary Dutch Borrowing Base or the Temporary U.S. Borrowing Base, as applicable.</w:t>
      </w:r>
    </w:p>
    <w:p>
      <w:pPr>
        <w:sectPr>
          <w:pgSz w:w="11900" w:h="16838" w:orient="portrait"/>
          <w:cols w:equalWidth="0" w:num="1">
            <w:col w:w="11400"/>
          </w:cols>
          <w:pgMar w:left="240" w:top="270" w:right="259" w:bottom="1440" w:gutter="0" w:footer="0" w:header="0"/>
        </w:sectPr>
      </w:pPr>
    </w:p>
    <w:bookmarkStart w:id="219" w:name="page220"/>
    <w:bookmarkEnd w:id="21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Temporary Dutch Borrowing Base</w:t>
      </w:r>
      <w:r>
        <w:rPr>
          <w:rFonts w:ascii="Times New Roman" w:cs="Times New Roman" w:eastAsia="Times New Roman" w:hAnsi="Times New Roman"/>
          <w:sz w:val="18"/>
          <w:szCs w:val="18"/>
          <w:color w:val="auto"/>
        </w:rPr>
        <w:t>” means, at any time, with respect to the Dutch Borrower, an amount equal to the sum (expressed in Euros) of</w:t>
      </w:r>
    </w:p>
    <w:p>
      <w:pPr>
        <w:spacing w:after="0" w:line="223" w:lineRule="exact"/>
        <w:rPr>
          <w:sz w:val="20"/>
          <w:szCs w:val="20"/>
          <w:color w:val="auto"/>
        </w:rPr>
      </w:pPr>
    </w:p>
    <w:p>
      <w:pPr>
        <w:ind w:left="700" w:hanging="236"/>
        <w:spacing w:after="0"/>
        <w:tabs>
          <w:tab w:leader="none" w:pos="7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55% of Eligible Dutch Accounts;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 of the lower of cost or market Value (determined on a first in, first out basis in accordance with GAAP) of Eligible Dutch 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minus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Dutch Reserves, if any;</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amount of Inventory which may be included as part of the Temporary Dutch Borrowing Base is $6,000,000. The Administrative Agent or the Foreign Collateral Agent may, in its Permitted Discretion, reduce the advance rates set forth above, adjust Dutch Reserves or reduce one or more of the other elements used in computing the Temporary Dutch Borrowing Base.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U.S. Borrowing Base</w:t>
      </w:r>
      <w:r>
        <w:rPr>
          <w:rFonts w:ascii="Times New Roman" w:cs="Times New Roman" w:eastAsia="Times New Roman" w:hAnsi="Times New Roman"/>
          <w:sz w:val="18"/>
          <w:szCs w:val="18"/>
          <w:color w:val="auto"/>
        </w:rPr>
        <w:t>” means, at any time, with respect to the U.S. Borrower, an amount equal to the sum (expressed in Dollars) of</w:t>
      </w:r>
    </w:p>
    <w:p>
      <w:pPr>
        <w:spacing w:after="0" w:line="223" w:lineRule="exact"/>
        <w:rPr>
          <w:sz w:val="20"/>
          <w:szCs w:val="20"/>
          <w:color w:val="auto"/>
        </w:rPr>
      </w:pPr>
    </w:p>
    <w:p>
      <w:pPr>
        <w:ind w:left="700" w:hanging="236"/>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55% of Eligible U.S. Accounts; </w:t>
      </w:r>
      <w:r>
        <w:rPr>
          <w:rFonts w:ascii="Times New Roman" w:cs="Times New Roman" w:eastAsia="Times New Roman" w:hAnsi="Times New Roman"/>
          <w:sz w:val="18"/>
          <w:szCs w:val="18"/>
          <w:i w:val="1"/>
          <w:iCs w:val="1"/>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25% of the lower of cost or market Value (determined on a first in, first out basis in accordance with GAAP) of Eligible U.S. Inventory;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 of the lower of cost or market value (determined on a first in, first out basis in accordance with GAAP) of Eligible Spare Parts 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minus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U.S. Reserves, if any;</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amount of Inventory which may be included as part of the Temporary U.S. Borrowing Base is $34,000,000;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maximum amount of Inventory consisting of spare or replacement parts which may be included as part of the Temporary U.S. Borrowing Base is $2,500,000. The Administrative Agent may, in its Permitted Discretion, reduce the advance rates set forth above, adjust Reserves or reduce one or more of the other elements used in computing the Temporary U.S. Borrowing Base.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Agent</w:t>
      </w:r>
      <w:r>
        <w:rPr>
          <w:rFonts w:ascii="Times New Roman" w:cs="Times New Roman" w:eastAsia="Times New Roman" w:hAnsi="Times New Roman"/>
          <w:sz w:val="18"/>
          <w:szCs w:val="18"/>
          <w:color w:val="auto"/>
        </w:rPr>
        <w:t>” means Bank of America, N.A. and any successor administrative agent under the Term Loan Credit Agreement.</w:t>
      </w:r>
    </w:p>
    <w:p>
      <w:pPr>
        <w:spacing w:after="0" w:line="225"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Credit Agreement</w:t>
      </w:r>
      <w:r>
        <w:rPr>
          <w:rFonts w:ascii="Times New Roman" w:cs="Times New Roman" w:eastAsia="Times New Roman" w:hAnsi="Times New Roman"/>
          <w:sz w:val="18"/>
          <w:szCs w:val="18"/>
          <w:color w:val="auto"/>
        </w:rPr>
        <w:t>” means the Term Loan Credit Agreement, dated as of the Closing Date, by and among the Company, the Term Loan Lenders, and the Term Loan Agent, as the same may from time to time be amended, restated, amended and restated, supplemented, refinanced, replaced or otherwise modified to the extent not prohibited by the terms of the Intercreditor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Documents</w:t>
      </w:r>
      <w:r>
        <w:rPr>
          <w:rFonts w:ascii="Times New Roman" w:cs="Times New Roman" w:eastAsia="Times New Roman" w:hAnsi="Times New Roman"/>
          <w:sz w:val="18"/>
          <w:szCs w:val="18"/>
          <w:color w:val="auto"/>
        </w:rPr>
        <w:t>” means, collectively, the Term Loan Credit Agreement and each other “Loan Document” as defined therein.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Facility</w:t>
      </w:r>
      <w:r>
        <w:rPr>
          <w:rFonts w:ascii="Times New Roman" w:cs="Times New Roman" w:eastAsia="Times New Roman" w:hAnsi="Times New Roman"/>
          <w:sz w:val="18"/>
          <w:szCs w:val="18"/>
          <w:color w:val="auto"/>
        </w:rPr>
        <w:t>” means the loan facility established under the Term Loan Documents.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Lenders</w:t>
      </w:r>
      <w:r>
        <w:rPr>
          <w:rFonts w:ascii="Times New Roman" w:cs="Times New Roman" w:eastAsia="Times New Roman" w:hAnsi="Times New Roman"/>
          <w:sz w:val="18"/>
          <w:szCs w:val="18"/>
          <w:color w:val="auto"/>
        </w:rPr>
        <w:t>” means each of the lenders from time to time a party under the Term Loan Credit Agreement.</w:t>
      </w:r>
    </w:p>
    <w:p>
      <w:pPr>
        <w:sectPr>
          <w:pgSz w:w="11900" w:h="16838" w:orient="portrait"/>
          <w:cols w:equalWidth="0" w:num="1">
            <w:col w:w="11400"/>
          </w:cols>
          <w:pgMar w:left="240" w:top="270" w:right="259"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Loan Obligations</w:t>
      </w:r>
      <w:r>
        <w:rPr>
          <w:rFonts w:ascii="Times New Roman" w:cs="Times New Roman" w:eastAsia="Times New Roman" w:hAnsi="Times New Roman"/>
          <w:sz w:val="18"/>
          <w:szCs w:val="18"/>
          <w:color w:val="auto"/>
        </w:rPr>
        <w:t>” means all “Obligations” (as defined in the Term Loan Credit Agreement as in effect on the Closing Date).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the loans made pursuant to the Term Loan Credit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Priority Collateral</w:t>
      </w:r>
      <w:r>
        <w:rPr>
          <w:rFonts w:ascii="Times New Roman" w:cs="Times New Roman" w:eastAsia="Times New Roman" w:hAnsi="Times New Roman"/>
          <w:sz w:val="18"/>
          <w:szCs w:val="18"/>
          <w:color w:val="auto"/>
        </w:rPr>
        <w:t>” has the meaning provided in the Intercreditor Agreement.</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 Period</w:t>
      </w:r>
      <w:r>
        <w:rPr>
          <w:rFonts w:ascii="Times New Roman" w:cs="Times New Roman" w:eastAsia="Times New Roman" w:hAnsi="Times New Roman"/>
          <w:sz w:val="18"/>
          <w:szCs w:val="18"/>
          <w:color w:val="auto"/>
        </w:rPr>
        <w:t xml:space="preserve">” means a single period consisting of the four consecutive fiscal quarters of the Company then last ended (whether or not such quarters are all within the same fiscal year),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a particular provision of this Agreement indicates that a Testing Period shall be of a different specified duration, such Testing Period shall consist of the particular fiscal quarter or quarters then last ended that are so indicated in such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Facility Amount</w:t>
      </w:r>
      <w:r>
        <w:rPr>
          <w:rFonts w:ascii="Times New Roman" w:cs="Times New Roman" w:eastAsia="Times New Roman" w:hAnsi="Times New Roman"/>
          <w:sz w:val="18"/>
          <w:szCs w:val="18"/>
          <w:color w:val="auto"/>
        </w:rPr>
        <w:t>” means the Total Dutch Credit Facility Amount and the Total U.S. Credit Facility Amount.</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Dutch Credit Facility Amount</w:t>
      </w:r>
      <w:r>
        <w:rPr>
          <w:rFonts w:ascii="Times New Roman" w:cs="Times New Roman" w:eastAsia="Times New Roman" w:hAnsi="Times New Roman"/>
          <w:sz w:val="18"/>
          <w:szCs w:val="18"/>
          <w:color w:val="auto"/>
        </w:rPr>
        <w:t>” means the Total Dutch Revolving Commitment. As of the Closing Date, the amount of the Total Dutch Credit Facility Amount is $15,000,000.</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Dutch Revolving Commitment</w:t>
      </w:r>
      <w:r>
        <w:rPr>
          <w:rFonts w:ascii="Times New Roman" w:cs="Times New Roman" w:eastAsia="Times New Roman" w:hAnsi="Times New Roman"/>
          <w:sz w:val="18"/>
          <w:szCs w:val="18"/>
          <w:color w:val="auto"/>
        </w:rPr>
        <w:t xml:space="preserve">” means the sum of the Dutch Revolving Commitments of the Lenders as the same may be decreased pursuant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hereof or increased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hereof. As of the Closing Date, the amount of the Total Dutch Revolving Commitment is $15,000,000.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w:t>
      </w:r>
      <w:r>
        <w:rPr>
          <w:rFonts w:ascii="Times New Roman" w:cs="Times New Roman" w:eastAsia="Times New Roman" w:hAnsi="Times New Roman"/>
          <w:sz w:val="18"/>
          <w:szCs w:val="18"/>
          <w:color w:val="auto"/>
        </w:rPr>
        <w:t>” means the Total Dutch Revolving Commitment and the Total U.S. Revolving Commitment.</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U.S. Credit Facility Amount</w:t>
      </w:r>
      <w:r>
        <w:rPr>
          <w:rFonts w:ascii="Times New Roman" w:cs="Times New Roman" w:eastAsia="Times New Roman" w:hAnsi="Times New Roman"/>
          <w:sz w:val="18"/>
          <w:szCs w:val="18"/>
          <w:color w:val="auto"/>
        </w:rPr>
        <w:t>” means the Total U.S. Revolving Commitment. As of the Closing Date, the amount of the U.S. Credit Facility Amount is $85,000,000.</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U.S. Revolving Commitment</w:t>
      </w:r>
      <w:r>
        <w:rPr>
          <w:rFonts w:ascii="Times New Roman" w:cs="Times New Roman" w:eastAsia="Times New Roman" w:hAnsi="Times New Roman"/>
          <w:sz w:val="18"/>
          <w:szCs w:val="18"/>
          <w:color w:val="auto"/>
        </w:rPr>
        <w:t xml:space="preserve">” means the sum of the U.S. Revolving Commitments of the Lenders as the same may be decreased pursuant to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 xml:space="preserve"> hereof or increased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hereof. As of the Closing Date, the amount of the Total U.S. Revolving Commitment is $85,000,000.</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means all customary and reasonable transaction fees, charges and other similar amounts related to the Transactions or any Acquisitions completed during the term of this Agreement in accordance with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(including, without limitation, any financing fees, merger and acquisition fees, legal fees and expenses, due diligence fees or any other fees and expenses in connection therewith), in each case to the extent paid within six (6) months of the Closing Date or the closing date of such Acquisition, as applicable.</w:t>
      </w:r>
    </w:p>
    <w:p>
      <w:pPr>
        <w:spacing w:after="0" w:line="180"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the Loan Documents, the Target Acquisition Documentation, the Term Loan Documents and the Subordinated Debt Documents, and includes all schedules, exhibits and annexes thereto and all side letters and agreements affecting the terms thereof or entered into in connection therewith.</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consummation of the Closing Date Equity Contribution, (b) the consummation of the merger under and pursuant to the Merger Agreement, (c) the closing of the term loan facility under the Term Loan Documents, (d) the entering into by the Credit Parties and their applicable Subsidiaries of the Loan Documents to which they are or are intended to be a party, (e) the refinancing of the Existing Indebtedness and the termination of all commitments with respect thereto, (f) the other transactions contemplated by the Transaction Documents, and (g) the payment of the fees and expenses incurred in connection with the consummation of the foregoing.</w:t>
      </w:r>
    </w:p>
    <w:p>
      <w:pPr>
        <w:sectPr>
          <w:pgSz w:w="11900" w:h="16838" w:orient="portrait"/>
          <w:cols w:equalWidth="0" w:num="1">
            <w:col w:w="11360"/>
          </w:cols>
          <w:pgMar w:left="240" w:top="270" w:right="299" w:bottom="1440" w:gutter="0" w:footer="0" w:header="0"/>
        </w:sectPr>
      </w:pPr>
    </w:p>
    <w:bookmarkStart w:id="221" w:name="page222"/>
    <w:bookmarkEnd w:id="221"/>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any type of Loan determined with respect to the interest option and currency denomination applicable thereto, which in each case shall be a Base Rate Loan or a LIBOR Loan.</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Unless otherwise specified, the UCC shall refer to the UCC as in effect in the State of New York.</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each means United States of America.</w:t>
      </w:r>
    </w:p>
    <w:p>
      <w:pPr>
        <w:spacing w:after="0" w:line="22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Drawing</w:t>
      </w:r>
      <w:r>
        <w:rPr>
          <w:rFonts w:ascii="Times New Roman" w:cs="Times New Roman" w:eastAsia="Times New Roman" w:hAnsi="Times New Roman"/>
          <w:sz w:val="18"/>
          <w:szCs w:val="18"/>
          <w:color w:val="auto"/>
        </w:rPr>
        <w:t xml:space="preserve">” means, with respect to any Letter of Credit, the aggregate Dollar (or Dollar Equivalent Amount) amount of the draws made on such Letter of Credit that have not been reimbursed by the Company or the applicable LC Obligor or converted to a Revolving Loan pursuant to </w:t>
      </w:r>
      <w:r>
        <w:rPr>
          <w:rFonts w:ascii="Times New Roman" w:cs="Times New Roman" w:eastAsia="Times New Roman" w:hAnsi="Times New Roman"/>
          <w:sz w:val="18"/>
          <w:szCs w:val="18"/>
          <w:u w:val="single" w:color="auto"/>
          <w:color w:val="auto"/>
        </w:rPr>
        <w:t>Section 2.05(g)(i)</w:t>
      </w:r>
      <w:r>
        <w:rPr>
          <w:rFonts w:ascii="Times New Roman" w:cs="Times New Roman" w:eastAsia="Times New Roman" w:hAnsi="Times New Roman"/>
          <w:sz w:val="18"/>
          <w:szCs w:val="18"/>
          <w:color w:val="auto"/>
        </w:rPr>
        <w:t>, and, in each case, all interest that accrues thereon pursuant to this Agreement.</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Commitment</w:t>
      </w:r>
      <w:r>
        <w:rPr>
          <w:rFonts w:ascii="Times New Roman" w:cs="Times New Roman" w:eastAsia="Times New Roman" w:hAnsi="Times New Roman"/>
          <w:sz w:val="18"/>
          <w:szCs w:val="18"/>
          <w:color w:val="auto"/>
        </w:rPr>
        <w:t>” means, for any Lender at any time, the excess of (a) such Lender’s Revolving Commitment at such time over (b) such Lender’s Credit Facility Exposure at such time.</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Total Commitment</w:t>
      </w:r>
      <w:r>
        <w:rPr>
          <w:rFonts w:ascii="Times New Roman" w:cs="Times New Roman" w:eastAsia="Times New Roman" w:hAnsi="Times New Roman"/>
          <w:sz w:val="18"/>
          <w:szCs w:val="18"/>
          <w:color w:val="auto"/>
        </w:rPr>
        <w:t>” means, at any time, the excess of (a) the Total Credit Facility Amount at such time over (b) the Aggregate Credit Facility Exposure at such time.</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Total Dutch Commitment</w:t>
      </w:r>
      <w:r>
        <w:rPr>
          <w:rFonts w:ascii="Times New Roman" w:cs="Times New Roman" w:eastAsia="Times New Roman" w:hAnsi="Times New Roman"/>
          <w:sz w:val="18"/>
          <w:szCs w:val="18"/>
          <w:color w:val="auto"/>
        </w:rPr>
        <w:t>” means, at any time, the excess of (a) the Total Dutch Credit Facility Amount at such time over (b) the Aggregate Dutch Credit Facility Exposure at such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Total U.S. Commitment</w:t>
      </w:r>
      <w:r>
        <w:rPr>
          <w:rFonts w:ascii="Times New Roman" w:cs="Times New Roman" w:eastAsia="Times New Roman" w:hAnsi="Times New Roman"/>
          <w:sz w:val="18"/>
          <w:szCs w:val="18"/>
          <w:color w:val="auto"/>
        </w:rPr>
        <w:t>” means, at any time, the excess of (a) the Total U.S. Credit Facility Amount at such time over (b) the Aggregate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Exposure at such time.</w:t>
      </w:r>
    </w:p>
    <w:p>
      <w:pPr>
        <w:spacing w:after="0" w:line="20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Agent Advance Exposure</w:t>
      </w:r>
      <w:r>
        <w:rPr>
          <w:rFonts w:ascii="Times New Roman" w:cs="Times New Roman" w:eastAsia="Times New Roman" w:hAnsi="Times New Roman"/>
          <w:sz w:val="18"/>
          <w:szCs w:val="18"/>
          <w:color w:val="auto"/>
        </w:rPr>
        <w:t>” means, at any time, the aggregate principal amount of all Agent Advances made by the Administrative Agent outstanding. The U.S. Agent Advance Exposure of any U.S. Lender at any time shall be its U.S. Revolving Facility Percentage of the aggregate U.S. Agent Advance Exposure.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Availability</w:t>
      </w:r>
      <w:r>
        <w:rPr>
          <w:rFonts w:ascii="Times New Roman" w:cs="Times New Roman" w:eastAsia="Times New Roman" w:hAnsi="Times New Roman"/>
          <w:sz w:val="18"/>
          <w:szCs w:val="18"/>
          <w:color w:val="auto"/>
        </w:rPr>
        <w:t>” means, at any time, an amount equal to (a) the lesser of (i) the then Total U.S. Credit Facility Amount and (ii) the then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then Aggregate U.S. Credit Facility Exposure.</w:t>
      </w:r>
    </w:p>
    <w:p>
      <w:pPr>
        <w:spacing w:after="0" w:line="20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Average Daily Availability</w:t>
      </w:r>
      <w:r>
        <w:rPr>
          <w:rFonts w:ascii="Times New Roman" w:cs="Times New Roman" w:eastAsia="Times New Roman" w:hAnsi="Times New Roman"/>
          <w:sz w:val="18"/>
          <w:szCs w:val="18"/>
          <w:color w:val="auto"/>
        </w:rPr>
        <w:t>” means, as of the end of any period, the average of the U.S. Availability for each of the Business Days of such period, as determined with reference to the Borrowing Base Certificates applicable to such period and the daily U.S. Revolving Borrowings and U.S. LC Outstandings for such period.</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Banking Services Agreements</w:t>
      </w:r>
      <w:r>
        <w:rPr>
          <w:rFonts w:ascii="Times New Roman" w:cs="Times New Roman" w:eastAsia="Times New Roman" w:hAnsi="Times New Roman"/>
          <w:sz w:val="18"/>
          <w:szCs w:val="18"/>
          <w:color w:val="auto"/>
        </w:rPr>
        <w:t>” means commercial credit cards (including, without limitation, credit or debit cards for commercial customers and purchasing cards), stored value cards, or treasury and cash management services (including controlled disbursement, automated clearinghouse transactions, return items, e-payables, overdrafts, netting and interstate depository network services) provided by any U.S. Lender (or any of its Affiliates)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Banking Services Provider</w:t>
      </w:r>
      <w:r>
        <w:rPr>
          <w:rFonts w:ascii="Times New Roman" w:cs="Times New Roman" w:eastAsia="Times New Roman" w:hAnsi="Times New Roman"/>
          <w:sz w:val="18"/>
          <w:szCs w:val="18"/>
          <w:color w:val="auto"/>
        </w:rPr>
        <w:t>”) to any U.S. Credit Party.</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Banking Services Obligations</w:t>
      </w:r>
      <w:r>
        <w:rPr>
          <w:rFonts w:ascii="Times New Roman" w:cs="Times New Roman" w:eastAsia="Times New Roman" w:hAnsi="Times New Roman"/>
          <w:sz w:val="18"/>
          <w:szCs w:val="18"/>
          <w:color w:val="auto"/>
        </w:rPr>
        <w:t>” means all obligations of the U.S. Credit Parties, whether absolute or contingent, and howsoever and whensoever created, arising, evidenced or acquired in connection with U.S. Banking Services Agreements.</w:t>
      </w:r>
    </w:p>
    <w:p>
      <w:pPr>
        <w:sectPr>
          <w:pgSz w:w="11900" w:h="16838" w:orient="portrait"/>
          <w:cols w:equalWidth="0" w:num="1">
            <w:col w:w="11380"/>
          </w:cols>
          <w:pgMar w:left="240" w:top="270" w:right="279" w:bottom="1440" w:gutter="0" w:footer="0" w:header="0"/>
        </w:sectPr>
      </w:pPr>
    </w:p>
    <w:bookmarkStart w:id="222" w:name="page223"/>
    <w:bookmarkEnd w:id="222"/>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Banking Services Reserves</w:t>
      </w:r>
      <w:r>
        <w:rPr>
          <w:rFonts w:ascii="Times New Roman" w:cs="Times New Roman" w:eastAsia="Times New Roman" w:hAnsi="Times New Roman"/>
          <w:sz w:val="18"/>
          <w:szCs w:val="18"/>
          <w:color w:val="auto"/>
        </w:rPr>
        <w:t>” means all U.S. Reserves which the Administrative Agent from time to time establishes in its Permitted Discretion in respect of U.S. Banking Service Obligations.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means NN, Inc., a Delaware corporation.</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Borrowing Base</w:t>
      </w:r>
      <w:r>
        <w:rPr>
          <w:rFonts w:ascii="Times New Roman" w:cs="Times New Roman" w:eastAsia="Times New Roman" w:hAnsi="Times New Roman"/>
          <w:sz w:val="18"/>
          <w:szCs w:val="18"/>
          <w:color w:val="auto"/>
        </w:rPr>
        <w:t>” means (a) from the Closing Date to the earlier to occur of (i) 65 days after the Closing Date and (ii) the date on which the Conditions to Regular Borrowing Base are satisfied, the Temporary U.S. Borrowing Base and (b) from and after the date on which the Conditions to Regular Borrowing Base are satisfied, the Regular U.S. Borrowing Base. For the avoidance of doubt, the Administrative Agent may begin inputting into its systems U.S. Collateral Information as such U.S. Collateral Information becomes available to the Administrative Agent, whether from the applicable Collateral Reports or otherwise. As such U.S. Collateral Information is inputted, (1) the advance rates with respect to the Eligible U.S. Accounts as to which such inputted U.S. Collateral Information relates shall change to those indicated in the Regular U.S. Borrowing Base and (2) only if an Appraisal on such Eligible U.S. Inventory has been completed, the advance rates with respect to the Eligible U.S. Inventory as to which such inputted U.S. Collateral Information relates shall change to those indicated in the Regular U.S. Borrowing Base. To the extent no U.S. Collateral Information exists with respect to particular categories of Eligible U.S. Receivables or Eligible U.S. Inventory, the advance rates with respect thereto shall remain those set forth in the Temporary U.S. Borrowing Base until such information is available and inputted. If after the expiration of the 65 day period referred to in clause (a), the Conditions to Regular Borrowing Base shall not have been fully satisfied, (y) the Temporary U.S. Borrowing Base shall cease to be in place hereunder with respect to particular categories of Eligible U.S. Receivables or Eligible U.S. Inventory to the extent a Field Examination and an Appraisal with respect thereto have not been completed on or prior to the end of such 65 day period and (z) the Regular U.S. Borrowing Base shall be deemed to be implemented to the extent of and only with respect to Eligible U.S. Receivables and Eligible U.S. Inventory to the extent a Field Examination and an Appraisal with respect thereto have been completed on or prior to the end of such 65 day period (a “</w:t>
      </w:r>
      <w:r>
        <w:rPr>
          <w:rFonts w:ascii="Times New Roman" w:cs="Times New Roman" w:eastAsia="Times New Roman" w:hAnsi="Times New Roman"/>
          <w:sz w:val="18"/>
          <w:szCs w:val="18"/>
          <w:u w:val="single" w:color="auto"/>
          <w:color w:val="auto"/>
        </w:rPr>
        <w:t>U.S. Borrowing Base Extension</w:t>
      </w:r>
      <w:r>
        <w:rPr>
          <w:rFonts w:ascii="Times New Roman" w:cs="Times New Roman" w:eastAsia="Times New Roman" w:hAnsi="Times New Roman"/>
          <w:sz w:val="18"/>
          <w:szCs w:val="18"/>
          <w:color w:val="auto"/>
        </w:rPr>
        <w:t>”). For the avoidance of doubt, as additional U.S. Collateral Information is inputted following the expiration of the 65 day period, the advance rates with respect to the Eligible U.S. Accounts and the Eligible U.S. Inventory (only if an Appraisal has been completed for such Eligible U.S. Inventory) as to which such inputted U.S. Collateral Information relates shall change to those indicated in the Regular U.S. Borrowing Base.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Borrowing Base Extension</w:t>
      </w:r>
      <w:r>
        <w:rPr>
          <w:rFonts w:ascii="Times New Roman" w:cs="Times New Roman" w:eastAsia="Times New Roman" w:hAnsi="Times New Roman"/>
          <w:sz w:val="18"/>
          <w:szCs w:val="18"/>
          <w:color w:val="auto"/>
        </w:rPr>
        <w:t>” has the meaning provided in the definition of “U.S. Borrowing Base.”</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Cash Dominion Period</w:t>
      </w:r>
      <w:r>
        <w:rPr>
          <w:rFonts w:ascii="Times New Roman" w:cs="Times New Roman" w:eastAsia="Times New Roman" w:hAnsi="Times New Roman"/>
          <w:sz w:val="18"/>
          <w:szCs w:val="18"/>
          <w:color w:val="auto"/>
        </w:rPr>
        <w:t xml:space="preserve">” means the period from the date that U.S. Availability shall have been less than the U.S. Liquidity Threshold;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such time U.S. Availability has been greater than the U.S. Liquidity Cure Threshold for thirty consecutive calendar days, the U.S. Cash Dominion Period shall cease to exist;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U.S. Cash Dominion Period is subject to reinstatement after the discontinuance thereof in the event that after such discontinuance, U.S. Availability shall have been less than the U.S. Liquidity Threshold;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after (a) U.S. Availability is less than the U.S. Liquidity Threshold for the fifth time or (b) Dutch Availability is less than the Dutch Liquidity Threshold for the fifth time, the U.S. Cash Dominion Period shall remain in place until the Revolving Facility Termination Date.</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Collateral Information</w:t>
      </w:r>
      <w:r>
        <w:rPr>
          <w:rFonts w:ascii="Times New Roman" w:cs="Times New Roman" w:eastAsia="Times New Roman" w:hAnsi="Times New Roman"/>
          <w:sz w:val="18"/>
          <w:szCs w:val="18"/>
          <w:color w:val="auto"/>
        </w:rPr>
        <w:t>” means information with respect to, as applicable, Eligible U.S. Accounts, Eligible U.S. Inventory, NOLV Percentage and Value necessary for the implementation of the Regular U.S. Borrowing Base.</w:t>
      </w:r>
    </w:p>
    <w:p>
      <w:pPr>
        <w:sectPr>
          <w:pgSz w:w="11900" w:h="16838" w:orient="portrait"/>
          <w:cols w:equalWidth="0" w:num="1">
            <w:col w:w="11420"/>
          </w:cols>
          <w:pgMar w:left="240" w:top="270" w:right="239"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Commitment Fees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Credit Facility</w:t>
      </w:r>
      <w:r>
        <w:rPr>
          <w:rFonts w:ascii="Times New Roman" w:cs="Times New Roman" w:eastAsia="Times New Roman" w:hAnsi="Times New Roman"/>
          <w:sz w:val="18"/>
          <w:szCs w:val="18"/>
          <w:color w:val="auto"/>
        </w:rPr>
        <w:t>” means the credit facility established under this Agreement pursuant to which (a) the U.S. Lenders shall make U.S. Revolving Loans to the U.S. Borrower, and shall participate in U.S. LC Issuances, under the U.S. Revolving Facility pursuant to the U.S. Revolving Commitment of each such U.S. Lender, (b) the U.S. Swing Line Lender shall make U.S. Swing Loans to the U.S. Borrower under the U.S. Swing Line Facility pursuant to the U.S. Swing Line Commitment, and (c) each U.S. LC Issuer shall issue U.S. Letters of Credit for the account of the U.S. LC Obligors in accordance with the terms of this Agreement.</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Credit Facility Exposure</w:t>
      </w:r>
      <w:r>
        <w:rPr>
          <w:rFonts w:ascii="Times New Roman" w:cs="Times New Roman" w:eastAsia="Times New Roman" w:hAnsi="Times New Roman"/>
          <w:sz w:val="18"/>
          <w:szCs w:val="18"/>
          <w:color w:val="auto"/>
        </w:rPr>
        <w:t>” means, for any U.S. Lender at any time, the sum of (a) the principal amount of U.S. Revolving Loans made by such U.S. Lender and outstanding at such time, (b) such U.S. Lender’s U.S. Swing Line Exposure at such time, (c) such U.S. Lender’s U.S. Overadvance Exposure at such time, (d) such U.S. Lender’s U.S. LC Exposure at such time, and (e) such U.S. Lender’s U.S. Agent Advance Exposure at such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Credit Parties</w:t>
      </w:r>
      <w:r>
        <w:rPr>
          <w:rFonts w:ascii="Times New Roman" w:cs="Times New Roman" w:eastAsia="Times New Roman" w:hAnsi="Times New Roman"/>
          <w:sz w:val="18"/>
          <w:szCs w:val="18"/>
          <w:color w:val="auto"/>
        </w:rPr>
        <w:t>” means, collectively, the U.S. Borrower and the U.S. Guarantors and “</w:t>
      </w:r>
      <w:r>
        <w:rPr>
          <w:rFonts w:ascii="Times New Roman" w:cs="Times New Roman" w:eastAsia="Times New Roman" w:hAnsi="Times New Roman"/>
          <w:sz w:val="18"/>
          <w:szCs w:val="18"/>
          <w:u w:val="single" w:color="auto"/>
          <w:color w:val="auto"/>
        </w:rPr>
        <w:t>U.S. Credit Party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jc w:val="both"/>
        <w:ind w:right="2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Guarantors</w:t>
      </w:r>
      <w:r>
        <w:rPr>
          <w:rFonts w:ascii="Times New Roman" w:cs="Times New Roman" w:eastAsia="Times New Roman" w:hAnsi="Times New Roman"/>
          <w:sz w:val="18"/>
          <w:szCs w:val="18"/>
          <w:color w:val="auto"/>
        </w:rPr>
        <w:t xml:space="preserve">” means the Domestic Subsidiaries which have executed a Guaranty in respect of the U.S. Obligations.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lists each U.S. Guarantor as of the Closing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means each Lender that has issued a U.S. Revolving Commitment.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Collateral Account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2.05(j)(i)</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Commitment</w:t>
      </w:r>
      <w:r>
        <w:rPr>
          <w:rFonts w:ascii="Times New Roman" w:cs="Times New Roman" w:eastAsia="Times New Roman" w:hAnsi="Times New Roman"/>
          <w:sz w:val="18"/>
          <w:szCs w:val="18"/>
          <w:color w:val="auto"/>
        </w:rPr>
        <w:t xml:space="preserve">” means, with respect to each U.S. Lender, the amount set forth opposite such U.S. Lender’s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as its “U.S. LC Commitment” or in the case of any U.S. Lender that becomes a party hereto pursuant to an Assignment Agreement, the amount set forth in such Assignment Agreement, as such commitment may be reduced or increased from time to time pursuant to (a)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2.17, respectively, and (b) assignments by or to such U.S. Lender pursuant to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-173355</wp:posOffset>
            </wp:positionV>
            <wp:extent cx="2286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Commitment Amount</w:t>
      </w:r>
      <w:r>
        <w:rPr>
          <w:rFonts w:ascii="Times New Roman" w:cs="Times New Roman" w:eastAsia="Times New Roman" w:hAnsi="Times New Roman"/>
          <w:sz w:val="18"/>
          <w:szCs w:val="18"/>
          <w:color w:val="auto"/>
        </w:rPr>
        <w:t>” means $5,000,000.</w:t>
      </w:r>
    </w:p>
    <w:p>
      <w:pPr>
        <w:spacing w:after="0" w:line="225"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Documents</w:t>
      </w:r>
      <w:r>
        <w:rPr>
          <w:rFonts w:ascii="Times New Roman" w:cs="Times New Roman" w:eastAsia="Times New Roman" w:hAnsi="Times New Roman"/>
          <w:sz w:val="18"/>
          <w:szCs w:val="18"/>
          <w:color w:val="auto"/>
        </w:rPr>
        <w:t>” means, with respect to any U.S. Letter of Credit, any documents executed in connection with such U.S. Letter of Credit, including the U.S. Letter of Credit itself.</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Exposure</w:t>
      </w:r>
      <w:r>
        <w:rPr>
          <w:rFonts w:ascii="Times New Roman" w:cs="Times New Roman" w:eastAsia="Times New Roman" w:hAnsi="Times New Roman"/>
          <w:sz w:val="18"/>
          <w:szCs w:val="18"/>
          <w:color w:val="auto"/>
        </w:rPr>
        <w:t>” means for any U.S. Lender at any time, such Lender’s U.S. Revolving Facility Percentage of the U.S. LC Outstandings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Fee</w:t>
      </w:r>
      <w:r>
        <w:rPr>
          <w:rFonts w:ascii="Times New Roman" w:cs="Times New Roman" w:eastAsia="Times New Roman" w:hAnsi="Times New Roman"/>
          <w:sz w:val="18"/>
          <w:szCs w:val="18"/>
          <w:color w:val="auto"/>
        </w:rPr>
        <w:t xml:space="preserve">” means any of the fees payable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in respect of U.S. Letters of Credit.</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Issuance</w:t>
      </w:r>
      <w:r>
        <w:rPr>
          <w:rFonts w:ascii="Times New Roman" w:cs="Times New Roman" w:eastAsia="Times New Roman" w:hAnsi="Times New Roman"/>
          <w:sz w:val="18"/>
          <w:szCs w:val="18"/>
          <w:color w:val="auto"/>
        </w:rPr>
        <w:t>” means the issuance of any U.S. Letter of Credit by any U.S. LC Issuer for the account of an U.S. LC Obligor in accordance with the terms of this Agreement, and shall include any amendment thereto that increases the Stated Amount thereof or extends the expiry date of such U.S. Letter of Credit.</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Issuer</w:t>
      </w:r>
      <w:r>
        <w:rPr>
          <w:rFonts w:ascii="Times New Roman" w:cs="Times New Roman" w:eastAsia="Times New Roman" w:hAnsi="Times New Roman"/>
          <w:sz w:val="18"/>
          <w:szCs w:val="18"/>
          <w:color w:val="auto"/>
        </w:rPr>
        <w:t>” means KeyBank National Association or any of its Affiliates, or such other Lender that is requested by the Company and agrees to be a U.S. LC Issuer hereunder and is approved by the Administrative Agent.</w:t>
      </w:r>
    </w:p>
    <w:p>
      <w:pPr>
        <w:sectPr>
          <w:pgSz w:w="11900" w:h="16838" w:orient="portrait"/>
          <w:cols w:equalWidth="0" w:num="1">
            <w:col w:w="11380"/>
          </w:cols>
          <w:pgMar w:left="240" w:top="270" w:right="279"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LC Loan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2.05(f)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Obligor</w:t>
      </w:r>
      <w:r>
        <w:rPr>
          <w:rFonts w:ascii="Times New Roman" w:cs="Times New Roman" w:eastAsia="Times New Roman" w:hAnsi="Times New Roman"/>
          <w:sz w:val="18"/>
          <w:szCs w:val="18"/>
          <w:color w:val="auto"/>
        </w:rPr>
        <w:t>” means, with respect to each U.S. LC Issuance, the U.S. Borrower or the U.S. Guarantor for whose account such U.S. Letter of Credit is issued.</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Outstandings</w:t>
      </w:r>
      <w:r>
        <w:rPr>
          <w:rFonts w:ascii="Times New Roman" w:cs="Times New Roman" w:eastAsia="Times New Roman" w:hAnsi="Times New Roman"/>
          <w:sz w:val="18"/>
          <w:szCs w:val="18"/>
          <w:color w:val="auto"/>
        </w:rPr>
        <w:t>” means, at any time, the sum, without duplication, of (a) the aggregate Stated Amount of all outstanding U.S. Letters of Credit and (b) the aggregate amount of all Unpaid Drawings with respect to U.S. Letters of Credit.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Participant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Participation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LC Request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Letter of Credit</w:t>
      </w:r>
      <w:r>
        <w:rPr>
          <w:rFonts w:ascii="Times New Roman" w:cs="Times New Roman" w:eastAsia="Times New Roman" w:hAnsi="Times New Roman"/>
          <w:sz w:val="18"/>
          <w:szCs w:val="18"/>
          <w:color w:val="auto"/>
        </w:rPr>
        <w:t xml:space="preserve">” means any Standby Letter of Credit or Commercial Letter of Credit, in each case issued by any U.S. LC Issuer under this Agreement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for the account of any U.S. LC Obligor.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Liquidity Cure Threshold</w:t>
      </w:r>
      <w:r>
        <w:rPr>
          <w:rFonts w:ascii="Times New Roman" w:cs="Times New Roman" w:eastAsia="Times New Roman" w:hAnsi="Times New Roman"/>
          <w:sz w:val="18"/>
          <w:szCs w:val="18"/>
          <w:color w:val="auto"/>
        </w:rPr>
        <w:t>” means, at any time, the greater of, (a) 12.5% of the then U.S. Borrowing Base and (b) 12.5% of the then Total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Amount.</w:t>
      </w:r>
    </w:p>
    <w:p>
      <w:pPr>
        <w:spacing w:after="0" w:line="207"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Liquidity Threshold</w:t>
      </w:r>
      <w:r>
        <w:rPr>
          <w:rFonts w:ascii="Times New Roman" w:cs="Times New Roman" w:eastAsia="Times New Roman" w:hAnsi="Times New Roman"/>
          <w:sz w:val="18"/>
          <w:szCs w:val="18"/>
          <w:color w:val="auto"/>
        </w:rPr>
        <w:t>” means, at any time, the greater of, (a) $6,800,000 and (b) the lesser of (i) 10.0% of the then U.S. Borrowing Base and (ii) 10.0% of the then Total U.S. Credit Facility Amount.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Obligations</w:t>
      </w:r>
      <w:r>
        <w:rPr>
          <w:rFonts w:ascii="Times New Roman" w:cs="Times New Roman" w:eastAsia="Times New Roman" w:hAnsi="Times New Roman"/>
          <w:sz w:val="18"/>
          <w:szCs w:val="18"/>
          <w:color w:val="auto"/>
        </w:rPr>
        <w:t>” means all Obligations of the U.S. Credit Parties.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Overadvance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Overadvance Exposure</w:t>
      </w:r>
      <w:r>
        <w:rPr>
          <w:rFonts w:ascii="Times New Roman" w:cs="Times New Roman" w:eastAsia="Times New Roman" w:hAnsi="Times New Roman"/>
          <w:sz w:val="18"/>
          <w:szCs w:val="18"/>
          <w:color w:val="auto"/>
        </w:rPr>
        <w:t>” means, at any time, the sum of the aggregate principal amount of all outstanding U.S. Overadvances.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Overadvance Exposure of any Lender at any time shall be its U.S. Revolving Facility Percentage of the aggregate U.S. Overadvance Exposure.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Reserves</w:t>
      </w:r>
      <w:r>
        <w:rPr>
          <w:rFonts w:ascii="Times New Roman" w:cs="Times New Roman" w:eastAsia="Times New Roman" w:hAnsi="Times New Roman"/>
          <w:sz w:val="18"/>
          <w:szCs w:val="18"/>
          <w:color w:val="auto"/>
        </w:rPr>
        <w:t>” means any and all reserves which the Administrative Agent deems necessary, in its Permitted Discretion, to maintain (including, without limitation, reserves for accrued and unpaid interest on the U.S. Obligations, U.S. Banking Services Reserves, volatility reserves, reserves for rent at locations leased by any U.S. Credit Party and for consignee’s, warehousemen’s and bailee’s charges, reserves for dilution of Accounts, reserves for Inventory shrinkage, reserves for customs charges and shipping charges related to any Inventory in transit, reserves for Hedging Obligations, reserves for contingent liabilities of any U.S. Credit Party, reserves for uninsured losses of any U.S. Credit Party, reserves for uninsured, underinsured, un-indemnified or under-indemnified liabilities or potential liabilities with respect to any litigation and reserves for taxes, fees, assessments, and other governmental charges) with respect to the Collateral or any U.S. Credit Party.</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Revolving Availability</w:t>
      </w:r>
      <w:r>
        <w:rPr>
          <w:rFonts w:ascii="Times New Roman" w:cs="Times New Roman" w:eastAsia="Times New Roman" w:hAnsi="Times New Roman"/>
          <w:sz w:val="18"/>
          <w:szCs w:val="18"/>
          <w:color w:val="auto"/>
        </w:rPr>
        <w:t xml:space="preserve">” means, at any time, an amount equal to (a) the lesser of (i) the then Total U.S. Revolving Commitment and (ii) the then U.S.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then Aggregate U.S. Credit Facility Exposure.</w:t>
      </w:r>
    </w:p>
    <w:p>
      <w:pPr>
        <w:sectPr>
          <w:pgSz w:w="11900" w:h="16838" w:orient="portrait"/>
          <w:cols w:equalWidth="0" w:num="1">
            <w:col w:w="11340"/>
          </w:cols>
          <w:pgMar w:left="240" w:top="270" w:right="319" w:bottom="1440" w:gutter="0" w:footer="0" w:header="0"/>
        </w:sectPr>
      </w:pPr>
    </w:p>
    <w:bookmarkStart w:id="225" w:name="page226"/>
    <w:bookmarkEnd w:id="225"/>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Revolving Borrowing</w:t>
      </w:r>
      <w:r>
        <w:rPr>
          <w:rFonts w:ascii="Times New Roman" w:cs="Times New Roman" w:eastAsia="Times New Roman" w:hAnsi="Times New Roman"/>
          <w:sz w:val="18"/>
          <w:szCs w:val="18"/>
          <w:color w:val="auto"/>
        </w:rPr>
        <w:t xml:space="preserve">” means the incurrence of U.S. Revolving Loans consisting of one Type of U.S. Revolving Loan by the Company from all of the U.S.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on a given date (or resulting from Conversions or Continuations on a given date) in the same currency, having in the case of any LIBOR Loans, the same Interest Period.</w:t>
      </w:r>
    </w:p>
    <w:p>
      <w:pPr>
        <w:spacing w:after="0" w:line="176"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Revolving Commitment</w:t>
      </w:r>
      <w:r>
        <w:rPr>
          <w:rFonts w:ascii="Times New Roman" w:cs="Times New Roman" w:eastAsia="Times New Roman" w:hAnsi="Times New Roman"/>
          <w:sz w:val="18"/>
          <w:szCs w:val="18"/>
          <w:color w:val="auto"/>
        </w:rPr>
        <w:t>” means, with respect to each Lender, the commitment, if any, of such Lender to make U.S. Revolving Loans and to acquire participations in Overadvances, U.S. Letters of Credit and U.S. Swing Loans hereunder, expressed as an amount representing the maximum possible aggregate amount of such Lender’s U.S. Credit Facility Exposure hereunder, as such commitment may be reduced or increased from time to time pursuant to</w:t>
      </w:r>
    </w:p>
    <w:p>
      <w:pPr>
        <w:spacing w:after="0" w:line="2" w:lineRule="exact"/>
        <w:rPr>
          <w:sz w:val="20"/>
          <w:szCs w:val="20"/>
          <w:color w:val="auto"/>
        </w:rPr>
      </w:pPr>
    </w:p>
    <w:p>
      <w:pPr>
        <w:ind w:right="260" w:firstLine="8"/>
        <w:spacing w:after="0" w:line="255" w:lineRule="auto"/>
        <w:tabs>
          <w:tab w:leader="none" w:pos="24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2.17, respectively, and (b) assignments by or to such Lender pursuant to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The initial amount of each Lender’s U.S. Revolving Commitment is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or in the Assignment Agreement pursuant to which such Lender shall have assumed its U.S. Revolving Commitment,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-306705</wp:posOffset>
            </wp:positionV>
            <wp:extent cx="2286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Revolving Facility</w:t>
      </w:r>
      <w:r>
        <w:rPr>
          <w:rFonts w:ascii="Times New Roman" w:cs="Times New Roman" w:eastAsia="Times New Roman" w:hAnsi="Times New Roman"/>
          <w:sz w:val="18"/>
          <w:szCs w:val="18"/>
          <w:color w:val="auto"/>
        </w:rPr>
        <w:t xml:space="preserve">” means the credit facility established under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pursuant to the U.S. Revolving Commitment of each U.S. Lender.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Revolving Facility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A-1A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Revolving Facility Percentage</w:t>
      </w:r>
      <w:r>
        <w:rPr>
          <w:rFonts w:ascii="Times New Roman" w:cs="Times New Roman" w:eastAsia="Times New Roman" w:hAnsi="Times New Roman"/>
          <w:sz w:val="18"/>
          <w:szCs w:val="18"/>
          <w:color w:val="auto"/>
        </w:rPr>
        <w:t xml:space="preserve">” means, at any time for any U.S. Lender, the percentage obtained by dividing such U.S. Lender’s U.S. Revolving Commitment by the Total U.S.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U.S. Revolving Commitments have been terminated, the U.S. Revolving Facility Percentage for each U.S. Lender shall be determined by dividing such U.S. Lender’s U.S. Revolving Commitment immediately prior to such termination by the Total U.S. Revolving Commitment immediately prior to such termination. The U.S. Revolving Facility Percentage of each U.S. Lender as of the Closing Date is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8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Revolving Loan</w:t>
      </w:r>
      <w:r>
        <w:rPr>
          <w:rFonts w:ascii="Times New Roman" w:cs="Times New Roman" w:eastAsia="Times New Roman" w:hAnsi="Times New Roman"/>
          <w:sz w:val="18"/>
          <w:szCs w:val="18"/>
          <w:color w:val="auto"/>
        </w:rPr>
        <w:t xml:space="preserve">” means, with respect to each U.S. Lender, any loan made by such U.S. Lender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Unless the context shall otherwise require, the term “U.S. Revolving Loans” shall include Incremental U.S. Revolving Loans.</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xml:space="preserve">” means the U.S. Security Agreement,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executed by the U.S. Credit Parties in favor of the Administrative Agent for the benefit of the Lenders.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Swing Line Commitment</w:t>
      </w:r>
      <w:r>
        <w:rPr>
          <w:rFonts w:ascii="Times New Roman" w:cs="Times New Roman" w:eastAsia="Times New Roman" w:hAnsi="Times New Roman"/>
          <w:sz w:val="18"/>
          <w:szCs w:val="18"/>
          <w:color w:val="auto"/>
        </w:rPr>
        <w:t>” means the commitment of the U.S. Swing Line Lender to make U.S. Swing Loans to the Company up to the aggregate amount at any time outstanding of Eight Million, Five Hundred Thousand Dollars ($8,500,000).</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Swing Line Exposure</w:t>
      </w:r>
      <w:r>
        <w:rPr>
          <w:rFonts w:ascii="Times New Roman" w:cs="Times New Roman" w:eastAsia="Times New Roman" w:hAnsi="Times New Roman"/>
          <w:sz w:val="18"/>
          <w:szCs w:val="18"/>
          <w:color w:val="auto"/>
        </w:rPr>
        <w:t>” means, at any time, the aggregate principal amount of all U.S. Swing Loans outstanding. The U.S. Swing Line Exposure of any U.S. Lender at any time shall be its U.S. Revolving Facility Percentage of the aggregate U.S. Swing Line Exposure.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Swing Line Lender</w:t>
      </w:r>
      <w:r>
        <w:rPr>
          <w:rFonts w:ascii="Times New Roman" w:cs="Times New Roman" w:eastAsia="Times New Roman" w:hAnsi="Times New Roman"/>
          <w:sz w:val="18"/>
          <w:szCs w:val="18"/>
          <w:color w:val="auto"/>
        </w:rPr>
        <w:t>” means KeyBank National Association.</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Swing Line Note</w:t>
      </w:r>
      <w:r>
        <w:rPr>
          <w:rFonts w:ascii="Times New Roman" w:cs="Times New Roman" w:eastAsia="Times New Roman" w:hAnsi="Times New Roman"/>
          <w:sz w:val="18"/>
          <w:szCs w:val="18"/>
          <w:color w:val="auto"/>
        </w:rPr>
        <w:t xml:space="preserve">” means the U.S. Swing Line Note, in the form of the attached Exhibit A-2, executed and delivered by US Borrower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hereof.</w:t>
      </w:r>
    </w:p>
    <w:p>
      <w:pPr>
        <w:sectPr>
          <w:pgSz w:w="11900" w:h="16838" w:orient="portrait"/>
          <w:cols w:equalWidth="0" w:num="1">
            <w:col w:w="11400"/>
          </w:cols>
          <w:pgMar w:left="240" w:top="270" w:right="259"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Swing Loan</w:t>
      </w:r>
      <w:r>
        <w:rPr>
          <w:rFonts w:ascii="Times New Roman" w:cs="Times New Roman" w:eastAsia="Times New Roman" w:hAnsi="Times New Roman"/>
          <w:sz w:val="18"/>
          <w:szCs w:val="18"/>
          <w:color w:val="auto"/>
        </w:rPr>
        <w:t>” means a loan that shall be denominated in Dollars granted to the U.S. Borrower by the U.S. Swing Line Lender under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Swing Line Commitment, in accordance with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hereof.</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3.03(g)(ii)(B)(iii)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(USA PATRIOT Act) Act of 2001.</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the value of Inventory determined on the basis of the lower of cost or market, calculated on a first-in, first-out basis, and excluding any portion of cost attributable to intercompany profit among Borrowers and their Affiliates.</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any value added tax imposed in compliance with the EC Council Directive of 28 November 2006 on the common system of value added tax (EC Directive 2006/112) and national legislation implementing that Directive or any predecessor to it or supplemental to that Directive, or any other tax of a similar nature, whether imposed in a member state of the European Union or imposed elsewhere.</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and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other similar governing body of such Person.</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Weekly Reporting Period</w:t>
      </w:r>
      <w:r>
        <w:rPr>
          <w:rFonts w:ascii="Times New Roman" w:cs="Times New Roman" w:eastAsia="Times New Roman" w:hAnsi="Times New Roman"/>
          <w:sz w:val="18"/>
          <w:szCs w:val="18"/>
          <w:color w:val="auto"/>
        </w:rPr>
        <w:t>” means any period (a) during the continuance of a Default or (b) during which Availability for three consecutive Business Days is less than the Aggregate Liquidity Threshold until the date on which, in the case of clause (a) such Default is cured, waived or no longer continuing, or in the case of clause (b), Availability exceeds the Aggregate Liquidity Threshold for at least 30 consecutive calendar days.</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Credit Party and the Administrative Agent.</w:t>
      </w:r>
    </w:p>
    <w:p>
      <w:pPr>
        <w:spacing w:after="0" w:line="225"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Computation of Time Periods</w:t>
      </w:r>
      <w:r>
        <w:rPr>
          <w:rFonts w:ascii="Times New Roman" w:cs="Times New Roman" w:eastAsia="Times New Roman" w:hAnsi="Times New Roman"/>
          <w:sz w:val="17"/>
          <w:szCs w:val="17"/>
          <w:color w:val="auto"/>
        </w:rPr>
        <w:t>. In this Agreement in the computation of periods of time from a specified date to a later specified date, the word “from” means “from and including,” the words “to” and “until” each means “to but excluding” and the word “through” means “through and including.”</w:t>
      </w:r>
    </w:p>
    <w:p>
      <w:pPr>
        <w:spacing w:after="0" w:line="13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Except as otherwise specifically provided herein, all terms of an accounting or financial nature shall be construed in accordance with GAAP, as in effect from time to time. Notwithstanding the foregoing, all financial statements delivered hereunder shall be prepared, and all financial covenants contained herein shall be calculated, without giving effect to any election under Statement of Financial Accounting Standards 159 (or any similar accounting principle) permitting a Person to value its financial liabilities at the fair value thereof.</w:t>
      </w:r>
    </w:p>
    <w:p>
      <w:pPr>
        <w:sectPr>
          <w:pgSz w:w="11900" w:h="16838" w:orient="portrait"/>
          <w:cols w:equalWidth="0" w:num="1">
            <w:col w:w="11420"/>
          </w:cols>
          <w:pgMar w:left="240" w:top="270" w:right="239" w:bottom="1440" w:gutter="0" w:footer="0" w:header="0"/>
        </w:sectPr>
      </w:pPr>
    </w:p>
    <w:bookmarkStart w:id="227" w:name="page228"/>
    <w:bookmarkEnd w:id="227"/>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 or in any other Loan Document),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Schedules and Exhibits shall be construed to refer to Sections of, and Schedules and Exhibits to, this Agreement, (e) the words “asset” and “property” shall be construed to have the same meaning and effect and to refer to any and all Real Property, tangible and intangible assets and properties, including cash, securities, accounts and contract rights, and interests in any of the foregoing, and (f) any reference to a statute, rule or regulation is to that statute, rule or regulation as now enacted or as the same may from time to time be amended, re-enacted or expressly replaced.</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Foreign Collateral Agent shall determine the Spot Rates as of each Revaluation Date to be used for calculating the Dollar Equivalent of the aggregate outstanding amount denominated in Euro and shall provide notice of the same to the Company. Such Spot Rates shall become effective as of such Revaluation Date and shall be the Spot Rates employed in converting any amounts between the applicable currencies until the next Revaluation Date to occur. The applicable amount of any currency for purposes of the Loan Documents shall be such Dollar Equivalent amount as so determined by the Foreign Collateral Agent. The Dutch Borrower shall report Value and other Dutch Borrowing Base components to the Foreign Collateral Agent in the currency invoiced by such Dutch Borrower or other Applicable Dutch Credit Party or shown in such Person’s financial records, and unless expressly provided otherwise, all financial statements and Borrowing Base Certificates shall be expressed in Dollars and all financial covenants shall be calculated in Dollars. Notwithstanding anything herein to the contrary, if any Obligation is funded and expressly denominated in a currency other than Dollars, Credit Parties shall repay such Obligation in such other currency.</w:t>
      </w:r>
    </w:p>
    <w:p>
      <w:pPr>
        <w:spacing w:after="0" w:line="191"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xml:space="preserve">. Notwithstanding the above, the parties hereto acknowledge and agree that, for purposes of all financial calculations, if the Company or any Subsidiary has made any Acquisition permitted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or any Disposition outside the ordinary course of business permitted by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during the relevant period for determining compliance with such covenants, such calculations shall be made after giving pro forma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ectPr>
          <w:pgSz w:w="11900" w:h="16838" w:orient="portrait"/>
          <w:cols w:equalWidth="0" w:num="1">
            <w:col w:w="11400"/>
          </w:cols>
          <w:pgMar w:left="240" w:top="270" w:right="259" w:bottom="1440" w:gutter="0" w:footer="0" w:header="0"/>
        </w:sectPr>
      </w:pPr>
    </w:p>
    <w:bookmarkStart w:id="228" w:name="page229"/>
    <w:bookmarkEnd w:id="2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TERMS OF THE CREDIT FACILITY</w:t>
      </w:r>
    </w:p>
    <w:p>
      <w:pPr>
        <w:spacing w:after="0" w:line="22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Establishment of the Credit Facility</w:t>
      </w:r>
      <w:r>
        <w:rPr>
          <w:rFonts w:ascii="Times New Roman" w:cs="Times New Roman" w:eastAsia="Times New Roman" w:hAnsi="Times New Roman"/>
          <w:sz w:val="18"/>
          <w:szCs w:val="18"/>
          <w:color w:val="auto"/>
        </w:rPr>
        <w:t xml:space="preserve">. On the Closing Date, and subject to and upon the terms and conditions set forth in this Agreement and the other Loan Documents, the Administrative Agent, the Lenders, the Swing Line Lenders and each LC Issuer agree to establish the Credit Facilities for the benefit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at no time will (a) the Aggregate Credit Facility Exposure exceed the Total Credit Facility Amount,</w:t>
      </w:r>
    </w:p>
    <w:p>
      <w:pPr>
        <w:spacing w:after="0" w:line="2" w:lineRule="exact"/>
        <w:rPr>
          <w:sz w:val="20"/>
          <w:szCs w:val="20"/>
          <w:color w:val="auto"/>
        </w:rPr>
      </w:pPr>
    </w:p>
    <w:p>
      <w:pPr>
        <w:ind w:right="20" w:firstLine="8"/>
        <w:spacing w:after="0" w:line="251" w:lineRule="auto"/>
        <w:tabs>
          <w:tab w:leader="none" w:pos="2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Dutch Credit Facility Exposure of any Dutch Lender exceed the aggregate amount of such Dutch Lender’s Dutch Revolving Commitment or (c) the U.S. Credit Facility Exposure of any U.S. Lender exceed the aggregate amount of such U.S. Lender’s U.S. Revolving Commitment. Notwithstanding anything to the contrary set forth herein or in any Loan Document, and without limiting the other conditions to funding set forth herein, in the event that the Collateral Reports shall not have been completed by the applicable Persons and received by the Administrative Agent within sixty-five (65) days after the Closing Date, thereafter no additional Loans shall be made and no additional Letters of Credit shall be issued hereunder or under any other Loan Document until such Collateral Reports shall have been completed and delivered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a Dutch Borrowing Base Extension shall have been granted, Dutch Revolving Loans shall continue to be made and Dutch Letters of Credit shall continue to be issued utilizing the Regular Dutch Borrowing Base in accordance with the provisions set forth in the definition of Dutch Borrowing Base hereunder and (y) a U.S. Borrowing Base Extension shall have been granted, U.S. Revolving Loans shall continue to be made and U.S. Letters of Credit shall continue to be issued utilizing the Regular U.S. Borrowing Base in accordance with the provisions set forth in the definition of U.S. Borrowing Base hereunder. Notwithstanding anything to the contrary set forth herein or in any Loan Document, and without limiting the other conditions to funding set forth herein, in the event that within sixty (60) days after the Closing Date (or such longer time as may be agreed by the Administrative Agent and the Foreign Collateral Agent in their Permitted Discretion), (1) the Dutch Security Documents are not executed and delivered in form and substance satisfactory to the Administrative Agent and the Foreign Collateral Agent, each in their Permitted Discretion, or (2) the Administrative Agent and the Foreign Collateral Agent do not receive opinions each deems necessary in its Permitted Discretion covering such Dutch Security Documents, the Dutch Revolving Facility and the Dutch Revolving Commitments shall terminate.</w:t>
      </w:r>
    </w:p>
    <w:p>
      <w:pPr>
        <w:spacing w:after="0" w:line="1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U.S. Revolving Loans</w:t>
      </w:r>
      <w:r>
        <w:rPr>
          <w:rFonts w:ascii="Times New Roman" w:cs="Times New Roman" w:eastAsia="Times New Roman" w:hAnsi="Times New Roman"/>
          <w:sz w:val="18"/>
          <w:szCs w:val="18"/>
          <w:color w:val="auto"/>
        </w:rPr>
        <w:t xml:space="preserve">. During the Revolving Facility Availability Period, each U.S. Lender severally, and not jointly, agrees, on the terms and conditions set forth in this Agreement, to make a U.S. Revolving Loan or U.S. Revolving Loans to the U.S. Borrower from time to time pursuant to such U.S. Lender’s U.S. Revolving Commitment, which U.S. Revolving Loans: (i) may, except as set forth herein, at the option of the U.S. Borrower, be incurred and maintained as, or Converted into, U.S. Revolving Loans that are Base Rate Loans or LIBOR Loans, in each case denominated in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U.S. Revolving Loans made as part of the same U.S. Revolving Borrowing shall consist of U.S. Revolving Loans of the same Type; (ii) may be repaid or prepaid and reborrowed in accordance with the provisions hereof; and (iii) shall not be made if, after giving effect to any such U.S. Revolving Loan, (A) the U.S. Credit Facility Exposure of any U.S. Lender would exceed such U.S. Lender’s U.S. Revolving Commitment, (B) the Aggregate U.S. Credit Facility Exposure would exceed the lesser of (1) the Total U.S. Revolving Commitment or (2) the U.S. Borrowing Base, (C) the Aggregate Credit Facility Exposure would exceed the lesser of (1) the Total Revolving Commitment or (2) the Aggregate Borrowing Base, or (D) the U.S. Borrower would be required to prepay Loans or Cash Collateralize Letters of Credit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The U.S. Revolving Loans to be made by each U.S. Lender will be made by such U.S. Lender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upon such U.S. Lender’s U.S. Revolving Facility Percentage of each U.S. Revolving Borrowing, in each case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hereof.</w:t>
      </w:r>
    </w:p>
    <w:p>
      <w:pPr>
        <w:spacing w:after="0" w:line="191" w:lineRule="exact"/>
        <w:rPr>
          <w:sz w:val="20"/>
          <w:szCs w:val="20"/>
          <w:color w:val="auto"/>
        </w:rPr>
      </w:pPr>
    </w:p>
    <w:p>
      <w:pPr>
        <w:ind w:right="200" w:firstLine="464"/>
        <w:spacing w:after="0" w:line="313" w:lineRule="auto"/>
        <w:tabs>
          <w:tab w:leader="none" w:pos="711"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Dutch Revolving Loans</w:t>
      </w:r>
      <w:r>
        <w:rPr>
          <w:rFonts w:ascii="Times New Roman" w:cs="Times New Roman" w:eastAsia="Times New Roman" w:hAnsi="Times New Roman"/>
          <w:sz w:val="17"/>
          <w:szCs w:val="17"/>
          <w:color w:val="auto"/>
        </w:rPr>
        <w:t>. During the Revolving Facility Availability Period, each Dutch Lender severally, and not jointly, agrees, on the terms and conditions set forth in this Agreement, to make a Dutch Revolving Loan or Dutch Revolving Loans to the Dutch Borrower from time to time pursuant to</w:t>
      </w:r>
    </w:p>
    <w:p>
      <w:pPr>
        <w:sectPr>
          <w:pgSz w:w="11900" w:h="16838" w:orient="portrait"/>
          <w:cols w:equalWidth="0" w:num="1">
            <w:col w:w="11400"/>
          </w:cols>
          <w:pgMar w:left="240" w:top="266" w:right="259" w:bottom="1440" w:gutter="0" w:footer="0" w:header="0"/>
        </w:sectPr>
      </w:pPr>
    </w:p>
    <w:bookmarkStart w:id="229" w:name="page230"/>
    <w:bookmarkEnd w:id="2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Dutch Lender’s Dutch Revolving Commitment, which Dutch Revolving Loans: (i) may, except as set forth herein, at the option of the Dutch Borrower, be incurred and maintained as, or Converted into, Dutch Revolving Loans that are Base Rate Loans or LIBOR Loans, in each case denominated in Euros or, at the option of the Dutch Borrower,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Dutch Revolving Loans made as part of the same Dutch Revolving Borrowing shall consist of Dutch Revolving Loans of the same Type; (ii) may be repaid or prepaid and reborrowed in accordance with the provisions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Dutch Revolving Loan shall be repaid in the same currency that such Dutch Revolving Loan was made; and (iii) shall not be made if, after giving effect to the Dollar Equivalent of any such Dutch Revolving Loan, (A) the Dutch Credit Facility Exposure of any Dutch Lender would exceed such Dutch Lender’s Dutch Revolving Commitment, (B) the Aggregate Dutch Credit Facility Exposure would exceed the lesser of (1) the Total Dutch Revolving Commitment or (2) the Dutch Borrowing Base, (C) the Aggregate Credit Facility Exposure would exceed the lesser of (1) the Total Revolving Commitment or (2) the Aggregate Borrowing Base, or (D) the Dutch Borrower would be required to prepay Loans or Cash Collateralize Letters of Credit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The Dutch Revolving Loans to be made by each Dutch Lender will be made by such Dutch Lender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upon such Dutch Lender’s Dutch Revolving Facility Percentage of each Dutch Revolving Borrowing, in each case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hereof.</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Overadvances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Overadvances.</w:t>
      </w:r>
    </w:p>
    <w:p>
      <w:pPr>
        <w:spacing w:after="0" w:line="117" w:lineRule="exact"/>
        <w:rPr>
          <w:rFonts w:ascii="Times New Roman" w:cs="Times New Roman" w:eastAsia="Times New Roman" w:hAnsi="Times New Roman"/>
          <w:sz w:val="18"/>
          <w:szCs w:val="18"/>
          <w:color w:val="auto"/>
        </w:rPr>
      </w:pPr>
    </w:p>
    <w:p>
      <w:pPr>
        <w:ind w:left="460" w:right="80" w:firstLine="443"/>
        <w:spacing w:after="0" w:line="255" w:lineRule="auto"/>
        <w:tabs>
          <w:tab w:leader="none" w:pos="1113"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to the contrary notwithstanding, at the request of the Company, the Administrative Agent may in its sole discretion (but with absolutely no obligation), make U.S. Revolving Loans to the U.S. Borrower, on behalf of the U.S. Lenders, in amounts that exceed U.S. Revolving Availability (any such excess U.S. Revolving Loans are herein referred to collectively as “</w:t>
      </w:r>
      <w:r>
        <w:rPr>
          <w:rFonts w:ascii="Times New Roman" w:cs="Times New Roman" w:eastAsia="Times New Roman" w:hAnsi="Times New Roman"/>
          <w:sz w:val="18"/>
          <w:szCs w:val="18"/>
          <w:u w:val="single" w:color="auto"/>
          <w:color w:val="auto"/>
        </w:rPr>
        <w:t>U.S. Overadvances</w:t>
      </w:r>
      <w:r>
        <w:rPr>
          <w:rFonts w:ascii="Times New Roman" w:cs="Times New Roman" w:eastAsia="Times New Roman" w:hAnsi="Times New Roman"/>
          <w:sz w:val="18"/>
          <w:szCs w:val="18"/>
          <w:color w:val="auto"/>
        </w:rPr>
        <w:t xml:space="preserve">”). In addition, U.S. Overadvances may be made even if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not been satisfied. All U.S. Overadvances shall constitute Base Rate Loans. The authority of the Administrative Agent to make U.S. Overadvances is limited to an aggregate amount not to exceed ten percent of the Total U.S. Revolving Commitment at any time, no U.S. Overadvance may remain outstanding for more than thirty days and no U.S. Overadvances shall cause any U.S. Lender’s U.S. Credit Facility Exposure to exceed its U.S. Revolving Commitment.</w:t>
      </w:r>
    </w:p>
    <w:p>
      <w:pPr>
        <w:spacing w:after="0" w:line="81" w:lineRule="exact"/>
        <w:rPr>
          <w:rFonts w:ascii="Times New Roman" w:cs="Times New Roman" w:eastAsia="Times New Roman" w:hAnsi="Times New Roman"/>
          <w:sz w:val="18"/>
          <w:szCs w:val="18"/>
          <w:color w:val="auto"/>
        </w:rPr>
      </w:pPr>
    </w:p>
    <w:p>
      <w:pPr>
        <w:ind w:left="460" w:right="80" w:firstLine="443"/>
        <w:spacing w:after="0" w:line="255" w:lineRule="auto"/>
        <w:tabs>
          <w:tab w:leader="none" w:pos="1163"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U.S. Overadvance (whether before or after the occurrence of an Event of Default), each U.S. Lender shall be deemed, without further action by any party hereto, to have unconditionally and irrevocably purchased from the Administrative Agent without recourse or warranty, an undivided interest and participation in such U.S. Overadvance equal to its U.S. Revolving Facility Percentage of such U.S. Overadvance. The Administrative Agent may, at any time, require the U.S. Lenders to fund their participations. From and after the date, if any, on which any U.S. Lender is required to fund its participation in any U.S. Overadvance purchased hereunder, the Administrative Agent shall promptly distribute to such U.S. Lender, such Lender’s U.S. Revolving Facility Percentage of all payments of principal and interest and all proceeds of U.S. Collateral received by the Administrative Agent in respect of such U.S. Overadvance.</w:t>
      </w:r>
    </w:p>
    <w:p>
      <w:pPr>
        <w:spacing w:after="0" w:line="18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Overadvances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160" w:firstLine="443"/>
        <w:spacing w:after="0" w:line="282" w:lineRule="auto"/>
        <w:tabs>
          <w:tab w:leader="none" w:pos="1113"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to the contrary notwithstanding, at the request of the Dutch Borrower, the Foreign Collateral Agent shall, if approved by the Administrative Agent and the Foreign Collateral Agent, each in its sole discretion (but with absolutely no</w:t>
      </w:r>
    </w:p>
    <w:p>
      <w:pPr>
        <w:sectPr>
          <w:pgSz w:w="11900" w:h="16838" w:orient="portrait"/>
          <w:cols w:equalWidth="0" w:num="1">
            <w:col w:w="11420"/>
          </w:cols>
          <w:pgMar w:left="240" w:top="270" w:right="239" w:bottom="1440" w:gutter="0" w:footer="0" w:header="0"/>
        </w:sectPr>
      </w:pPr>
    </w:p>
    <w:bookmarkStart w:id="230" w:name="page231"/>
    <w:bookmarkEnd w:id="230"/>
    <w:p>
      <w:pPr>
        <w:ind w:left="452"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on the part of the Administrative Agent or the Foreign Collateral Agent to grant such approval), make Dutch Revolving Loans to the Dutch Borrower, on behalf of the Dutch Lenders, in amounts that exceed Dutch Revolving Availability (any such excess Dutch Revolving Loans are herein referred to collectively as “</w:t>
      </w:r>
      <w:r>
        <w:rPr>
          <w:rFonts w:ascii="Times New Roman" w:cs="Times New Roman" w:eastAsia="Times New Roman" w:hAnsi="Times New Roman"/>
          <w:sz w:val="18"/>
          <w:szCs w:val="18"/>
          <w:u w:val="single" w:color="auto"/>
          <w:color w:val="auto"/>
        </w:rPr>
        <w:t>Dutch Overadvances</w:t>
      </w:r>
      <w:r>
        <w:rPr>
          <w:rFonts w:ascii="Times New Roman" w:cs="Times New Roman" w:eastAsia="Times New Roman" w:hAnsi="Times New Roman"/>
          <w:sz w:val="18"/>
          <w:szCs w:val="18"/>
          <w:color w:val="auto"/>
        </w:rPr>
        <w:t xml:space="preserve">”). In addition, Dutch Overadvances may be made even if the conditions precedent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have not been satisfied. All Dutch Overadvances shall constitute Base Rate Loans. The authority to make Dutch Overadvances is limited to an aggregate amount not to exceed ten percent of the Total Dutch Revolving Commitment at any time, no Dutch Overadvance may remain outstanding for more than thirty days and no Dutch Overadvances shall cause any Dutch Lender’s Dutch Credit Facility Exposure to exceed its Dutch Revolving Commitment.</w:t>
      </w:r>
    </w:p>
    <w:p>
      <w:pPr>
        <w:spacing w:after="0" w:line="81" w:lineRule="exact"/>
        <w:rPr>
          <w:sz w:val="20"/>
          <w:szCs w:val="20"/>
          <w:color w:val="auto"/>
        </w:rPr>
      </w:pPr>
    </w:p>
    <w:p>
      <w:pPr>
        <w:ind w:left="452" w:firstLine="443"/>
        <w:spacing w:after="0" w:line="255" w:lineRule="auto"/>
        <w:tabs>
          <w:tab w:leader="none" w:pos="11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Dutch Overadvance (whether before or after the occurrence of an Event of Default), each Dutch Lender shall be deemed, without further action by any party hereto, to have unconditionally and irrevocably purchased from the Foreign Collateral Agent without recourse or warranty, an undivided interest and participation in such Dutch Overadvance equal to its Dutch Revolving Facility Percentage of such Dutch Overadvance. The Foreign Collateral Agent may, at any time, require the Dutch Lenders to fund their participations. From and after the date, if any, on which any Dutch Lender is required to fund its participation in any Dutch Overadvance purchased hereunder, the Foreign Collateral Agent shall promptly distribute to such Dutch Lender, such Lender’s Dutch Revolving Facility Percentage of all payments of principal and interest and all proceeds of Dutch Collateral received by the Foreign Collateral Agent in respect of such Dutch Overadvance.</w:t>
      </w:r>
    </w:p>
    <w:p>
      <w:pPr>
        <w:spacing w:after="0" w:line="18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40" w:firstLine="464"/>
        <w:spacing w:after="0" w:line="254" w:lineRule="auto"/>
        <w:tabs>
          <w:tab w:leader="none" w:pos="69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Swing Loans</w:t>
      </w:r>
      <w:r>
        <w:rPr>
          <w:rFonts w:ascii="Times New Roman" w:cs="Times New Roman" w:eastAsia="Times New Roman" w:hAnsi="Times New Roman"/>
          <w:sz w:val="18"/>
          <w:szCs w:val="18"/>
          <w:color w:val="auto"/>
        </w:rPr>
        <w:t xml:space="preserve">. During the Revolving Facility Availability Period, the U.S. Swing Line Lender agrees, on the terms and conditions set forth in this Agreement, to make a U.S. Swing Loan or U.S. Swing Loans to the U.S. Borrower from time to time, which U.S. Swing Loans: (i) shall be payable on the Swing Loan Maturity Date applicable to each such U.S. Swing Loan; (ii) shall be made only in Dollars; (iii) may be repaid or prepaid and reborrowed in accordance with the provisions hereof; (iv) may only be made if after giving effect thereto (A) the aggregate principal amount of U.S. Swing Loans outstanding does not exceed the U.S. Swing Line Commitment, and (B) the Aggregate U.S. Credit Facility Exposure would not exceed the lesser of (1) the Total U.S. Revolving Commitment or (2) the U.S. Borrowing Base; (v) shall not be made if, after giving effect thereto, the Company would be required to prepay Loans or Cash Collateralize U.S. Letters of Credit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hereof; (vi) shall not be made if the proceeds thereof would be used to repay, in whole or in part, any outstanding U.S. Swing Loan and (vii) at no time shall there be more than 3 Borrowings of U.S. Swing Loans outstanding hereunder.</w:t>
      </w:r>
    </w:p>
    <w:p>
      <w:pPr>
        <w:spacing w:after="0" w:line="189" w:lineRule="exact"/>
        <w:rPr>
          <w:rFonts w:ascii="Times New Roman" w:cs="Times New Roman" w:eastAsia="Times New Roman" w:hAnsi="Times New Roman"/>
          <w:sz w:val="18"/>
          <w:szCs w:val="18"/>
          <w:color w:val="auto"/>
        </w:rPr>
      </w:pPr>
    </w:p>
    <w:p>
      <w:pPr>
        <w:ind w:left="-8" w:right="140" w:firstLine="464"/>
        <w:spacing w:after="0" w:line="269" w:lineRule="auto"/>
        <w:tabs>
          <w:tab w:leader="none" w:pos="703"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Dutch Swing Loans</w:t>
      </w:r>
      <w:r>
        <w:rPr>
          <w:rFonts w:ascii="Times New Roman" w:cs="Times New Roman" w:eastAsia="Times New Roman" w:hAnsi="Times New Roman"/>
          <w:sz w:val="17"/>
          <w:szCs w:val="17"/>
          <w:color w:val="auto"/>
        </w:rPr>
        <w:t>. During the Revolving Facility Availability Period, the Dutch Swing Line Lender agrees, on the terms and conditions set forth in this Agreement, to make a Dutch Swing Loan or Dutch Swing Loans to the Dutch Borrower from time to time, which Dutch Swing Loans: (i) shall be payable on the Swing Loan Maturity Date applicable to each such Dutch Swing Loan; (ii) shall be made in Euros or, at the option of the Dutch Borrower, Dollars; (iii) may be repaid or prepaid and reborrowed in accordance with the provisions hereof; (iv) may only be made if after giving effect thereto (A) the Dollar Equivalent of the aggregate principal amount of Dutch Swing Loans outstanding does not exceed the Dutch Swing Line Commitment, and (B) the Aggregate Dutch Credit Facility Exposure would not exceed the lesser of (1) the Total Dutch Revolving Commitment or (2) the Dutch Borrowing Base;</w:t>
      </w:r>
    </w:p>
    <w:p>
      <w:pPr>
        <w:jc w:val="both"/>
        <w:ind w:left="-8" w:right="420" w:firstLine="8"/>
        <w:spacing w:after="0" w:line="255" w:lineRule="auto"/>
        <w:tabs>
          <w:tab w:leader="none" w:pos="24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made if, after giving effect thereto, the Dutch Borrower would be required to prepay Loans or Cash Collateralize Dutch Letters of Credit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hereof; and (vi) shall not be made if the proceeds thereof would be used to repay, in whole or in part, any outstanding Dutch Swing Loan.</w:t>
      </w:r>
    </w:p>
    <w:p>
      <w:pPr>
        <w:sectPr>
          <w:pgSz w:w="11900" w:h="16838" w:orient="portrait"/>
          <w:cols w:equalWidth="0" w:num="1">
            <w:col w:w="11392"/>
          </w:cols>
          <w:pgMar w:left="248" w:top="270" w:right="259" w:bottom="1440" w:gutter="0" w:footer="0" w:header="0"/>
        </w:sectPr>
      </w:pPr>
    </w:p>
    <w:bookmarkStart w:id="231" w:name="page232"/>
    <w:bookmarkEnd w:id="231"/>
    <w:p>
      <w:pPr>
        <w:ind w:firstLine="464"/>
        <w:spacing w:after="0" w:line="252" w:lineRule="auto"/>
        <w:tabs>
          <w:tab w:leader="none" w:pos="70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Swing Loan Refunding</w:t>
      </w:r>
      <w:r>
        <w:rPr>
          <w:rFonts w:ascii="Times New Roman" w:cs="Times New Roman" w:eastAsia="Times New Roman" w:hAnsi="Times New Roman"/>
          <w:sz w:val="18"/>
          <w:szCs w:val="18"/>
          <w:color w:val="auto"/>
        </w:rPr>
        <w:t>. The U.S. Swing Line Lender may at any time, in its sole and absolute discretion, direct that the U.S. Swing Loans owing to it be refunded by delivering a notice to such effect to the Administrative Agent, specifying the aggregate principal amount thereof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Swing Loan Refunding</w:t>
      </w:r>
      <w:r>
        <w:rPr>
          <w:rFonts w:ascii="Times New Roman" w:cs="Times New Roman" w:eastAsia="Times New Roman" w:hAnsi="Times New Roman"/>
          <w:sz w:val="18"/>
          <w:szCs w:val="18"/>
          <w:color w:val="auto"/>
        </w:rPr>
        <w:t xml:space="preserve">”). Promptly upon receipt of a Notice of Swing Loan Refunding, the Administrative Agent shall give notice of the contents thereof to the U.S. Lenders with U.S. Revolving Commitments and, unless an Event of Default specified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has occurred, the Company. Each such Notice of Swing Loan Refunding shall be deemed to constitute delivery by the U.S. Borrower of a Notice of Borrowing requesting U.S. Revolving Loans consisting of Base Rate Loans in the amount of the U.S. Swing Loans to which it relates. Each U.S. Lender with a U.S. Revolving Commitment (including the U.S. Swing Line Lender) hereby unconditionally agrees (notwithstanding that any of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elsewhere in this Agreement shall not have been satisfied, but subject to the provisions of paragraph (g) below) to make a U.S. Revolving Loan to the U.S. Borrower in the amount of such U.S. Lender’s U.S. Revolving Facility Percentage of the aggregate amount of the U.S. Swing Loans to which such Notice of Swing Loan Refunding relates. Each such U.S. Lender shall make the amount of such U.S. Revolving Loan available to the Administrative Agent in immediately available funds at the Payment Office not later than 2:00 P.M. (local time at the Payment Office), if such notice is received by such Lender prior to 11:00 A.M. (local time at its Payment Office), or not later than 2:00 P.M. (local time at the Payment Office) on the next Business Day, if such notice is received by such Lender after such time. The proceeds of such U.S. Revolving Loans shall be made immediately available to the U.S. Swing Line Lender and applied by it to repay the principal amount of the U.S. Swing Loans to which such Notice of Swing Loan Refunding relates.</w:t>
      </w:r>
    </w:p>
    <w:p>
      <w:pPr>
        <w:spacing w:after="0" w:line="198" w:lineRule="exact"/>
        <w:rPr>
          <w:rFonts w:ascii="Times New Roman" w:cs="Times New Roman" w:eastAsia="Times New Roman" w:hAnsi="Times New Roman"/>
          <w:sz w:val="18"/>
          <w:szCs w:val="18"/>
          <w:color w:val="auto"/>
        </w:rPr>
      </w:pPr>
    </w:p>
    <w:p>
      <w:pPr>
        <w:ind w:firstLine="464"/>
        <w:spacing w:after="0" w:line="252" w:lineRule="auto"/>
        <w:tabs>
          <w:tab w:leader="none" w:pos="71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Swing Loan Refunding</w:t>
      </w:r>
      <w:r>
        <w:rPr>
          <w:rFonts w:ascii="Times New Roman" w:cs="Times New Roman" w:eastAsia="Times New Roman" w:hAnsi="Times New Roman"/>
          <w:sz w:val="18"/>
          <w:szCs w:val="18"/>
          <w:color w:val="auto"/>
        </w:rPr>
        <w:t xml:space="preserve">. The Dutch Swing Line Lender may at any time, in its sole and absolute discretion, direct that the Dutch Swing Loans owing to it be refunded by delivering a Notice of Swing Loan Refunding to the Foreign Collateral Agent. Promptly upon receipt of a Notice of Swing Loan Refunding, the Foreign Collateral Agent shall give notice of the contents thereof to the Dutch Lenders with Dutch Revolving Commitments and, unless an Event of Default specified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has occurred, the Dutch Borrower. Each such Notice of Swing Loan Refunding shall be deemed to constitute delivery by the Dutch Borrower of a Notice of Borrowing requesting Dutch Revolving Loans consisting of Base Rate Loans in the amount of the Dutch Swing Loans to which it relates. Each Dutch Lender with a Dutch Revolving Commitment (including the Dutch Swing Line Lender) hereby unconditionally agrees (notwithstanding that any of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elsewhere in this Agreement shall not have been satisfied, but subject to the provisions of paragraph (g) below) to make a Dutch Revolving Loan to the Dutch Borrower in the amount of such Dutch Lender’s Dutch Revolving Facility Percentage of the aggregate amount of the Dutch Swing Loans to which such Notice of Swing Loan Refunding relates. Each such Lender shall make the amount of such Dutch Revolving Loan available to the Foreign Collateral Agent in immediately available funds at the Payment Office not later than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P.M. (local time at the Payment Office), if such notice is received by such Lender prior to 11:00 A.M. (local time at its Payment Office), or not later than</w:t>
      </w:r>
    </w:p>
    <w:p>
      <w:pPr>
        <w:spacing w:after="0" w:line="9" w:lineRule="exact"/>
        <w:rPr>
          <w:rFonts w:ascii="Times New Roman" w:cs="Times New Roman" w:eastAsia="Times New Roman" w:hAnsi="Times New Roman"/>
          <w:sz w:val="18"/>
          <w:szCs w:val="18"/>
          <w:color w:val="auto"/>
        </w:rPr>
      </w:pPr>
    </w:p>
    <w:p>
      <w:pPr>
        <w:ind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P.M. (local time at the Payment Office) on the next Business Day, if such notice is received by such Dutch Lender after such time; provided that with respect to Dutch Swing Loans funded in Euros, no Lender shall be required to make such amount available until the third Business Day after it shall have received such notice. The proceeds of such Dutch Revolving Loans shall be made immediately available to the Dutch Swing Line Lender and applied by it to repay the principal amount of the Dutch Swing Loans to which such Notice of Swing Loan Refunding relates.</w:t>
      </w:r>
    </w:p>
    <w:p>
      <w:pPr>
        <w:spacing w:after="0" w:line="185" w:lineRule="exact"/>
        <w:rPr>
          <w:rFonts w:ascii="Times New Roman" w:cs="Times New Roman" w:eastAsia="Times New Roman" w:hAnsi="Times New Roman"/>
          <w:sz w:val="18"/>
          <w:szCs w:val="18"/>
          <w:color w:val="auto"/>
        </w:rPr>
      </w:pPr>
    </w:p>
    <w:p>
      <w:pPr>
        <w:ind w:right="100" w:firstLine="464"/>
        <w:spacing w:after="0" w:line="282" w:lineRule="auto"/>
        <w:tabs>
          <w:tab w:leader="none" w:pos="70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Swing Loan Participation</w:t>
      </w:r>
      <w:r>
        <w:rPr>
          <w:rFonts w:ascii="Times New Roman" w:cs="Times New Roman" w:eastAsia="Times New Roman" w:hAnsi="Times New Roman"/>
          <w:sz w:val="18"/>
          <w:szCs w:val="18"/>
          <w:color w:val="auto"/>
        </w:rPr>
        <w:t>. If prior to the time a U.S. Revolving Loan would otherwise have been made as provided above as a consequence of a Notice of Swing Loan Refunding, any</w:t>
      </w:r>
    </w:p>
    <w:p>
      <w:pPr>
        <w:sectPr>
          <w:pgSz w:w="11900" w:h="16838" w:orient="portrait"/>
          <w:cols w:equalWidth="0" w:num="1">
            <w:col w:w="11420"/>
          </w:cols>
          <w:pgMar w:left="240" w:top="270" w:right="239" w:bottom="1440" w:gutter="0" w:footer="0" w:header="0"/>
        </w:sectPr>
      </w:pPr>
    </w:p>
    <w:bookmarkStart w:id="232" w:name="page233"/>
    <w:bookmarkEnd w:id="23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events specified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shall have occurred or one or more of the U.S. Lenders with U.S. Revolving Commitments shall determine that it is legally prohibited from making a U.S. Revolving Loan under such circumstances, each U.S. Lender (other than the U.S. Swing Line Lender), or each U.S. Lender (other than such U.S. Swing Line Lender) so prohibited, as the case may be, shall, on the date such U.S. Revolving Loan would have been made by it (the “</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purchase an undivided participating interest (a “</w:t>
      </w:r>
      <w:r>
        <w:rPr>
          <w:rFonts w:ascii="Times New Roman" w:cs="Times New Roman" w:eastAsia="Times New Roman" w:hAnsi="Times New Roman"/>
          <w:sz w:val="18"/>
          <w:szCs w:val="18"/>
          <w:u w:val="single" w:color="auto"/>
          <w:color w:val="auto"/>
        </w:rPr>
        <w:t>Swing Loan Participation</w:t>
      </w:r>
      <w:r>
        <w:rPr>
          <w:rFonts w:ascii="Times New Roman" w:cs="Times New Roman" w:eastAsia="Times New Roman" w:hAnsi="Times New Roman"/>
          <w:sz w:val="18"/>
          <w:szCs w:val="18"/>
          <w:color w:val="auto"/>
        </w:rPr>
        <w:t>”) in the outstanding U.S. Swing Loans to which such Notice of Swing Loan Refunding relates, in an amount (the “</w:t>
      </w:r>
      <w:r>
        <w:rPr>
          <w:rFonts w:ascii="Times New Roman" w:cs="Times New Roman" w:eastAsia="Times New Roman" w:hAnsi="Times New Roman"/>
          <w:sz w:val="18"/>
          <w:szCs w:val="18"/>
          <w:u w:val="single" w:color="auto"/>
          <w:color w:val="auto"/>
        </w:rPr>
        <w:t>U.S. Swing Loan Participation Amount</w:t>
      </w:r>
      <w:r>
        <w:rPr>
          <w:rFonts w:ascii="Times New Roman" w:cs="Times New Roman" w:eastAsia="Times New Roman" w:hAnsi="Times New Roman"/>
          <w:sz w:val="18"/>
          <w:szCs w:val="18"/>
          <w:color w:val="auto"/>
        </w:rPr>
        <w:t xml:space="preserve">”) equal to such U.S. Lender’s U.S. Revolving Facility Percentage of such outstanding U.S. Swing Loans. On the Purchase Date, each such U.S. Lender or each such U.S. Lender so prohibited, as the case may be, shall pay to the U.S. Swing Line Lender, in immediately available funds, such U.S. Lender’s U.S. Swing Loan Participation Amount, and promptly upon receipt thereof the U.S. Swing Line Lender shall, if requested by such other U.S. Lender, deliver to such U.S. Lender a participation certificate, dated the date of the U.S. Swing Line Lender’s receipt of the funds from, and evidencing such U.S. Lender’s Swing Loan Participation in, such U.S. Swing Loans and its U.S. Swing Loan Participation Amount in respect thereof. If any amount required to be paid by a U.S. Lender to the U.S. Swing Line Lender pursuant to the above provisions in respect of any Swing Loan Participation is not paid on the date such payment is due, such U.S. Lender shall pay to the U.S. Swing Line Lender on demand interest on the amount not so paid at the overnight Federal Funds Effective Rate from the due date until such amount is paid in full. Whenever, at any time after the Swing Line Lender has received from any other U.S. Lender such U.S. Lender’s U.S. Swing Loan Participation Amount, the Swing Line Lender receives any payment from or on behalf of the Company on account of the related U.S. Swing Loans, the U.S. Swing Line Lender will promptly distribute to such U.S. Lender its ratable share of such amount based on its U.S. Revolving Facility Percentage of such amount on such date on account of its Swing Loan Participation (appropriately adjusted, in the case of interest payments, to reflect the period of time during which such Lender’s participating interest was outstanding and funded);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payment received by the U.S. Swing Line Lender is required to be returned, such U.S. Lender will return to the U.S. Swing Line Lender any portion thereof previously distributed to it by the U.S. Swing Line Lender.</w:t>
      </w:r>
    </w:p>
    <w:p>
      <w:pPr>
        <w:spacing w:after="0" w:line="194" w:lineRule="exact"/>
        <w:rPr>
          <w:sz w:val="20"/>
          <w:szCs w:val="20"/>
          <w:color w:val="auto"/>
        </w:rPr>
      </w:pPr>
    </w:p>
    <w:p>
      <w:pPr>
        <w:ind w:firstLine="464"/>
        <w:spacing w:after="0" w:line="252" w:lineRule="auto"/>
        <w:tabs>
          <w:tab w:leader="none" w:pos="68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Swing Loan Participation</w:t>
      </w:r>
      <w:r>
        <w:rPr>
          <w:rFonts w:ascii="Times New Roman" w:cs="Times New Roman" w:eastAsia="Times New Roman" w:hAnsi="Times New Roman"/>
          <w:sz w:val="18"/>
          <w:szCs w:val="18"/>
          <w:color w:val="auto"/>
        </w:rPr>
        <w:t xml:space="preserve">. If prior to the time a Dutch Revolving Loan would otherwise have been made as provided above as a consequence of a Notice of Swing Loan Refunding, any of the events specified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shall have occurred in respect of the Dutch Borrower or one or more of the Dutch Lenders with Dutch Revolving Commitments shall determine that it is legally prohibited from making a Dutch Revolving Loan under such circumstances, each Dutch Lender (other than the Dutch Swing Line Lender), or each Dutch Lender (other than such Dutch Swing Line Lender) so prohibited, as the case may be, shall, on the Purchase Date, purchase a Swing Loan Participation in the outstanding Dutch Swing Loans to which such Notice of Swing Loan Refunding relates, in an amount (the “</w:t>
      </w:r>
      <w:r>
        <w:rPr>
          <w:rFonts w:ascii="Times New Roman" w:cs="Times New Roman" w:eastAsia="Times New Roman" w:hAnsi="Times New Roman"/>
          <w:sz w:val="18"/>
          <w:szCs w:val="18"/>
          <w:u w:val="single" w:color="auto"/>
          <w:color w:val="auto"/>
        </w:rPr>
        <w:t>Dutch Swing Loan Participation Amount</w:t>
      </w:r>
      <w:r>
        <w:rPr>
          <w:rFonts w:ascii="Times New Roman" w:cs="Times New Roman" w:eastAsia="Times New Roman" w:hAnsi="Times New Roman"/>
          <w:sz w:val="18"/>
          <w:szCs w:val="18"/>
          <w:color w:val="auto"/>
        </w:rPr>
        <w:t>”) equal to such Dutch Lender’s Dutch Revolving Facility Percentage of such outstanding Dutch Swing Loans. On the Purchase Date, each such Dutch Lender or each such Dutch Lender so prohibited, as the case may be, shall pay to the Dutch Swing Line Lender, in immediately available funds, such Lender’s Dutch Swing Loan Participation Amount, and promptly upon receipt thereof the Dutch Swing Line Lender shall, if requested by such other Dutch Lender, deliver to such Dutch Lender a participation certificate, dated the date of the Dutch Swing Line Lender’s receipt of the funds from, and evidencing such Dutch Lender’s Swing Loan Participation in, such Dutch Swing Loans and its Dutch Swing Loan Participation Amount in respect thereof. If any amount required to be paid by a Lender to the Dutch Swing Line Lender pursuant to the above provisions in respect of any Swing Loan Participation is not paid on the date such payment is due, such Dutch Lender shall pay to the Dutch Swing Line Lender on demand interest on the amount not so paid at the overnight Federal Funds Effective Rate from the due date until such amount is paid in full. Whenever, at any time after the Swing Line Lender has received from any other Dutch Lender such Dutch Lender’s Dutch Swing Loan Participation Amount, the Swing Line Lender receives any payment from or on behalf of the Dutch Borrower on account of the related Dutch Swing Loans, the Dutch Swing Line Lender will promptly</w:t>
      </w:r>
    </w:p>
    <w:p>
      <w:pPr>
        <w:sectPr>
          <w:pgSz w:w="11900" w:h="16838" w:orient="portrait"/>
          <w:cols w:equalWidth="0" w:num="1">
            <w:col w:w="11400"/>
          </w:cols>
          <w:pgMar w:left="240" w:top="270" w:right="259" w:bottom="1440" w:gutter="0" w:footer="0" w:header="0"/>
        </w:sectPr>
      </w:pPr>
    </w:p>
    <w:bookmarkStart w:id="233" w:name="page234"/>
    <w:bookmarkEnd w:id="233"/>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distribute to such Dutch Lender its ratable share of such amount based on its Dutch Revolving Facility Percentage of such amount on such date on account of its Swing Loan Participation (appropriately adjusted, in the case of interest payments, to reflect the period of time during which such Dutch Lender’s participating interest was outstanding and funded);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payment received by the Dutch Swing Line Lender is required to be returned, such Dutch Lender will return to the Dutch Swing Line Lender any portion thereof previously distributed to it by the Dutch Swing Line Lender.</w:t>
      </w:r>
    </w:p>
    <w:p>
      <w:pPr>
        <w:spacing w:after="0" w:line="180" w:lineRule="exact"/>
        <w:rPr>
          <w:sz w:val="20"/>
          <w:szCs w:val="20"/>
          <w:color w:val="auto"/>
        </w:rPr>
      </w:pPr>
    </w:p>
    <w:p>
      <w:pPr>
        <w:ind w:right="60" w:firstLine="464"/>
        <w:spacing w:after="0" w:line="254" w:lineRule="auto"/>
        <w:tabs>
          <w:tab w:leader="none" w:pos="71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xml:space="preserve">. Each Lender’s obligation to make Revolving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and/or to purchase Swing Loan Participations in connection with a Notice of Swing Loan Refunding shall be subject to the conditions that (i) such Lender shall have received a Notice of Swing Loan Refunding complying with the provisions hereof and (ii) at the time the Swing Loans that are the subject of such Notice of Swing Loan Refunding were made, the Swing Line Lender making the same had no actual written notice from another Lender that an Event of Default had occurred and was continuing, but otherwise shall be absolute and unconditional, shall be solely for the benefit of the Swing Line Lender that gives such Notice of Swing Loan Refunding, and shall not be affected by any circumstance, including, without limitation, (A) any set-off, counterclaim, recoupment, defense or other right that such Lender may have against any other Lender, any Credit Party, or any other Person, or any Credit Party may have against any Lender or other Person, as the case may be, for any reason whatsoever; (B) the occurrence or continuance of a Default or Event of Default; (C) any event or circumstance involving a Material Adverse Effect; (D) any breach of any Loan Document by any party thereto; or (E) any other circumstance, happening or event, whether or not similar to any of the foregoing.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72" w:lineRule="auto"/>
        <w:tabs>
          <w:tab w:leader="none" w:pos="701"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 LC Issuances</w:t>
      </w:r>
      <w:r>
        <w:rPr>
          <w:rFonts w:ascii="Times New Roman" w:cs="Times New Roman" w:eastAsia="Times New Roman" w:hAnsi="Times New Roman"/>
          <w:sz w:val="17"/>
          <w:szCs w:val="17"/>
          <w:color w:val="auto"/>
        </w:rPr>
        <w:t>. During the Revolving Facility Availability Period, the U.S. Borrower may request a U.S. LC Issuer at any time and from time to time to issue, for the account of U.S. Borrower or any U.S. Guarantor, and subject to and upon the terms and conditions herein set forth, each U.S. LC Issuer agrees to issue from time to time U.S. Letters of Credit denominated and payable in Dollars and in each case in such form as may be approved by such U.S.</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LC Issuer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no U.S. LC Issuance shall be made if, after giving effect thereto, (i) the U.S. LC Exposure of any Lender would exceed such Lender’s U.S. LC Commitment, (ii) the U.S. LC Outstandings would exceed the U.S. LC Commitment Amount, (iii) the Aggregate U.S. Credit Facility Exposure would exceed the lesser of (y) the Total U.S. Revolving Commitment or (z) the U.S. Borrowing Base, (iv) the Aggregate Credit Facility Exposure would exceed the lesser of (y) the Total Revolving Commitment or (z) the Aggregate Borrowing Base, or (v) the U.S. Borrower would be required to prepay Loans or Cash Collateralize U.S. Letters of Credit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hereof. Each U.S. Letter of Credit shall have an expiry date (including any renewal periods) occurring not later than the earlier of (1) 364 days from the date of issuance thereof, or (2) 30 days prior to the Revolving Facility Termination Date. Each Existing Letter of Credit shall be deemed to be a Letter of Credit issued under this Agreement and entitled to the benefits of a Letter of Credit issued hereunder.</w:t>
      </w:r>
    </w:p>
    <w:p>
      <w:pPr>
        <w:spacing w:after="0" w:line="187" w:lineRule="exact"/>
        <w:rPr>
          <w:rFonts w:ascii="Times New Roman" w:cs="Times New Roman" w:eastAsia="Times New Roman" w:hAnsi="Times New Roman"/>
          <w:sz w:val="17"/>
          <w:szCs w:val="17"/>
          <w:color w:val="auto"/>
        </w:rPr>
      </w:pPr>
    </w:p>
    <w:p>
      <w:pPr>
        <w:ind w:firstLine="464"/>
        <w:spacing w:after="0" w:line="255" w:lineRule="auto"/>
        <w:tabs>
          <w:tab w:leader="none" w:pos="71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LC Issuances</w:t>
      </w:r>
      <w:r>
        <w:rPr>
          <w:rFonts w:ascii="Times New Roman" w:cs="Times New Roman" w:eastAsia="Times New Roman" w:hAnsi="Times New Roman"/>
          <w:sz w:val="18"/>
          <w:szCs w:val="18"/>
          <w:color w:val="auto"/>
        </w:rPr>
        <w:t xml:space="preserve">. During the Revolving Facility Availability Period, the Dutch Borrower may request a Dutch LC Issuer at any time and from time to time to issue, for the account of any Applicable Dutch Credit Party, and subject to and upon the terms and conditions herein set forth, each Dutch LC Issuer agrees to issue from time to time Dutch Letters of Credit denominated and payable in Euros or, at the option of the Dutch Borrower, Dollars and in each case in such form as may be approved by such Dutch LC Issuer and the Foreign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Dutch LC Issuance shall be made if, after giving effect thereto, (i) the Dutch LC Exposure of any Dutch Lender would exceed such Dutch Lender’s Dutch LC Commitment, (ii) the Dutch LC Outstandings would exceed the Dutch LC Commitment Amount, (iii) the Aggregate Dutch Credit Facility Exposure would exceed the lesser of (y) the Total Dutch Revolving Commitment or (z) the</w:t>
      </w:r>
    </w:p>
    <w:p>
      <w:pPr>
        <w:sectPr>
          <w:pgSz w:w="11900" w:h="16838" w:orient="portrait"/>
          <w:cols w:equalWidth="0" w:num="1">
            <w:col w:w="11420"/>
          </w:cols>
          <w:pgMar w:left="240" w:top="270" w:right="239" w:bottom="1440" w:gutter="0" w:footer="0" w:header="0"/>
        </w:sectPr>
      </w:pPr>
    </w:p>
    <w:bookmarkStart w:id="234" w:name="page235"/>
    <w:bookmarkEnd w:id="234"/>
    <w:p>
      <w:pPr>
        <w:ind w:right="3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Dutch Borrowing Base, (iv) the Aggregate Credit Facility Exposure would exceed the lesser of (y) the Total Revolving Commitment or (z) the Aggregate Borrowing Base, or (v) the Dutch Borrower would be required to prepay Loans or Cash Collateralize U.S. Letters of Credit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hereof. Each Dutch Letter of Credit shall have an expiry date (including any renewal periods) occurring not later than the earliest of (1) 364 days from the date of issuance thereof, or (2) 30 days prior to the Revolving Facility Termination Date, or (3) any other expiry date acceptable to the Foreign Collateral Agent, Administrative Agent and the applicable Dutch LC Issuer. Each Existing Letter of Credit shall be deemed to be a Letter of Credit issued under this Agreement and entitled to the benefits of a Letter of Credit issued hereunder.</w:t>
      </w:r>
    </w:p>
    <w:p>
      <w:pPr>
        <w:spacing w:after="0" w:line="188" w:lineRule="exact"/>
        <w:rPr>
          <w:sz w:val="20"/>
          <w:szCs w:val="20"/>
          <w:color w:val="auto"/>
        </w:rPr>
      </w:pPr>
    </w:p>
    <w:p>
      <w:pPr>
        <w:ind w:right="80" w:firstLine="464"/>
        <w:spacing w:after="0" w:line="254" w:lineRule="auto"/>
        <w:tabs>
          <w:tab w:leader="none" w:pos="70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LC Requests</w:t>
      </w:r>
      <w:r>
        <w:rPr>
          <w:rFonts w:ascii="Times New Roman" w:cs="Times New Roman" w:eastAsia="Times New Roman" w:hAnsi="Times New Roman"/>
          <w:sz w:val="18"/>
          <w:szCs w:val="18"/>
          <w:color w:val="auto"/>
        </w:rPr>
        <w:t xml:space="preserve">. Whenever the Company desires that a U.S. Letter of Credit be issued for its account or the account of any eligible U.S. LC Obligor, the Company shall give the Administrative Agent and the applicable U.S. LC Issuer written or telephonic notice (in the case of telephonic notice, promptly confirmed in writing if so requested by the Administrative Agent) or electronic notice which, if in the form of written notice, shall be substantially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(each such request, a “</w:t>
      </w:r>
      <w:r>
        <w:rPr>
          <w:rFonts w:ascii="Times New Roman" w:cs="Times New Roman" w:eastAsia="Times New Roman" w:hAnsi="Times New Roman"/>
          <w:sz w:val="18"/>
          <w:szCs w:val="18"/>
          <w:u w:val="single" w:color="auto"/>
          <w:color w:val="auto"/>
        </w:rPr>
        <w:t>U.S. LC Request</w:t>
      </w:r>
      <w:r>
        <w:rPr>
          <w:rFonts w:ascii="Times New Roman" w:cs="Times New Roman" w:eastAsia="Times New Roman" w:hAnsi="Times New Roman"/>
          <w:sz w:val="18"/>
          <w:szCs w:val="18"/>
          <w:color w:val="auto"/>
        </w:rPr>
        <w:t>”), or transmit by electronic communication (if arrangements for doing so have been approved by the applicable U.S. LC Issuer), prior to 11:00 A.M. (local time at the Notice Office) at least three Business Days (or such shorter period as may be acceptable to the relevant U.S. LC Issuer) prior to the proposed date of issuance (which shall be a Business Day), which U.S. LC Request shall include such supporting documents that such U.S. LC Issuer customarily requires in connection therewith (including, in the case of a U.S. Letter of Credit for an account party other than the Company, an application for, and if applicable a reimbursement agreement with respect to, such U.S. Letter of Credit). In the event of any inconsistency between any of the terms or provisions of any U.S. LC Document and the terms and provisions of this Agreement respecting U.S. Letters of Credit, the terms and provisions of this Agreement shall control.</w:t>
      </w:r>
    </w:p>
    <w:p>
      <w:pPr>
        <w:spacing w:after="0" w:line="186" w:lineRule="exact"/>
        <w:rPr>
          <w:rFonts w:ascii="Times New Roman" w:cs="Times New Roman" w:eastAsia="Times New Roman" w:hAnsi="Times New Roman"/>
          <w:sz w:val="18"/>
          <w:szCs w:val="18"/>
          <w:color w:val="auto"/>
        </w:rPr>
      </w:pPr>
    </w:p>
    <w:p>
      <w:pPr>
        <w:ind w:firstLine="464"/>
        <w:spacing w:after="0" w:line="254" w:lineRule="auto"/>
        <w:tabs>
          <w:tab w:leader="none" w:pos="71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LC Requests</w:t>
      </w:r>
      <w:r>
        <w:rPr>
          <w:rFonts w:ascii="Times New Roman" w:cs="Times New Roman" w:eastAsia="Times New Roman" w:hAnsi="Times New Roman"/>
          <w:sz w:val="18"/>
          <w:szCs w:val="18"/>
          <w:color w:val="auto"/>
        </w:rPr>
        <w:t xml:space="preserve">. Whenever the Dutch Borrower desires that a Dutch Letter of Credit be issued for its account or the account of any eligible Dutch LC Obligor, the Dutch Borrower shall give the Administrative Agent and the applicable Dutch LC Issuer written notice or electronic notice which, if in the form of written notice, shall be substantially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or in a form reasonably acceptable to the Administrative Agent and the Dutch LC Issuer (each such request, a “</w:t>
      </w:r>
      <w:r>
        <w:rPr>
          <w:rFonts w:ascii="Times New Roman" w:cs="Times New Roman" w:eastAsia="Times New Roman" w:hAnsi="Times New Roman"/>
          <w:sz w:val="18"/>
          <w:szCs w:val="18"/>
          <w:u w:val="single" w:color="auto"/>
          <w:color w:val="auto"/>
        </w:rPr>
        <w:t>Dutch LC Request</w:t>
      </w:r>
      <w:r>
        <w:rPr>
          <w:rFonts w:ascii="Times New Roman" w:cs="Times New Roman" w:eastAsia="Times New Roman" w:hAnsi="Times New Roman"/>
          <w:sz w:val="18"/>
          <w:szCs w:val="18"/>
          <w:color w:val="auto"/>
        </w:rPr>
        <w:t>”), or transmit by electronic communication (if arrangements for doing so have been approved by the applicable Dutch LC Issuer), prior to 11:00 A.M. (local time at the Notice Office) at least three Business Days (or such shorter period as may be acceptable to the relevant Dutch LC Issuer) prior to the proposed date of issuance (which shall be a Business Day), which Dutch LC Request shall include such supporting documents that such Dutch LC Issuer customarily requires in connection therewith (including, in the case of a Dutch Letter of Credit for an account party other than the Dutch Borrower, an application for, and if applicable a reimbursement agreement with respect to, such Dutch Letter of Credit). In the event of any inconsistency between any of the terms or provisions of any Dutch LC Document and the terms and provisions of this Agreement respecting Dutch Letters of Credit, the terms and provisions of this Agreement shall control.</w:t>
      </w:r>
    </w:p>
    <w:p>
      <w:pPr>
        <w:spacing w:after="0" w:line="186" w:lineRule="exact"/>
        <w:rPr>
          <w:rFonts w:ascii="Times New Roman" w:cs="Times New Roman" w:eastAsia="Times New Roman" w:hAnsi="Times New Roman"/>
          <w:sz w:val="18"/>
          <w:szCs w:val="18"/>
          <w:color w:val="auto"/>
        </w:rPr>
      </w:pPr>
    </w:p>
    <w:p>
      <w:pPr>
        <w:ind w:firstLine="464"/>
        <w:spacing w:after="0" w:line="256" w:lineRule="auto"/>
        <w:tabs>
          <w:tab w:leader="none" w:pos="70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ISP98 and UCP</w:t>
      </w:r>
      <w:r>
        <w:rPr>
          <w:rFonts w:ascii="Times New Roman" w:cs="Times New Roman" w:eastAsia="Times New Roman" w:hAnsi="Times New Roman"/>
          <w:sz w:val="18"/>
          <w:szCs w:val="18"/>
          <w:color w:val="auto"/>
        </w:rPr>
        <w:t>. Unless otherwise expressly agreed by the applicable LC Issuer and the applicable LC Obligor, when a Letter of Credit is issued, (i) the rules of the “International Standby Practices 1998” published by the Institute of International Banking Law &amp; Practice (or such later version thereof as may be in effect at the time of issuance) shall apply to each Standby Letter of Credit, and (ii) the rules of the Uniform Customs and Practice for Documentary Credits, as most recently published by the International Chamber of Commerce at the time of issuance (including the International Chamber of Commerce’s decision published by the Commission on Banking Technique and Practice on April 6, 1998 regarding the European single currency (euro)) shall apply to each Commercial Letter of Credit.</w:t>
      </w:r>
    </w:p>
    <w:p>
      <w:pPr>
        <w:sectPr>
          <w:pgSz w:w="11900" w:h="16838" w:orient="portrait"/>
          <w:cols w:equalWidth="0" w:num="1">
            <w:col w:w="11400"/>
          </w:cols>
          <w:pgMar w:left="240" w:top="270" w:right="259" w:bottom="1440" w:gutter="0" w:footer="0" w:header="0"/>
        </w:sectPr>
      </w:pPr>
    </w:p>
    <w:bookmarkStart w:id="235" w:name="page236"/>
    <w:bookmarkEnd w:id="235"/>
    <w:p>
      <w:pPr>
        <w:ind w:left="-464" w:right="20" w:firstLine="464"/>
        <w:spacing w:after="0" w:line="258" w:lineRule="auto"/>
        <w:tabs>
          <w:tab w:leader="none" w:pos="21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LC Issuance</w:t>
      </w:r>
      <w:r>
        <w:rPr>
          <w:rFonts w:ascii="Times New Roman" w:cs="Times New Roman" w:eastAsia="Times New Roman" w:hAnsi="Times New Roman"/>
          <w:sz w:val="18"/>
          <w:szCs w:val="18"/>
          <w:color w:val="auto"/>
        </w:rPr>
        <w:t>. Each LC Issuer shall, on the date of each LC Issuance by it, give the Administrative Agent or the Foreign Collateral Agent, as applicable, each applicable Lender and the applicable Borrower written notice of such LC Issuance, accompanied by a copy to the Administrative Agent of the Letter of Credit or Letters of Credit issued by it. Each LC Issuer shall provide to the Administrative Agent a quarterly (or monthly if requested by any applicable Lender) summary describing each Letter of Credit issued by such LC Issuer and then outstanding and an identification for the relevant period of the daily aggregate LC Outstandings represented by Letters of Credit issued by such LC Issuer.</w:t>
      </w:r>
    </w:p>
    <w:p>
      <w:pPr>
        <w:spacing w:after="0" w:line="183"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43"/>
        <w:spacing w:after="0" w:line="252" w:lineRule="auto"/>
        <w:tabs>
          <w:tab w:leader="none" w:pos="64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Reimbursement Obligations</w:t>
      </w:r>
      <w:r>
        <w:rPr>
          <w:rFonts w:ascii="Times New Roman" w:cs="Times New Roman" w:eastAsia="Times New Roman" w:hAnsi="Times New Roman"/>
          <w:sz w:val="18"/>
          <w:szCs w:val="18"/>
          <w:color w:val="auto"/>
        </w:rPr>
        <w:t xml:space="preserve">. The U.S. Borrower hereby agrees to reimburse (or cause any U.S. LC Obligor for whose account a U.S. Letter of Credit was issued to reimburse) each U.S. LC Issuer, by making payment directly to such U.S. LC Issuer in immediately available funds at the Payment Office of such U.S. LC Issuer, for any Unpaid Drawing with respect to any U.S. Letter of Credit immediately after, and in any event on the date on which, such U.S. LC Issuer notifies the Company (or any such other U.S. LC Obligor for whose account such U.S. Letter of Credit was issued) of such payment or disbursement (which notice to the Company (or such other U.S. LC Obligor) shall be delivered reasonably promptly after any such payment or disbursement), such payment to be made in Dollars, with interest on the amount so paid or disbursed by such U.S. LC Issuer, to the extent not reimbursed prior to 1:00 P.M. (local time at the Payment Office of the applicable U.S. LC Issuer) on the date of such payment or disbursement, from and including the date paid or disbursed to but not including the date such U.S. LC Issuer is reimbursed therefor at a rate per annum that shall be the rate then applicable to U.S. Revolving Loans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that are Base Rate Loans or, if not reimbursed on the date of such payment or disbursement, at the Default Rate, any such interest also to be payable on demand. If by 11:00 A.M. on the Business Day immediately following notice to it of its obligation to make reimbursement in respect of an Unpaid Drawing, the U.S. Borrower or the relevant U.S. LC Obligor has not made such reimbursement out of its available cash on hand or, in the case of the U.S. Borrower, a contemporaneous U.S. Borrowing hereunder (if such Borrowing is otherwise available to the U.S. Borrower), (x) the U.S. Borrower will in each case be deemed to have given a Notice of Borrowing for a loan (a “</w:t>
      </w:r>
      <w:r>
        <w:rPr>
          <w:rFonts w:ascii="Times New Roman" w:cs="Times New Roman" w:eastAsia="Times New Roman" w:hAnsi="Times New Roman"/>
          <w:sz w:val="18"/>
          <w:szCs w:val="18"/>
          <w:u w:val="single" w:color="auto"/>
          <w:color w:val="auto"/>
        </w:rPr>
        <w:t>U.S. LC Loan</w:t>
      </w:r>
      <w:r>
        <w:rPr>
          <w:rFonts w:ascii="Times New Roman" w:cs="Times New Roman" w:eastAsia="Times New Roman" w:hAnsi="Times New Roman"/>
          <w:sz w:val="18"/>
          <w:szCs w:val="18"/>
          <w:color w:val="auto"/>
        </w:rPr>
        <w:t>”), which shall be a Base Rate Loan in an aggregate principal amount sufficient to reimburse such Unpaid Drawing (and the Administrative Agent shall promptly give notice to the U.S. Lenders of such deemed Notice of Borrowing), (y) the U.S. Lenders shall make the U.S. LC Loans contemplated by such deemed Notice of Borrowing, and (z) the proceeds of such U.S. LC Loans shall be disbursed directly to the applicable U.S. LC Issuer to the extent necessary to effect such reimbursement and repayment of the Unpaid Drawing, with any excess proceeds to be made available to the U.S. Borrower in accordance with the applicable provisions of this Agreement.</w:t>
      </w:r>
    </w:p>
    <w:p>
      <w:pPr>
        <w:spacing w:after="0" w:line="85" w:lineRule="exact"/>
        <w:rPr>
          <w:rFonts w:ascii="Times New Roman" w:cs="Times New Roman" w:eastAsia="Times New Roman" w:hAnsi="Times New Roman"/>
          <w:sz w:val="18"/>
          <w:szCs w:val="18"/>
          <w:color w:val="auto"/>
        </w:rPr>
      </w:pPr>
    </w:p>
    <w:p>
      <w:pPr>
        <w:ind w:left="-4" w:right="20" w:firstLine="443"/>
        <w:spacing w:after="0" w:line="255" w:lineRule="auto"/>
        <w:tabs>
          <w:tab w:leader="none" w:pos="69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Reimbursement Obligations.</w:t>
      </w:r>
      <w:r>
        <w:rPr>
          <w:rFonts w:ascii="Times New Roman" w:cs="Times New Roman" w:eastAsia="Times New Roman" w:hAnsi="Times New Roman"/>
          <w:sz w:val="18"/>
          <w:szCs w:val="18"/>
          <w:color w:val="auto"/>
        </w:rPr>
        <w:t xml:space="preserve"> The Dutch Borrower hereby agrees to reimburse (or cause any Dutch LC Obligor for whose account a Dutch Letter of Credit was issued to reimburse) each Dutch LC Issuer, by making payment directly to such Dutch LC Issuer in immediately available funds at the Payment Office of such Dutch LC Issuer, for any Unpaid Drawing with respect to any Dutch Letter of Credit immediately after, and in any event on the date on which, such Dutch LC Issuer notifies the Dutch Borrower (or any such other Dutch LC Obligor for whose account such Dutch Letter of Credit was issued) of such payment or disbursement (which notice to the Dutch Borrower (or such other Dutch LC Obligor) shall be delivered reasonably promptly after any such payment or disbursement), such payment to be made in the currency in which such Dutch Letter of Credit is denominated, with interest on the amount so paid or disbursed by such Dutch LC Issuer, to the extent not reimbursed prior to 1:00 P.M.</w:t>
      </w:r>
    </w:p>
    <w:p>
      <w:pPr>
        <w:sectPr>
          <w:pgSz w:w="11900" w:h="16838" w:orient="portrait"/>
          <w:cols w:equalWidth="0" w:num="1">
            <w:col w:w="10936"/>
          </w:cols>
          <w:pgMar w:left="704" w:top="270" w:right="259" w:bottom="1440" w:gutter="0" w:footer="0" w:header="0"/>
        </w:sectPr>
      </w:pPr>
    </w:p>
    <w:bookmarkStart w:id="236" w:name="page237"/>
    <w:bookmarkEnd w:id="2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(local time at the Payment Office of the applicable Dutch LC Issuer) on the date of such payment or disbursement, from and including the date paid or disbursed to but not including the date such Dutch LC Issuer is reimbursed therefor at a rate per annum that shall be the rate then applicable to Dutch Revolving Loans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that are Base Rate Loans or, if not reimbursed on the date of such payment or disbursement, at the Default Rate, any such interest also to be payable on demand. If by 11:00 A.M. on the Business Day immediately following notice to it of its obligation to make reimbursement in respect of an Unpaid Drawing, the Dutch Borrower or the relevant Dutch LC Obligor has not made such reimbursement out of its available cash on hand or, in the case of the Dutch Borrower, a contemporaneous Dutch Borrowing hereunder (if such Borrowing is otherwise available to the Dutch Borrower), (x) the Dutch Borrower will in each case be deemed to have given a Notice of Borrowing for a loan (a “</w:t>
      </w:r>
      <w:r>
        <w:rPr>
          <w:rFonts w:ascii="Times New Roman" w:cs="Times New Roman" w:eastAsia="Times New Roman" w:hAnsi="Times New Roman"/>
          <w:sz w:val="18"/>
          <w:szCs w:val="18"/>
          <w:u w:val="single" w:color="auto"/>
          <w:color w:val="auto"/>
        </w:rPr>
        <w:t>Dutch LC Loan</w:t>
      </w:r>
      <w:r>
        <w:rPr>
          <w:rFonts w:ascii="Times New Roman" w:cs="Times New Roman" w:eastAsia="Times New Roman" w:hAnsi="Times New Roman"/>
          <w:sz w:val="18"/>
          <w:szCs w:val="18"/>
          <w:color w:val="auto"/>
        </w:rPr>
        <w:t>”), which shall be a Base Rate Loan in an aggregate principal amount sufficient to reimburse such Unpaid Drawing (and the Administrative Agent shall promptly give notice to the Dutch Lenders of such deemed Notice of Borrowing), (y) the Dutch Lenders shall make the Dutch LC Loans contemplated by such deemed Notice of Borrowing, and (z) the proceeds of such Dutch LC Loans shall be disbursed directly to the applicable Dutch LC Issuer to the extent necessary to effect such reimbursement and repayment of the Unpaid Drawing, with any excess proceeds to be made available to the Dutch Borrower in accordance with the applicable provisions of this Agreement.</w:t>
      </w:r>
    </w:p>
    <w:p>
      <w:pPr>
        <w:spacing w:after="0" w:line="83" w:lineRule="exact"/>
        <w:rPr>
          <w:sz w:val="20"/>
          <w:szCs w:val="20"/>
          <w:color w:val="auto"/>
        </w:rPr>
      </w:pPr>
    </w:p>
    <w:p>
      <w:pPr>
        <w:ind w:right="60" w:firstLine="443"/>
        <w:spacing w:after="0" w:line="255" w:lineRule="auto"/>
        <w:tabs>
          <w:tab w:leader="none" w:pos="753"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Each LC Obligor’s obligation under this Section to reimburse each LC Issuer with respect to Unpaid Drawings (including, in each case, interest thereon) shall be absolute and unconditional under any and all circumstances and irrespective of any setoff, counterclaim or defense to payment that such LC Obligor may have or have had against such LC Issuer, the Administrative Agent or any Lender, including, without limitation, any defense based upon the failure of any drawing under a Letter of Credit to conform to the terms of the Letter of Credit or any non-application or misapplication by the beneficiary of the proceeds of such drawing;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LC Obligor shall be obligated to reimburse an LC Issuer for any wrongful payment made by such LC Issuer under a Letter of Credit as a result of acts or omissions constituting willful misconduct or gross negligence on the part of such LC Issuer.</w:t>
      </w:r>
    </w:p>
    <w:p>
      <w:pPr>
        <w:spacing w:after="0" w:line="189"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43"/>
        <w:spacing w:after="0" w:line="254" w:lineRule="auto"/>
        <w:tabs>
          <w:tab w:leader="none" w:pos="653"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each U.S. LC Issuance, the U.S. LC Issuer of such U.S. Letter of Credit shall be deemed to have sold and transferred to each U.S. Lender with a Revolving Commitment, and each such U.S. Lender (each a “</w:t>
      </w:r>
      <w:r>
        <w:rPr>
          <w:rFonts w:ascii="Times New Roman" w:cs="Times New Roman" w:eastAsia="Times New Roman" w:hAnsi="Times New Roman"/>
          <w:sz w:val="18"/>
          <w:szCs w:val="18"/>
          <w:u w:val="single" w:color="auto"/>
          <w:color w:val="auto"/>
        </w:rPr>
        <w:t>U.S. LC Participant</w:t>
      </w:r>
      <w:r>
        <w:rPr>
          <w:rFonts w:ascii="Times New Roman" w:cs="Times New Roman" w:eastAsia="Times New Roman" w:hAnsi="Times New Roman"/>
          <w:sz w:val="18"/>
          <w:szCs w:val="18"/>
          <w:color w:val="auto"/>
        </w:rPr>
        <w:t>”) shall be deemed irrevocably and unconditionally to have purchased and received from such U.S. LC Issuer, without recourse or warranty, an undivided interest and participation (a “</w:t>
      </w:r>
      <w:r>
        <w:rPr>
          <w:rFonts w:ascii="Times New Roman" w:cs="Times New Roman" w:eastAsia="Times New Roman" w:hAnsi="Times New Roman"/>
          <w:sz w:val="18"/>
          <w:szCs w:val="18"/>
          <w:u w:val="single" w:color="auto"/>
          <w:color w:val="auto"/>
        </w:rPr>
        <w:t>U.S. LC Participation</w:t>
      </w:r>
      <w:r>
        <w:rPr>
          <w:rFonts w:ascii="Times New Roman" w:cs="Times New Roman" w:eastAsia="Times New Roman" w:hAnsi="Times New Roman"/>
          <w:sz w:val="18"/>
          <w:szCs w:val="18"/>
          <w:color w:val="auto"/>
        </w:rPr>
        <w:t xml:space="preserve">”), to the extent of such U.S. Lender’s U.S. Revolving Facility Percentage of the Stated Amount of such U.S. Letter of Credit in effect at such time of issuance, in such U.S. Letter of Credit, each substitute U.S. Letter of Credit, each drawing made thereunder, the obligations of any U.S. LC Obligor under this Agreement with respect thereto (although U.S. LC Fees relating thereto shall be payable directly to the Administrative Agent for the account of the U.S. Lenders as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the U.S. LC Participants shall have no right to receive any portion of any fees of the nature contemplated by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the obligations of any U.S. LC Obligor under any U.S. LC Documents pertaining thereto, and any security for, or guaranty pertaining to, any of the foregoing.</w:t>
      </w:r>
    </w:p>
    <w:p>
      <w:pPr>
        <w:spacing w:after="0" w:line="81" w:lineRule="exact"/>
        <w:rPr>
          <w:sz w:val="20"/>
          <w:szCs w:val="20"/>
          <w:color w:val="auto"/>
        </w:rPr>
      </w:pPr>
    </w:p>
    <w:p>
      <w:pPr>
        <w:ind w:right="120" w:firstLine="443"/>
        <w:spacing w:after="0" w:line="282" w:lineRule="auto"/>
        <w:tabs>
          <w:tab w:leader="none" w:pos="70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each Dutch LC Issuance, the Dutch LC Issuer of such Dutch Letter of Credit shall be deemed to have sold and transferred to each Dutch Lender with a</w:t>
      </w:r>
    </w:p>
    <w:p>
      <w:pPr>
        <w:sectPr>
          <w:pgSz w:w="11900" w:h="16838" w:orient="portrait"/>
          <w:cols w:equalWidth="0" w:num="1">
            <w:col w:w="10960"/>
          </w:cols>
          <w:pgMar w:left="700" w:top="270" w:right="239" w:bottom="1440" w:gutter="0" w:footer="0" w:header="0"/>
        </w:sectPr>
      </w:pPr>
    </w:p>
    <w:bookmarkStart w:id="237" w:name="page238"/>
    <w:bookmarkEnd w:id="23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Commitment, and each such Dutch Lender (each a “</w:t>
      </w:r>
      <w:r>
        <w:rPr>
          <w:rFonts w:ascii="Times New Roman" w:cs="Times New Roman" w:eastAsia="Times New Roman" w:hAnsi="Times New Roman"/>
          <w:sz w:val="18"/>
          <w:szCs w:val="18"/>
          <w:u w:val="single" w:color="auto"/>
          <w:color w:val="auto"/>
        </w:rPr>
        <w:t>Dutch LC Participant</w:t>
      </w:r>
      <w:r>
        <w:rPr>
          <w:rFonts w:ascii="Times New Roman" w:cs="Times New Roman" w:eastAsia="Times New Roman" w:hAnsi="Times New Roman"/>
          <w:sz w:val="18"/>
          <w:szCs w:val="18"/>
          <w:color w:val="auto"/>
        </w:rPr>
        <w:t>”) shall be deemed irrevocably and unconditionally to have purchased and received from such Dutch LC Issuer, without recourse or warranty, an undivided interest and participation (a “</w:t>
      </w:r>
      <w:r>
        <w:rPr>
          <w:rFonts w:ascii="Times New Roman" w:cs="Times New Roman" w:eastAsia="Times New Roman" w:hAnsi="Times New Roman"/>
          <w:sz w:val="18"/>
          <w:szCs w:val="18"/>
          <w:u w:val="single" w:color="auto"/>
          <w:color w:val="auto"/>
        </w:rPr>
        <w:t>Dutch LC Participation</w:t>
      </w:r>
      <w:r>
        <w:rPr>
          <w:rFonts w:ascii="Times New Roman" w:cs="Times New Roman" w:eastAsia="Times New Roman" w:hAnsi="Times New Roman"/>
          <w:sz w:val="18"/>
          <w:szCs w:val="18"/>
          <w:color w:val="auto"/>
        </w:rPr>
        <w:t xml:space="preserve">”), to the extent of such Dutch Lender’s Dutch Revolving Facility Percentage of the Stated Amount of such Dutch Letter of Credit in effect at such time of issuance, in such Dutch Letter of Credit, each substitute Dutch Letter of Credit, each drawing made thereunder, the obligations of any Dutch LC Obligor under this Agreement with respect thereto (although Dutch LC Fees relating thereto shall be payable directly to the Administrative Agent for the account of the Lenders as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the Dutch LC Participants shall have no right to receive any portion of any fees of the nature contemplated by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the obligations of any Dutch LC Obligor under any Dutch LC Documents pertaining thereto, and any security for, or guaranty pertaining to, any of the foregoing.</w:t>
      </w:r>
    </w:p>
    <w:p>
      <w:pPr>
        <w:spacing w:after="0" w:line="77" w:lineRule="exact"/>
        <w:rPr>
          <w:sz w:val="20"/>
          <w:szCs w:val="20"/>
          <w:color w:val="auto"/>
        </w:rPr>
      </w:pPr>
    </w:p>
    <w:p>
      <w:pPr>
        <w:ind w:right="120" w:firstLine="443"/>
        <w:spacing w:after="0" w:line="261" w:lineRule="auto"/>
        <w:tabs>
          <w:tab w:leader="none" w:pos="75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to pay under any Letter of Credit, an LC Issuer shall not have any obligation relative to the LC Participants other than to determine that any documents required to be delivered under such Letter of Credit have been delivered and that they appear to comply on their face with the requirements of such Letter of Credit. Any action taken or omitted to be taken by an LC Issuer under or in connection with any Letter of Credit, if taken or omitted in the absence of gross negligence or willful misconduct, shall not create for such LC Issuer any resulting liability.</w:t>
      </w:r>
    </w:p>
    <w:p>
      <w:pPr>
        <w:spacing w:after="0" w:line="71" w:lineRule="exact"/>
        <w:rPr>
          <w:rFonts w:ascii="Times New Roman" w:cs="Times New Roman" w:eastAsia="Times New Roman" w:hAnsi="Times New Roman"/>
          <w:sz w:val="18"/>
          <w:szCs w:val="18"/>
          <w:color w:val="auto"/>
        </w:rPr>
      </w:pPr>
    </w:p>
    <w:p>
      <w:pPr>
        <w:ind w:firstLine="443"/>
        <w:spacing w:after="0" w:line="252" w:lineRule="auto"/>
        <w:tabs>
          <w:tab w:leader="none" w:pos="74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LC Issuer makes any payment under any Letter of Credit and the applicable LC Obligor shall not have reimbursed such amount in full to such LC Issuer pursuant to </w:t>
      </w:r>
      <w:r>
        <w:rPr>
          <w:rFonts w:ascii="Times New Roman" w:cs="Times New Roman" w:eastAsia="Times New Roman" w:hAnsi="Times New Roman"/>
          <w:sz w:val="18"/>
          <w:szCs w:val="18"/>
          <w:u w:val="single" w:color="auto"/>
          <w:color w:val="auto"/>
        </w:rPr>
        <w:t>Section 2.05(g)</w:t>
      </w:r>
      <w:r>
        <w:rPr>
          <w:rFonts w:ascii="Times New Roman" w:cs="Times New Roman" w:eastAsia="Times New Roman" w:hAnsi="Times New Roman"/>
          <w:sz w:val="18"/>
          <w:szCs w:val="18"/>
          <w:color w:val="auto"/>
        </w:rPr>
        <w:t xml:space="preserve">, such LC Issuer shall promptly notify the Administrative Agent, and the Administrative Agent shall promptly notify each LC Participant of such failure, and each LC Participant shall promptly and unconditionally pay to the Administrative Agent for the account of such LC Issuer, the amount of such LC Participant’s Revolving Facility Percentage of such payment in the currency in which the applicable Letter of Credit is denominated and in same-day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LC Participant shall be obligated to pay to the Administrative Agent its Revolving Facility Percentage of such unreimbursed amount for any wrongful payment made by such LC Issuer under a Letter of Credit as a result of acts or omissions constituting willful misconduct or gross negligence on the part of such LC Issuer. If the Administrative Agent so notifies any LC Participant required to fund a payment under a Letter of Credit prior to 11:00 A.M. (local time at its Notice Office) on any Business Day, such LC Participant shall make available to the Administrative Agent for the account of the relevant LC Issuer such LC Participant’s Revolving Facility Percentage of the amount of such payment on such Business Day in same-day funds. If and to the extent such LC Participant shall not have so made its Revolving Facility Percentage of the amount of such payment available to the Administrative Agent for the account of the relevant LC Issuer, such LC Participant agrees to pay to the Administrative Agent for the account of such LC Issuer, forthwith on demand, such amount, together with interest thereon, for each day from such date until the date such amount is paid to the Administrative Agent for the account of such LC Issuer at the Federal Funds Effective Rate. The failure of any LC Participant to make available to the Administrative Agent for the account of the relevant LC Issuer its Revolving Facility Percentage of any payment under any Letter of Credit shall not relieve any other LC Participant of its obligation hereunder to make available to the Administrative Agent for the account of such LC Issuer its Revolving Facility Percentage of any payment under any Letter of Credit on the date required, as specified above, but no LC Participant shall be responsible for the failure of any other LC Participant to make available to the Administrative Agent for the account of such LC Issuer such other LC Participant’s Revolving Facility Percentage of any such payment.</w:t>
      </w:r>
    </w:p>
    <w:p>
      <w:pPr>
        <w:sectPr>
          <w:pgSz w:w="11900" w:h="16838" w:orient="portrait"/>
          <w:cols w:equalWidth="0" w:num="1">
            <w:col w:w="10940"/>
          </w:cols>
          <w:pgMar w:left="700" w:top="270" w:right="259" w:bottom="1440" w:gutter="0" w:footer="0" w:header="0"/>
        </w:sectPr>
      </w:pPr>
    </w:p>
    <w:bookmarkStart w:id="238" w:name="page239"/>
    <w:bookmarkEnd w:id="238"/>
    <w:p>
      <w:pPr>
        <w:ind w:left="-4" w:right="100" w:firstLine="443"/>
        <w:spacing w:after="0" w:line="258" w:lineRule="auto"/>
        <w:tabs>
          <w:tab w:leader="none" w:pos="689"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an LC Issuer receives a payment of a reimbursement obligation as to which the Administrative Agent has received for the account of such LC Issuer any payments from the LC Participants pursuant to subpart (iii) above, such LC Issuer shall pay to the Administrative Agent and the Administrative Agent shall promptly pay to each LC Participant that has paid its Revolving Facility Percentage thereof, in same-day funds, an amount equal to such LC Participant’s Revolving Facility Percentage of the principal amount thereof and interest thereon accruing after the purchase of the respective LC Participations, as and to the extent so received.</w:t>
      </w:r>
    </w:p>
    <w:p>
      <w:pPr>
        <w:spacing w:after="0" w:line="75" w:lineRule="exact"/>
        <w:rPr>
          <w:rFonts w:ascii="Times New Roman" w:cs="Times New Roman" w:eastAsia="Times New Roman" w:hAnsi="Times New Roman"/>
          <w:sz w:val="18"/>
          <w:szCs w:val="18"/>
          <w:color w:val="auto"/>
        </w:rPr>
      </w:pPr>
    </w:p>
    <w:p>
      <w:pPr>
        <w:ind w:left="-4" w:right="260" w:firstLine="443"/>
        <w:spacing w:after="0" w:line="261" w:lineRule="auto"/>
        <w:tabs>
          <w:tab w:leader="none" w:pos="739"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LC Participants to make payments to the Administrative Agent for the account of each LC Issuer with respect to Letters of Credit shall be irrevocable and not subject to counterclaim, set-off or other defense or any other qualification or exception whatsoever and shall be made in accordance with the terms and conditions of this Agreement under all circumstances, including, without limitation, any of the following circumstances:</w:t>
      </w:r>
    </w:p>
    <w:p>
      <w:pPr>
        <w:spacing w:after="0" w:line="71" w:lineRule="exact"/>
        <w:rPr>
          <w:rFonts w:ascii="Times New Roman" w:cs="Times New Roman" w:eastAsia="Times New Roman" w:hAnsi="Times New Roman"/>
          <w:sz w:val="18"/>
          <w:szCs w:val="18"/>
          <w:color w:val="auto"/>
        </w:rPr>
      </w:pPr>
    </w:p>
    <w:p>
      <w:pPr>
        <w:ind w:left="1176" w:hanging="299"/>
        <w:spacing w:after="0"/>
        <w:tabs>
          <w:tab w:leader="none" w:pos="1176"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or any of the other Loan Documents;</w:t>
      </w:r>
    </w:p>
    <w:p>
      <w:pPr>
        <w:spacing w:after="0" w:line="117" w:lineRule="exact"/>
        <w:rPr>
          <w:rFonts w:ascii="Times New Roman" w:cs="Times New Roman" w:eastAsia="Times New Roman" w:hAnsi="Times New Roman"/>
          <w:sz w:val="18"/>
          <w:szCs w:val="18"/>
          <w:color w:val="auto"/>
        </w:rPr>
      </w:pPr>
    </w:p>
    <w:p>
      <w:pPr>
        <w:ind w:left="456" w:right="160" w:firstLine="421"/>
        <w:spacing w:after="0" w:line="256" w:lineRule="auto"/>
        <w:tabs>
          <w:tab w:leader="none" w:pos="1160"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 that any LC Obligor may have at any time against a beneficiary named in a Letter of Credit, any transferee of any Letter of Credit (or any Person for whom any such transferee may be acting), the Administrative Agent, any LC Issuer, any Lender, or other Person, whether in connection with this Agreement, any Letter of Credit, the transactions contemplated herein or any unrelated transactions (including any underlying transaction between the applicable LC Obligor and the beneficiary named in any such Letter of Credit), other than any claim that the applicable LC Obligor may have against any applicable LC Issuer for gross negligence or willful misconduct of such LC Issuer in making payment under any applicable Letter of Credit;</w:t>
      </w:r>
    </w:p>
    <w:p>
      <w:pPr>
        <w:spacing w:after="0" w:line="79" w:lineRule="exact"/>
        <w:rPr>
          <w:rFonts w:ascii="Times New Roman" w:cs="Times New Roman" w:eastAsia="Times New Roman" w:hAnsi="Times New Roman"/>
          <w:sz w:val="18"/>
          <w:szCs w:val="18"/>
          <w:color w:val="auto"/>
        </w:rPr>
      </w:pPr>
    </w:p>
    <w:p>
      <w:pPr>
        <w:ind w:left="456" w:right="180" w:firstLine="421"/>
        <w:spacing w:after="0" w:line="282" w:lineRule="auto"/>
        <w:tabs>
          <w:tab w:leader="none" w:pos="1160"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certificate or other document presented under the Letter of Credit proving to be forged, fraudulent, invalid or insufficient in any respect or any statement therein being untrue or inaccurate in any respect;</w:t>
      </w:r>
    </w:p>
    <w:p>
      <w:pPr>
        <w:spacing w:after="0" w:line="53" w:lineRule="exact"/>
        <w:rPr>
          <w:rFonts w:ascii="Times New Roman" w:cs="Times New Roman" w:eastAsia="Times New Roman" w:hAnsi="Times New Roman"/>
          <w:sz w:val="18"/>
          <w:szCs w:val="18"/>
          <w:color w:val="auto"/>
        </w:rPr>
      </w:pPr>
    </w:p>
    <w:p>
      <w:pPr>
        <w:ind w:left="1176" w:hanging="299"/>
        <w:spacing w:after="0"/>
        <w:tabs>
          <w:tab w:leader="none" w:pos="1176"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or impairment of any security for the performance or observance of any of the terms of any of the Loan Documents; or</w:t>
      </w:r>
    </w:p>
    <w:p>
      <w:pPr>
        <w:spacing w:after="0" w:line="117" w:lineRule="exact"/>
        <w:rPr>
          <w:rFonts w:ascii="Times New Roman" w:cs="Times New Roman" w:eastAsia="Times New Roman" w:hAnsi="Times New Roman"/>
          <w:sz w:val="18"/>
          <w:szCs w:val="18"/>
          <w:color w:val="auto"/>
        </w:rPr>
      </w:pPr>
    </w:p>
    <w:p>
      <w:pPr>
        <w:ind w:left="1156" w:hanging="279"/>
        <w:spacing w:after="0"/>
        <w:tabs>
          <w:tab w:leader="none" w:pos="1156"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225" w:lineRule="exact"/>
        <w:rPr>
          <w:rFonts w:ascii="Times New Roman" w:cs="Times New Roman" w:eastAsia="Times New Roman" w:hAnsi="Times New Roman"/>
          <w:sz w:val="18"/>
          <w:szCs w:val="18"/>
          <w:color w:val="auto"/>
        </w:rPr>
      </w:pPr>
    </w:p>
    <w:p>
      <w:pPr>
        <w:ind w:left="-464" w:firstLine="464"/>
        <w:spacing w:after="0" w:line="256" w:lineRule="auto"/>
        <w:tabs>
          <w:tab w:leader="none" w:pos="20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LC Issuer is not indemnified by the applicable Borrower or any LC Obligor, the LC Participants will reimburse and indemnify such LC Issuer, in proportion to their respective Revolving Facility Percentages, for and against any and all liabilities, obligations, losses, damages, penalties, claims, actions, judgments, costs, expenses or disbursements of whatsoever kind or nature that may be imposed on, asserted against or incurred by such LC Issuer in performing its respective duties in any way related to or arising out of LC Issuances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LC Participants shall be liable for any portion of such liabilities, obligations, losses, damages, penalties, claims, actions, judgments, costs, expenses or disbursements resulting from such LC Issuer’s gross negligence or willful misconduct.</w:t>
      </w:r>
    </w:p>
    <w:p>
      <w:pPr>
        <w:sectPr>
          <w:pgSz w:w="11900" w:h="16838" w:orient="portrait"/>
          <w:cols w:equalWidth="0" w:num="1">
            <w:col w:w="10956"/>
          </w:cols>
          <w:pgMar w:left="704" w:top="270" w:right="239" w:bottom="1440" w:gutter="0" w:footer="0" w:header="0"/>
        </w:sectPr>
      </w:pPr>
    </w:p>
    <w:bookmarkStart w:id="239" w:name="page240"/>
    <w:bookmarkEnd w:id="239"/>
    <w:p>
      <w:pPr>
        <w:ind w:left="220" w:hanging="216"/>
        <w:spacing w:after="0"/>
        <w:tabs>
          <w:tab w:leader="none" w:pos="2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43"/>
        <w:spacing w:after="0" w:line="252" w:lineRule="auto"/>
        <w:tabs>
          <w:tab w:leader="none" w:pos="653"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Cash Collateralization</w:t>
      </w:r>
      <w:r>
        <w:rPr>
          <w:rFonts w:ascii="Times New Roman" w:cs="Times New Roman" w:eastAsia="Times New Roman" w:hAnsi="Times New Roman"/>
          <w:sz w:val="18"/>
          <w:szCs w:val="18"/>
          <w:color w:val="auto"/>
        </w:rPr>
        <w:t>. If any Event of Default shall occur and be continuing, on the Business Day that the Company receives notice from the Administrative Agent demanding the deposit of cash collateral pursuant to this paragraph, the U.S. Borrower shall deposit in an account with the Administrative Agent, in the name of the Administrative Agent and for the benefit of the Secured Creditors (the “</w:t>
      </w:r>
      <w:r>
        <w:rPr>
          <w:rFonts w:ascii="Times New Roman" w:cs="Times New Roman" w:eastAsia="Times New Roman" w:hAnsi="Times New Roman"/>
          <w:sz w:val="18"/>
          <w:szCs w:val="18"/>
          <w:u w:val="single" w:color="auto"/>
          <w:color w:val="auto"/>
        </w:rPr>
        <w:t>U.S. LC Collateral Account</w:t>
      </w:r>
      <w:r>
        <w:rPr>
          <w:rFonts w:ascii="Times New Roman" w:cs="Times New Roman" w:eastAsia="Times New Roman" w:hAnsi="Times New Roman"/>
          <w:sz w:val="18"/>
          <w:szCs w:val="18"/>
          <w:color w:val="auto"/>
        </w:rPr>
        <w:t xml:space="preserve">”), an amount in cash equal to 105% the total U.S. LC Outstandings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Credit Party described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Such deposit shall be held by the Administrative Agent as collateral for the payment and performance of the Obligations. The Administrative Agent shall have exclusive dominion and control, including the exclusive right of withdrawal, over the U.S. LC Collateral Account, and the U.S. Borrower hereby grants the Administrative Agent a security interest in the U.S. LC Collateral Account. Other than any interest earned on the investment of such deposits, which investments shall be made at the option and sole discretion of the Administrative Agent and at the U.S. Borrower’s risk and expense, such deposits shall not bear interest. Interest or profits, if any, on such investments shall accumulate in such account. Monies in such account shall be applied by the Administrative Agent to reimburse the U.S. LC Issuers for Unpaid Drawings for which it has not been reimbursed and, to the extent not so applied, shall be held for the satisfaction of the reimbursement obligations of the U.S. Borrower for the total U.S. LC Outstandings at such time or, if the maturity of the Loans has been accelerated, be applied to satisfy other Obligations.</w:t>
      </w:r>
    </w:p>
    <w:p>
      <w:pPr>
        <w:spacing w:after="0" w:line="90" w:lineRule="exact"/>
        <w:rPr>
          <w:rFonts w:ascii="Times New Roman" w:cs="Times New Roman" w:eastAsia="Times New Roman" w:hAnsi="Times New Roman"/>
          <w:sz w:val="18"/>
          <w:szCs w:val="18"/>
          <w:color w:val="auto"/>
        </w:rPr>
      </w:pPr>
    </w:p>
    <w:p>
      <w:pPr>
        <w:ind w:right="20" w:firstLine="443"/>
        <w:spacing w:after="0" w:line="252" w:lineRule="auto"/>
        <w:tabs>
          <w:tab w:leader="none" w:pos="703"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Cash Collateralization</w:t>
      </w:r>
      <w:r>
        <w:rPr>
          <w:rFonts w:ascii="Times New Roman" w:cs="Times New Roman" w:eastAsia="Times New Roman" w:hAnsi="Times New Roman"/>
          <w:sz w:val="18"/>
          <w:szCs w:val="18"/>
          <w:color w:val="auto"/>
        </w:rPr>
        <w:t>. If any Event of Default shall occur and be continuing, on the Business Day that the Dutch Borrower receives notice from the Administrative Agent demanding the deposit of cash collateral pursuant to this paragraph, the Dutch Borrower shall deposit in an account with the Foreign Collateral Agent, in the name of the Foreign Collateral Agent and for the benefit of the Dutch Secured Creditors (the “</w:t>
      </w:r>
      <w:r>
        <w:rPr>
          <w:rFonts w:ascii="Times New Roman" w:cs="Times New Roman" w:eastAsia="Times New Roman" w:hAnsi="Times New Roman"/>
          <w:sz w:val="18"/>
          <w:szCs w:val="18"/>
          <w:u w:val="single" w:color="auto"/>
          <w:color w:val="auto"/>
        </w:rPr>
        <w:t>Dutch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105% the total Dutch LC Outstandings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Credit Party described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Such deposit shall be held by the Foreign Collateral Agent as collateral for the payment and performance of the Dutch Obligations. The Foreign Collateral Agent shall have exclusive dominion and control, including the exclusive right of withdrawal, over the Dutch LC Collateral Account, and the Dutch Borrower hereby grants the Foreign Collateral Agent Lien on and/or a security interest in the Dutch LC Collateral Account. Other than any interest earned on the investment of such deposits, which investments shall be made at the option and sole discretion of the Foreign Collateral Agent and at the Dutch Borrower’s risk and expense, such deposits shall not bear interest. Interest or profits, if any, on such investments shall accumulate in such account. Monies in such account shall be applied by the Foreign Collateral Agent to reimburse the Dutch LC Issuers for Unpaid Drawings for which it has not been reimbursed and, to the extent not so applied, shall be held for the satisfaction of the reimbursement obligations of the Dutch Borrower for the total Dutch LC Outstandings at such time or, if the maturity of the Loans has been accelerated, be applied to satisfy other Dutch Obligations.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right="340" w:firstLine="464"/>
        <w:spacing w:after="0" w:line="282" w:lineRule="auto"/>
        <w:tabs>
          <w:tab w:leader="none" w:pos="24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Notice</w:t>
      </w:r>
      <w:r>
        <w:rPr>
          <w:rFonts w:ascii="Times New Roman" w:cs="Times New Roman" w:eastAsia="Times New Roman" w:hAnsi="Times New Roman"/>
          <w:sz w:val="18"/>
          <w:szCs w:val="18"/>
          <w:color w:val="auto"/>
        </w:rPr>
        <w:t>. Each Borrowing of a Loan (other than a Continuation or Conversion) shall be made upon notice in the form provided for below which shall be provided by the applicable</w:t>
      </w:r>
    </w:p>
    <w:p>
      <w:pPr>
        <w:sectPr>
          <w:pgSz w:w="11900" w:h="16838" w:orient="portrait"/>
          <w:cols w:equalWidth="0" w:num="1">
            <w:col w:w="10960"/>
          </w:cols>
          <w:pgMar w:left="700" w:top="270" w:right="239" w:bottom="1440" w:gutter="0" w:footer="0" w:header="0"/>
        </w:sectPr>
      </w:pPr>
    </w:p>
    <w:bookmarkStart w:id="240" w:name="page241"/>
    <w:bookmarkEnd w:id="240"/>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to the Administrative Agent, in the case of a U.S. Revolving Loan, and the Foreign Collateral Agent and the Administrative Agent, in the case of a Dutch Revolving Loan, in each case, at its Notice Office not later than (i) in the case of each Borrowing of a LIBOR Loan and each Borrowing to be denominated in Euros, 11:00 A.M. (local time at its Notice Office) at least three Business Days’ prior to the date of such Borrowing, (ii) in the case of each Borrowing of a Base Rate Loan, prior to 11:00 A.M. (local time at its Notice Office) on the proposed date of such Borrowing, (iii) in the case of any Borrowing under the U.S. Swing Line Facility, prior to 4:00 P.M. (local time at Administrative Agent’s Notice Office) on the proposed date of such Borrowing, and (iv) in the case of any Borrowing to be denominated in Euros under the Dutch Swing Line Facility, prior to 11:00 A.M. (local time at Foreign Collateral Agent’s Notice Office) on the proposed date of such Borrowing.</w:t>
      </w:r>
    </w:p>
    <w:p>
      <w:pPr>
        <w:spacing w:after="0" w:line="189" w:lineRule="exact"/>
        <w:rPr>
          <w:sz w:val="20"/>
          <w:szCs w:val="20"/>
          <w:color w:val="auto"/>
        </w:rPr>
      </w:pPr>
    </w:p>
    <w:p>
      <w:pPr>
        <w:ind w:right="160" w:firstLine="464"/>
        <w:spacing w:after="0" w:line="254" w:lineRule="auto"/>
        <w:tabs>
          <w:tab w:leader="none" w:pos="71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Each request for a Borrowing (other than a Continuation or Conversion) shall be made by an Authorized Officer of the applicable Borrower by delivering written notice of such request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hereto (each such notice,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or by electronic transmission or telephone (to be confirmed immediately in writing by delivery by an Authorized Officer of the applicable Borrower of a Notice of Borrowing), and in any event each such request shall be irrevocable and shall specify (i) the aggregate principal amount of the Loans to be made pursuant to such Borrowing, and whether such Borrowing is to be made in Dollars or Euro, (ii) the date of the Borrowing (which shall be a Business Day),</w:t>
      </w:r>
    </w:p>
    <w:p>
      <w:pPr>
        <w:spacing w:after="0" w:line="3" w:lineRule="exact"/>
        <w:rPr>
          <w:rFonts w:ascii="Times New Roman" w:cs="Times New Roman" w:eastAsia="Times New Roman" w:hAnsi="Times New Roman"/>
          <w:sz w:val="18"/>
          <w:szCs w:val="18"/>
          <w:color w:val="auto"/>
        </w:rPr>
      </w:pPr>
    </w:p>
    <w:p>
      <w:pPr>
        <w:ind w:firstLine="8"/>
        <w:spacing w:after="0" w:line="252" w:lineRule="auto"/>
        <w:tabs>
          <w:tab w:leader="none" w:pos="31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Type of Loans such Borrowing will consist of, and (iv) if applicable, the initial Interest Period or the Swing Loan Maturity Date (which shall be less than seven days). Without in any way limiting the obligation of the Borrowers to confirm in writing any telephonic notice permitted to be given hereunder, the Administrative Agent or Foreign Collateral Agent, as applicable, may act prior to receipt of written confirmation without liability upon the basis of such telephonic notice believed by the Administrative Agent or Foreign Collateral Agent in good faith to be from an Authorized Officer of the Borrowers entitled to give telephonic notices under this Agreement on behalf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Foreign Collateral Agent shall, on the date of such Borrowing, provide electronic or telephonic notice (to be followed by written confirmation) to the Administrative Agent. In each such case, the Administrative Agent’s or Foreign Collateral Agent’s record of the terms of such telephonic notice shall be conclusive absent manifest error.</w:t>
      </w:r>
    </w:p>
    <w:p>
      <w:pPr>
        <w:spacing w:after="0" w:line="189"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Borrowing Amount</w:t>
      </w:r>
      <w:r>
        <w:rPr>
          <w:rFonts w:ascii="Times New Roman" w:cs="Times New Roman" w:eastAsia="Times New Roman" w:hAnsi="Times New Roman"/>
          <w:sz w:val="18"/>
          <w:szCs w:val="18"/>
          <w:color w:val="auto"/>
        </w:rPr>
        <w:t>. The aggregate principal amount of each Borrowing by the Borrowers shall not be less than the Minimum Borrowing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204" w:lineRule="exact"/>
        <w:rPr>
          <w:rFonts w:ascii="Times New Roman" w:cs="Times New Roman" w:eastAsia="Times New Roman" w:hAnsi="Times New Roman"/>
          <w:sz w:val="18"/>
          <w:szCs w:val="18"/>
          <w:color w:val="auto"/>
        </w:rPr>
      </w:pPr>
    </w:p>
    <w:p>
      <w:pPr>
        <w:ind w:right="60" w:firstLine="464"/>
        <w:spacing w:after="0" w:line="261" w:lineRule="auto"/>
        <w:tabs>
          <w:tab w:leader="none" w:pos="71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Borrowings</w:t>
      </w:r>
      <w:r>
        <w:rPr>
          <w:rFonts w:ascii="Times New Roman" w:cs="Times New Roman" w:eastAsia="Times New Roman" w:hAnsi="Times New Roman"/>
          <w:sz w:val="18"/>
          <w:szCs w:val="18"/>
          <w:color w:val="auto"/>
        </w:rPr>
        <w:t xml:space="preserve">. More than one Borrowing may be incurred by the Borrowers on any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if there are two or more Borrowings on a single day by the Borrowers that consist of LIBOR Loans, each such Borrowing shall have a different initial Interest Period, and (ii) at no time shall there be more than (A) three Borrowings of LIBOR Loans outstanding under the Dutch Credit Facility or (B) six Borrowings of LIBOR Loans outstanding under the U.S. Credit Facility.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Obligations; Disbursement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55" w:lineRule="auto"/>
        <w:tabs>
          <w:tab w:leader="none" w:pos="70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Several Nature of Funding Obligations</w:t>
      </w:r>
      <w:r>
        <w:rPr>
          <w:rFonts w:ascii="Times New Roman" w:cs="Times New Roman" w:eastAsia="Times New Roman" w:hAnsi="Times New Roman"/>
          <w:sz w:val="18"/>
          <w:szCs w:val="18"/>
          <w:color w:val="auto"/>
        </w:rPr>
        <w:t xml:space="preserve">. The Revolving Commitment of each Lender hereunder and the obligation of each Lender to make Loans, acquire and fund Swing Loan Participations, and LC Participations, as the case may be, are several and not joint obligations. No Lender shall be responsible for any default by any other Lender in its obligation to make Loans or fund any participation hereunder and each Lender shall be obligated to make the Loans provided to be made by it and fund its participations required to be funded by it hereunder, regardless of the failure of any other Lender to fulfill any of its Revolving Commitment hereunder. Nothing herein and no subsequent termination of the Revolving Commitments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deemed to relieve any Lender from its obligation to fulfill its commitments hereunder and in existence from time to time or to prejudice any rights that the Borrowers may have against any Lender as a result of any default by such Lender hereunder.</w:t>
      </w:r>
    </w:p>
    <w:p>
      <w:pPr>
        <w:sectPr>
          <w:pgSz w:w="11900" w:h="16838" w:orient="portrait"/>
          <w:cols w:equalWidth="0" w:num="1">
            <w:col w:w="11420"/>
          </w:cols>
          <w:pgMar w:left="240" w:top="270" w:right="239" w:bottom="1440" w:gutter="0" w:footer="0" w:header="0"/>
        </w:sectPr>
      </w:pPr>
    </w:p>
    <w:bookmarkStart w:id="241" w:name="page242"/>
    <w:bookmarkEnd w:id="241"/>
    <w:p>
      <w:pPr>
        <w:ind w:left="-464" w:right="60" w:firstLine="464"/>
        <w:spacing w:after="0" w:line="257" w:lineRule="auto"/>
        <w:tabs>
          <w:tab w:leader="none" w:pos="24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 Rata</w:t>
      </w:r>
      <w:r>
        <w:rPr>
          <w:rFonts w:ascii="Times New Roman" w:cs="Times New Roman" w:eastAsia="Times New Roman" w:hAnsi="Times New Roman"/>
          <w:sz w:val="18"/>
          <w:szCs w:val="18"/>
          <w:color w:val="auto"/>
        </w:rPr>
        <w:t xml:space="preserve">. Except with respect to the making of Swing Loans by the Swing Line Lender, all Loans hereunder shall be made as follows: all Revolving Loans and LC Loans made, and LC Participations acquired by each Lender, shall be made or acquired, as the case may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upon each Lender’s (i) Dutch Revolving Facility Percentage of the amount of a Dutch Revolving Borrowing or a Dutch Letter of Credit in effect on the date the applicable Dutch Revolving Borrowing is to be made or the Dutch Letter of Credit is to be issued and (ii) U.S. Revolving Facility Percentage of the amount of a U.S. Revolving Borrowing or a U.S. Letter of Credit in effect on the date the applicable U.S. Revolving Borrowing is to be made or the U.S. Letter of Credit is to be issued.</w:t>
      </w:r>
    </w:p>
    <w:p>
      <w:pPr>
        <w:spacing w:after="0" w:line="184" w:lineRule="exact"/>
        <w:rPr>
          <w:rFonts w:ascii="Times New Roman" w:cs="Times New Roman" w:eastAsia="Times New Roman" w:hAnsi="Times New Roman"/>
          <w:sz w:val="18"/>
          <w:szCs w:val="18"/>
          <w:color w:val="auto"/>
        </w:rPr>
      </w:pPr>
    </w:p>
    <w:p>
      <w:pPr>
        <w:ind w:left="-464" w:right="80" w:firstLine="464"/>
        <w:spacing w:after="0" w:line="261" w:lineRule="auto"/>
        <w:tabs>
          <w:tab w:leader="none" w:pos="23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Lenders</w:t>
      </w:r>
      <w:r>
        <w:rPr>
          <w:rFonts w:ascii="Times New Roman" w:cs="Times New Roman" w:eastAsia="Times New Roman" w:hAnsi="Times New Roman"/>
          <w:sz w:val="18"/>
          <w:szCs w:val="18"/>
          <w:color w:val="auto"/>
        </w:rPr>
        <w:t>. The Administrative Agent or the Foreign Collateral Agent, as applicable, shall promptly give each Lender, as applicable, written notice (or telephonic notice promptly confirmed in writing) of each proposed Borrowing, or Conversion or Continuation thereof, and LC Issuance, and of such Lender’s proportionate share thereof or participation therein and of the other matters covered by the Notice of Borrowing, Notice of Continuation or Conversion, or LC Request, as the case may be, relating thereto.</w:t>
      </w:r>
    </w:p>
    <w:p>
      <w:pPr>
        <w:spacing w:after="0" w:line="180"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60" w:firstLine="443"/>
        <w:spacing w:after="0" w:line="255" w:lineRule="auto"/>
        <w:tabs>
          <w:tab w:leader="none" w:pos="64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Generally</w:t>
      </w:r>
      <w:r>
        <w:rPr>
          <w:rFonts w:ascii="Times New Roman" w:cs="Times New Roman" w:eastAsia="Times New Roman" w:hAnsi="Times New Roman"/>
          <w:sz w:val="18"/>
          <w:szCs w:val="18"/>
          <w:color w:val="auto"/>
        </w:rPr>
        <w:t xml:space="preserve">. No later than 2:00 P.M. (local time at the Payment Office) on the date specified in each Notice of Borrowing, each Lender will make available its amount, if any, of each Borrowing requested to be made on such date to the Administrative Agent or Foreign Collateral Agent, as applicable, at the Payment Office in Dollars or Euros, as applicable, and in immediately available funds and the Administrative Agent or Foreign Collateral Agent, as applicable, promptly will make available to the applicable Borrowers by depositing to its account at the Payment Office (or such other account as the applicable Borrowers shall specify) the aggregate of the amounts so made available in the type of funds received. For the avoidance of doubt, no Lender shall be required to make available any amount of any Borrowing in Euros until the third Business Day after it shall have received the notice required under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above.</w:t>
      </w:r>
    </w:p>
    <w:p>
      <w:pPr>
        <w:spacing w:after="0" w:line="81" w:lineRule="exact"/>
        <w:rPr>
          <w:rFonts w:ascii="Times New Roman" w:cs="Times New Roman" w:eastAsia="Times New Roman" w:hAnsi="Times New Roman"/>
          <w:sz w:val="18"/>
          <w:szCs w:val="18"/>
          <w:color w:val="auto"/>
        </w:rPr>
      </w:pPr>
    </w:p>
    <w:p>
      <w:pPr>
        <w:jc w:val="both"/>
        <w:ind w:left="-4" w:right="180" w:firstLine="443"/>
        <w:spacing w:after="0" w:line="266" w:lineRule="auto"/>
        <w:tabs>
          <w:tab w:leader="none" w:pos="69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 No later than 2:00 P.M. (local time at the Payment Office) on the date specified in each Notice of Borrowing, the Swing Line Lender will make available to the Borrowers by depositing to its account at the Payment Office (or such other account as the Borrowers shall specify) the aggregate of Swing Loans requested in such Notice of Borrowing.</w:t>
      </w:r>
    </w:p>
    <w:p>
      <w:pPr>
        <w:spacing w:after="0" w:line="176" w:lineRule="exact"/>
        <w:rPr>
          <w:rFonts w:ascii="Times New Roman" w:cs="Times New Roman" w:eastAsia="Times New Roman" w:hAnsi="Times New Roman"/>
          <w:sz w:val="18"/>
          <w:szCs w:val="18"/>
          <w:color w:val="auto"/>
        </w:rPr>
      </w:pPr>
    </w:p>
    <w:p>
      <w:pPr>
        <w:ind w:left="-464" w:firstLine="464"/>
        <w:spacing w:after="0" w:line="254" w:lineRule="auto"/>
        <w:tabs>
          <w:tab w:leader="none" w:pos="23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Funding</w:t>
      </w:r>
      <w:r>
        <w:rPr>
          <w:rFonts w:ascii="Times New Roman" w:cs="Times New Roman" w:eastAsia="Times New Roman" w:hAnsi="Times New Roman"/>
          <w:sz w:val="18"/>
          <w:szCs w:val="18"/>
          <w:color w:val="auto"/>
        </w:rPr>
        <w:t>. Unless the Administrative Agent or Foreign Collateral Agent, as applicable, shall have been notified by any Lender prior to the date of Borrowing that such Lender does not intend to make available to the Administrative Agent or Foreign Collateral Agent its portion of the Borrowing or Borrowings to be made on such date, the Administrative Agent or the Foreign Collateral Agent may assume that such Lender has made such amount available to the Administrative Agent or Foreign collateral Agent on such date of Borrowing, and the Administrative Agent or Foreign Collateral Agent, in reliance upon such assumption, may (in its sole discretion and without any obligation to do so) make available to the applicable Borrower a corresponding amount. If such corresponding amount is not in fact made available to the Administrative Agent or the Foreign Collateral Agent by such Lender and the Administrative Agent or Foreign Collateral Agent has made the same available to the applicable Borrower, the Administrative Agent or Foreign Collateral Agent, as applicable, shall be entitled to recover such corresponding amount from such Lender. If such Lender does not pay such corresponding amount forthwith upon the Administrative Agent’s or Foreign Collateral Agent’s demand therefor, the Administrative Agent or Foreign Collateral Agent shall promptly notify the applicable Borrower, and the</w:t>
      </w:r>
    </w:p>
    <w:p>
      <w:pPr>
        <w:sectPr>
          <w:pgSz w:w="11900" w:h="16838" w:orient="portrait"/>
          <w:cols w:equalWidth="0" w:num="1">
            <w:col w:w="10956"/>
          </w:cols>
          <w:pgMar w:left="704" w:top="268" w:right="239" w:bottom="1440" w:gutter="0" w:footer="0" w:header="0"/>
        </w:sectPr>
      </w:pPr>
    </w:p>
    <w:bookmarkStart w:id="242" w:name="page243"/>
    <w:bookmarkEnd w:id="24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Borrower shall immediately pay such corresponding amount to the Administrative Agent or Foreign Collateral Agent, as applicable. The Administrative Agent or Foreign Collateral Agent shall also be entitled to recover from such Lender or the applicable Borrower, as the case may be, interest on such corresponding amount in respect of each day from the date such corresponding amount was made available by the Administrative Agent or Foreign Collateral Agent to the applicable Borrower to the date such corresponding amount is recovered by the Administrative Agent or Foreign Collateral Agent at a rate per annum equal to (i) if paid by such Lender, the overnight Federal Funds Effective Rate or (ii) if paid by the applicable Borrower, the then applicable rate of interest, calculated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for the respective Loans (but without any requirement to pay any amounts in respect thereof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Evidence of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464"/>
        <w:spacing w:after="0" w:line="266" w:lineRule="auto"/>
        <w:tabs>
          <w:tab w:leader="none" w:pos="70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Accounts of Lenders</w:t>
      </w:r>
      <w:r>
        <w:rPr>
          <w:rFonts w:ascii="Times New Roman" w:cs="Times New Roman" w:eastAsia="Times New Roman" w:hAnsi="Times New Roman"/>
          <w:sz w:val="18"/>
          <w:szCs w:val="18"/>
          <w:color w:val="auto"/>
        </w:rPr>
        <w:t>. Each Lender shall maintain in accordance with its usual practice an account or accounts evidencing the Obligations of the applicable Borrower to such Lender resulting from each Loan made by such Lender, including the amounts of principal and interest payable and paid to such Lender from time to time hereunder.</w:t>
      </w:r>
    </w:p>
    <w:p>
      <w:pPr>
        <w:spacing w:after="0" w:line="176" w:lineRule="exact"/>
        <w:rPr>
          <w:rFonts w:ascii="Times New Roman" w:cs="Times New Roman" w:eastAsia="Times New Roman" w:hAnsi="Times New Roman"/>
          <w:sz w:val="18"/>
          <w:szCs w:val="18"/>
          <w:color w:val="auto"/>
        </w:rPr>
      </w:pPr>
    </w:p>
    <w:p>
      <w:pPr>
        <w:ind w:firstLine="464"/>
        <w:spacing w:after="0" w:line="254" w:lineRule="auto"/>
        <w:tabs>
          <w:tab w:leader="none" w:pos="71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Accounts of Administrative Agent and Foreign Collateral Agent; Lender Register</w:t>
      </w:r>
      <w:r>
        <w:rPr>
          <w:rFonts w:ascii="Times New Roman" w:cs="Times New Roman" w:eastAsia="Times New Roman" w:hAnsi="Times New Roman"/>
          <w:sz w:val="18"/>
          <w:szCs w:val="18"/>
          <w:color w:val="auto"/>
        </w:rPr>
        <w:t>. Each of the Administrative Agent and the Foreign Collateral Agent shall maintain accounts in which it shall record: (i) the amount of each applicable Loan and Borrowing made hereunder, the Type thereof, the currency in which such Loan is denominated, the Interest Period and applicable interest rate and, in the case of a Swing Loan, the Swing Loan Maturity Date applicable thereto; (ii) the amount and other details with respect to each applicable Letter of Credit issued hereunder; (iii) the amount of any principal due and payable or to become due and payable from the applicable Borrower to each applicable Lender hereunder; (iv) the amount of any sum received by the Administrative Agent or Foreign Collateral Agent, as applicable, hereunder for the account of the Lenders and each Lender’s share thereof; and (v) the other details relating to the applicable Loans, Letters of Credit and other Obligations. In addition, the Administrative Agent shall maintain a register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on or in which it will record the names and addresses of the Lenders, and the Revolving Commitments from time to time of each of the Lenders. The Administrative Agent will make the Lender Register available to any Lender or the applicable Borrower upon its request.</w:t>
      </w:r>
    </w:p>
    <w:p>
      <w:pPr>
        <w:spacing w:after="0" w:line="187" w:lineRule="exact"/>
        <w:rPr>
          <w:rFonts w:ascii="Times New Roman" w:cs="Times New Roman" w:eastAsia="Times New Roman" w:hAnsi="Times New Roman"/>
          <w:sz w:val="18"/>
          <w:szCs w:val="18"/>
          <w:color w:val="auto"/>
        </w:rPr>
      </w:pPr>
    </w:p>
    <w:p>
      <w:pPr>
        <w:jc w:val="both"/>
        <w:ind w:firstLine="464"/>
        <w:spacing w:after="0" w:line="261" w:lineRule="auto"/>
        <w:tabs>
          <w:tab w:leader="none" w:pos="70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Loan Accounts, etc</w:t>
      </w:r>
      <w:r>
        <w:rPr>
          <w:rFonts w:ascii="Times New Roman" w:cs="Times New Roman" w:eastAsia="Times New Roman" w:hAnsi="Times New Roman"/>
          <w:sz w:val="18"/>
          <w:szCs w:val="18"/>
          <w:color w:val="auto"/>
        </w:rPr>
        <w:t xml:space="preserve">. The entries made in the accounts maintained pursuant to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the Administrative Agent or Foreign Collateral Agent to maintain such accounts or any error (other than manifest error) therein shall not in any manner affect the obligation of any Credit Party to repay or prepay the Loans or the other Obligations in accordance with the terms of this Agreement.</w:t>
      </w:r>
    </w:p>
    <w:p>
      <w:pPr>
        <w:spacing w:after="0" w:line="182" w:lineRule="exact"/>
        <w:rPr>
          <w:rFonts w:ascii="Times New Roman" w:cs="Times New Roman" w:eastAsia="Times New Roman" w:hAnsi="Times New Roman"/>
          <w:sz w:val="18"/>
          <w:szCs w:val="18"/>
          <w:color w:val="auto"/>
        </w:rPr>
      </w:pPr>
    </w:p>
    <w:p>
      <w:pPr>
        <w:ind w:right="60" w:firstLine="464"/>
        <w:spacing w:after="0" w:line="256" w:lineRule="auto"/>
        <w:tabs>
          <w:tab w:leader="none" w:pos="71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Upon request of any Lender or the Swing Line Lender, the applicable Borrower will execute and deliver to such Lender or the Swing Line Lender, as the case may be, (i) a Revolving Facility Note with blanks appropriately completed in conformity herewith to evidence the applicable Borrower’s obligation to pay the principal of, and interest on, the Revolving Loans made to it by such Lender, and (ii) a Swing Line Note with blanks appropriately completed in conformity herewith to evidence the applicable Borrower’s obligation to pay the principal of, and interest on, the Swing Loans made to it by the Swing 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decision of any Lender or the Swing Line Lender to not request a Note shall in no way detract from the applicable Borrower’s obligation to repay the Loans and other amounts owing by the applicable Borrower to such Lender or the Swing Line Lender.</w:t>
      </w:r>
    </w:p>
    <w:p>
      <w:pPr>
        <w:sectPr>
          <w:pgSz w:w="11900" w:h="16838" w:orient="portrait"/>
          <w:cols w:equalWidth="0" w:num="1">
            <w:col w:w="11420"/>
          </w:cols>
          <w:pgMar w:left="240" w:top="270" w:right="239" w:bottom="1440" w:gutter="0" w:footer="0" w:header="0"/>
        </w:sectPr>
      </w:pPr>
    </w:p>
    <w:bookmarkStart w:id="243" w:name="page244"/>
    <w:bookmarkEnd w:id="243"/>
    <w:p>
      <w:pPr>
        <w:ind w:left="4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Interest; Default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464"/>
        <w:spacing w:after="0" w:line="258" w:lineRule="auto"/>
        <w:tabs>
          <w:tab w:leader="none" w:pos="69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on Revolving Loans</w:t>
      </w:r>
      <w:r>
        <w:rPr>
          <w:rFonts w:ascii="Times New Roman" w:cs="Times New Roman" w:eastAsia="Times New Roman" w:hAnsi="Times New Roman"/>
          <w:sz w:val="18"/>
          <w:szCs w:val="18"/>
          <w:color w:val="auto"/>
        </w:rPr>
        <w:t xml:space="preserve">. The outstanding principal amount of each Revolving Loan made by each Lender shall bear interest at a fluctuating rate per annum that shall at all times be equal to (i) during such periods as such Revolving Loan is a Base Rate Loan, the applicable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Revolving Loan Margin for such Base Rate Loan in effect from time to time and (ii) during such periods as such Revolving Loan is a LIBOR Loan, the relevant Adjusted LIBOR Rate for such LIBOR Loan for the applicable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Revolving Loan Margin for such LIBOR Loan in effect from time to time.</w:t>
      </w:r>
    </w:p>
    <w:p>
      <w:pPr>
        <w:spacing w:after="0" w:line="183" w:lineRule="exact"/>
        <w:rPr>
          <w:rFonts w:ascii="Times New Roman" w:cs="Times New Roman" w:eastAsia="Times New Roman" w:hAnsi="Times New Roman"/>
          <w:sz w:val="18"/>
          <w:szCs w:val="18"/>
          <w:color w:val="auto"/>
        </w:rPr>
      </w:pPr>
    </w:p>
    <w:p>
      <w:pPr>
        <w:ind w:left="-8" w:right="80" w:firstLine="464"/>
        <w:spacing w:after="0" w:line="282" w:lineRule="auto"/>
        <w:tabs>
          <w:tab w:leader="none" w:pos="70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on Swing Loans and LC Loans</w:t>
      </w:r>
      <w:r>
        <w:rPr>
          <w:rFonts w:ascii="Times New Roman" w:cs="Times New Roman" w:eastAsia="Times New Roman" w:hAnsi="Times New Roman"/>
          <w:sz w:val="18"/>
          <w:szCs w:val="18"/>
          <w:color w:val="auto"/>
        </w:rPr>
        <w:t>. The outstanding principal amount of each Swing Loan and LC Loan shall bear interest from the date of the Borrowing at a rate per annum that shall be equal to the Base Rate in effect from time to time plus the Applicable Revolving Loan Margin.</w:t>
      </w:r>
    </w:p>
    <w:p>
      <w:pPr>
        <w:spacing w:after="0" w:line="161" w:lineRule="exact"/>
        <w:rPr>
          <w:rFonts w:ascii="Times New Roman" w:cs="Times New Roman" w:eastAsia="Times New Roman" w:hAnsi="Times New Roman"/>
          <w:sz w:val="18"/>
          <w:szCs w:val="18"/>
          <w:color w:val="auto"/>
        </w:rPr>
      </w:pPr>
    </w:p>
    <w:p>
      <w:pPr>
        <w:ind w:left="-8" w:firstLine="464"/>
        <w:spacing w:after="0" w:line="254" w:lineRule="auto"/>
        <w:tabs>
          <w:tab w:leader="none" w:pos="69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Notwithstanding the above provisions, if an Event of Default has occurred and is continuing, upon written notice by the Administrative Agent (which notice the Administrative Agent may give in its discretion and shall give at the direction of the Required Lenders), (i) the principal amount of all Loans outstanding and, to the extent permitted by applicable law, all overdue interest in respect of each Loan and all fees or other amounts owed hereunder, shall thereafter bear interest (including post petition interest in any proceeding under the Bankruptcy Code or other applicable bankruptcy laws) payable on demand, at a rate per annum equal to the Default Rate, and (ii) the LC Fees shall be increased by an additional 2% per annum in excess of the LC Fees otherwise applicable thereto. In addition, if any amount (other than amounts as to which the foregoing subparts (i) and (ii) are applicable) payable by the applicable Borrower under the Loan Documents is not paid when due, upon written notice by the Administrative Agent (which notice the Administrative Agent may give in its discretion and shall give at the direction of the Required Lenders), such amount shall bear interest, payable on demand, at a rate per annum equal to the Default Rate.</w:t>
      </w:r>
    </w:p>
    <w:p>
      <w:pPr>
        <w:spacing w:after="0" w:line="189" w:lineRule="exact"/>
        <w:rPr>
          <w:rFonts w:ascii="Times New Roman" w:cs="Times New Roman" w:eastAsia="Times New Roman" w:hAnsi="Times New Roman"/>
          <w:sz w:val="18"/>
          <w:szCs w:val="18"/>
          <w:color w:val="auto"/>
        </w:rPr>
      </w:pPr>
    </w:p>
    <w:p>
      <w:pPr>
        <w:ind w:left="-8" w:right="40" w:firstLine="464"/>
        <w:spacing w:after="0" w:line="261" w:lineRule="auto"/>
        <w:tabs>
          <w:tab w:leader="none" w:pos="70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Accrual and Payment of Interest</w:t>
      </w:r>
      <w:r>
        <w:rPr>
          <w:rFonts w:ascii="Times New Roman" w:cs="Times New Roman" w:eastAsia="Times New Roman" w:hAnsi="Times New Roman"/>
          <w:sz w:val="18"/>
          <w:szCs w:val="18"/>
          <w:color w:val="auto"/>
        </w:rPr>
        <w:t>. Interest shall accrue from and including the date of any Borrowing to but excluding the date of any prepayment or repayment thereof and shall be payable by the Borrowers: (i) in respect of each Base Rate Loan, monthly in arrears on the first Business Day of each month;</w:t>
      </w:r>
    </w:p>
    <w:p>
      <w:pPr>
        <w:ind w:left="-8" w:firstLine="8"/>
        <w:spacing w:after="0" w:line="252" w:lineRule="auto"/>
        <w:tabs>
          <w:tab w:leader="none" w:pos="257"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each LIBOR Loan, on the last day of each Interest Period applicable thereto and, in the case of an Interest Period in excess of three months, on the dates that are successively three months after the commencement of such Interest Period; (iii) in respect of any Swing Loan, on the first Business Day of each month following the Swing Loan Maturity Date applicable thereto, payable to the Swing Line Lender that issued such Swing Loan; and (iv) in respect of all Loans, other than Revolving Loans accruing interest at a Base Rate, on any repayment, prepayment or Conversion (on the amount repaid, prepaid or Converted), at maturity (whether by acceleration or otherwise), and, after such maturity or, in the case of any interest payable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on demand.</w:t>
      </w:r>
    </w:p>
    <w:p>
      <w:pPr>
        <w:spacing w:after="0" w:line="190" w:lineRule="exact"/>
        <w:rPr>
          <w:rFonts w:ascii="Times New Roman" w:cs="Times New Roman" w:eastAsia="Times New Roman" w:hAnsi="Times New Roman"/>
          <w:sz w:val="18"/>
          <w:szCs w:val="18"/>
          <w:color w:val="auto"/>
        </w:rPr>
      </w:pPr>
    </w:p>
    <w:p>
      <w:pPr>
        <w:ind w:left="-8" w:right="100" w:firstLine="464"/>
        <w:spacing w:after="0" w:line="258" w:lineRule="auto"/>
        <w:tabs>
          <w:tab w:leader="none" w:pos="69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Computations of Interest</w:t>
      </w:r>
      <w:r>
        <w:rPr>
          <w:rFonts w:ascii="Times New Roman" w:cs="Times New Roman" w:eastAsia="Times New Roman" w:hAnsi="Times New Roman"/>
          <w:sz w:val="18"/>
          <w:szCs w:val="18"/>
          <w:color w:val="auto"/>
        </w:rPr>
        <w:t>. All computations of interest on U.S. Eurodollar Rate Loans and U.S. Swing Loans hereunder shall be made on the actual number of days elapsed over a year of 360 days. All computations of interest on U.S. Base Rate Loans and Unpaid Drawings with respect to U.S. Letters of Credit hereunder shall be made on the actual number of days elapsed over a year of 365 or 366 days, as applicable. All computations of interest on Dutch Revolving Loans, Dutch Swing Loans and Unpaid Drawings with respect to Dutch Letters of Credit hereunder shall be made on the actual number of days elapsed over a year of 360 days.</w:t>
      </w:r>
    </w:p>
    <w:p>
      <w:pPr>
        <w:spacing w:after="0" w:line="183" w:lineRule="exact"/>
        <w:rPr>
          <w:rFonts w:ascii="Times New Roman" w:cs="Times New Roman" w:eastAsia="Times New Roman" w:hAnsi="Times New Roman"/>
          <w:sz w:val="18"/>
          <w:szCs w:val="18"/>
          <w:color w:val="auto"/>
        </w:rPr>
      </w:pPr>
    </w:p>
    <w:p>
      <w:pPr>
        <w:jc w:val="both"/>
        <w:ind w:left="-8" w:right="320" w:firstLine="464"/>
        <w:spacing w:after="0" w:line="282" w:lineRule="auto"/>
        <w:tabs>
          <w:tab w:leader="none" w:pos="67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as to Interest Rates</w:t>
      </w:r>
      <w:r>
        <w:rPr>
          <w:rFonts w:ascii="Times New Roman" w:cs="Times New Roman" w:eastAsia="Times New Roman" w:hAnsi="Times New Roman"/>
          <w:sz w:val="18"/>
          <w:szCs w:val="18"/>
          <w:color w:val="auto"/>
        </w:rPr>
        <w:t>. The Administrative Agent or Foreign Collateral Agent, as applicable, upon determining the interest rate for any Borrowing, shall promptly notify the Borrowers and the Lenders thereof. Any changes in the Applicable Revolving Loan Margin, shall be determined by</w:t>
      </w:r>
    </w:p>
    <w:p>
      <w:pPr>
        <w:sectPr>
          <w:pgSz w:w="11900" w:h="16838" w:orient="portrait"/>
          <w:cols w:equalWidth="0" w:num="1">
            <w:col w:w="11392"/>
          </w:cols>
          <w:pgMar w:left="248" w:top="270" w:right="259" w:bottom="1440" w:gutter="0" w:footer="0" w:header="0"/>
        </w:sectPr>
      </w:pPr>
    </w:p>
    <w:bookmarkStart w:id="244" w:name="page245"/>
    <w:bookmarkEnd w:id="24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in accordance with the provisions set forth in the definition of “Applicable Revolving Loan Margin” and the Administrative Agent will promptly provide notice of such determinations to the Borrowers and the Lenders. Any such determination by the Administrative Agent shall be conclusive and binding absent manifest error.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Conversion and Continuation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Continuation of Revolving Loans</w:t>
      </w:r>
      <w:r>
        <w:rPr>
          <w:rFonts w:ascii="Times New Roman" w:cs="Times New Roman" w:eastAsia="Times New Roman" w:hAnsi="Times New Roman"/>
          <w:sz w:val="18"/>
          <w:szCs w:val="18"/>
          <w:color w:val="auto"/>
        </w:rPr>
        <w:t>. The Borrowers shall have the right, subject to the terms and conditions of this Agreement, to</w:t>
      </w:r>
    </w:p>
    <w:p>
      <w:pPr>
        <w:spacing w:after="0" w:line="27" w:lineRule="exact"/>
        <w:rPr>
          <w:rFonts w:ascii="Times New Roman" w:cs="Times New Roman" w:eastAsia="Times New Roman" w:hAnsi="Times New Roman"/>
          <w:sz w:val="18"/>
          <w:szCs w:val="18"/>
          <w:color w:val="auto"/>
        </w:rPr>
      </w:pPr>
    </w:p>
    <w:p>
      <w:pPr>
        <w:ind w:right="20" w:firstLine="8"/>
        <w:spacing w:after="0" w:line="252" w:lineRule="auto"/>
        <w:tabs>
          <w:tab w:leader="none" w:pos="21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 all or a portion of the outstanding principal amount of Revolving Loans of one Type made to it into a Revolving Borrowing or Revolving Borrowings of another Type of Revolving Loans that can be made to it pursuant to this Agreement and (ii) Continue a Revolving Borrowing of LIBOR Loans at the end of the applicable Interest Period as a new Revolving Borrowing of LIBOR Loans with a new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any Conversion of LIBOR Loans into Base Rate Loans shall be made on, and only on, the last day of an Interest Period for such LIBOR Loans;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 no event may a Revolving Loan be Converted into, or Continued as, a LIBOR Loan during the existence of a Default or Event of Default. No Borrowing denominated in Euro may be Converted into a Borrowing denominated in Dollars and no Borrowing denominated in Euro may be a U.S. Revolving Loan.</w:t>
      </w:r>
    </w:p>
    <w:p>
      <w:pPr>
        <w:spacing w:after="0" w:line="189" w:lineRule="exact"/>
        <w:rPr>
          <w:rFonts w:ascii="Times New Roman" w:cs="Times New Roman" w:eastAsia="Times New Roman" w:hAnsi="Times New Roman"/>
          <w:sz w:val="18"/>
          <w:szCs w:val="18"/>
          <w:color w:val="auto"/>
        </w:rPr>
      </w:pPr>
    </w:p>
    <w:p>
      <w:pPr>
        <w:ind w:firstLine="464"/>
        <w:spacing w:after="0" w:line="252" w:lineRule="auto"/>
        <w:tabs>
          <w:tab w:leader="none" w:pos="71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Continuation and Conversion</w:t>
      </w:r>
      <w:r>
        <w:rPr>
          <w:rFonts w:ascii="Times New Roman" w:cs="Times New Roman" w:eastAsia="Times New Roman" w:hAnsi="Times New Roman"/>
          <w:sz w:val="18"/>
          <w:szCs w:val="18"/>
          <w:color w:val="auto"/>
        </w:rPr>
        <w:t xml:space="preserve">. Each Continuation or Conversion of a Loan shall be made upon notice in the form provided for below provided by the applicable Borrower to the Administrative Agent or Foreign Collateral Agent, as applicable, at its Notice Office not later than (i) in the case of each Continuation of or Conversion into a LIBOR Loan, prior to 11:00 A.M. (local time at its Notice Office) at least three Business Days’ prior to the date of such Continuation or Conversion, and (ii) in the case of each Conversion to a Base Rate Loan, prior to 11:00 A.M. (local time at its Notice Office) on the proposed date of such Conversion. Each such request shall be made by an Authorized Officer of the Borrowers delivering written notice of such request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(each such notice, a “</w:t>
      </w:r>
      <w:r>
        <w:rPr>
          <w:rFonts w:ascii="Times New Roman" w:cs="Times New Roman" w:eastAsia="Times New Roman" w:hAnsi="Times New Roman"/>
          <w:sz w:val="18"/>
          <w:szCs w:val="18"/>
          <w:u w:val="single" w:color="auto"/>
          <w:color w:val="auto"/>
        </w:rPr>
        <w:t>Notice of Continuation or Conversion</w:t>
      </w:r>
      <w:r>
        <w:rPr>
          <w:rFonts w:ascii="Times New Roman" w:cs="Times New Roman" w:eastAsia="Times New Roman" w:hAnsi="Times New Roman"/>
          <w:sz w:val="18"/>
          <w:szCs w:val="18"/>
          <w:color w:val="auto"/>
        </w:rPr>
        <w:t>”) or by electronic transmission or telephone (to be confirmed immediately in writing by delivery by an Authorized Officer of a Borrower of a Notice of Continuation or Conversion), and in any event each such request shall be irrevocable and shall specify (A) the Revolving Borrowings to be Continued or Converted, (B) the date of the Continuation or Conversion (which shall be a Business Day), and (C) the Interest Period or, in the case of a Continuation, the new Interest Period. Without in any way limiting the obligation of the Borrowers to confirm in writing any telephonic notice permitted to be given hereunder, the Administrative Agent or Foreign Collateral Agent may act prior to receipt of written confirmation without liability upon the basis of such telephonic notice believed by the Administrative Agent or Foreign Collateral Agent in good faith to be from an Authorized Officer of a Borrower entitled to give telephonic notices under this Agreement on behalf of such Borrower. In each such case, the Administrative Agent’s or Foreign Collateral Agent’s record of the terms of such telephonic notice shall be conclusive absent manifest error.</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56" w:lineRule="auto"/>
        <w:tabs>
          <w:tab w:leader="none" w:pos="70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U.S. Commitment Fees</w:t>
      </w:r>
      <w:r>
        <w:rPr>
          <w:rFonts w:ascii="Times New Roman" w:cs="Times New Roman" w:eastAsia="Times New Roman" w:hAnsi="Times New Roman"/>
          <w:sz w:val="18"/>
          <w:szCs w:val="18"/>
          <w:color w:val="auto"/>
        </w:rPr>
        <w:t>. The Company agrees to pay to the Administrative Agent, for the ratable benefit of each U.S. Lender based upon each such U.S. Lender’s U.S. Revolving Facility Percentage, as consideration for the U.S. Revolving Commitments of the U.S. Lenders, commitment fees (the “</w:t>
      </w:r>
      <w:r>
        <w:rPr>
          <w:rFonts w:ascii="Times New Roman" w:cs="Times New Roman" w:eastAsia="Times New Roman" w:hAnsi="Times New Roman"/>
          <w:sz w:val="18"/>
          <w:szCs w:val="18"/>
          <w:u w:val="single" w:color="auto"/>
          <w:color w:val="auto"/>
        </w:rPr>
        <w:t>U.S. Commitment Fees</w:t>
      </w:r>
      <w:r>
        <w:rPr>
          <w:rFonts w:ascii="Times New Roman" w:cs="Times New Roman" w:eastAsia="Times New Roman" w:hAnsi="Times New Roman"/>
          <w:sz w:val="18"/>
          <w:szCs w:val="18"/>
          <w:color w:val="auto"/>
        </w:rPr>
        <w:t xml:space="preserve">”) for the period from the Closing Date to, but not including, the Revolving Facility Termination Date, computed for each day at a rate per annum equal to (i) the Applicable Commitment Fee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Unused Total U.S. Commitment in effect on such day. Accrued U.S. Commitment Fees shall be due and payable in U.S. Dollars in arrears on the first Business Day of each month and on the Revolving Facility Termination Date.</w:t>
      </w:r>
    </w:p>
    <w:p>
      <w:pPr>
        <w:sectPr>
          <w:pgSz w:w="11900" w:h="16838" w:orient="portrait"/>
          <w:cols w:equalWidth="0" w:num="1">
            <w:col w:w="11400"/>
          </w:cols>
          <w:pgMar w:left="240" w:top="270" w:right="259" w:bottom="1440" w:gutter="0" w:footer="0" w:header="0"/>
        </w:sectPr>
      </w:pPr>
    </w:p>
    <w:bookmarkStart w:id="245" w:name="page246"/>
    <w:bookmarkEnd w:id="245"/>
    <w:p>
      <w:pPr>
        <w:ind w:left="-4" w:right="80" w:firstLine="443"/>
        <w:spacing w:after="0" w:line="256" w:lineRule="auto"/>
        <w:tabs>
          <w:tab w:leader="none" w:pos="699"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Dutch Commitment Fees</w:t>
      </w:r>
      <w:r>
        <w:rPr>
          <w:rFonts w:ascii="Times New Roman" w:cs="Times New Roman" w:eastAsia="Times New Roman" w:hAnsi="Times New Roman"/>
          <w:sz w:val="18"/>
          <w:szCs w:val="18"/>
          <w:color w:val="auto"/>
        </w:rPr>
        <w:t>. The Company agrees to pay to the Administrative Agent, for the ratable benefit of each Dutch Lender based upon each such Dutch Lender’s Dutch Revolving Facility Percentage, as consideration for the Dutch Revolving Commitments of the Dutch Lenders, commitment fees (the “</w:t>
      </w:r>
      <w:r>
        <w:rPr>
          <w:rFonts w:ascii="Times New Roman" w:cs="Times New Roman" w:eastAsia="Times New Roman" w:hAnsi="Times New Roman"/>
          <w:sz w:val="18"/>
          <w:szCs w:val="18"/>
          <w:u w:val="single" w:color="auto"/>
          <w:color w:val="auto"/>
        </w:rPr>
        <w:t>Dutch Commitment Fees</w:t>
      </w:r>
      <w:r>
        <w:rPr>
          <w:rFonts w:ascii="Times New Roman" w:cs="Times New Roman" w:eastAsia="Times New Roman" w:hAnsi="Times New Roman"/>
          <w:sz w:val="18"/>
          <w:szCs w:val="18"/>
          <w:color w:val="auto"/>
        </w:rPr>
        <w:t xml:space="preserve">”) for the period from the Closing Date to, but not including, the Revolving Facility Termination Date, computed for each day at a rate per annum equal to (i) the Applicable Commitment Fee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Unused Total Dutch Commitment in effect on such day. Accrued Dutch Commitment Fees shall be due and payable in U.S. Dollars in arrears on the first Business Day of each month and on the Revolving Facility Termination Date.</w:t>
      </w:r>
    </w:p>
    <w:p>
      <w:pPr>
        <w:spacing w:after="0" w:line="187" w:lineRule="exact"/>
        <w:rPr>
          <w:rFonts w:ascii="Times New Roman" w:cs="Times New Roman" w:eastAsia="Times New Roman" w:hAnsi="Times New Roman"/>
          <w:sz w:val="18"/>
          <w:szCs w:val="18"/>
          <w:color w:val="auto"/>
        </w:rPr>
      </w:pPr>
    </w:p>
    <w:p>
      <w:pPr>
        <w:ind w:left="-464" w:right="40" w:firstLine="464"/>
        <w:spacing w:after="0" w:line="255" w:lineRule="auto"/>
        <w:tabs>
          <w:tab w:leader="none" w:pos="24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Fees</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U.S. Standby Letters of Credit</w:t>
      </w:r>
      <w:r>
        <w:rPr>
          <w:rFonts w:ascii="Times New Roman" w:cs="Times New Roman" w:eastAsia="Times New Roman" w:hAnsi="Times New Roman"/>
          <w:sz w:val="18"/>
          <w:szCs w:val="18"/>
          <w:color w:val="auto"/>
        </w:rPr>
        <w:t xml:space="preserve">. The Company agrees to pay to the Administrative Agent, for the ratable benefit of each U.S. Lender based upon each such U.S. Lender’s U.S. Revolving Facility Percentage, a fee in respect of each U.S. Letter of Credit issued hereunder that is a Standby Letter of Credit for the period from the date of issuance of such U.S. Letter of Credit until the expiration date thereof (including any extensions of such expiration date that may be made at the election of the account party or the beneficiary), computed for each day at a rate per annum equal to (A) the Applicable Revolving Loan Margin for Revolving Loans that are LIBOR Loans in effect on such day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Stated Amount of such Letter of Credit on such day. The foregoing fees shall be payable quarterly in arrears on the first Business Day of each April, July, October and January and on the Revolving Facility Termination Date.</w:t>
      </w:r>
    </w:p>
    <w:p>
      <w:pPr>
        <w:spacing w:after="0" w:line="81" w:lineRule="exact"/>
        <w:rPr>
          <w:rFonts w:ascii="Times New Roman" w:cs="Times New Roman" w:eastAsia="Times New Roman" w:hAnsi="Times New Roman"/>
          <w:sz w:val="18"/>
          <w:szCs w:val="18"/>
          <w:color w:val="auto"/>
        </w:rPr>
      </w:pPr>
    </w:p>
    <w:p>
      <w:pPr>
        <w:ind w:left="-4" w:right="100" w:firstLine="443"/>
        <w:spacing w:after="0" w:line="255" w:lineRule="auto"/>
        <w:tabs>
          <w:tab w:leader="none" w:pos="69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Standby Letters of Credit</w:t>
      </w:r>
      <w:r>
        <w:rPr>
          <w:rFonts w:ascii="Times New Roman" w:cs="Times New Roman" w:eastAsia="Times New Roman" w:hAnsi="Times New Roman"/>
          <w:sz w:val="18"/>
          <w:szCs w:val="18"/>
          <w:color w:val="auto"/>
        </w:rPr>
        <w:t xml:space="preserve">. The Dutch Borrower agrees to pay to the Foreign Collateral Agent, for the ratable benefit of each Dutch Lender based upon each such Dutch Lender’s Dutch Revolving Facility Percentage, a fee in respect of each Dutch Letter of Credit issued hereunder that is a Standby Letter of Credit for the period from the date of issuance of such Dutch Letter of Credit until the expiration date thereof (including any extensions of such expiration date that may be made at the election of the account party or the beneficiary), computed for each day at a rate per annum equal to (A) the Applicable Revolving Loan Margin for Revolving Loans that are LIBOR Loans in effect on such day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Stated Amount of such Letter of Credit on such day. The foregoing fees shall be payable quarterly in arrears on the first Business Day of each April, July, October and January and on the Revolving Facility Termination Date.</w:t>
      </w:r>
    </w:p>
    <w:p>
      <w:pPr>
        <w:spacing w:after="0" w:line="81" w:lineRule="exact"/>
        <w:rPr>
          <w:sz w:val="20"/>
          <w:szCs w:val="20"/>
          <w:color w:val="auto"/>
        </w:rPr>
      </w:pPr>
    </w:p>
    <w:p>
      <w:pPr>
        <w:ind w:left="-4" w:firstLine="443"/>
        <w:spacing w:after="0" w:line="258" w:lineRule="auto"/>
        <w:tabs>
          <w:tab w:leader="none" w:pos="749"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Commercial Letters of Credit</w:t>
      </w:r>
      <w:r>
        <w:rPr>
          <w:rFonts w:ascii="Times New Roman" w:cs="Times New Roman" w:eastAsia="Times New Roman" w:hAnsi="Times New Roman"/>
          <w:sz w:val="18"/>
          <w:szCs w:val="18"/>
          <w:color w:val="auto"/>
        </w:rPr>
        <w:t xml:space="preserve">. The Company agrees to pay to the Administrative Agent for the ratable benefit of each U.S. Lender based upon each such U.S. Lender’s U.S. Revolving Facility Percentage, a fee in respect of each U.S. Letter of Credit issued hereunder that is a Commercial Letter of Credit in an amount equal to (A) the Applicable Revolving Loan Margin for Revolving Loans that are LIBOR Loans in effect on the date of issuance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Stated Amount of such Letter of Credit. The foregoing fees shall be payable quarterly in arrears on the first Business Day of each March, June, September and December and on the Revolving Facility Termination Date.</w:t>
      </w:r>
    </w:p>
    <w:p>
      <w:pPr>
        <w:spacing w:after="0" w:line="183" w:lineRule="exact"/>
        <w:rPr>
          <w:rFonts w:ascii="Times New Roman" w:cs="Times New Roman" w:eastAsia="Times New Roman" w:hAnsi="Times New Roman"/>
          <w:sz w:val="18"/>
          <w:szCs w:val="18"/>
          <w:color w:val="auto"/>
        </w:rPr>
      </w:pPr>
    </w:p>
    <w:p>
      <w:pPr>
        <w:ind w:left="-464" w:right="20" w:firstLine="464"/>
        <w:spacing w:after="0" w:line="258" w:lineRule="auto"/>
        <w:tabs>
          <w:tab w:leader="none" w:pos="23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Commercial Letters of Credit</w:t>
      </w:r>
      <w:r>
        <w:rPr>
          <w:rFonts w:ascii="Times New Roman" w:cs="Times New Roman" w:eastAsia="Times New Roman" w:hAnsi="Times New Roman"/>
          <w:sz w:val="18"/>
          <w:szCs w:val="18"/>
          <w:color w:val="auto"/>
        </w:rPr>
        <w:t xml:space="preserve">. The Dutch Borrower agrees to pay to the Foreign Collateral Agent for the ratable benefit of each Dutch Lender based upon each such Dutch Lender’s Dutch Revolving Facility Percentage, a fee in respect of each Dutch Letter of Credit issued hereunder that is a Commercial Letter of Credit in an amount equal to (A) the Applicable Revolving Loan Margin for Revolving Loans that are LIBOR Loans in effect on the date of issuance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Stated Amount of such Letter of Credit. The foregoing fees shall be payable quarterly in arrears on the first Business Day of each April, July, October and January and on the Revolving Facility Termination Date.</w:t>
      </w:r>
    </w:p>
    <w:p>
      <w:pPr>
        <w:sectPr>
          <w:pgSz w:w="11900" w:h="16838" w:orient="portrait"/>
          <w:cols w:equalWidth="0" w:num="1">
            <w:col w:w="10956"/>
          </w:cols>
          <w:pgMar w:left="704" w:top="270" w:right="239" w:bottom="1440" w:gutter="0" w:footer="0" w:header="0"/>
        </w:sectPr>
      </w:pPr>
    </w:p>
    <w:bookmarkStart w:id="246" w:name="page247"/>
    <w:bookmarkEnd w:id="246"/>
    <w:p>
      <w:pPr>
        <w:ind w:left="-460" w:right="80" w:firstLine="464"/>
        <w:spacing w:after="0" w:line="258" w:lineRule="auto"/>
        <w:tabs>
          <w:tab w:leader="none" w:pos="25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Fronting Fees</w:t>
      </w:r>
      <w:r>
        <w:rPr>
          <w:rFonts w:ascii="Times New Roman" w:cs="Times New Roman" w:eastAsia="Times New Roman" w:hAnsi="Times New Roman"/>
          <w:sz w:val="18"/>
          <w:szCs w:val="18"/>
          <w:color w:val="auto"/>
        </w:rPr>
        <w:t>. (i) The Company agrees to pay directly to each U.S. LC Issuer, for its own account, and (ii) the Dutch Borrower agrees to pay directly to each Dutch LC Issuer, for its own account, in each case a fee in respect of each Letter of Credit issued by such LC Issuer, payable in arrears on the first Business Day of the month following the date of issuance (or any increase in the amount, or renewal or extension) thereof, computed at the rate of 12.5 bps per annum on the Stated Amount thereof for the period from the date of issuance (or increase, renewal or extension) to the expiration date thereof (including any extensions of such expiration date which may be made at the election of the beneficiary thereof).</w:t>
      </w:r>
    </w:p>
    <w:p>
      <w:pPr>
        <w:spacing w:after="0" w:line="183" w:lineRule="exact"/>
        <w:rPr>
          <w:rFonts w:ascii="Times New Roman" w:cs="Times New Roman" w:eastAsia="Times New Roman" w:hAnsi="Times New Roman"/>
          <w:sz w:val="18"/>
          <w:szCs w:val="18"/>
          <w:color w:val="auto"/>
        </w:rPr>
      </w:pPr>
    </w:p>
    <w:p>
      <w:pPr>
        <w:ind w:left="-460" w:right="240" w:firstLine="464"/>
        <w:spacing w:after="0" w:line="261" w:lineRule="auto"/>
        <w:tabs>
          <w:tab w:leader="none" w:pos="24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Charges of LC Issuer</w:t>
      </w:r>
      <w:r>
        <w:rPr>
          <w:rFonts w:ascii="Times New Roman" w:cs="Times New Roman" w:eastAsia="Times New Roman" w:hAnsi="Times New Roman"/>
          <w:sz w:val="18"/>
          <w:szCs w:val="18"/>
          <w:color w:val="auto"/>
        </w:rPr>
        <w:t>. The applicable Borrower agrees to pay directly to each applicable LC Issuer upon each LC Issuance, drawing under, or amendment, extension, renewal or transfer of, a Letter of Credit issued by it such amount as shall at the time of such LC Issuance, drawing under, amendment, extension, renewal or transfer be the processing charge that such LC Issuer is customarily charging for issuances of, drawings under or amendments, extensions, renewals or transfers of, letters of credit issued by it.</w:t>
      </w:r>
    </w:p>
    <w:p>
      <w:pPr>
        <w:spacing w:after="0" w:line="180" w:lineRule="exact"/>
        <w:rPr>
          <w:rFonts w:ascii="Times New Roman" w:cs="Times New Roman" w:eastAsia="Times New Roman" w:hAnsi="Times New Roman"/>
          <w:sz w:val="18"/>
          <w:szCs w:val="18"/>
          <w:color w:val="auto"/>
        </w:rPr>
      </w:pPr>
    </w:p>
    <w:p>
      <w:pPr>
        <w:ind w:left="220" w:hanging="216"/>
        <w:spacing w:after="0"/>
        <w:tabs>
          <w:tab w:leader="none" w:pos="2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Fees</w:t>
      </w:r>
      <w:r>
        <w:rPr>
          <w:rFonts w:ascii="Times New Roman" w:cs="Times New Roman" w:eastAsia="Times New Roman" w:hAnsi="Times New Roman"/>
          <w:sz w:val="18"/>
          <w:szCs w:val="18"/>
          <w:color w:val="auto"/>
        </w:rPr>
        <w:t>. The Borrowers shall pay to the Administrative Agent, on the Closing Date and thereafter, the fees set forth in the Agent Fee Letters.</w:t>
      </w:r>
    </w:p>
    <w:p>
      <w:pPr>
        <w:spacing w:after="0" w:line="225" w:lineRule="exact"/>
        <w:rPr>
          <w:rFonts w:ascii="Times New Roman" w:cs="Times New Roman" w:eastAsia="Times New Roman" w:hAnsi="Times New Roman"/>
          <w:sz w:val="18"/>
          <w:szCs w:val="18"/>
          <w:color w:val="auto"/>
        </w:rPr>
      </w:pPr>
    </w:p>
    <w:p>
      <w:pPr>
        <w:ind w:left="-460" w:firstLine="464"/>
        <w:spacing w:after="0" w:line="259" w:lineRule="auto"/>
        <w:tabs>
          <w:tab w:leader="none" w:pos="25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Computations and Determination of Fees</w:t>
      </w:r>
      <w:r>
        <w:rPr>
          <w:rFonts w:ascii="Times New Roman" w:cs="Times New Roman" w:eastAsia="Times New Roman" w:hAnsi="Times New Roman"/>
          <w:sz w:val="18"/>
          <w:szCs w:val="18"/>
          <w:color w:val="auto"/>
        </w:rPr>
        <w:t>. Any changes in the Applicable Commitment Fee Rate shall be determined by the Administrative Agent in accordance with the provisions set forth in the definition of “Applicable Commitment Fee Rate” and the Administrative Agent will promptly provide notice of such determination to the Borrowers and the Lenders. Any such determination by the Administrative Agent shall be conclusive and binding absent manifest error. All computations of Commitment Fees, LC Fees and other Fees hereunder shall be made on the actual number of days elapsed over a year of 360 days.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Termination and Reduction of Revolving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right="120" w:firstLine="464"/>
        <w:spacing w:after="0" w:line="282" w:lineRule="auto"/>
        <w:tabs>
          <w:tab w:leader="none" w:pos="24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Termination of Revolving Commitments</w:t>
      </w:r>
      <w:r>
        <w:rPr>
          <w:rFonts w:ascii="Times New Roman" w:cs="Times New Roman" w:eastAsia="Times New Roman" w:hAnsi="Times New Roman"/>
          <w:sz w:val="18"/>
          <w:szCs w:val="18"/>
          <w:color w:val="auto"/>
        </w:rPr>
        <w:t>. All of the Revolving Commitments and each LC Issuer’s agreement to issue Letters of Credit shall terminate on the Revolving Facility Termination Date.</w:t>
      </w:r>
    </w:p>
    <w:p>
      <w:pPr>
        <w:spacing w:after="0" w:line="161"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firstLine="464"/>
        <w:spacing w:after="0" w:line="254" w:lineRule="auto"/>
        <w:tabs>
          <w:tab w:leader="none" w:pos="24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 of the Total Revolving Commitment</w:t>
      </w:r>
      <w:r>
        <w:rPr>
          <w:rFonts w:ascii="Times New Roman" w:cs="Times New Roman" w:eastAsia="Times New Roman" w:hAnsi="Times New Roman"/>
          <w:sz w:val="18"/>
          <w:szCs w:val="18"/>
          <w:color w:val="auto"/>
        </w:rPr>
        <w:t xml:space="preserve">. Upon at least three Business Days’ prior irrevocable written notice (or telephonic notice confirmed in writing) to the Administrative Agent at its Notice Office (which notice the Administrative Agent shall promptly transmit to each of the Lenders), the Borrowers shall have the right to terminate in whole the Total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outstanding Revolving Loans and Unpaid Drawings are contemporaneously prepaid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(ii) either there are no outstanding Letters of Credit or the Borrowers shall contemporaneously cause all outstanding Letters of Credit to be surrendered for cancellation (any such Letters of Credit to be replaced by letters of credit issued by other financial institutions acceptable to each LC Issuer and the Revolving Lenders) or shall Cash Collateralize all LC Outstandings in an amount equal to 105% of the amount of such LC Outstandings and shall deposit such amount in the applicable LC Collateral Account;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notice of termination of the Total Revolving Commitment may state that such notice is conditioned on the effectiveness of other credit facilities, in which case such notice may be revoked by the Borrowers (by notice to the Administrative Agent on or prior to the specified effective date) if such condition is not satisfied.</w:t>
      </w:r>
    </w:p>
    <w:p>
      <w:pPr>
        <w:sectPr>
          <w:pgSz w:w="11900" w:h="16838" w:orient="portrait"/>
          <w:cols w:equalWidth="0" w:num="1">
            <w:col w:w="10960"/>
          </w:cols>
          <w:pgMar w:left="700" w:top="270" w:right="239" w:bottom="1440" w:gutter="0" w:footer="0" w:header="0"/>
        </w:sectPr>
      </w:pPr>
    </w:p>
    <w:bookmarkStart w:id="247" w:name="page248"/>
    <w:bookmarkEnd w:id="247"/>
    <w:p>
      <w:pPr>
        <w:ind w:left="-460" w:firstLine="464"/>
        <w:spacing w:after="0" w:line="254" w:lineRule="auto"/>
        <w:tabs>
          <w:tab w:leader="none" w:pos="25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Partial Reduction of Total Revolving Commitment</w:t>
      </w:r>
      <w:r>
        <w:rPr>
          <w:rFonts w:ascii="Times New Roman" w:cs="Times New Roman" w:eastAsia="Times New Roman" w:hAnsi="Times New Roman"/>
          <w:sz w:val="18"/>
          <w:szCs w:val="18"/>
          <w:color w:val="auto"/>
        </w:rPr>
        <w:t xml:space="preserve">. Upon at least three Business Days’ prior irrevocable written notice (or telephonic notice confirmed in writing) to the Administrative Agent at its Notice Office (which notice the Administrative Agent shall promptly transmit to each of the Lenders), the Borrowers shall have the right to partially and permanently reduce the Unused Total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any such reduction shall apply to proportionately (based on each Lender’s Revolving Facility Percentage) and permanently reduce,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the Revolving Commitment and LC Commitment of each Lender, (ii) no such reduction shall be permitted if the Borrowers would be required to make a mandatory prepayment of Loans pursuant to </w:t>
      </w:r>
      <w:r>
        <w:rPr>
          <w:rFonts w:ascii="Times New Roman" w:cs="Times New Roman" w:eastAsia="Times New Roman" w:hAnsi="Times New Roman"/>
          <w:sz w:val="18"/>
          <w:szCs w:val="18"/>
          <w:u w:val="single" w:color="auto"/>
          <w:color w:val="auto"/>
        </w:rPr>
        <w:t>Section 2.13(b)(ii) or (iii)</w:t>
      </w:r>
      <w:r>
        <w:rPr>
          <w:rFonts w:ascii="Times New Roman" w:cs="Times New Roman" w:eastAsia="Times New Roman" w:hAnsi="Times New Roman"/>
          <w:sz w:val="18"/>
          <w:szCs w:val="18"/>
          <w:color w:val="auto"/>
        </w:rPr>
        <w:t xml:space="preserve">, and (iv) any partial reduction shall be in the amount of at least $1,000,000 (or, if greater, in integral multiples of $500,000);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notice of partial reduction of the Total Revolving Commitment may state that such notice is conditioned on the effectiveness of other credit facilities, in which case such notice may be revoked by the Borrowers (by notice to the Administrative Agent on or prior to the specified effective date) if such condition is not satisfied.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Voluntary, Scheduled and Mandatory Prepayments of Loans.</w:t>
      </w:r>
    </w:p>
    <w:p>
      <w:pPr>
        <w:spacing w:after="0" w:line="225" w:lineRule="exact"/>
        <w:rPr>
          <w:sz w:val="20"/>
          <w:szCs w:val="20"/>
          <w:color w:val="auto"/>
        </w:rPr>
      </w:pPr>
    </w:p>
    <w:p>
      <w:pPr>
        <w:ind w:left="-460" w:right="60" w:firstLine="464"/>
        <w:spacing w:after="0" w:line="255" w:lineRule="auto"/>
        <w:tabs>
          <w:tab w:leader="none" w:pos="24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xml:space="preserve">. The applicable Borrower shall have the right to prepay any of the Loans owing by it, in whole or in part, without premium or penalty,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as specified in subparts (d) and (e) below, from time to time. The Borrowers shall give the Administrative Agent at the Notice Office written or telephonic notice (in the case of telephonic notice, promptly confirmed in writing if so requested by the Administrative Agent) of its intent to prepay the Loans, the amount of such prepayment and (in the case of LIBOR Loans) the specific Borrowing(s) pursuant to which the prepayment is to be made, which notice shall be received by the Administrative Agent by (y) 11:00 A.M. (local time at the Notice Office) three Business Days prior to the date of such prepayment, in the case of any prepayment of LIBOR Loans, or (z) 11:00 A.M. (local time at the Notice Office) one Business Day prior to the date of such prepayment, in the case of any prepayment of Base Rate Loans, and which notice shall promptly be transmitted by the Administrative Agent to each of the affected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7" w:lineRule="exact"/>
        <w:rPr>
          <w:rFonts w:ascii="Times New Roman" w:cs="Times New Roman" w:eastAsia="Times New Roman" w:hAnsi="Times New Roman"/>
          <w:sz w:val="18"/>
          <w:szCs w:val="18"/>
          <w:color w:val="auto"/>
        </w:rPr>
      </w:pPr>
    </w:p>
    <w:p>
      <w:pPr>
        <w:jc w:val="both"/>
        <w:ind w:right="120" w:firstLine="443"/>
        <w:spacing w:after="0" w:line="261" w:lineRule="auto"/>
        <w:tabs>
          <w:tab w:leader="none" w:pos="65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prepayment shall be in an aggregate principal amount of at least (A) in the case of any prepayment of a LIBOR Loan, $500,000 (or, if less, the full amount of such Borrowing), or an integral multiple of $500,000, (B) in the case of any prepayment of a Base Rate Loan, $500,000 (or, if less, the full amount of such Borrowing), or an integral multiple of $500,000, and (C) in the case of any prepayment of a Swing Loan, in the full amount thereof; and</w:t>
      </w:r>
    </w:p>
    <w:p>
      <w:pPr>
        <w:spacing w:after="0" w:line="71" w:lineRule="exact"/>
        <w:rPr>
          <w:rFonts w:ascii="Times New Roman" w:cs="Times New Roman" w:eastAsia="Times New Roman" w:hAnsi="Times New Roman"/>
          <w:sz w:val="18"/>
          <w:szCs w:val="18"/>
          <w:color w:val="auto"/>
        </w:rPr>
      </w:pPr>
    </w:p>
    <w:p>
      <w:pPr>
        <w:ind w:right="320" w:firstLine="443"/>
        <w:spacing w:after="0" w:line="282" w:lineRule="auto"/>
        <w:tabs>
          <w:tab w:leader="none" w:pos="70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partial prepayment of any Loans made pursuant to a Borrowing shall reduce the aggregate principal amount of such Loans outstanding pursuant to such Borrowing to an amount less than the Minimum Borrowing Amount applicable thereto.</w:t>
      </w:r>
    </w:p>
    <w:p>
      <w:pPr>
        <w:spacing w:after="0" w:line="161" w:lineRule="exact"/>
        <w:rPr>
          <w:rFonts w:ascii="Times New Roman" w:cs="Times New Roman" w:eastAsia="Times New Roman" w:hAnsi="Times New Roman"/>
          <w:sz w:val="18"/>
          <w:szCs w:val="18"/>
          <w:color w:val="auto"/>
        </w:rPr>
      </w:pPr>
    </w:p>
    <w:p>
      <w:pPr>
        <w:jc w:val="both"/>
        <w:ind w:left="-460" w:right="160" w:firstLine="464"/>
        <w:spacing w:after="0" w:line="266" w:lineRule="auto"/>
        <w:tabs>
          <w:tab w:leader="none" w:pos="25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Payments</w:t>
      </w:r>
      <w:r>
        <w:rPr>
          <w:rFonts w:ascii="Times New Roman" w:cs="Times New Roman" w:eastAsia="Times New Roman" w:hAnsi="Times New Roman"/>
          <w:sz w:val="18"/>
          <w:szCs w:val="18"/>
          <w:color w:val="auto"/>
        </w:rPr>
        <w:t xml:space="preserve">. The Loans shall be subject to mandatory repayment or prepayment (in the case of any partial prepayment conforming to the requirements as to the amounts of partial prepayments set forth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above), and the LC Outstandings shall be subject to cash collateralization requirements, in accordance with the following provisions:</w:t>
      </w:r>
    </w:p>
    <w:p>
      <w:pPr>
        <w:spacing w:after="0" w:line="68" w:lineRule="exact"/>
        <w:rPr>
          <w:rFonts w:ascii="Times New Roman" w:cs="Times New Roman" w:eastAsia="Times New Roman" w:hAnsi="Times New Roman"/>
          <w:sz w:val="18"/>
          <w:szCs w:val="18"/>
          <w:color w:val="auto"/>
        </w:rPr>
      </w:pPr>
    </w:p>
    <w:p>
      <w:pPr>
        <w:ind w:right="120" w:firstLine="443"/>
        <w:spacing w:after="0" w:line="282" w:lineRule="auto"/>
        <w:tabs>
          <w:tab w:leader="none" w:pos="65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Facility Termination Date</w:t>
      </w:r>
      <w:r>
        <w:rPr>
          <w:rFonts w:ascii="Times New Roman" w:cs="Times New Roman" w:eastAsia="Times New Roman" w:hAnsi="Times New Roman"/>
          <w:sz w:val="18"/>
          <w:szCs w:val="18"/>
          <w:color w:val="auto"/>
        </w:rPr>
        <w:t>. The entire principal amount of all outstanding Revolving Loans shall be repaid in full on the Revolving Facility Termination Date.</w:t>
      </w:r>
    </w:p>
    <w:p>
      <w:pPr>
        <w:spacing w:after="0" w:line="53" w:lineRule="exact"/>
        <w:rPr>
          <w:rFonts w:ascii="Times New Roman" w:cs="Times New Roman" w:eastAsia="Times New Roman" w:hAnsi="Times New Roman"/>
          <w:sz w:val="18"/>
          <w:szCs w:val="18"/>
          <w:color w:val="auto"/>
        </w:rPr>
      </w:pPr>
    </w:p>
    <w:p>
      <w:pPr>
        <w:ind w:right="220" w:firstLine="443"/>
        <w:spacing w:after="0" w:line="276" w:lineRule="auto"/>
        <w:tabs>
          <w:tab w:leader="none" w:pos="703"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 Exceed the Commitments</w:t>
      </w:r>
      <w:r>
        <w:rPr>
          <w:rFonts w:ascii="Times New Roman" w:cs="Times New Roman" w:eastAsia="Times New Roman" w:hAnsi="Times New Roman"/>
          <w:sz w:val="17"/>
          <w:szCs w:val="17"/>
          <w:color w:val="auto"/>
        </w:rPr>
        <w:t>. If on any date (after giving effect to any other payments on such date) (A) the Aggregate Credit Facility Exposure exceeds the Total Revolving Commitment, (B) the Credit Facility Exposure of any Lender exceeds such Lender’s Revolving Commitment,</w:t>
      </w:r>
    </w:p>
    <w:p>
      <w:pPr>
        <w:ind w:right="3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the Aggregate U.S. Credit Facility Exposure exceeds the Total U.S. Revolving Commitment, (D) the Aggregate Dutch Credit Facility Exposure exceeds the</w:t>
      </w:r>
    </w:p>
    <w:p>
      <w:pPr>
        <w:sectPr>
          <w:pgSz w:w="11900" w:h="16838" w:orient="portrait"/>
          <w:cols w:equalWidth="0" w:num="1">
            <w:col w:w="10960"/>
          </w:cols>
          <w:pgMar w:left="700" w:top="270" w:right="239" w:bottom="1440" w:gutter="0" w:footer="0" w:header="0"/>
        </w:sectPr>
      </w:pPr>
    </w:p>
    <w:bookmarkStart w:id="248" w:name="page249"/>
    <w:bookmarkEnd w:id="248"/>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Total Dutch Revolving Commitment, or (E) the aggregate principal amount of Swing Loans outstanding exceeds the Swing Line Commitment,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in the case of each of the foregoing, the applicable Borrower shall, on such day, prepay on such date the principal amount of Loans and, after Loans have been paid in full, Unpaid Drawings, in an aggregate amount at least equal to such excess.</w:t>
      </w:r>
    </w:p>
    <w:p>
      <w:pPr>
        <w:spacing w:after="0" w:line="65" w:lineRule="exact"/>
        <w:rPr>
          <w:sz w:val="20"/>
          <w:szCs w:val="20"/>
          <w:color w:val="auto"/>
        </w:rPr>
      </w:pPr>
    </w:p>
    <w:p>
      <w:pPr>
        <w:ind w:firstLine="443"/>
        <w:spacing w:after="0" w:line="259" w:lineRule="auto"/>
        <w:tabs>
          <w:tab w:leader="none" w:pos="75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Outstandings Exceed LC Commitment</w:t>
      </w:r>
      <w:r>
        <w:rPr>
          <w:rFonts w:ascii="Times New Roman" w:cs="Times New Roman" w:eastAsia="Times New Roman" w:hAnsi="Times New Roman"/>
          <w:sz w:val="18"/>
          <w:szCs w:val="18"/>
          <w:color w:val="auto"/>
        </w:rPr>
        <w:t xml:space="preserve">. If on any date the Dutch LC Outstandings exceed the Dutch LC Commitment Amount,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the applicable Dutch LC Obligor or the applicable Dutch Borrower shall, on such day, Cash Collateralize the Dutch LC Outstandings in an amount equal to 105% of such excess and shall deposit such amount in the Dutch LC Collateral Account. If on any date the U.S. LC Outstandings exceed the U.S. LC Commitment Amount,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the applicable U.S. LC Obligor or the applicable U.S. Borrower shall, on such day, Cash Collateralize the U.S. LC Outstandings in an amount equal to 105% of such excess and shall deposit such amount in the U.S. LC Collateral Account.</w:t>
      </w:r>
    </w:p>
    <w:p>
      <w:pPr>
        <w:spacing w:after="0" w:line="73" w:lineRule="exact"/>
        <w:rPr>
          <w:rFonts w:ascii="Times New Roman" w:cs="Times New Roman" w:eastAsia="Times New Roman" w:hAnsi="Times New Roman"/>
          <w:sz w:val="18"/>
          <w:szCs w:val="18"/>
          <w:color w:val="auto"/>
        </w:rPr>
      </w:pPr>
    </w:p>
    <w:p>
      <w:pPr>
        <w:ind w:left="740" w:hanging="297"/>
        <w:spacing w:after="0"/>
        <w:tabs>
          <w:tab w:leader="none" w:pos="7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443"/>
        <w:spacing w:after="0" w:line="252" w:lineRule="auto"/>
        <w:tabs>
          <w:tab w:leader="none" w:pos="69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Proceeds of Asset Sales</w:t>
      </w:r>
      <w:r>
        <w:rPr>
          <w:rFonts w:ascii="Times New Roman" w:cs="Times New Roman" w:eastAsia="Times New Roman" w:hAnsi="Times New Roman"/>
          <w:sz w:val="18"/>
          <w:szCs w:val="18"/>
          <w:color w:val="auto"/>
        </w:rPr>
        <w:t xml:space="preserve">. Subject to the terms of the Intercreditor Agreement, if during any fiscal year of the Company, the Company and its Subsidiaries have received cumulative Net Cash Proceeds during such fiscal year from one or more Asset Sales at any time a U.S. Cash Dominion Period or a Dutch Cash Dominion Period is in effect (excluding (A) any Asset Sales of any property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clause (b) thereof) and (B) any Asset Sales of Term Priority Collateral so long as (x) the Term Loan Credit Agreement is in effect and (y) the Net Cash Proceeds are used, or are required to be used within 10 Business Days of receipt, to make mandatory prepayments under the Term Loan Credit Agreement), not later than the fifth Business Day following the date of receipt of any Cash Proceeds in excess of such amount, an amount equal to 100% of the Net Cash Proceeds then received in excess of such amount from any Asset Sale shall be applied as a mandatory prepayment of the Loans in accordance with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no Default or Event of Default shall have occurred and be continuing and (B) the Company notifies the Administrative Agent of the amount and nature thereof and of its intention to reinvest all or a portion of such Net Cash Proceeds in operating assets within 365 days of receipt thereof, then no such prepayment shall be required if the Company immediately deposits such Net Cash Proceeds in a cash collateral deposit account over which the Administrative Agent with respect to Net Cash Proceeds of Asset Sales of ABL Priority Collateral of any U.S. Credit Party, or the Foreign Collateral Agent with respect to Net Cash Proceeds of Asset Sales of property or assets of any Dutch Credit Party, shall have control, and which shall constitute part of the Collateral under the Security Documents and may be applied as provided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if an Event of Default occurs and is continuing. So long as no Default or Event of Default has occurred and is continuing, the Company may use such Net Cash Proceeds for application towards the costs associated with such reinvestment. Any amounts not so applied to such reinvestment or as provided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shall be applied to the prepayment of the Loans as provided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below. If at the end of any such 365 day period any portion of such Net Cash Proceeds has not been so reinvested, the Borrowers will immediately make a prepayment of the Loans, to the extent required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Company has entered into a binding commitment to reinvest such Net Cash Proceeds within such 365 day period, the Borrowers may make such reinvestment within the 180 period following the expiration of the initial 365 day period. With respect to proceeds of Asset Sales of assets and property constituting Term Priority Collateral, after payment in full of the Term Loan Facility and termination of the Term Loan Facility, subject to the above reinvestment rights, such proceeds shall be applied to reduce the principal balance of (y) the U.S. Revolving Loans in the case of proceeds of such assets and property of U.S. Credit Parties and (z) the Dutch Revolving Loans in</w:t>
      </w:r>
    </w:p>
    <w:p>
      <w:pPr>
        <w:sectPr>
          <w:pgSz w:w="11900" w:h="16838" w:orient="portrait"/>
          <w:cols w:equalWidth="0" w:num="1">
            <w:col w:w="10940"/>
          </w:cols>
          <w:pgMar w:left="700" w:top="268" w:right="259" w:bottom="1440" w:gutter="0" w:footer="0" w:header="0"/>
        </w:sectPr>
      </w:pPr>
    </w:p>
    <w:bookmarkStart w:id="249" w:name="page250"/>
    <w:bookmarkEnd w:id="24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of proceeds of such assets and property of Dutch Credit Parties which are Foreign Subsidiaries, and upon such application, a Reserve shall be established, against the U.S. Borrowing Base or the Dutch Borrowing Base, as applicable, in an amount equal to the amount of such proceeds so applied, and, subject to the conditions of borrowing set forth in this Agreement, the applicable Borrower may request Revolving Loans for reinvestment purposes otherwise in accordance with (and subject to all of the conditions and limitations of) this </w:t>
      </w:r>
      <w:r>
        <w:rPr>
          <w:rFonts w:ascii="Times New Roman" w:cs="Times New Roman" w:eastAsia="Times New Roman" w:hAnsi="Times New Roman"/>
          <w:sz w:val="18"/>
          <w:szCs w:val="18"/>
          <w:u w:val="single" w:color="auto"/>
          <w:color w:val="auto"/>
        </w:rPr>
        <w:t>Section 2.13(b)(iii)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740" w:hanging="297"/>
        <w:spacing w:after="0"/>
        <w:tabs>
          <w:tab w:leader="none" w:pos="7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20" w:firstLine="443"/>
        <w:spacing w:after="0" w:line="255" w:lineRule="auto"/>
        <w:tabs>
          <w:tab w:leader="none" w:pos="79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Proceeds of Indebtedness</w:t>
      </w:r>
      <w:r>
        <w:rPr>
          <w:rFonts w:ascii="Times New Roman" w:cs="Times New Roman" w:eastAsia="Times New Roman" w:hAnsi="Times New Roman"/>
          <w:sz w:val="18"/>
          <w:szCs w:val="18"/>
          <w:color w:val="auto"/>
        </w:rPr>
        <w:t xml:space="preserve">. After the payment in full of the Term Loan Facility and the termination of the Term Loan Facility and Term Loan Credit Agreement, not later than the Business Day following the date of the receipt by any Credit Party of the cash proceeds (net of underwriting discounts and commissions, placement agent fees and other customary fees and costs associated therewith) from any sale or issuance of any Indebtedness (other than Indebtedness expressly permitted to be incurred or issued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clauses (j) and</w:t>
      </w:r>
    </w:p>
    <w:p>
      <w:pPr>
        <w:spacing w:after="0" w:line="2" w:lineRule="exact"/>
        <w:rPr>
          <w:rFonts w:ascii="Times New Roman" w:cs="Times New Roman" w:eastAsia="Times New Roman" w:hAnsi="Times New Roman"/>
          <w:sz w:val="18"/>
          <w:szCs w:val="18"/>
          <w:color w:val="auto"/>
        </w:rPr>
      </w:pPr>
    </w:p>
    <w:p>
      <w:pPr>
        <w:ind w:right="140" w:firstLine="4"/>
        <w:spacing w:after="0" w:line="261" w:lineRule="auto"/>
        <w:tabs>
          <w:tab w:leader="none" w:pos="3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thereof)), the Borrowers will make a prepayment of the Loans in an amount equal to 100% of such Net Cash Proceeds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2.13(c)</w:t>
      </w:r>
      <w:r>
        <w:rPr>
          <w:rFonts w:ascii="Times New Roman" w:cs="Times New Roman" w:eastAsia="Times New Roman" w:hAnsi="Times New Roman"/>
          <w:sz w:val="18"/>
          <w:szCs w:val="18"/>
          <w:color w:val="auto"/>
        </w:rPr>
        <w:t xml:space="preserve"> below.</w:t>
      </w:r>
    </w:p>
    <w:p>
      <w:pPr>
        <w:spacing w:after="0" w:line="71" w:lineRule="exact"/>
        <w:rPr>
          <w:rFonts w:ascii="Times New Roman" w:cs="Times New Roman" w:eastAsia="Times New Roman" w:hAnsi="Times New Roman"/>
          <w:sz w:val="18"/>
          <w:szCs w:val="18"/>
          <w:color w:val="auto"/>
        </w:rPr>
      </w:pPr>
    </w:p>
    <w:p>
      <w:pPr>
        <w:ind w:left="840" w:hanging="397"/>
        <w:spacing w:after="0"/>
        <w:tabs>
          <w:tab w:leader="none" w:pos="8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443"/>
        <w:spacing w:after="0" w:line="252" w:lineRule="auto"/>
        <w:tabs>
          <w:tab w:leader="none" w:pos="743"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Receipts</w:t>
      </w:r>
      <w:r>
        <w:rPr>
          <w:rFonts w:ascii="Times New Roman" w:cs="Times New Roman" w:eastAsia="Times New Roman" w:hAnsi="Times New Roman"/>
          <w:sz w:val="18"/>
          <w:szCs w:val="18"/>
          <w:color w:val="auto"/>
        </w:rPr>
        <w:t>. Subject to the terms of the Intercreditor Agreement, if during any fiscal year of the Company, the Credit Parties have received any Extraordinary Receipts at any time a U.S. Cash Dominion Period or a Dutch Cash Dominion Period is in effect (other than proceeds of insurance and condemnation awards payable as a result of theft, loss, physical destruction, damage, taking or similar event with respect to property comprising Term Priority Collateral, the proceeds of which are used, or are required to be used within 10 Business Days of receipt, to make mandatory prepayments under the Term Loan Agreement) (all such Extraordinary Receipts in any such fiscal year, “</w:t>
      </w:r>
      <w:r>
        <w:rPr>
          <w:rFonts w:ascii="Times New Roman" w:cs="Times New Roman" w:eastAsia="Times New Roman" w:hAnsi="Times New Roman"/>
          <w:sz w:val="18"/>
          <w:szCs w:val="18"/>
          <w:u w:val="single" w:color="auto"/>
          <w:color w:val="auto"/>
        </w:rPr>
        <w:t>Cash Proceeds From ABL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xml:space="preserve">”), not later than the fifth Business Day following the date of receipt of any Cash Proceeds From ABL Extraordinary Receipts, the Borrowers will make a prepayment of the Loans in an amount equal to 100% of such Cash Proceeds From ABL Extraordinary Receipts in accordance with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below. After payment in full of the Term Loan Facility and termination of the Term Loan Facility, if during any fiscal year of the Company, any Credit Party has received cumulative Net Cash Proceeds of any Extraordinary Receipts during such fiscal year, not later than the fifth Business Day following the date of receipt of such Net Cash Proceeds, the Borrowers will make a prepayment of the Loans with an amount equal to 100% of such Net Cash Proceeds then received in accordance with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below. Notwithstanding the foregoing, after payment in full of the Term Loan Facility and termination of the Term Loan Facility, in the event the Credit Parties receive Net Cash Proceeds of Extraordinary Receipts with respect to or relating to equipment, fixed assets or real property of the Credit Parties and (A) no Default or Event of Default has occurred and is continuing and (B) the Company notifies the Administrative Agent and the Lenders in writing of the amount and nature thereof and of its intention to reinvest all or a portion of such Net Cash Proceeds to replace or repair the equipment, fixed assets or real property in respect of which such cash proceeds were received within 365 days of receipt thereof, then the Borrowers shall prepay the principal balance of (x) the U.S. Loans with respect to equipment, fixed assets or real property of the U.S. Credit Parties and (y) the Dutch Loans with respect to equipment, fixed assets or real property of the Dutch Credit Parties which are Foreign Subsidiaries, and upon such application, a Reserve shall be established, against the U.S. Borrowing Base or the Dutch Borrowing Base, as applicable, in an amount equal to the amount of such proceeds so applied and, subject to the conditions of borrowing set forth in this Agreement, the applicable Borrower may request Revolving Loans for the purpose of replace or repair the</w:t>
      </w:r>
    </w:p>
    <w:p>
      <w:pPr>
        <w:sectPr>
          <w:pgSz w:w="11900" w:h="16838" w:orient="portrait"/>
          <w:cols w:equalWidth="0" w:num="1">
            <w:col w:w="10960"/>
          </w:cols>
          <w:pgMar w:left="700" w:top="270" w:right="239" w:bottom="1440" w:gutter="0" w:footer="0" w:header="0"/>
        </w:sectPr>
      </w:pPr>
    </w:p>
    <w:bookmarkStart w:id="250" w:name="page251"/>
    <w:bookmarkEnd w:id="250"/>
    <w:p>
      <w:pPr>
        <w:jc w:val="both"/>
        <w:ind w:left="452"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affected property during such 365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Company has entered into a binding commitment to reinvest such Net Cash Proceeds within such 365 day period, the applicable Borrower may make such reinvestment utilizing proceeds of Revolving Loans as set forth above within the 180 period following the expiration of the initial 365 day period.</w:t>
      </w:r>
    </w:p>
    <w:p>
      <w:pPr>
        <w:spacing w:after="0" w:line="176" w:lineRule="exact"/>
        <w:rPr>
          <w:sz w:val="20"/>
          <w:szCs w:val="20"/>
          <w:color w:val="auto"/>
        </w:rPr>
      </w:pPr>
    </w:p>
    <w:p>
      <w:pPr>
        <w:ind w:left="692" w:hanging="236"/>
        <w:spacing w:after="0"/>
        <w:tabs>
          <w:tab w:leader="none" w:pos="69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Applications of Certain Prepayment Proceeds</w:t>
      </w:r>
      <w:r>
        <w:rPr>
          <w:rFonts w:ascii="Times New Roman" w:cs="Times New Roman" w:eastAsia="Times New Roman" w:hAnsi="Times New Roman"/>
          <w:sz w:val="18"/>
          <w:szCs w:val="18"/>
          <w:color w:val="auto"/>
        </w:rPr>
        <w:t xml:space="preserve">. Each prepayment required to be made pursuant to </w:t>
      </w:r>
      <w:r>
        <w:rPr>
          <w:rFonts w:ascii="Times New Roman" w:cs="Times New Roman" w:eastAsia="Times New Roman" w:hAnsi="Times New Roman"/>
          <w:sz w:val="18"/>
          <w:szCs w:val="18"/>
          <w:u w:val="single" w:color="auto"/>
          <w:color w:val="auto"/>
        </w:rPr>
        <w:t>Section 2.13(b)(iv), (v), (vi), (vii), (viii)</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8" w:right="400" w:firstLine="8"/>
        <w:spacing w:after="0" w:line="255" w:lineRule="auto"/>
        <w:tabs>
          <w:tab w:leader="none" w:pos="297" w:val="left"/>
        </w:tabs>
        <w:numPr>
          <w:ilvl w:val="0"/>
          <w:numId w:val="2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shall be applied as a mandatory prepayment of principal of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prepay Agent Advances and Overadvances,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the outstanding Swing Loans, and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the outstanding Revolving Loans and to Cash Collateralize LC Outstandings in an amount equal to 105% of the amount of such LC Outstandings, which amount shall be deposited into the LC Collateral Account.</w:t>
      </w:r>
    </w:p>
    <w:p>
      <w:pPr>
        <w:spacing w:after="0" w:line="186" w:lineRule="exact"/>
        <w:rPr>
          <w:rFonts w:ascii="Times New Roman" w:cs="Times New Roman" w:eastAsia="Times New Roman" w:hAnsi="Times New Roman"/>
          <w:sz w:val="18"/>
          <w:szCs w:val="18"/>
          <w:u w:val="single" w:color="auto"/>
          <w:color w:val="auto"/>
        </w:rPr>
      </w:pPr>
    </w:p>
    <w:p>
      <w:pPr>
        <w:ind w:left="-8" w:right="220" w:firstLine="464"/>
        <w:spacing w:after="0" w:line="282" w:lineRule="auto"/>
        <w:tabs>
          <w:tab w:leader="none" w:pos="70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Breakage and Other Compensation</w:t>
      </w:r>
      <w:r>
        <w:rPr>
          <w:rFonts w:ascii="Times New Roman" w:cs="Times New Roman" w:eastAsia="Times New Roman" w:hAnsi="Times New Roman"/>
          <w:sz w:val="18"/>
          <w:szCs w:val="18"/>
          <w:color w:val="auto"/>
        </w:rPr>
        <w:t xml:space="preserve">. Any prepayment made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accompanied by any amounts payable in respect thereof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Method and Place of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320" w:firstLine="464"/>
        <w:spacing w:after="0" w:line="282" w:lineRule="auto"/>
        <w:tabs>
          <w:tab w:leader="none" w:pos="69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payments made by the Borrowers hereunder (including any payments made with respect to the Company Guaranteed Obligations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under any Note or any other Loan Document shall be made without setoff, counterclaim or other defense.</w:t>
      </w:r>
    </w:p>
    <w:p>
      <w:pPr>
        <w:spacing w:after="0" w:line="161" w:lineRule="exact"/>
        <w:rPr>
          <w:rFonts w:ascii="Times New Roman" w:cs="Times New Roman" w:eastAsia="Times New Roman" w:hAnsi="Times New Roman"/>
          <w:sz w:val="18"/>
          <w:szCs w:val="18"/>
          <w:color w:val="auto"/>
        </w:rPr>
      </w:pPr>
    </w:p>
    <w:p>
      <w:pPr>
        <w:ind w:left="-8" w:firstLine="464"/>
        <w:spacing w:after="0" w:line="258" w:lineRule="auto"/>
        <w:tabs>
          <w:tab w:leader="none" w:pos="70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Except as specifically set forth elsewhere in this Agreement and subject to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 all payments and prepayments of Revolving Loans and Unpaid Drawings with respect to Letters of Credit shall be applied by the Administrative Agent or the Foreign Collateral Agent,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upon each Lender’s Dutch Revolving Facility Percentage or U.S. Revolving Facility Percentage of the amount of such prepayment, and (ii) all payments or prepayments of Swing Loans shall be applied by the Administrative Agent or the Foreign Collateral Agent, as applicable, to pay or prepay such Swing Loans.</w:t>
      </w:r>
    </w:p>
    <w:p>
      <w:pPr>
        <w:spacing w:after="0" w:line="183" w:lineRule="exact"/>
        <w:rPr>
          <w:rFonts w:ascii="Times New Roman" w:cs="Times New Roman" w:eastAsia="Times New Roman" w:hAnsi="Times New Roman"/>
          <w:sz w:val="18"/>
          <w:szCs w:val="18"/>
          <w:color w:val="auto"/>
        </w:rPr>
      </w:pPr>
    </w:p>
    <w:p>
      <w:pPr>
        <w:ind w:left="-8" w:right="120" w:firstLine="464"/>
        <w:spacing w:after="0" w:line="266" w:lineRule="auto"/>
        <w:tabs>
          <w:tab w:leader="none" w:pos="69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Except as specifically set forth elsewhere in this Agreement, all payments under this Agreement with respect to any of the Obligations shall be made to the Administrative Agent or the Foreign Collateral Agent on the date when due and shall be made at the Payment Office in immediately available funds.</w:t>
      </w:r>
    </w:p>
    <w:p>
      <w:pPr>
        <w:spacing w:after="0" w:line="176" w:lineRule="exact"/>
        <w:rPr>
          <w:rFonts w:ascii="Times New Roman" w:cs="Times New Roman" w:eastAsia="Times New Roman" w:hAnsi="Times New Roman"/>
          <w:sz w:val="18"/>
          <w:szCs w:val="18"/>
          <w:color w:val="auto"/>
        </w:rPr>
      </w:pPr>
    </w:p>
    <w:p>
      <w:pPr>
        <w:ind w:left="-8" w:right="20" w:firstLine="464"/>
        <w:spacing w:after="0" w:line="261" w:lineRule="auto"/>
        <w:tabs>
          <w:tab w:leader="none" w:pos="70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Any payments under this Agreement that are made later than 11:00 A.M. (local time at the Payment Office) shall be deemed to have been made on the next succeeding Business Day.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80" w:lineRule="exact"/>
        <w:rPr>
          <w:rFonts w:ascii="Times New Roman" w:cs="Times New Roman" w:eastAsia="Times New Roman" w:hAnsi="Times New Roman"/>
          <w:sz w:val="18"/>
          <w:szCs w:val="18"/>
          <w:color w:val="auto"/>
        </w:rPr>
      </w:pPr>
    </w:p>
    <w:p>
      <w:pPr>
        <w:ind w:left="-8" w:right="60" w:firstLine="464"/>
        <w:spacing w:after="0" w:line="255" w:lineRule="auto"/>
        <w:tabs>
          <w:tab w:leader="none" w:pos="69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Lenders</w:t>
      </w:r>
      <w:r>
        <w:rPr>
          <w:rFonts w:ascii="Times New Roman" w:cs="Times New Roman" w:eastAsia="Times New Roman" w:hAnsi="Times New Roman"/>
          <w:sz w:val="18"/>
          <w:szCs w:val="18"/>
          <w:color w:val="auto"/>
        </w:rPr>
        <w:t xml:space="preserve">. Upon the Administrative Agent’s or Foreign Collateral Agent’s receipt of payments hereunder, the Administrative Agent or Foreign Collateral Agent, as the case may be, shall immediately distribute to each applicable Lender or the applicable LC Issuer, as the case may be, its ratable share, if any, of the amount of principal, interest, and Fees received by it for the account of such Lender. Payments received by the Administrative Agent or the Foreign Collateral Agent shall be delivered to the applicable Lenders or the applicable LC Issuer, as the case may be, in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at any time insufficient funds are received by and available to the Administrative Agent or Foreign Collateral Agent to pay fully all amounts of principal, Unpaid Drawings, interest and Fees then due hereunder then, except as specifically set forth elsewhere in this Agreement and subject to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such funds shall be applied,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towards payment of interest and</w:t>
      </w:r>
    </w:p>
    <w:p>
      <w:pPr>
        <w:sectPr>
          <w:pgSz w:w="11900" w:h="16838" w:orient="portrait"/>
          <w:cols w:equalWidth="0" w:num="1">
            <w:col w:w="11412"/>
          </w:cols>
          <w:pgMar w:left="248" w:top="270" w:right="239" w:bottom="1440" w:gutter="0" w:footer="0" w:header="0"/>
        </w:sectPr>
      </w:pPr>
    </w:p>
    <w:bookmarkStart w:id="251" w:name="page252"/>
    <w:bookmarkEnd w:id="251"/>
    <w:p>
      <w:pPr>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Fees then due hereunder, ratably among the parties entitled thereto in accordance with the amounts of interest and Fees then due to such parties, and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towards payment of principal and Unpaid Drawings then due hereunder, ratably among the parties entitled thereto in accordance with the amounts of principal and Unpaid Drawings then due to such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82" w:lineRule="auto"/>
        <w:tabs>
          <w:tab w:leader="none" w:pos="70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60" w:right="260" w:firstLine="443"/>
        <w:spacing w:after="0" w:line="282" w:lineRule="auto"/>
        <w:tabs>
          <w:tab w:leader="none" w:pos="1113"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Required Lenders.</w:t>
      </w:r>
    </w:p>
    <w:p>
      <w:pPr>
        <w:spacing w:after="0" w:line="53" w:lineRule="exact"/>
        <w:rPr>
          <w:rFonts w:ascii="Times New Roman" w:cs="Times New Roman" w:eastAsia="Times New Roman" w:hAnsi="Times New Roman"/>
          <w:sz w:val="18"/>
          <w:szCs w:val="18"/>
          <w:color w:val="auto"/>
        </w:rPr>
      </w:pPr>
    </w:p>
    <w:p>
      <w:pPr>
        <w:ind w:left="460" w:right="20" w:firstLine="443"/>
        <w:spacing w:after="0" w:line="251" w:lineRule="auto"/>
        <w:tabs>
          <w:tab w:leader="none" w:pos="1163"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of any amounts owing by such Defaulting Lender to any LC Issuer or Swing Line Lender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 Collateralize the 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Issuers’ Fronting Exposure with respect to such Defaulting Lender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Borrowers, to be held in a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LC Issuers or Swing Line Lenders as a result of any judgment of a court of competent jurisdiction obtained by any Lender, the LC Issuers or Swing Line Lenders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reimbursement of any payment on any Letter of Credit in respect of which such Defaulting Lender has not fully funded its appropriate share, and (y) such Loans or reimbursement of any payment on any Letter of Credit were made or the related Letters of Credit were issued at a time when the conditions set forth in Section 4.02 were satisfied or waived, such payment shall be applied solely to pay the Loans of, and LC Outstandings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LC Outstandings owed to, such Defaulting Lender until such time as all Loans and funded and unfunded participations in LC Outstandings and Swing Loans are held by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Revolving Commitments under the applicable Credit Facilities without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Any payments,</w:t>
      </w:r>
    </w:p>
    <w:p>
      <w:pPr>
        <w:sectPr>
          <w:pgSz w:w="11900" w:h="16838" w:orient="portrait"/>
          <w:cols w:equalWidth="0" w:num="1">
            <w:col w:w="11420"/>
          </w:cols>
          <w:pgMar w:left="240" w:top="268" w:right="239" w:bottom="1440" w:gutter="0" w:footer="0" w:header="0"/>
        </w:sectPr>
      </w:pPr>
    </w:p>
    <w:bookmarkStart w:id="252" w:name="page253"/>
    <w:bookmarkEnd w:id="25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68" w:lineRule="exact"/>
        <w:rPr>
          <w:sz w:val="20"/>
          <w:szCs w:val="20"/>
          <w:color w:val="auto"/>
        </w:rPr>
      </w:pPr>
    </w:p>
    <w:p>
      <w:pPr>
        <w:ind w:right="380" w:firstLine="443"/>
        <w:spacing w:after="0" w:line="266" w:lineRule="auto"/>
        <w:tabs>
          <w:tab w:leader="none" w:pos="75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(A) 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68" w:lineRule="exact"/>
        <w:rPr>
          <w:rFonts w:ascii="Times New Roman" w:cs="Times New Roman" w:eastAsia="Times New Roman" w:hAnsi="Times New Roman"/>
          <w:sz w:val="18"/>
          <w:szCs w:val="18"/>
          <w:color w:val="auto"/>
        </w:rPr>
      </w:pPr>
    </w:p>
    <w:p>
      <w:pPr>
        <w:jc w:val="both"/>
        <w:ind w:left="460" w:firstLine="421"/>
        <w:spacing w:after="0" w:line="266" w:lineRule="auto"/>
        <w:tabs>
          <w:tab w:leader="none" w:pos="1165"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LC Fees for any period during which that Lender is a Defaulting Lender only to the extent allocable to its Revolving Facility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460" w:right="20" w:firstLine="421"/>
        <w:spacing w:after="0" w:line="256" w:lineRule="auto"/>
        <w:tabs>
          <w:tab w:leader="none" w:pos="1165"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LC Fee not required to be paid to any Defaulting Lender pursuant to clause (A) or (B) above, the applicable Borrower shall (x) pay to each Non-Defaulting Lender that portion of any such fee otherwise payable to such Defaulting Lender with respect to such Defaulting Lender’s participation in LC Outstandings or Swing Loans that has been reallocated to such Non-Defaulting Lender pursuant to clause (iv)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right="60" w:firstLine="443"/>
        <w:spacing w:after="0" w:line="254" w:lineRule="auto"/>
        <w:tabs>
          <w:tab w:leader="none" w:pos="74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LC Outstandings and Swing Loans shall be reallocated among the Non-Defaulting Lenders in accordance with their respective Revolving Facility Percentages (calculated without regard to such Defaulting Lender’s Revolving Commitment) but only to the extent that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Credit Facility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1" w:lineRule="exact"/>
        <w:rPr>
          <w:rFonts w:ascii="Times New Roman" w:cs="Times New Roman" w:eastAsia="Times New Roman" w:hAnsi="Times New Roman"/>
          <w:sz w:val="18"/>
          <w:szCs w:val="18"/>
          <w:color w:val="auto"/>
        </w:rPr>
      </w:pPr>
    </w:p>
    <w:p>
      <w:pPr>
        <w:ind w:right="80" w:firstLine="443"/>
        <w:spacing w:after="0" w:line="261" w:lineRule="auto"/>
        <w:tabs>
          <w:tab w:leader="none" w:pos="69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 Loans</w:t>
      </w:r>
      <w:r>
        <w:rPr>
          <w:rFonts w:ascii="Times New Roman" w:cs="Times New Roman" w:eastAsia="Times New Roman" w:hAnsi="Times New Roman"/>
          <w:sz w:val="18"/>
          <w:szCs w:val="18"/>
          <w:color w:val="auto"/>
        </w:rPr>
        <w:t xml:space="preserve">. If the reallocation described in clause (iv) above cannot, or can only partially, be effected, the applicable Borrower shall, without prejudice to any right or remedy available to it hereunder or under law, (x) first, prepay Swing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460" w:right="220" w:firstLine="464"/>
        <w:spacing w:after="0" w:line="266" w:lineRule="auto"/>
        <w:tabs>
          <w:tab w:leader="none" w:pos="25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the Borrowers, the Administrative Agent, the Foreign Collateral Agent (solely with respect to Dutch Lenders that are Defaulting Lenders) and each Swing Line Lender and LC Issuer agree in writing that a Lender is no longer a Defaulting Lender, the Administrative Agent will so notify the parties hereto, whereupon as of the effective date specified in such notice and</w:t>
      </w:r>
    </w:p>
    <w:p>
      <w:pPr>
        <w:sectPr>
          <w:pgSz w:w="11900" w:h="16838" w:orient="portrait"/>
          <w:cols w:equalWidth="0" w:num="1">
            <w:col w:w="10880"/>
          </w:cols>
          <w:pgMar w:left="700" w:top="270" w:right="319" w:bottom="1440" w:gutter="0" w:footer="0" w:header="0"/>
        </w:sectPr>
      </w:pPr>
    </w:p>
    <w:bookmarkStart w:id="253" w:name="page254"/>
    <w:bookmarkEnd w:id="253"/>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Loans to be held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by the Lenders in accordance with the Revolving Commitments under the applicable Credit Facility (without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sz w:val="20"/>
          <w:szCs w:val="20"/>
          <w:color w:val="auto"/>
        </w:rPr>
      </w:pPr>
    </w:p>
    <w:p>
      <w:pPr>
        <w:jc w:val="both"/>
        <w:ind w:right="440" w:firstLine="464"/>
        <w:spacing w:after="0" w:line="266" w:lineRule="auto"/>
        <w:tabs>
          <w:tab w:leader="none" w:pos="70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Swing Loans/Letters of Credit</w:t>
      </w:r>
      <w:r>
        <w:rPr>
          <w:rFonts w:ascii="Times New Roman" w:cs="Times New Roman" w:eastAsia="Times New Roman" w:hAnsi="Times New Roman"/>
          <w:sz w:val="18"/>
          <w:szCs w:val="18"/>
          <w:color w:val="auto"/>
        </w:rPr>
        <w:t>. So long as any Lender is a Defaulting Lender, (i) the Swing Line Lender shall not be required to fund any Swing Loans unless it is satisfied that it will have no Fronting Exposure after giving effect to such Swing Loan and (ii) no LC Issuer shall be required to issue, extend, renew or increase any Letter of Credit unless it is satisfied that it will have no Fronting Exposure after giving effect thereto.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64"/>
        <w:spacing w:after="0" w:line="261" w:lineRule="auto"/>
        <w:tabs>
          <w:tab w:leader="none" w:pos="70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that there shall exist a Defaulting Lender, within one Business Day following the written request of the Administrative Agent, the Foreign Collateral Agent or any LC Issuer (with a copy to the Administrative Agent) the applicable Borrower shall Cash Collateralize the applicable LC Issuers’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w:t>
      </w:r>
    </w:p>
    <w:p>
      <w:pPr>
        <w:spacing w:after="0" w:line="18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Security Interest</w:t>
      </w:r>
      <w:r>
        <w:rPr>
          <w:rFonts w:ascii="Times New Roman" w:cs="Times New Roman" w:eastAsia="Times New Roman" w:hAnsi="Times New Roman"/>
          <w:sz w:val="17"/>
          <w:szCs w:val="17"/>
          <w:color w:val="auto"/>
        </w:rPr>
        <w:t>. Each applicable Borrower, and to the extent provided by any Defaulting Lender, such Defaulting Lender, hereby grants to</w:t>
      </w:r>
    </w:p>
    <w:p>
      <w:pPr>
        <w:spacing w:after="0" w:line="38" w:lineRule="exact"/>
        <w:rPr>
          <w:rFonts w:ascii="Times New Roman" w:cs="Times New Roman" w:eastAsia="Times New Roman" w:hAnsi="Times New Roman"/>
          <w:sz w:val="17"/>
          <w:szCs w:val="17"/>
          <w:color w:val="auto"/>
        </w:rPr>
      </w:pPr>
    </w:p>
    <w:p>
      <w:pPr>
        <w:ind w:firstLine="8"/>
        <w:spacing w:after="0" w:line="251" w:lineRule="auto"/>
        <w:tabs>
          <w:tab w:leader="none" w:pos="21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for the benefit of the LC Issuers, and agrees to maintain, a first priority security interest in all such Cash Collateral as security for the Defaulting Lenders’ obligation to fund participations in respect of LC Outstandings, to be applied pursuant to clause (c) below and (ii) the Foreign Collateral Agent, for the benefit of the Dutch LC Issuers, and agrees to maintain, a first priority security interest in or Lien on all such Cash Collateral as security for the Defaulting Lenders’ obligation to fund participations in respect of Dutch LC Outstandings, to be applied pursuant to clause (c) below. If at any time the Administrative Agent or the Foreign Collateral Agent determines that Cash Collateral is subject to any right or claim of any Person other than the Administrative Agent or the Foreign collateral Agent, as applicable, and the LC Issuers as herein provided, or that the total amount of such Cash Collateral is less than the Minimum Collateral Amount, the applicable Borrower will, promptly upon demand by the Administrative Agent or the Foreign Collateral Agent, pay or provide to the Administrative Agent or Foreign Collateral Agent additional Cash Collateral in an amount sufficient to eliminate such deficiency (after giving effect to any Cash Collateral provided by the Defaulting Lender).</w:t>
      </w:r>
    </w:p>
    <w:p>
      <w:pPr>
        <w:spacing w:after="0" w:line="194"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L/C Outstandings (including, as to Cash Collateral provided by a Defaulting Lender, any interest accrued on such obligation) for which the Cash Collateral was so provided, prior to any other application of such property as may otherwise be provided for herein.</w:t>
      </w:r>
    </w:p>
    <w:p>
      <w:pPr>
        <w:sectPr>
          <w:pgSz w:w="11900" w:h="16838" w:orient="portrait"/>
          <w:cols w:equalWidth="0" w:num="1">
            <w:col w:w="11420"/>
          </w:cols>
          <w:pgMar w:left="240" w:top="270" w:right="239" w:bottom="1440" w:gutter="0" w:footer="0" w:header="0"/>
        </w:sectPr>
      </w:pPr>
    </w:p>
    <w:bookmarkStart w:id="254" w:name="page255"/>
    <w:bookmarkEnd w:id="254"/>
    <w:p>
      <w:pPr>
        <w:ind w:left="-460" w:right="100" w:firstLine="464"/>
        <w:spacing w:after="0" w:line="255" w:lineRule="auto"/>
        <w:tabs>
          <w:tab w:leader="none" w:pos="25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Requirement</w:t>
      </w:r>
      <w:r>
        <w:rPr>
          <w:rFonts w:ascii="Times New Roman" w:cs="Times New Roman" w:eastAsia="Times New Roman" w:hAnsi="Times New Roman"/>
          <w:sz w:val="18"/>
          <w:szCs w:val="18"/>
          <w:color w:val="auto"/>
        </w:rPr>
        <w:t xml:space="preserve">. Cash Collateral (or the appropriate portion thereof) provided to reduce any LC Issuer’s Fronting Exposure shall no longer be required to be held as Cash Collateral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following (i) the elimination of the applicable Fronting Exposure (including by the termination of Defaulting Lender status of the applicable Lender), or (ii) the determination by the Administrative Agent or Foreign Collateral Agent, as applicable, and each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Person providing Cash Collateral and each LC Issuer may agree that Cash Collateral shall be held to support future anticipated Fronting Exposure or other obligations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that such Cash Collateral was provided by the applicable Borrower, such Cash Collateral shall remain subject to the security interest granted pursuant to the Loan Documents.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firstLine="464"/>
        <w:spacing w:after="0" w:line="253" w:lineRule="auto"/>
        <w:tabs>
          <w:tab w:leader="none" w:pos="24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by written notice to the Administrative Agent and the Arrangers at any time after the Closing Date and prior to the Revolving Commitment Termination Date, request on one or more (but no more than three) occasions, Incremental Revolving Credit Commitments in an aggregate principal amount not to exceed $50,000,000 from one or more Incremental Revolving Credit Lenders which may include any existing Lender (each of which shall be entitled to agree or decline to participate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Incremental Revolving Credit Lender, if not already a Lender hereunder, shall be subject to the approval of the Administrative Agent and, solely with respect to any Lender holding Incremental Dutch Revolving Commitments, the Foreign Collateral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after giving effect to such Incremental Revolving Credit Commitments, the Total Dutch Revolving Credit Commitment shall not exceed 15% of the Total Revolving Credit Commitment. Such notice shall set forth (i) the amount of the Incremental Revolving Credit Commitments being requested (which shall be in minimum increments of $5,000,000 and a minimum amount of $10,000,000, (ii) the date on which such Incremental Revolving Credit Commitments are requested to become effective (which shall not be less than 10 Business Days nor more than 60 days after the date of such notice, unless otherwise agreed to by the Administrative Agent) and (iii) whether such Incremental Revolving Credit Commitments are to be Incremental Dutch Revolving Credit Commitments or Incremental U.S. Revolving Credit Commitments. Notwithstanding anything contained herein to the contrary, it is acknowledged and agreed that all Incremental Revolving Credit Commitments are to be Revolving Commitments and based on the terms and conditions set forth herein for Revolving Commitments and Revolving Loans.</w:t>
      </w:r>
    </w:p>
    <w:p>
      <w:pPr>
        <w:spacing w:after="0" w:line="188" w:lineRule="exact"/>
        <w:rPr>
          <w:rFonts w:ascii="Times New Roman" w:cs="Times New Roman" w:eastAsia="Times New Roman" w:hAnsi="Times New Roman"/>
          <w:sz w:val="18"/>
          <w:szCs w:val="18"/>
          <w:color w:val="auto"/>
        </w:rPr>
      </w:pPr>
    </w:p>
    <w:p>
      <w:pPr>
        <w:ind w:left="-460" w:firstLine="464"/>
        <w:spacing w:after="0" w:line="253" w:lineRule="auto"/>
        <w:tabs>
          <w:tab w:leader="none" w:pos="25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seek Incremental Revolving Credit Commitments from existing Lenders (each of which shall be entitled to agree or decline to participate in its sole discretion) and additional banks, financial institutions and other institutional lenders who will become Incremental Revolving Credit Lenders in connection therewith. The Borrowers and each Incremental Revolving Credit Lender shall execute and deliver to the Administrative Agent an Incremental Revolving Credit Assumption Agreement and such other documentation as the Administrative Agent shall reasonably specify to evidence the Incremental Revolving Credit Commitment of such Incremental Revolving Credit Lender. Each Incremental Revolving Credit Assumption Agreement shall include the information required under Section 2.17(a)(i), (ii) and (iii) above. The Administrative Agent shall promptly notify each Lender as to the effectiveness of each Incremental Revolving Credit Assumption Agreement. Each of the parties hereto hereby agrees that, upon the effectiveness of any Incremental Revolving Credit Assumption Agreement, the Total Revolving Commitment shall be increased by the amount of the new Incremental Revolving Commitments and this Agreement otherwise shall be deemed amended to the extent (but only to the extent) necessary to reflect the existence and terms of the Incremental Revolving Credit Commitment, as applicable, evidenced thereby as provided for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Any such deemed amendment may be memorialized in writing by the Administrative Agent with the Borrowers’ consent (not to be unreasonably withheld) and furnished to the other parties hereto. The maturity date of each Incremental Revolving Credit Commitment shall be the Revolving Facility Termination Date.</w:t>
      </w:r>
    </w:p>
    <w:p>
      <w:pPr>
        <w:sectPr>
          <w:pgSz w:w="11900" w:h="16838" w:orient="portrait"/>
          <w:cols w:equalWidth="0" w:num="1">
            <w:col w:w="10920"/>
          </w:cols>
          <w:pgMar w:left="700" w:top="270" w:right="279" w:bottom="1440" w:gutter="0" w:footer="0" w:header="0"/>
        </w:sectPr>
      </w:pPr>
    </w:p>
    <w:bookmarkStart w:id="255" w:name="page256"/>
    <w:bookmarkEnd w:id="255"/>
    <w:p>
      <w:pPr>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contained herein to the contrary, it is acknowledged and agreed that all Incremental Revolving Credit Commitments are to be Revolving Commitments and shall be on the same or, to the extent deemed satisfactory to the Administrative Agent, substantially similar, terms and conditions set forth herein.</w:t>
      </w:r>
    </w:p>
    <w:p>
      <w:pPr>
        <w:spacing w:after="0" w:line="176" w:lineRule="exact"/>
        <w:rPr>
          <w:sz w:val="20"/>
          <w:szCs w:val="20"/>
          <w:color w:val="auto"/>
        </w:rPr>
      </w:pPr>
    </w:p>
    <w:p>
      <w:pPr>
        <w:ind w:firstLine="464"/>
        <w:spacing w:after="0" w:line="258" w:lineRule="auto"/>
        <w:tabs>
          <w:tab w:leader="none" w:pos="70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Incremental Revolving Credit Commitment shall become effective under this Section unless (i) on the date of such effectiveness,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and the Administrative Agent shall have received a certificate to that effect dated such date and executed by a Financial Officer of the Company, (ii) the Administrative Agent shall have received legal opinions, board resolutions and other closing certificates and documentation consistent with those delivered on the Closing Date, and (iii) the Credit Parties would be in pro forma compliance with the covenants set forth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if then applicable.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Liability of Credit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82" w:lineRule="auto"/>
        <w:tabs>
          <w:tab w:leader="none" w:pos="70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Anything herein or in any Loan Document to the contrary notwithstanding, neither the Dutch Borrower nor any other Foreign Subsidiary shall at any time be liable for any U.S. Obligation.</w:t>
      </w:r>
    </w:p>
    <w:p>
      <w:pPr>
        <w:spacing w:after="0" w:line="161" w:lineRule="exact"/>
        <w:rPr>
          <w:rFonts w:ascii="Times New Roman" w:cs="Times New Roman" w:eastAsia="Times New Roman" w:hAnsi="Times New Roman"/>
          <w:sz w:val="18"/>
          <w:szCs w:val="18"/>
          <w:color w:val="auto"/>
        </w:rPr>
      </w:pPr>
    </w:p>
    <w:p>
      <w:pPr>
        <w:jc w:val="both"/>
        <w:ind w:right="80" w:firstLine="464"/>
        <w:spacing w:after="0" w:line="261" w:lineRule="auto"/>
        <w:tabs>
          <w:tab w:leader="none" w:pos="71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Netherlands</w:t>
      </w:r>
      <w:r>
        <w:rPr>
          <w:rFonts w:ascii="Times New Roman" w:cs="Times New Roman" w:eastAsia="Times New Roman" w:hAnsi="Times New Roman"/>
          <w:sz w:val="18"/>
          <w:szCs w:val="18"/>
          <w:color w:val="auto"/>
        </w:rPr>
        <w:t>. Anything herein or in any Loan Document to the contrary notwithstanding, the guarantee, indemnity and other obligations of each Credit Party organized under the laws of the Netherlands expressed in this Agreement or any other Loan Document shall be deemed not to be assumed by such Credit Party to the extent that the same would constitute unlawful financial assistance within the meaning of Section 2:207c or 2:98c of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Banking Services and Hedge Agreements.</w:t>
      </w:r>
      <w:r>
        <w:rPr>
          <w:rFonts w:ascii="Times New Roman" w:cs="Times New Roman" w:eastAsia="Times New Roman" w:hAnsi="Times New Roman"/>
          <w:sz w:val="18"/>
          <w:szCs w:val="18"/>
          <w:color w:val="auto"/>
        </w:rPr>
        <w:t xml:space="preserve"> Each Lender or Affiliate to which Dutch Banking Services Obligations or U.S. Banking Services Obligations are owed by, or to which Hedging Obligations are owed by, any Credit Party shall deliver to the Administrative Agent or the Foreign Collateral Agent, as applicable, promptly after entering into the related banking services or Hedge Agreements, written notice setting forth the aggregate amount of all Banking Services Obligations and Hedging Obligations of such Credit Party to such Lender or Affiliate (whether matured or unmatured, absolute or contingent). In addition, each such Lender or Affiliate thereof shall deliver to the Administrative Agent or the Foreign Collateral Agent, as applicable, from time to time after a significant change therein or upon a request therefor, a summary of the amounts due or to become due in respect of such Banking Services Obligations and Hedging Obligations. The most recent information provided to the Administrative Agent or the Foreign Collateral Agent, as applicable, shall be used in determining the amounts to be applied in respect of such Banking Services Obligations and/or Hedging Obligations pursuant to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and which tier of the waterfalls, contained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such Banking Services Obligations and/or Hedging Obligations will be placed.</w:t>
      </w:r>
    </w:p>
    <w:p>
      <w:pPr>
        <w:spacing w:after="0" w:line="18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Non-Public Lender.</w:t>
      </w:r>
      <w:r>
        <w:rPr>
          <w:rFonts w:ascii="Times New Roman" w:cs="Times New Roman" w:eastAsia="Times New Roman" w:hAnsi="Times New Roman"/>
          <w:sz w:val="18"/>
          <w:szCs w:val="18"/>
          <w:color w:val="auto"/>
        </w:rPr>
        <w:t xml:space="preserve"> Any Loan extended to or for the account of an Applicable Dutch Credit Party shall at all times be provided by a Lender that is a Non-Public Lender.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INCREASED COSTS, ILLEGALITY AND 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Increased Costs, Illegality, etc.</w:t>
      </w:r>
    </w:p>
    <w:p>
      <w:pPr>
        <w:spacing w:after="0" w:line="225" w:lineRule="exact"/>
        <w:rPr>
          <w:sz w:val="20"/>
          <w:szCs w:val="20"/>
          <w:color w:val="auto"/>
        </w:rPr>
      </w:pPr>
    </w:p>
    <w:p>
      <w:pPr>
        <w:ind w:right="20" w:firstLine="464"/>
        <w:spacing w:after="0" w:line="266" w:lineRule="auto"/>
        <w:tabs>
          <w:tab w:leader="none" w:pos="70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(y) in the case of clause (i) below, the Administrative Agent or the Foreign Collateral Agent, as applicable, or (z) in the case of clauses (ii) and (iii) below, any Lender, shall have determined on a reasonable basis (which determination shall, absent manifest error, be final and conclusive and binding upon all parties hereto):</w:t>
      </w:r>
    </w:p>
    <w:p>
      <w:pPr>
        <w:spacing w:after="0" w:line="68" w:lineRule="exact"/>
        <w:rPr>
          <w:rFonts w:ascii="Times New Roman" w:cs="Times New Roman" w:eastAsia="Times New Roman" w:hAnsi="Times New Roman"/>
          <w:sz w:val="18"/>
          <w:szCs w:val="18"/>
          <w:color w:val="auto"/>
        </w:rPr>
      </w:pPr>
    </w:p>
    <w:p>
      <w:pPr>
        <w:jc w:val="both"/>
        <w:ind w:left="460" w:right="40" w:firstLine="443"/>
        <w:spacing w:after="0" w:line="266" w:lineRule="auto"/>
        <w:tabs>
          <w:tab w:leader="none" w:pos="111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date for determining the interest rate applicable to any LIBOR Loan for any Interest Period that, by reason of any changes arising after the Closing Date, adequate and fair means do not exist for ascertaining the applicable interest rate on the basis provided for in this Agreement for such LIBOR Loan; or</w:t>
      </w:r>
    </w:p>
    <w:p>
      <w:pPr>
        <w:sectPr>
          <w:pgSz w:w="11900" w:h="16838" w:orient="portrait"/>
          <w:cols w:equalWidth="0" w:num="1">
            <w:col w:w="11380"/>
          </w:cols>
          <w:pgMar w:left="240" w:top="270" w:right="279" w:bottom="1440" w:gutter="0" w:footer="0" w:header="0"/>
        </w:sectPr>
      </w:pPr>
    </w:p>
    <w:bookmarkStart w:id="256" w:name="page257"/>
    <w:bookmarkEnd w:id="256"/>
    <w:p>
      <w:pPr>
        <w:ind w:left="460" w:firstLine="443"/>
        <w:spacing w:after="0" w:line="256" w:lineRule="auto"/>
        <w:tabs>
          <w:tab w:leader="none" w:pos="116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that such Lender shall incur increased costs or reductions in the amounts received or receivable by it hereunder in an amount that such Lender deems material with respect to any LIBOR Loans (other than any increased cost or reduction in the amount received or receivable resulting from the imposition of or a change in the rate of any Connection Income Taxes) because of (x) any Change in Law since the Closing Date (such as, for example, but not limited to, a change in official reserve requirements, but, in all events, excluding reserves already includable in the interest rate applicable to such LIBOR Loan pursuant to this Agreement) or (y) other circumstances adversely affecting the London interbank market or the position of such Lender in any such market; or</w:t>
      </w:r>
    </w:p>
    <w:p>
      <w:pPr>
        <w:spacing w:after="0" w:line="79" w:lineRule="exact"/>
        <w:rPr>
          <w:rFonts w:ascii="Times New Roman" w:cs="Times New Roman" w:eastAsia="Times New Roman" w:hAnsi="Times New Roman"/>
          <w:sz w:val="18"/>
          <w:szCs w:val="18"/>
          <w:color w:val="auto"/>
        </w:rPr>
      </w:pPr>
    </w:p>
    <w:p>
      <w:pPr>
        <w:ind w:left="460" w:right="100" w:firstLine="443"/>
        <w:spacing w:after="0" w:line="261" w:lineRule="auto"/>
        <w:tabs>
          <w:tab w:leader="none" w:pos="121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making or continuance of any LIBOR Loan has become unlawful by compliance by such Lender in good faith with any Change in Law since the Closing Date, or would conflict with any thereof not having the force of law but with which such Lender customarily complies, or has become impracticable as a result of a contingency occurring after the Closing Date that materially adversely affects the London interbank market;</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and in each such event, such Lender (or the Administrative Agent or the Foreign Collateral Agent in the case of clause (i) above) shall (1) on or promptly following such date or time and (2) within 10 Business Days of the date on which such event no longer exists give notice (by electronic transmission or telephone confirmed in writing) to the Borrowers and to the Administrative Agent of such determination (which notice the Administrative Agent shall promptly transmit to each of the other Lenders). Thereafter (x) in the case of clause (i) above, the affected Type of LIBOR Loans shall no longer be available until such time as the Administrative Agent notifies the Borrowers and the Lenders that the circumstances giving rise to such notice by the Administrative Agent no longer exist, and any Notice of Borrowing or Notice of Continuation or Conversion given by the Borrowers with respect to such Type of LIBOR Loans that have not yet been incurred, Converted or Continued shall be deemed rescinded by the Borrowers or, in the case of a Notice of Borrowing, shall, at the option of the Borrowers, be deemed converted into a Notice of Borrowing for Base Rate Loans to be made on the date of Borrowing contained in such Notice of Borrowing, (y) in the case of clause (ii) above, the Borrowers shall pay to such Lender, upon written demand therefor, such additional amounts (in the form of an increased rate of, or a different method of calculating, interest or otherwise as such Lender shall determine) as shall be required to compensate such Lender for such increased costs or reductions in amounts receivable hereunder (a written notice as to the additional amounts owed to such Lender, showing the basis for the calculation thereof, which basis must be reasonable, submitted to the Borrowers by such Lender shall, absent manifest error, be final and conclusive and binding upon all parties hereto) and (z) in the case of clause (iii) above, the Borrowers shall take one of the actions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as promptly as possible and, in any event, within the time period required by law.</w:t>
      </w:r>
    </w:p>
    <w:p>
      <w:pPr>
        <w:spacing w:after="0" w:line="199" w:lineRule="exact"/>
        <w:rPr>
          <w:sz w:val="20"/>
          <w:szCs w:val="20"/>
          <w:color w:val="auto"/>
        </w:rPr>
      </w:pPr>
    </w:p>
    <w:p>
      <w:pPr>
        <w:jc w:val="both"/>
        <w:ind w:right="80" w:firstLine="464"/>
        <w:spacing w:after="0" w:line="261" w:lineRule="auto"/>
        <w:tabs>
          <w:tab w:leader="none" w:pos="71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that any LIBOR Loan is affected by the circumstances described in </w:t>
      </w:r>
      <w:r>
        <w:rPr>
          <w:rFonts w:ascii="Times New Roman" w:cs="Times New Roman" w:eastAsia="Times New Roman" w:hAnsi="Times New Roman"/>
          <w:sz w:val="18"/>
          <w:szCs w:val="18"/>
          <w:u w:val="single" w:color="auto"/>
          <w:color w:val="auto"/>
        </w:rPr>
        <w:t>Section 3.01(a)(ii) or (iii)</w:t>
      </w:r>
      <w:r>
        <w:rPr>
          <w:rFonts w:ascii="Times New Roman" w:cs="Times New Roman" w:eastAsia="Times New Roman" w:hAnsi="Times New Roman"/>
          <w:sz w:val="18"/>
          <w:szCs w:val="18"/>
          <w:color w:val="auto"/>
        </w:rPr>
        <w:t xml:space="preserve">, the Borrowers may (and in the case of a LIBOR Loan affected pursuant to </w:t>
      </w:r>
      <w:r>
        <w:rPr>
          <w:rFonts w:ascii="Times New Roman" w:cs="Times New Roman" w:eastAsia="Times New Roman" w:hAnsi="Times New Roman"/>
          <w:sz w:val="18"/>
          <w:szCs w:val="18"/>
          <w:u w:val="single" w:color="auto"/>
          <w:color w:val="auto"/>
        </w:rPr>
        <w:t>Section 3.01(a)(iii)</w:t>
      </w:r>
      <w:r>
        <w:rPr>
          <w:rFonts w:ascii="Times New Roman" w:cs="Times New Roman" w:eastAsia="Times New Roman" w:hAnsi="Times New Roman"/>
          <w:sz w:val="18"/>
          <w:szCs w:val="18"/>
          <w:color w:val="auto"/>
        </w:rPr>
        <w:t xml:space="preserve"> the Borrowers shall) either (i) if the affected LIBOR Loan is then being made pursuant to a Borrowing, by giving the Administrative Agent telephonic notice (confirmed promptly in writing) thereof on the same date that the Borrowers were notified by a Lender pursuant to </w:t>
      </w:r>
      <w:r>
        <w:rPr>
          <w:rFonts w:ascii="Times New Roman" w:cs="Times New Roman" w:eastAsia="Times New Roman" w:hAnsi="Times New Roman"/>
          <w:sz w:val="18"/>
          <w:szCs w:val="18"/>
          <w:u w:val="single" w:color="auto"/>
          <w:color w:val="auto"/>
        </w:rPr>
        <w:t>Section 3.01(a)(ii) or (iii)</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270" w:right="259" w:bottom="1440" w:gutter="0" w:footer="0" w:header="0"/>
        </w:sectPr>
      </w:pPr>
    </w:p>
    <w:bookmarkStart w:id="257" w:name="page258"/>
    <w:bookmarkEnd w:id="25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cancel said Borrowing, or, in the case of any Borrowing, convert the related Notice of Borrowing into one requesting a Borrowing of Base Rate Loans or require the affected Lender to make its requested Loan as a Base Rate Loan, or (ii) if the affected LIBOR Loan is then outstanding, upon at least one Business Day’s notice to the Administrative Agent, require the affected Lender to Convert each such LIBOR Loan into a Base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more than one Lender is affected at any time, then all affected Lenders must be treated the same pursuant to this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64"/>
        <w:spacing w:after="0" w:line="253" w:lineRule="auto"/>
        <w:tabs>
          <w:tab w:leader="none" w:pos="70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have determined that after the Closing Date, any Change in Law regarding capital adequacy by any Governmental Authority, central bank or comparable agency charged by law with the interpretation or administration thereof, or compliance by such Lender or its parent corporation with any request or directive regarding capital adequacy (whether or not having the force of law) of any such authority, central bank, or comparable agency, in each case made subsequent to the Closing Date, has or would have the effect of reducing by an amount reasonably deemed by such Lender to be material to the rate of return on such Lender’s or its parent corporation’s capital or assets as a consequence of such Lender’s commitments or obligations hereunder to a level below that which such Lender or its parent corporation could have achieved but for such adoption, effectiveness, change or compliance (taking into consideration such Lender’s or its parent corporation’s policies with respect to capital adequacy), then from time to time, within 15 days after demand by such Lender (with a copy to the Administrative Agent), the Borrowers shall pay to such Lender such additional amount or amounts as will compensate such Lender or its parent corporation for such reduction. Each Lender, upon determining in good faith that any additional amounts will be payable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3.01(c)</w:t>
      </w:r>
      <w:r>
        <w:rPr>
          <w:rFonts w:ascii="Times New Roman" w:cs="Times New Roman" w:eastAsia="Times New Roman" w:hAnsi="Times New Roman"/>
          <w:sz w:val="18"/>
          <w:szCs w:val="18"/>
          <w:color w:val="auto"/>
        </w:rPr>
        <w:t xml:space="preserve">, will give prompt written notice thereof to the Borrowers, which notice shall set forth, in reasonable detail, the basis of the calculation of such additional amounts, which basis must be reasonable, although the failure to give any such notice shall not release or diminish any of the Borrowers’ obligations to pay additional amounts pursuant to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upon the subsequent receipt of such notice.</w:t>
      </w:r>
    </w:p>
    <w:p>
      <w:pPr>
        <w:spacing w:after="0" w:line="190" w:lineRule="exact"/>
        <w:rPr>
          <w:rFonts w:ascii="Times New Roman" w:cs="Times New Roman" w:eastAsia="Times New Roman" w:hAnsi="Times New Roman"/>
          <w:sz w:val="18"/>
          <w:szCs w:val="18"/>
          <w:color w:val="auto"/>
        </w:rPr>
      </w:pPr>
    </w:p>
    <w:p>
      <w:pPr>
        <w:ind w:right="380" w:firstLine="464"/>
        <w:spacing w:after="0" w:line="266" w:lineRule="auto"/>
        <w:tabs>
          <w:tab w:leader="none" w:pos="71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no Lender shall be entitled to compensation or payment or reimbursement of other amounts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amounts incurred or accruing more than 30 days prior to the giving of notice to the Borrowers of additional costs or other amounts of the nature described in such Sections.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Breakage Compensation</w:t>
      </w:r>
      <w:r>
        <w:rPr>
          <w:rFonts w:ascii="Times New Roman" w:cs="Times New Roman" w:eastAsia="Times New Roman" w:hAnsi="Times New Roman"/>
          <w:sz w:val="18"/>
          <w:szCs w:val="18"/>
          <w:color w:val="auto"/>
        </w:rPr>
        <w:t xml:space="preserve">. The applicable Borrower shall compensate each Lender (including the Swing Line Lender), upon its written request (which request shall set forth the detailed basis for requesting and the method of calculating such compensation), for all reasonable losses, costs, expenses and liabilities (including, without limitation, any loss, cost, expense or liability incurred by reason of the liquidation or reemployment of deposits or other funds required by such Lender to fund its LIBOR Loans or Swing Loans) which such Lender may sustain in connection with any of the following: (i) if for any reason a Borrowing of LIBOR Loans or Swing Loans does not occur on a date specified therefor in a Notice of Borrowing or a Notice of Continuation or Conversion (whether or not withdrawn by the Borrowers or deemed withdrawn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(ii) if any repayment, prepayment, Conversion or Continuation of any LIBOR Loan occurs on a date that is not the last day of an Interest Period applicable thereto or any Swing Loan is paid prior to the Swing Loan Maturity Date applicable thereto; (iii) if any prepayment of any of its LIBOR Loans is not made on any date specified in a notice of prepayment given by the Borrowers; (iv) as a result of an assignment by a Lender of any LIBOR Loan other than on the last day of the Interest Period applicable thereto pursuant to a request by the Borrowers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or (v) as a consequence of (y) any other default by the Borrowers to repay or prepay any LIBOR Loans when required by the terms of this Agreement or (z) an election made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The written request of any Lender setting forth any amount or amounts that such Lender is entitled to receive pursuant to this Section shall be delivered to the Borrowers and shall be conclusive absent manifest error. The applicable Borrower shall pay such Lender the amount shown as due on any such request within 10 days after receipt thereof.</w:t>
      </w:r>
    </w:p>
    <w:p>
      <w:pPr>
        <w:sectPr>
          <w:pgSz w:w="11900" w:h="16838" w:orient="portrait"/>
          <w:cols w:equalWidth="0" w:num="1">
            <w:col w:w="11420"/>
          </w:cols>
          <w:pgMar w:left="240" w:top="270"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Net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0" w:hanging="236"/>
        <w:spacing w:after="0"/>
        <w:tabs>
          <w:tab w:leader="none" w:pos="2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the term “Lender” includes any LC Issuer and the term “applicable law” includes FATCA.</w:t>
      </w:r>
    </w:p>
    <w:p>
      <w:pPr>
        <w:spacing w:after="0" w:line="225" w:lineRule="exact"/>
        <w:rPr>
          <w:rFonts w:ascii="Times New Roman" w:cs="Times New Roman" w:eastAsia="Times New Roman" w:hAnsi="Times New Roman"/>
          <w:sz w:val="18"/>
          <w:szCs w:val="18"/>
          <w:color w:val="auto"/>
        </w:rPr>
      </w:pPr>
    </w:p>
    <w:p>
      <w:pPr>
        <w:ind w:left="-460" w:right="140" w:firstLine="464"/>
        <w:spacing w:after="0" w:line="255" w:lineRule="auto"/>
        <w:tabs>
          <w:tab w:leader="none" w:pos="25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5" w:lineRule="exact"/>
        <w:rPr>
          <w:rFonts w:ascii="Times New Roman" w:cs="Times New Roman" w:eastAsia="Times New Roman" w:hAnsi="Times New Roman"/>
          <w:sz w:val="18"/>
          <w:szCs w:val="18"/>
          <w:color w:val="auto"/>
        </w:rPr>
      </w:pPr>
    </w:p>
    <w:p>
      <w:pPr>
        <w:ind w:left="-460" w:right="780" w:firstLine="464"/>
        <w:spacing w:after="0" w:line="282" w:lineRule="auto"/>
        <w:tabs>
          <w:tab w:leader="none" w:pos="24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Borrowers</w:t>
      </w:r>
      <w:r>
        <w:rPr>
          <w:rFonts w:ascii="Times New Roman" w:cs="Times New Roman" w:eastAsia="Times New Roman" w:hAnsi="Times New Roman"/>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ind w:left="-460" w:right="20" w:firstLine="464"/>
        <w:spacing w:after="0" w:line="256" w:lineRule="auto"/>
        <w:tabs>
          <w:tab w:leader="none" w:pos="25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The Credit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left="-460" w:right="60" w:firstLine="464"/>
        <w:spacing w:after="0" w:line="254" w:lineRule="auto"/>
        <w:tabs>
          <w:tab w:leader="none" w:pos="24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or the Foreign Collateral Agent, as applicable, within 10 days after demand therefor, for (i) any Indemnified Taxes attributable to such Lender (but only to the extent that any Credit Party has not already indemnified the Administrative Agent or Foreign Collateral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6" w:lineRule="exact"/>
        <w:rPr>
          <w:rFonts w:ascii="Times New Roman" w:cs="Times New Roman" w:eastAsia="Times New Roman" w:hAnsi="Times New Roman"/>
          <w:sz w:val="18"/>
          <w:szCs w:val="18"/>
          <w:color w:val="auto"/>
        </w:rPr>
      </w:pPr>
    </w:p>
    <w:p>
      <w:pPr>
        <w:ind w:left="-460" w:firstLine="464"/>
        <w:spacing w:after="0" w:line="266" w:lineRule="auto"/>
        <w:tabs>
          <w:tab w:leader="none" w:pos="22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Credit Party to a Governmental Authority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ectPr>
          <w:pgSz w:w="11900" w:h="16838" w:orient="portrait"/>
          <w:cols w:equalWidth="0" w:num="1">
            <w:col w:w="10960"/>
          </w:cols>
          <w:pgMar w:left="700" w:top="270" w:right="239" w:bottom="1440" w:gutter="0" w:footer="0" w:header="0"/>
        </w:sectPr>
      </w:pPr>
    </w:p>
    <w:bookmarkStart w:id="259" w:name="page260"/>
    <w:bookmarkEnd w:id="259"/>
    <w:p>
      <w:pPr>
        <w:ind w:left="-464" w:right="60" w:firstLine="464"/>
        <w:spacing w:after="0" w:line="254" w:lineRule="auto"/>
        <w:tabs>
          <w:tab w:leader="none" w:pos="24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Status of Lenders</w:t>
      </w:r>
      <w:r>
        <w:rPr>
          <w:rFonts w:ascii="Times New Roman" w:cs="Times New Roman" w:eastAsia="Times New Roman" w:hAnsi="Times New Roman"/>
          <w:sz w:val="18"/>
          <w:szCs w:val="18"/>
          <w:color w:val="auto"/>
        </w:rPr>
        <w:t xml:space="preserve">.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3.03(g)(ii)(A), (ii)(B) and (ii)(D)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8" w:lineRule="exact"/>
        <w:rPr>
          <w:rFonts w:ascii="Times New Roman" w:cs="Times New Roman" w:eastAsia="Times New Roman" w:hAnsi="Times New Roman"/>
          <w:sz w:val="18"/>
          <w:szCs w:val="18"/>
          <w:color w:val="auto"/>
        </w:rPr>
      </w:pPr>
    </w:p>
    <w:p>
      <w:pPr>
        <w:ind w:left="696" w:hanging="257"/>
        <w:spacing w:after="0"/>
        <w:tabs>
          <w:tab w:leader="none" w:pos="69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with respect to any obligation for which the applicable Borrower is a U.S. Borrower,</w:t>
      </w:r>
    </w:p>
    <w:p>
      <w:pPr>
        <w:spacing w:after="0" w:line="117" w:lineRule="exact"/>
        <w:rPr>
          <w:rFonts w:ascii="Times New Roman" w:cs="Times New Roman" w:eastAsia="Times New Roman" w:hAnsi="Times New Roman"/>
          <w:sz w:val="18"/>
          <w:szCs w:val="18"/>
          <w:color w:val="auto"/>
        </w:rPr>
      </w:pPr>
    </w:p>
    <w:p>
      <w:pPr>
        <w:ind w:left="456" w:right="100" w:firstLine="421"/>
        <w:spacing w:after="0" w:line="266" w:lineRule="auto"/>
        <w:tabs>
          <w:tab w:leader="none" w:pos="1170"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U.S. Borrower and the Administrative Agent on or prior to the date on which such Lender becomes a Lender under this Agreement (and from time to time thereafter upon the reasonable request of the U.S. Borrower or the Administrative Agent), executed originals of IRS Form W-9 certifying that such Lender is exempt from U.S. federal backup withholding Tax;</w:t>
      </w:r>
    </w:p>
    <w:p>
      <w:pPr>
        <w:spacing w:after="0" w:line="68" w:lineRule="exact"/>
        <w:rPr>
          <w:rFonts w:ascii="Times New Roman" w:cs="Times New Roman" w:eastAsia="Times New Roman" w:hAnsi="Times New Roman"/>
          <w:sz w:val="18"/>
          <w:szCs w:val="18"/>
          <w:color w:val="auto"/>
        </w:rPr>
      </w:pPr>
    </w:p>
    <w:p>
      <w:pPr>
        <w:ind w:left="456" w:firstLine="421"/>
        <w:spacing w:after="0" w:line="261" w:lineRule="auto"/>
        <w:tabs>
          <w:tab w:leader="none" w:pos="1160"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U.S. Borrower and the Administrative Agent (in such number of copies as shall be requested by the recipient) on or prior to the date on which such Foreign Lender becomes a Lender under this Agreement (and from time to time thereafter upon the reasonable request of the U.S.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1036" w:right="140" w:firstLine="389"/>
        <w:spacing w:after="0" w:line="258" w:lineRule="auto"/>
        <w:tabs>
          <w:tab w:leader="none" w:pos="1688" w:val="left"/>
        </w:tabs>
        <w:numPr>
          <w:ilvl w:val="4"/>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W-8BEN-E establishing an exemption from, or reduction of, U.S. federal withholding Tax pursuant to the “interest” article of such tax treaty and (y) with respect to any other applicable payments under any Loan Document, IRS Form W-8BEN-E establishing an exemption from, or reduction of, U.S. federal withholding Tax pursuant to the “business profits” or “other income” article of such tax treaty;</w:t>
      </w:r>
    </w:p>
    <w:p>
      <w:pPr>
        <w:spacing w:after="0" w:line="75" w:lineRule="exact"/>
        <w:rPr>
          <w:rFonts w:ascii="Times New Roman" w:cs="Times New Roman" w:eastAsia="Times New Roman" w:hAnsi="Times New Roman"/>
          <w:sz w:val="18"/>
          <w:szCs w:val="18"/>
          <w:color w:val="auto"/>
        </w:rPr>
      </w:pPr>
    </w:p>
    <w:p>
      <w:pPr>
        <w:ind w:left="1676" w:hanging="251"/>
        <w:spacing w:after="0"/>
        <w:tabs>
          <w:tab w:leader="none" w:pos="1676" w:val="left"/>
        </w:tabs>
        <w:numPr>
          <w:ilvl w:val="4"/>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IRS Form W-8ECI;</w:t>
      </w:r>
    </w:p>
    <w:p>
      <w:pPr>
        <w:spacing w:after="0" w:line="117" w:lineRule="exact"/>
        <w:rPr>
          <w:rFonts w:ascii="Times New Roman" w:cs="Times New Roman" w:eastAsia="Times New Roman" w:hAnsi="Times New Roman"/>
          <w:sz w:val="18"/>
          <w:szCs w:val="18"/>
          <w:color w:val="auto"/>
        </w:rPr>
      </w:pPr>
    </w:p>
    <w:p>
      <w:pPr>
        <w:ind w:left="1676" w:hanging="251"/>
        <w:spacing w:after="0"/>
        <w:tabs>
          <w:tab w:leader="none" w:pos="1676" w:val="left"/>
        </w:tabs>
        <w:numPr>
          <w:ilvl w:val="4"/>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ind w:left="1036" w:right="440" w:hanging="8"/>
        <w:spacing w:after="0" w:line="261" w:lineRule="auto"/>
        <w:tabs>
          <w:tab w:leader="none" w:pos="1290" w:val="left"/>
        </w:tabs>
        <w:numPr>
          <w:ilvl w:val="3"/>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U.S. Borrower within the meaning of Section 881(c)(3)(B)</w:t>
      </w:r>
    </w:p>
    <w:p>
      <w:pPr>
        <w:sectPr>
          <w:pgSz w:w="11900" w:h="16838" w:orient="portrait"/>
          <w:cols w:equalWidth="0" w:num="1">
            <w:col w:w="10936"/>
          </w:cols>
          <w:pgMar w:left="704" w:top="270" w:right="259" w:bottom="1440" w:gutter="0" w:footer="0" w:header="0"/>
        </w:sectPr>
      </w:pPr>
    </w:p>
    <w:bookmarkStart w:id="260" w:name="page261"/>
    <w:bookmarkEnd w:id="260"/>
    <w:p>
      <w:pPr>
        <w:ind w:left="1036"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 or</w:t>
      </w:r>
    </w:p>
    <w:p>
      <w:pPr>
        <w:spacing w:after="0" w:line="54" w:lineRule="exact"/>
        <w:rPr>
          <w:sz w:val="20"/>
          <w:szCs w:val="20"/>
          <w:color w:val="auto"/>
        </w:rPr>
      </w:pPr>
    </w:p>
    <w:p>
      <w:pPr>
        <w:ind w:left="1036" w:right="60" w:firstLine="389"/>
        <w:spacing w:after="0" w:line="256" w:lineRule="auto"/>
        <w:tabs>
          <w:tab w:leader="none" w:pos="168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(as revised in 2014), accompanied by IRS Form W-8ECI (as revised in 2014), IRS Form W-8BEN-E,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456" w:right="20" w:firstLine="421"/>
        <w:spacing w:after="0" w:line="256" w:lineRule="auto"/>
        <w:tabs>
          <w:tab w:leader="none" w:pos="11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U.S. Borrower and the Administrative Agent (in such number of copies as shall be requested by the recipient) on or prior to the date on which such Foreign Lender becomes a Lender under this Agreement (and from time to time thereafter upon the reasonable request of the U.S.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U.S.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456" w:firstLine="421"/>
        <w:spacing w:after="0" w:line="254" w:lineRule="auto"/>
        <w:tabs>
          <w:tab w:leader="none" w:pos="117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U.S. Borrower and the Administrative Agent at the time or times prescribed by law and at such time or times reasonably requested by the U.S. Borrower or the Administrative Agent such documentation prescribed by applicable law (including as prescribed by Section 1471(b)(3)(C)(i) of the Code) and such additional documentation reasonably requested by the U.S. Borrower or the Administrative Agent as may be necessary for the U.S.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81" w:lineRule="exact"/>
        <w:rPr>
          <w:sz w:val="20"/>
          <w:szCs w:val="20"/>
          <w:color w:val="auto"/>
        </w:rPr>
      </w:pPr>
    </w:p>
    <w:p>
      <w:pPr>
        <w:ind w:left="456" w:right="20" w:firstLine="420"/>
        <w:spacing w:after="0" w:line="313" w:lineRule="auto"/>
        <w:rPr>
          <w:sz w:val="20"/>
          <w:szCs w:val="20"/>
          <w:color w:val="auto"/>
        </w:rPr>
      </w:pPr>
      <w:r>
        <w:rPr>
          <w:rFonts w:ascii="Times New Roman" w:cs="Times New Roman" w:eastAsia="Times New Roman" w:hAnsi="Times New Roman"/>
          <w:sz w:val="17"/>
          <w:szCs w:val="17"/>
          <w:color w:val="auto"/>
        </w:rPr>
        <w:t>Each Lender agrees that if any form or certification it previously delivered expires or becomes obsolete or inaccurate in any respect, it shall update such form or certification or promptly notify the U.S. Borrower and the Administrative Agent in writing of its legal inability to do so.</w:t>
      </w:r>
    </w:p>
    <w:p>
      <w:pPr>
        <w:spacing w:after="0" w:line="138" w:lineRule="exact"/>
        <w:rPr>
          <w:sz w:val="20"/>
          <w:szCs w:val="20"/>
          <w:color w:val="auto"/>
        </w:rPr>
      </w:pPr>
    </w:p>
    <w:p>
      <w:pPr>
        <w:jc w:val="both"/>
        <w:ind w:left="-464" w:right="80" w:firstLine="464"/>
        <w:spacing w:after="0" w:line="261" w:lineRule="auto"/>
        <w:tabs>
          <w:tab w:leader="none" w:pos="24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this Section with respect to the Taxes giving rise to such refund), net of all out-of-pocket</w:t>
      </w:r>
    </w:p>
    <w:p>
      <w:pPr>
        <w:sectPr>
          <w:pgSz w:w="11900" w:h="16838" w:orient="portrait"/>
          <w:cols w:equalWidth="0" w:num="1">
            <w:col w:w="10936"/>
          </w:cols>
          <w:pgMar w:left="704" w:top="270" w:right="259" w:bottom="1440" w:gutter="0" w:footer="0" w:header="0"/>
        </w:sectPr>
      </w:pPr>
    </w:p>
    <w:bookmarkStart w:id="261" w:name="page262"/>
    <w:bookmarkEnd w:id="261"/>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9" w:lineRule="exact"/>
        <w:rPr>
          <w:sz w:val="20"/>
          <w:szCs w:val="20"/>
          <w:color w:val="auto"/>
        </w:rPr>
      </w:pPr>
    </w:p>
    <w:p>
      <w:pPr>
        <w:ind w:right="220" w:firstLine="464"/>
        <w:spacing w:after="0" w:line="266" w:lineRule="auto"/>
        <w:tabs>
          <w:tab w:leader="none" w:pos="671"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xml:space="preserve">. If after the Closing Date, there is a Change in Law by any Governmental Authority, central bank or comparable agency charged with the interpretation or administration thereof, or compliance by any LC Issuer or any Lender with any request or directive (whether or not having the force of law) by any such authority, central bank or comparable agency (in each case made subsequent to the Closing Date) shall either (i) impose, modify or make applicable any reserve, deposit, capital adequacy or similar requirement against Letters of Credit issued by such LC Issuer or such Lender’s participation therein, or (ii) impose on such LC Issuer or any Lender any other conditions affecting this Agreement, any Letter of Credit or such Lender’s participation therein; and the result of any of the foregoing is to increase the cost to such LC Issuer or such Lender of issuing, maintaining or participating in any Letter of Credit, or to reduce the amount of any sum received or receivable by such LC Issuer or such Lender hereunder (other than any increased cost or reduction in the amount received or receivable resulting from the imposition of or a change in the rate of taxes or similar charges), then, upon demand to the Borrowers by such LC Issuer or such Lender (a copy of which notice shall be sent by such LC Issuer or such Lender to the Administrative Agent), the Borrowers shall pay to such LC Issuer or such Lender such additional amount or amounts as will compensate any such LC Issuer or such Lender for such increased cost or reduction. A certificate submitted to the Borrowers by any LC Issuer or any Lender, as the case may be (a copy of which certificate shall be sent by such LC Issuer or such Lender to the Administrative Agent), setting forth, in reasonable detail, the basis for the determination of such additional amount or amounts necessary to compensate any LC Issuer or such Lender as aforesaid shall be conclusive and binding on the Borrowers absent manifest error, although the failure to deliver any such certificate shall not release or diminish the Borrowers’ obligations to pay additional amounts pursuant to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Change of Lending Office;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64"/>
        <w:spacing w:after="0" w:line="258" w:lineRule="auto"/>
        <w:tabs>
          <w:tab w:leader="none" w:pos="701"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upon the occurrence of any event giving rise to the operation of </w:t>
      </w:r>
      <w:r>
        <w:rPr>
          <w:rFonts w:ascii="Times New Roman" w:cs="Times New Roman" w:eastAsia="Times New Roman" w:hAnsi="Times New Roman"/>
          <w:sz w:val="18"/>
          <w:szCs w:val="18"/>
          <w:u w:val="single" w:color="auto"/>
          <w:color w:val="auto"/>
        </w:rPr>
        <w:t>Section 3.01(a)(ii) or (iii), Section 3.01(c), 3.03 or 3.04</w:t>
      </w:r>
      <w:r>
        <w:rPr>
          <w:rFonts w:ascii="Times New Roman" w:cs="Times New Roman" w:eastAsia="Times New Roman" w:hAnsi="Times New Roman"/>
          <w:sz w:val="18"/>
          <w:szCs w:val="18"/>
          <w:color w:val="auto"/>
        </w:rPr>
        <w:t xml:space="preserve"> requiring the payment of additional amounts to the Lender, such Lender will, if requested by the Borrowers, use reasonable efforts (subject to overall policy considerations of such Lender) to designate another Applicable Lending Office for any Loans or Revolving Commitments affected by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such designation is made on such terms that such Lender and its Applicable Lending Office suffer no economic, legal or regulatory disadvantage, with the object of avoiding the consequence of the event giving rise to the operation of any such Section.</w:t>
      </w:r>
    </w:p>
    <w:p>
      <w:pPr>
        <w:sectPr>
          <w:pgSz w:w="11900" w:h="16838" w:orient="portrait"/>
          <w:cols w:equalWidth="0" w:num="1">
            <w:col w:w="11380"/>
          </w:cols>
          <w:pgMar w:left="240" w:top="270" w:right="279" w:bottom="1440" w:gutter="0" w:footer="0" w:header="0"/>
        </w:sectPr>
      </w:pPr>
    </w:p>
    <w:bookmarkStart w:id="262" w:name="page263"/>
    <w:bookmarkEnd w:id="262"/>
    <w:p>
      <w:pPr>
        <w:ind w:firstLine="464"/>
        <w:spacing w:after="0" w:line="253" w:lineRule="auto"/>
        <w:tabs>
          <w:tab w:leader="none" w:pos="71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(i) any Lender requests any compensation, reimbursement or other payment under </w:t>
      </w:r>
      <w:r>
        <w:rPr>
          <w:rFonts w:ascii="Times New Roman" w:cs="Times New Roman" w:eastAsia="Times New Roman" w:hAnsi="Times New Roman"/>
          <w:sz w:val="18"/>
          <w:szCs w:val="18"/>
          <w:u w:val="single" w:color="auto"/>
          <w:color w:val="auto"/>
        </w:rPr>
        <w:t>Section 3.01(a)(ii) or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3.01(c) or 3.04</w:t>
      </w:r>
      <w:r>
        <w:rPr>
          <w:rFonts w:ascii="Times New Roman" w:cs="Times New Roman" w:eastAsia="Times New Roman" w:hAnsi="Times New Roman"/>
          <w:sz w:val="18"/>
          <w:szCs w:val="18"/>
          <w:color w:val="auto"/>
        </w:rPr>
        <w:t xml:space="preserve"> with respect to such Lender, (ii) the applicable Borrower is, or because of a matter in existence as of the date that the applicable Borrower is seeking to exercise its rights under this Section will be, required to pay any additional amount to any Lender or Governmental Authority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(iii) or if any Lender is a Defaulting Lender, then the applicable Borrower may, at its sole expense and effort, upon notice to such Lender and the Administrative Agent, require such Lender to assign and delegate, without recourse (in accordance with the restrictions contained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xml:space="preserve">), all its interests, rights and obligations under this Agreement to an Eligible Assignee that shall assume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(1)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Borrowers (in the case of all other amounts, including any breakage compensation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 (2) in the case of any such assignment resulting from a claim for compensation, reimbursement or other payments required to be made under </w:t>
      </w:r>
      <w:r>
        <w:rPr>
          <w:rFonts w:ascii="Times New Roman" w:cs="Times New Roman" w:eastAsia="Times New Roman" w:hAnsi="Times New Roman"/>
          <w:sz w:val="18"/>
          <w:szCs w:val="18"/>
          <w:u w:val="single" w:color="auto"/>
          <w:color w:val="auto"/>
        </w:rPr>
        <w:t>Section 3.01(a)(ii) or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with respect to such Lender, or resulting from any required payments to any Lender or Governmental Authority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such assignment will result in a reduction in such compensation, reimbursement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88"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affect or postpone any of the obligations of the Borrowers or the right of any Lender provided in </w:t>
      </w:r>
      <w:r>
        <w:rPr>
          <w:rFonts w:ascii="Times New Roman" w:cs="Times New Roman" w:eastAsia="Times New Roman" w:hAnsi="Times New Roman"/>
          <w:sz w:val="18"/>
          <w:szCs w:val="18"/>
          <w:u w:val="single" w:color="auto"/>
          <w:color w:val="auto"/>
        </w:rPr>
        <w:t>Sections 3.01,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3.03 or 3.04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Dutch Tax Matters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3.03(d)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3.03(h)</w:t>
      </w:r>
      <w:r>
        <w:rPr>
          <w:rFonts w:ascii="Times New Roman" w:cs="Times New Roman" w:eastAsia="Times New Roman" w:hAnsi="Times New Roman"/>
          <w:sz w:val="18"/>
          <w:szCs w:val="18"/>
          <w:color w:val="auto"/>
        </w:rPr>
        <w:t xml:space="preserve"> shall not apply to the Dutch Credit Facility. Instead of </w:t>
      </w:r>
      <w:r>
        <w:rPr>
          <w:rFonts w:ascii="Times New Roman" w:cs="Times New Roman" w:eastAsia="Times New Roman" w:hAnsi="Times New Roman"/>
          <w:sz w:val="18"/>
          <w:szCs w:val="18"/>
          <w:u w:val="single" w:color="auto"/>
          <w:color w:val="auto"/>
        </w:rPr>
        <w:t>Sections 3.03(d)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3.03(h)</w:t>
      </w:r>
      <w:r>
        <w:rPr>
          <w:rFonts w:ascii="Times New Roman" w:cs="Times New Roman" w:eastAsia="Times New Roman" w:hAnsi="Times New Roman"/>
          <w:sz w:val="18"/>
          <w:szCs w:val="18"/>
          <w:color w:val="auto"/>
        </w:rPr>
        <w:t xml:space="preserve">, and in addition to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shall apply to any advance under any Loan Document to any Dutch Borrower or any other Borrower that is required to make a deduction or withholding for or on account of Taxes from a payment under any Loan Document in accordance with the relevant provisions of Dutch law (each a “</w:t>
      </w:r>
      <w:r>
        <w:rPr>
          <w:rFonts w:ascii="Times New Roman" w:cs="Times New Roman" w:eastAsia="Times New Roman" w:hAnsi="Times New Roman"/>
          <w:sz w:val="18"/>
          <w:szCs w:val="18"/>
          <w:u w:val="single" w:color="auto"/>
          <w:color w:val="auto"/>
        </w:rPr>
        <w:t>Relevant Borrower</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00" w:hanging="236"/>
        <w:spacing w:after="0"/>
        <w:tabs>
          <w:tab w:leader="none" w:pos="7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firstLine="443"/>
        <w:spacing w:after="0" w:line="266" w:lineRule="auto"/>
        <w:tabs>
          <w:tab w:leader="none" w:pos="1113"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Borrowers shall (within three Business Days of demand by the Foreign Collateral Agent) pay to a Lender an amount equal to the loss, liability or cost which that Lender determines will be or has been (directly or indirectly) suffered for or on account of Indemnified Taxes by that Lender in respect of a Loan Document.</w:t>
      </w:r>
    </w:p>
    <w:p>
      <w:pPr>
        <w:spacing w:after="0" w:line="6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(a)(i) above shall not apply:</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Taxes assessed on a Lender:</w:t>
      </w:r>
    </w:p>
    <w:p>
      <w:pPr>
        <w:spacing w:after="0" w:line="117" w:lineRule="exact"/>
        <w:rPr>
          <w:rFonts w:ascii="Times New Roman" w:cs="Times New Roman" w:eastAsia="Times New Roman" w:hAnsi="Times New Roman"/>
          <w:sz w:val="18"/>
          <w:szCs w:val="18"/>
          <w:color w:val="auto"/>
        </w:rPr>
      </w:pPr>
    </w:p>
    <w:p>
      <w:pPr>
        <w:ind w:left="1500" w:right="80" w:firstLine="389"/>
        <w:spacing w:after="0" w:line="282" w:lineRule="auto"/>
        <w:tabs>
          <w:tab w:leader="none" w:pos="2152" w:val="left"/>
        </w:tabs>
        <w:numPr>
          <w:ilvl w:val="3"/>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such Lender is incorporated or, if different, the jurisdiction (or jurisdictions) in which such Lender is treated as resident for tax purposes;</w:t>
      </w:r>
    </w:p>
    <w:p>
      <w:pPr>
        <w:spacing w:after="0" w:line="53" w:lineRule="exact"/>
        <w:rPr>
          <w:rFonts w:ascii="Times New Roman" w:cs="Times New Roman" w:eastAsia="Times New Roman" w:hAnsi="Times New Roman"/>
          <w:sz w:val="18"/>
          <w:szCs w:val="18"/>
          <w:color w:val="auto"/>
        </w:rPr>
      </w:pPr>
    </w:p>
    <w:p>
      <w:pPr>
        <w:ind w:left="1500" w:right="120" w:firstLine="389"/>
        <w:spacing w:after="0" w:line="282" w:lineRule="auto"/>
        <w:tabs>
          <w:tab w:leader="none" w:pos="2152" w:val="left"/>
        </w:tabs>
        <w:numPr>
          <w:ilvl w:val="3"/>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such Lender’s Lending Office is located in respect of amounts received or receivable in such jurisdiction; or</w:t>
      </w:r>
    </w:p>
    <w:p>
      <w:pPr>
        <w:spacing w:after="0" w:line="53" w:lineRule="exact"/>
        <w:rPr>
          <w:rFonts w:ascii="Times New Roman" w:cs="Times New Roman" w:eastAsia="Times New Roman" w:hAnsi="Times New Roman"/>
          <w:sz w:val="18"/>
          <w:szCs w:val="18"/>
          <w:color w:val="auto"/>
        </w:rPr>
      </w:pPr>
    </w:p>
    <w:p>
      <w:pPr>
        <w:ind w:left="2140" w:hanging="251"/>
        <w:spacing w:after="0"/>
        <w:tabs>
          <w:tab w:leader="none" w:pos="2140" w:val="left"/>
        </w:tabs>
        <w:numPr>
          <w:ilvl w:val="3"/>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Other Connection Taxes;</w:t>
      </w:r>
    </w:p>
    <w:p>
      <w:pPr>
        <w:sectPr>
          <w:pgSz w:w="11900" w:h="16838" w:orient="portrait"/>
          <w:cols w:equalWidth="0" w:num="1">
            <w:col w:w="11400"/>
          </w:cols>
          <w:pgMar w:left="240" w:top="270" w:right="259" w:bottom="1440" w:gutter="0" w:footer="0" w:header="0"/>
        </w:sectPr>
      </w:pPr>
    </w:p>
    <w:bookmarkStart w:id="263" w:name="page264"/>
    <w:bookmarkEnd w:id="263"/>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Taxes are imposed on or calculated by reference to the net income received or receivable (but not any sum deemed to be received or receivable) by such Lender; or</w:t>
      </w:r>
    </w:p>
    <w:p>
      <w:pPr>
        <w:spacing w:after="0" w:line="54" w:lineRule="exact"/>
        <w:rPr>
          <w:sz w:val="20"/>
          <w:szCs w:val="20"/>
          <w:color w:val="auto"/>
        </w:rPr>
      </w:pPr>
    </w:p>
    <w:p>
      <w:pPr>
        <w:ind w:left="1160" w:hanging="279"/>
        <w:spacing w:after="0"/>
        <w:tabs>
          <w:tab w:leader="none" w:pos="116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loss, liability or cost is compensated for by an increased payment under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443"/>
        <w:spacing w:after="0" w:line="282" w:lineRule="auto"/>
        <w:tabs>
          <w:tab w:leader="none" w:pos="7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making, or intending to make a claim under </w:t>
      </w:r>
      <w:r>
        <w:rPr>
          <w:rFonts w:ascii="Times New Roman" w:cs="Times New Roman" w:eastAsia="Times New Roman" w:hAnsi="Times New Roman"/>
          <w:sz w:val="18"/>
          <w:szCs w:val="18"/>
          <w:u w:val="single" w:color="auto"/>
          <w:color w:val="auto"/>
        </w:rPr>
        <w:t>Section 3.06(a)(i)</w:t>
      </w:r>
      <w:r>
        <w:rPr>
          <w:rFonts w:ascii="Times New Roman" w:cs="Times New Roman" w:eastAsia="Times New Roman" w:hAnsi="Times New Roman"/>
          <w:sz w:val="18"/>
          <w:szCs w:val="18"/>
          <w:color w:val="auto"/>
        </w:rPr>
        <w:t xml:space="preserve"> above shall promptly notify Foreign Collateral Agent of the event which will give, or has given, rise to the claim, following which Foreign Collateral Agent shall notify the Borrowers.</w:t>
      </w:r>
    </w:p>
    <w:p>
      <w:pPr>
        <w:spacing w:after="0" w:line="161"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shall, on receiving a payment from the Relevant Borrowers under this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notify Foreign Collateral Agent.</w:t>
      </w:r>
    </w:p>
    <w:p>
      <w:pPr>
        <w:spacing w:after="0" w:line="225" w:lineRule="exact"/>
        <w:rPr>
          <w:rFonts w:ascii="Times New Roman" w:cs="Times New Roman" w:eastAsia="Times New Roman" w:hAnsi="Times New Roman"/>
          <w:sz w:val="18"/>
          <w:szCs w:val="18"/>
          <w:color w:val="auto"/>
        </w:rPr>
      </w:pPr>
    </w:p>
    <w:p>
      <w:pPr>
        <w:ind w:left="240" w:hanging="236"/>
        <w:spacing w:after="0"/>
        <w:tabs>
          <w:tab w:leader="none" w:pos="2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Credit</w:t>
      </w:r>
      <w:r>
        <w:rPr>
          <w:rFonts w:ascii="Times New Roman" w:cs="Times New Roman" w:eastAsia="Times New Roman" w:hAnsi="Times New Roman"/>
          <w:sz w:val="18"/>
          <w:szCs w:val="18"/>
          <w:color w:val="auto"/>
        </w:rPr>
        <w:t>. If a Relevant Borrower makes a Tax Payment and the relevant Lender determines that:</w:t>
      </w:r>
    </w:p>
    <w:p>
      <w:pPr>
        <w:spacing w:after="0" w:line="117" w:lineRule="exact"/>
        <w:rPr>
          <w:rFonts w:ascii="Times New Roman" w:cs="Times New Roman" w:eastAsia="Times New Roman" w:hAnsi="Times New Roman"/>
          <w:sz w:val="18"/>
          <w:szCs w:val="18"/>
          <w:color w:val="auto"/>
        </w:rPr>
      </w:pPr>
    </w:p>
    <w:p>
      <w:pPr>
        <w:ind w:right="500" w:firstLine="443"/>
        <w:spacing w:after="0" w:line="282" w:lineRule="auto"/>
        <w:tabs>
          <w:tab w:leader="none" w:pos="653"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 that Lender has obtained, utilized and retained that Tax Credit,</w:t>
      </w:r>
    </w:p>
    <w:p>
      <w:pPr>
        <w:spacing w:after="0" w:line="11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Lender shall promptly following receipt of such Tax Credit pay an amount to the Relevant Borrower which that Lender determines will leave it (after that payment) in the same after-Tax position as it would have been in had the Tax Payment not been required to be made by the Relevant Borrower.</w:t>
      </w:r>
    </w:p>
    <w:p>
      <w:pPr>
        <w:spacing w:after="0" w:line="176" w:lineRule="exact"/>
        <w:rPr>
          <w:sz w:val="20"/>
          <w:szCs w:val="20"/>
          <w:color w:val="auto"/>
        </w:rPr>
      </w:pPr>
    </w:p>
    <w:p>
      <w:pPr>
        <w:ind w:left="260" w:hanging="256"/>
        <w:spacing w:after="0"/>
        <w:tabs>
          <w:tab w:leader="none" w:pos="2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Added Tax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43"/>
        <w:spacing w:after="0" w:line="256" w:lineRule="auto"/>
        <w:tabs>
          <w:tab w:leader="none" w:pos="653"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in a Loan Document to be payable by any party to any Lender which (in whole or in part) constitute the consideration for a supply or supplies for VAT purposes shall be deemed to be exclusive of any VAT which is chargeable on such supply or supplies, and accordingly, subject to clause (ii) below, if VAT is or becomes chargeable on any supply made by any Lender to any party under a Loan Document and such Lender is required to account to the relevant tax authority for the VAT, that party shall pay to the Lender (in addition to and at the same time as paying any other consideration for such supply) an amount equal to the amount of such VAT (and such Lender shall promptly provide an appropriate VAT invoice to such party).</w:t>
      </w:r>
    </w:p>
    <w:p>
      <w:pPr>
        <w:spacing w:after="0" w:line="79" w:lineRule="exact"/>
        <w:rPr>
          <w:rFonts w:ascii="Times New Roman" w:cs="Times New Roman" w:eastAsia="Times New Roman" w:hAnsi="Times New Roman"/>
          <w:sz w:val="18"/>
          <w:szCs w:val="18"/>
          <w:color w:val="auto"/>
        </w:rPr>
      </w:pPr>
    </w:p>
    <w:p>
      <w:pPr>
        <w:ind w:right="80" w:firstLine="443"/>
        <w:spacing w:after="0" w:line="266" w:lineRule="auto"/>
        <w:tabs>
          <w:tab w:leader="none" w:pos="703"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Lender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Lender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under a Loan Document, and any party other than the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any Loan Document to pay an amount equal to the consideration for such supply to the Supplier (rather than being required to reimburse the Recipient in respect of that consideration),</w:t>
      </w:r>
    </w:p>
    <w:p>
      <w:pPr>
        <w:spacing w:after="0" w:line="68" w:lineRule="exact"/>
        <w:rPr>
          <w:rFonts w:ascii="Times New Roman" w:cs="Times New Roman" w:eastAsia="Times New Roman" w:hAnsi="Times New Roman"/>
          <w:sz w:val="18"/>
          <w:szCs w:val="18"/>
          <w:color w:val="auto"/>
        </w:rPr>
      </w:pPr>
    </w:p>
    <w:p>
      <w:pPr>
        <w:ind w:left="460" w:right="80" w:firstLine="421"/>
        <w:spacing w:after="0" w:line="266" w:lineRule="auto"/>
        <w:tabs>
          <w:tab w:leader="none" w:pos="1175"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VAT; the Recipient must (where this subsection (ii)(A) applies) promptly pay to the Relevant Party</w:t>
      </w:r>
    </w:p>
    <w:p>
      <w:pPr>
        <w:sectPr>
          <w:pgSz w:w="11900" w:h="16838" w:orient="portrait"/>
          <w:cols w:equalWidth="0" w:num="1">
            <w:col w:w="10960"/>
          </w:cols>
          <w:pgMar w:left="700" w:top="270" w:right="239" w:bottom="1440" w:gutter="0" w:footer="0" w:header="0"/>
        </w:sectPr>
      </w:pPr>
    </w:p>
    <w:bookmarkStart w:id="264" w:name="page265"/>
    <w:bookmarkEnd w:id="264"/>
    <w:p>
      <w:pPr>
        <w:ind w:left="920"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amount equal to any credit or repayment the Recipient receives from the relevant tax authority which the Recipient reasonably determines relates to the VAT chargeable on that supply; and</w:t>
      </w:r>
    </w:p>
    <w:p>
      <w:pPr>
        <w:spacing w:after="0" w:line="54" w:lineRule="exact"/>
        <w:rPr>
          <w:sz w:val="20"/>
          <w:szCs w:val="20"/>
          <w:color w:val="auto"/>
        </w:rPr>
      </w:pPr>
    </w:p>
    <w:p>
      <w:pPr>
        <w:ind w:left="920" w:right="260" w:firstLine="421"/>
        <w:spacing w:after="0" w:line="261" w:lineRule="auto"/>
        <w:tabs>
          <w:tab w:leader="none" w:pos="1625"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The Recipient must (where this subsection (ii)(B) applies) promptly pay to the Relevant Party an amount equal to any credit or repayment from the relevant tax authority which the Recipient reasonably determines relates to the VAT chargeable on that supply.</w:t>
      </w:r>
    </w:p>
    <w:p>
      <w:pPr>
        <w:spacing w:after="0" w:line="71" w:lineRule="exact"/>
        <w:rPr>
          <w:rFonts w:ascii="Times New Roman" w:cs="Times New Roman" w:eastAsia="Times New Roman" w:hAnsi="Times New Roman"/>
          <w:sz w:val="18"/>
          <w:szCs w:val="18"/>
          <w:color w:val="auto"/>
        </w:rPr>
      </w:pPr>
    </w:p>
    <w:p>
      <w:pPr>
        <w:ind w:left="460" w:right="120" w:firstLine="443"/>
        <w:spacing w:after="0" w:line="261" w:lineRule="auto"/>
        <w:tabs>
          <w:tab w:leader="none" w:pos="121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party to reimburse or indemnify a Lender for any cost or expense incurred in connection with such Loan Document, the reimbursement or indemnity (as the case may be) shall be for the full amount of such cost or expense, including such part thereof as represents VAT, save to the extent that such Lender reasonably determines that it is entitled to credit or repayment in respect of such VAT from the relevant tax authority.</w:t>
      </w:r>
    </w:p>
    <w:p>
      <w:pPr>
        <w:spacing w:after="0" w:line="71" w:lineRule="exact"/>
        <w:rPr>
          <w:rFonts w:ascii="Times New Roman" w:cs="Times New Roman" w:eastAsia="Times New Roman" w:hAnsi="Times New Roman"/>
          <w:sz w:val="18"/>
          <w:szCs w:val="18"/>
          <w:color w:val="auto"/>
        </w:rPr>
      </w:pPr>
    </w:p>
    <w:p>
      <w:pPr>
        <w:ind w:left="460" w:right="320" w:firstLine="443"/>
        <w:spacing w:after="0" w:line="266" w:lineRule="auto"/>
        <w:tabs>
          <w:tab w:leader="none" w:pos="120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in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to any party shall, at any time when such party is treated as a member of a group for VAT purposes, include (where appropriate and unless the context otherwise requires) a reference to a person under the grouping rules as defined in the EC Council Directive 2006/112 or any national legislation implementing that Directive.</w:t>
      </w:r>
    </w:p>
    <w:p>
      <w:pPr>
        <w:spacing w:after="0" w:line="68" w:lineRule="exact"/>
        <w:rPr>
          <w:rFonts w:ascii="Times New Roman" w:cs="Times New Roman" w:eastAsia="Times New Roman" w:hAnsi="Times New Roman"/>
          <w:sz w:val="18"/>
          <w:szCs w:val="18"/>
          <w:color w:val="auto"/>
        </w:rPr>
      </w:pPr>
    </w:p>
    <w:p>
      <w:pPr>
        <w:ind w:left="460" w:right="180" w:firstLine="443"/>
        <w:spacing w:after="0" w:line="266" w:lineRule="auto"/>
        <w:tabs>
          <w:tab w:leader="none" w:pos="115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Lender to any party under a Loan Document, if reasonably requested by such Lender, that party must as promptly as reasonably practicable provide such Lender with details of that party’s VAT registration and such other information as is reasonably requested in connection with such Lender’s VAT reporting requirements in relation to such supply.</w:t>
      </w:r>
    </w:p>
    <w:p>
      <w:pPr>
        <w:spacing w:after="0" w:line="68" w:lineRule="exact"/>
        <w:rPr>
          <w:rFonts w:ascii="Times New Roman" w:cs="Times New Roman" w:eastAsia="Times New Roman" w:hAnsi="Times New Roman"/>
          <w:sz w:val="18"/>
          <w:szCs w:val="18"/>
          <w:color w:val="auto"/>
        </w:rPr>
      </w:pPr>
    </w:p>
    <w:p>
      <w:pPr>
        <w:ind w:left="460" w:right="500" w:firstLine="443"/>
        <w:spacing w:after="0" w:line="313" w:lineRule="auto"/>
        <w:tabs>
          <w:tab w:leader="none" w:pos="1203"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expressly provided in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xml:space="preserve">, a reference to “determines” or “determined” in connection with tax provisions contained in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xml:space="preserve"> means a determination made in the absolute discretion of the person making the determination, acting reasonably.</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Precedent at Closing Date</w:t>
      </w:r>
      <w:r>
        <w:rPr>
          <w:rFonts w:ascii="Times New Roman" w:cs="Times New Roman" w:eastAsia="Times New Roman" w:hAnsi="Times New Roman"/>
          <w:sz w:val="18"/>
          <w:szCs w:val="18"/>
          <w:color w:val="auto"/>
        </w:rPr>
        <w:t>. The obligation of the Lenders to consummate the transaction contemplated hereunder and of the U.S. Lenders to make U.S. Revolving Loans, of the U.S. Swing Line Lender to make U.S. Swing Loans and of any U.S. LC Issuer to issue U.S. Letters of Credit, in each case on the Closing Date, is subject to the satisfaction of each of the following conditions on or prior to the Closing Date:</w:t>
      </w:r>
    </w:p>
    <w:p>
      <w:pPr>
        <w:spacing w:after="0" w:line="176" w:lineRule="exact"/>
        <w:rPr>
          <w:sz w:val="20"/>
          <w:szCs w:val="20"/>
          <w:color w:val="auto"/>
        </w:rPr>
      </w:pPr>
    </w:p>
    <w:p>
      <w:pPr>
        <w:ind w:firstLine="464"/>
        <w:spacing w:after="0" w:line="282" w:lineRule="auto"/>
        <w:tabs>
          <w:tab w:leader="none" w:pos="70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This Agreement shall have been executed by the Borrowers, the Administrative Agent, the Foreign Collateral Agent, each Swing Line Lender, each LC Issuer and each of the Lenders.</w:t>
      </w:r>
    </w:p>
    <w:p>
      <w:pPr>
        <w:spacing w:after="0" w:line="161" w:lineRule="exact"/>
        <w:rPr>
          <w:rFonts w:ascii="Times New Roman" w:cs="Times New Roman" w:eastAsia="Times New Roman" w:hAnsi="Times New Roman"/>
          <w:sz w:val="18"/>
          <w:szCs w:val="18"/>
          <w:color w:val="auto"/>
        </w:rPr>
      </w:pPr>
    </w:p>
    <w:p>
      <w:pPr>
        <w:ind w:right="340" w:firstLine="464"/>
        <w:spacing w:after="0" w:line="282" w:lineRule="auto"/>
        <w:tabs>
          <w:tab w:leader="none" w:pos="71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applicable Borrower shall have executed and delivered to the Administrative Agent the appropriate Note or Notes for the account of each Lender that has requested the same.</w:t>
      </w:r>
    </w:p>
    <w:p>
      <w:pPr>
        <w:sectPr>
          <w:pgSz w:w="11900" w:h="16838" w:orient="portrait"/>
          <w:cols w:equalWidth="0" w:num="1">
            <w:col w:w="11400"/>
          </w:cols>
          <w:pgMar w:left="240" w:top="270" w:right="259" w:bottom="1440" w:gutter="0" w:footer="0" w:header="0"/>
        </w:sectPr>
      </w:pPr>
    </w:p>
    <w:bookmarkStart w:id="265" w:name="page266"/>
    <w:bookmarkEnd w:id="265"/>
    <w:p>
      <w:pPr>
        <w:ind w:right="420" w:firstLine="464"/>
        <w:spacing w:after="0" w:line="266" w:lineRule="auto"/>
        <w:tabs>
          <w:tab w:leader="none" w:pos="70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Guaranty</w:t>
      </w:r>
      <w:r>
        <w:rPr>
          <w:rFonts w:ascii="Times New Roman" w:cs="Times New Roman" w:eastAsia="Times New Roman" w:hAnsi="Times New Roman"/>
          <w:sz w:val="18"/>
          <w:szCs w:val="18"/>
          <w:color w:val="auto"/>
        </w:rPr>
        <w:t>. The U.S. Guarantors shall have duly executed and delivered a Guaranty of Payment (the “</w:t>
      </w:r>
      <w:r>
        <w:rPr>
          <w:rFonts w:ascii="Times New Roman" w:cs="Times New Roman" w:eastAsia="Times New Roman" w:hAnsi="Times New Roman"/>
          <w:sz w:val="18"/>
          <w:szCs w:val="18"/>
          <w:u w:val="single" w:color="auto"/>
          <w:color w:val="auto"/>
        </w:rPr>
        <w:t>U.S. Guaranty</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The U.S. Guaranty and each other guaranty of the Obligations (or any portion thereof) now or hereafter executed and delivered by any Person being referred to, collectively or individually as the context may require, as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right="20" w:firstLine="464"/>
        <w:spacing w:after="0" w:line="257" w:lineRule="auto"/>
        <w:tabs>
          <w:tab w:leader="none" w:pos="71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The Credit Parties shall have duly executed and delivered the U.S. Security Agreement, and shall have executed and delivered all of the following in connection therewith, each of which shall be in form and substance satisfactory to the Administrative Agent: (A) collateral assignments of intellectual property or intellectual property security agreements, and (B) each other Security Document that is required by this Agreement or the U.S.</w:t>
      </w:r>
    </w:p>
    <w:p>
      <w:pPr>
        <w:spacing w:after="0" w:line="1" w:lineRule="exact"/>
        <w:rPr>
          <w:rFonts w:ascii="Times New Roman" w:cs="Times New Roman" w:eastAsia="Times New Roman" w:hAnsi="Times New Roman"/>
          <w:sz w:val="18"/>
          <w:szCs w:val="18"/>
          <w:color w:val="auto"/>
        </w:rPr>
      </w:pPr>
    </w:p>
    <w:p>
      <w:pPr>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 In addition, the Administrative Agent shall have received and filed proper UCC financing statements (or other relevant documentation necessary to perfect Liens in the applicable jurisdictions) in proper form for filing under the applicable laws of each relevant jurisdiction covering the Collateral.</w:t>
      </w:r>
    </w:p>
    <w:p>
      <w:pPr>
        <w:spacing w:after="0" w:line="186" w:lineRule="exact"/>
        <w:rPr>
          <w:rFonts w:ascii="Times New Roman" w:cs="Times New Roman" w:eastAsia="Times New Roman" w:hAnsi="Times New Roman"/>
          <w:sz w:val="18"/>
          <w:szCs w:val="18"/>
          <w:color w:val="auto"/>
        </w:rPr>
      </w:pPr>
    </w:p>
    <w:p>
      <w:pPr>
        <w:ind w:firstLine="464"/>
        <w:spacing w:after="0" w:line="256" w:lineRule="auto"/>
        <w:tabs>
          <w:tab w:leader="none" w:pos="70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Fee Letters</w:t>
      </w:r>
      <w:r>
        <w:rPr>
          <w:rFonts w:ascii="Times New Roman" w:cs="Times New Roman" w:eastAsia="Times New Roman" w:hAnsi="Times New Roman"/>
          <w:sz w:val="18"/>
          <w:szCs w:val="18"/>
          <w:color w:val="auto"/>
        </w:rPr>
        <w:t>. The Borrowers shall have (A) executed and delivered to the Administrative Agent or the Foreign Collateral Agent, as applicable, the Agent Fee Letters and shall have paid to the Administrative Agent, for its own account, and to the Foreign Collateral Agent, for its own account, and, if applicable, for the benefit of the Lenders, the fees required to be paid by it on the Closing Date, and (B) paid or caused to be paid all reasonable fees and expenses of the Administrative Agent and the Foreign Collateral Agent and of special counsel to the Administrative Agent and the Foreign Collateral Agent that have been invoiced on or prior to the Closing Date in connection with the preparation, execution and delivery of this Agreement and the other Loan Documents and the consummation of the transactions contemplated hereby and thereby.</w:t>
      </w:r>
    </w:p>
    <w:p>
      <w:pPr>
        <w:spacing w:after="0" w:line="187" w:lineRule="exact"/>
        <w:rPr>
          <w:rFonts w:ascii="Times New Roman" w:cs="Times New Roman" w:eastAsia="Times New Roman" w:hAnsi="Times New Roman"/>
          <w:sz w:val="18"/>
          <w:szCs w:val="18"/>
          <w:color w:val="auto"/>
        </w:rPr>
      </w:pPr>
    </w:p>
    <w:p>
      <w:pPr>
        <w:ind w:right="40" w:firstLine="464"/>
        <w:spacing w:after="0" w:line="256" w:lineRule="auto"/>
        <w:tabs>
          <w:tab w:leader="none" w:pos="68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Resolutions and Approvals</w:t>
      </w:r>
      <w:r>
        <w:rPr>
          <w:rFonts w:ascii="Times New Roman" w:cs="Times New Roman" w:eastAsia="Times New Roman" w:hAnsi="Times New Roman"/>
          <w:sz w:val="18"/>
          <w:szCs w:val="18"/>
          <w:color w:val="auto"/>
        </w:rPr>
        <w:t>. The Administrative Agent shall have received certified copies of the resolutions of the Board of Directors (or similar governing body) and shareholders (to the extent required) of each Credit Party approving the Loan Documents to which such Credit Party is or may become a party, and of all documents evidencing other necessary corporate or other organizational action, as the case may be, and governmental approvals, if any, with respect to the execution, delivery and performance by such Credit Party of Transactions (including Hart-Scott Rodino clearance, if applicable) and the Loan Documents to which it is or may become a party and the expiration of all applicable waiting periods, all of which documents to be in form and substance satisfactory to the Administrative Agent.</w:t>
      </w:r>
    </w:p>
    <w:p>
      <w:pPr>
        <w:spacing w:after="0" w:line="187" w:lineRule="exact"/>
        <w:rPr>
          <w:rFonts w:ascii="Times New Roman" w:cs="Times New Roman" w:eastAsia="Times New Roman" w:hAnsi="Times New Roman"/>
          <w:sz w:val="18"/>
          <w:szCs w:val="18"/>
          <w:color w:val="auto"/>
        </w:rPr>
      </w:pPr>
    </w:p>
    <w:p>
      <w:pPr>
        <w:jc w:val="both"/>
        <w:ind w:right="120" w:firstLine="464"/>
        <w:spacing w:after="0" w:line="261" w:lineRule="auto"/>
        <w:tabs>
          <w:tab w:leader="none" w:pos="71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Certificates</w:t>
      </w:r>
      <w:r>
        <w:rPr>
          <w:rFonts w:ascii="Times New Roman" w:cs="Times New Roman" w:eastAsia="Times New Roman" w:hAnsi="Times New Roman"/>
          <w:sz w:val="18"/>
          <w:szCs w:val="18"/>
          <w:color w:val="auto"/>
        </w:rPr>
        <w:t>. The Administrative Agent shall have received a certificate of the Secretary or an Assistant Secretary of each Credit Party (or an Authorized Officer in the case of a Dutch Credit Party) certifying the names and true signatures of the officers of such Credit Party authorized to sign the Loan Documents to which such Credit Party is a party and any other documents to which such Credit Party is a party that may be executed and delivered in connection herewith.</w:t>
      </w:r>
    </w:p>
    <w:p>
      <w:pPr>
        <w:spacing w:after="0" w:line="180" w:lineRule="exact"/>
        <w:rPr>
          <w:rFonts w:ascii="Times New Roman" w:cs="Times New Roman" w:eastAsia="Times New Roman" w:hAnsi="Times New Roman"/>
          <w:sz w:val="18"/>
          <w:szCs w:val="18"/>
          <w:color w:val="auto"/>
        </w:rPr>
      </w:pPr>
    </w:p>
    <w:p>
      <w:pPr>
        <w:ind w:right="60" w:firstLine="464"/>
        <w:spacing w:after="0" w:line="261" w:lineRule="auto"/>
        <w:tabs>
          <w:tab w:leader="none" w:pos="71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The Administrative Agent shall have received such opinions of counsel from counsel to the Credit Parties, including opinions of local counsel for the Credit Parties in each jurisdiction where Administrative Agent deems it necessary, in its Permitted Discretion, each of which opinion shall be addressed to the Administrative Agent and the Lenders and dated the Closing Date and in form and substance satisfactory to the Administrative Agent.</w:t>
      </w:r>
    </w:p>
    <w:p>
      <w:pPr>
        <w:spacing w:after="0" w:line="180" w:lineRule="exact"/>
        <w:rPr>
          <w:rFonts w:ascii="Times New Roman" w:cs="Times New Roman" w:eastAsia="Times New Roman" w:hAnsi="Times New Roman"/>
          <w:sz w:val="18"/>
          <w:szCs w:val="18"/>
          <w:color w:val="auto"/>
        </w:rPr>
      </w:pPr>
    </w:p>
    <w:p>
      <w:pPr>
        <w:ind w:right="40" w:firstLine="464"/>
        <w:spacing w:after="0" w:line="261" w:lineRule="auto"/>
        <w:tabs>
          <w:tab w:leader="none" w:pos="67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Recordation of Security Documents, Delivery of Collateral, Taxes, etc</w:t>
      </w:r>
      <w:r>
        <w:rPr>
          <w:rFonts w:ascii="Times New Roman" w:cs="Times New Roman" w:eastAsia="Times New Roman" w:hAnsi="Times New Roman"/>
          <w:sz w:val="18"/>
          <w:szCs w:val="18"/>
          <w:color w:val="auto"/>
        </w:rPr>
        <w:t>. The Security Documents (or proper notices or UCC financing statements in respect thereof) shall have been duly recorded, published and filed in such manner and in such places as is required by law (including with the relevant Dutch tax authorities as may be required) to establish, perfect, preserve and protect the rights, Liens and security interests of the parties thereto and their respective successors and assigns, all Collateral</w:t>
      </w:r>
    </w:p>
    <w:p>
      <w:pPr>
        <w:sectPr>
          <w:pgSz w:w="11900" w:h="16838" w:orient="portrait"/>
          <w:cols w:equalWidth="0" w:num="1">
            <w:col w:w="11400"/>
          </w:cols>
          <w:pgMar w:left="240" w:top="270" w:right="259" w:bottom="1440" w:gutter="0" w:footer="0" w:header="0"/>
        </w:sectPr>
      </w:pPr>
    </w:p>
    <w:bookmarkStart w:id="266" w:name="page267"/>
    <w:bookmarkEnd w:id="266"/>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items required to be physically delivered to the Administrative Agent (or the Foreign Collateral Agent, as applicable) thereunder shall have been so delivered, accompanied by any appropriate instruments of transfer, and all taxes, fees and other charges then due and payable in connection with the execution, delivery, recording, publishing and filing of such instruments and the issuance of the Obligations and the delivery of the Notes shall have been paid in full.</w:t>
      </w:r>
    </w:p>
    <w:p>
      <w:pPr>
        <w:spacing w:after="0" w:line="176" w:lineRule="exact"/>
        <w:rPr>
          <w:sz w:val="20"/>
          <w:szCs w:val="20"/>
          <w:color w:val="auto"/>
        </w:rPr>
      </w:pPr>
    </w:p>
    <w:p>
      <w:pPr>
        <w:ind w:right="140" w:firstLine="464"/>
        <w:spacing w:after="0" w:line="261" w:lineRule="auto"/>
        <w:tabs>
          <w:tab w:leader="none" w:pos="67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The Administrative Agent and the Foreign Collateral Agent, as applicable, shall have received certificates of insurance and other evidence satisfactory to it of compliance with the insurance requirements of this Agreement and the Security Documents, naming the Administrative Agent (or the Foreign Collateral Agent, as applicable), for the benefit of the Lenders, as an additional insured on the liability insurance policies of the Credit Parties and as lender’s loss payee and mortgagee, as appropriate, on the property insurance policies of the Credit Parties.</w:t>
      </w:r>
    </w:p>
    <w:p>
      <w:pPr>
        <w:spacing w:after="0" w:line="180" w:lineRule="exact"/>
        <w:rPr>
          <w:rFonts w:ascii="Times New Roman" w:cs="Times New Roman" w:eastAsia="Times New Roman" w:hAnsi="Times New Roman"/>
          <w:sz w:val="18"/>
          <w:szCs w:val="18"/>
          <w:color w:val="auto"/>
        </w:rPr>
      </w:pPr>
    </w:p>
    <w:p>
      <w:pPr>
        <w:ind w:right="340" w:firstLine="464"/>
        <w:spacing w:after="0" w:line="266" w:lineRule="auto"/>
        <w:tabs>
          <w:tab w:leader="none" w:pos="71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Search Reports</w:t>
      </w:r>
      <w:r>
        <w:rPr>
          <w:rFonts w:ascii="Times New Roman" w:cs="Times New Roman" w:eastAsia="Times New Roman" w:hAnsi="Times New Roman"/>
          <w:sz w:val="18"/>
          <w:szCs w:val="18"/>
          <w:color w:val="auto"/>
        </w:rPr>
        <w:t>. The Administrative Agent shall have received the results of UCC and other search reports from one or more commercial search firms acceptable to the Administrative Agent, listing all of the effective financing statements filed against any Credit Party, together with copies of such financing statements.</w:t>
      </w:r>
    </w:p>
    <w:p>
      <w:pPr>
        <w:spacing w:after="0" w:line="176" w:lineRule="exact"/>
        <w:rPr>
          <w:rFonts w:ascii="Times New Roman" w:cs="Times New Roman" w:eastAsia="Times New Roman" w:hAnsi="Times New Roman"/>
          <w:sz w:val="18"/>
          <w:szCs w:val="18"/>
          <w:color w:val="auto"/>
        </w:rPr>
      </w:pPr>
    </w:p>
    <w:p>
      <w:pPr>
        <w:ind w:right="60" w:firstLine="464"/>
        <w:spacing w:after="0" w:line="255" w:lineRule="auto"/>
        <w:tabs>
          <w:tab w:leader="none" w:pos="67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Charter and Good Standing Certificates</w:t>
      </w:r>
      <w:r>
        <w:rPr>
          <w:rFonts w:ascii="Times New Roman" w:cs="Times New Roman" w:eastAsia="Times New Roman" w:hAnsi="Times New Roman"/>
          <w:sz w:val="18"/>
          <w:szCs w:val="18"/>
          <w:color w:val="auto"/>
        </w:rPr>
        <w:t>. The Administrative Agent shall have received: (A) an original certified copy of the Certificate or Articles of Incorporation or equivalent formation document of each U.S. Credit Party and any and all amendments and restatements thereof, certified as of a recent date by the relevant Secretary of State; (B) an original “long-form” good standing certificate or certificate of existence from the Secretary of State of the state of incorporation, dated as of a recent date, listing all charter documents affecting such Credit Party and certifying as to the good standing of such U.S. Credit Party; (C) original certificates of good standing or foreign qualification from each other jurisdiction in which each U.S. Credit Party is authorized or qualified to do business; (D) a copy of the deed of incorporation and, if amended after its incorporation, the amended articles of association of each Dutch Credit Party certified by an Authorized Officer of each Dutch Credit Party; and (E) an extract of the chamber of commerce for such Dutch Credit Party dated as of a recent date.</w:t>
      </w:r>
    </w:p>
    <w:p>
      <w:pPr>
        <w:spacing w:after="0" w:line="185" w:lineRule="exact"/>
        <w:rPr>
          <w:rFonts w:ascii="Times New Roman" w:cs="Times New Roman" w:eastAsia="Times New Roman" w:hAnsi="Times New Roman"/>
          <w:sz w:val="18"/>
          <w:szCs w:val="18"/>
          <w:color w:val="auto"/>
        </w:rPr>
      </w:pPr>
    </w:p>
    <w:p>
      <w:pPr>
        <w:ind w:right="140" w:firstLine="464"/>
        <w:spacing w:after="0" w:line="272" w:lineRule="auto"/>
        <w:tabs>
          <w:tab w:leader="none" w:pos="761"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Administrative Agent shall have received (i) (A) unaudited consolidated balance sheets and related consolidated statements of income and cash flows for the fiscal quarter ended June 30, 2014 and each fiscal quarter ended after June 30, 2014 and at least 45 days prior to the Closing Date (if any) of (A) the Company and its Subsidiaries, on a consolidated basis (collectively, the “</w:t>
      </w:r>
      <w:r>
        <w:rPr>
          <w:rFonts w:ascii="Times New Roman" w:cs="Times New Roman" w:eastAsia="Times New Roman" w:hAnsi="Times New Roman"/>
          <w:sz w:val="17"/>
          <w:szCs w:val="17"/>
          <w:u w:val="single" w:color="auto"/>
          <w:color w:val="auto"/>
        </w:rPr>
        <w:t>Company Interim Financial Statements</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firstLine="8"/>
        <w:spacing w:after="0" w:line="252" w:lineRule="auto"/>
        <w:tabs>
          <w:tab w:leader="none" w:pos="2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and its Subsidiaries, on a consolidated basis (the “</w:t>
      </w:r>
      <w:r>
        <w:rPr>
          <w:rFonts w:ascii="Times New Roman" w:cs="Times New Roman" w:eastAsia="Times New Roman" w:hAnsi="Times New Roman"/>
          <w:sz w:val="18"/>
          <w:szCs w:val="18"/>
          <w:u w:val="single" w:color="auto"/>
          <w:color w:val="auto"/>
        </w:rPr>
        <w:t>Target Interim Financial Statements</w:t>
      </w:r>
      <w:r>
        <w:rPr>
          <w:rFonts w:ascii="Times New Roman" w:cs="Times New Roman" w:eastAsia="Times New Roman" w:hAnsi="Times New Roman"/>
          <w:sz w:val="18"/>
          <w:szCs w:val="18"/>
          <w:color w:val="auto"/>
        </w:rPr>
        <w:t>”), (ii) a pro forma consolidated balance sheet as of the end of the last fiscal quarter ended March 31, 2014 and related statements of income and cash flows of the Company and its Subsidiaries as of and for the most recent four fiscal quarter period ended March 31, 2014, prepared after giving effect to all elements of the Transactions to be effected on or before the Closing Date, together with a certificate of the chief financial officer of the Company to the effect that such statements accurately present the pro forma financial position of the Company and its Subsidiaries in accordance with GAAP and Regulation S-X (and in any event after giving effect to the Transactions) and (iii) the then most recent five-year forecasts of the Company and its Subsidiaries (after giving effect to the Transactions) of balance sheets, income statements and cash flow statements on a quarterly basis for the first year following the Closing Date and on an annual basis thereafter.</w:t>
      </w:r>
    </w:p>
    <w:p>
      <w:pPr>
        <w:spacing w:after="0" w:line="189"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The Administrative Agent shall have received a solvency certificate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dated as of the Closing Date, and executed by a Financial Officer of the Company.</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The Credit Parties shall have duly executed and delivered the Intercompany Subordination Agreement.</w:t>
      </w:r>
    </w:p>
    <w:p>
      <w:pPr>
        <w:sectPr>
          <w:pgSz w:w="11900" w:h="16838" w:orient="portrait"/>
          <w:cols w:equalWidth="0" w:num="1">
            <w:col w:w="11420"/>
          </w:cols>
          <w:pgMar w:left="240" w:top="270" w:right="239" w:bottom="1440" w:gutter="0" w:footer="0" w:header="0"/>
        </w:sectPr>
      </w:pPr>
    </w:p>
    <w:bookmarkStart w:id="267" w:name="page268"/>
    <w:bookmarkEnd w:id="267"/>
    <w:p>
      <w:pPr>
        <w:ind w:right="140" w:firstLine="464"/>
        <w:spacing w:after="0" w:line="255" w:lineRule="auto"/>
        <w:tabs>
          <w:tab w:leader="none" w:pos="71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Outstanding Indebtedness, etc.</w:t>
      </w:r>
      <w:r>
        <w:rPr>
          <w:rFonts w:ascii="Times New Roman" w:cs="Times New Roman" w:eastAsia="Times New Roman" w:hAnsi="Times New Roman"/>
          <w:sz w:val="18"/>
          <w:szCs w:val="18"/>
          <w:color w:val="auto"/>
        </w:rPr>
        <w:t xml:space="preserve"> The Administrative Agent shall have received evidence that all Existing Indebtedness, together with all interest, all payment premiums and all other amounts due and payable with respect thereto, shall be paid in full from the proceeds of the initial Term Loans, and the commitments in respect of such Existing Indebtedness shall be permanently terminated, and all Liens securing payment of any such Existing Indebtedness shall be released and the Administrative Agent shall have received all payoff and release letters, Uniform Commercial Code Form UCC-3 termination statements or other instruments or agreements as may be suitable or appropriate in connection with the release of any such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set forth herein, certain Indebtedness acceptable to the Administrative Agent may remain outstanding on and after the Closing Date including, without limitation, Indebtedness of Foreign Subsidiaries of the Target acceptable to the Administrative Agent in an aggregate principal amount not exceeding $35,000,000.</w:t>
      </w:r>
    </w:p>
    <w:p>
      <w:pPr>
        <w:spacing w:after="0" w:line="185" w:lineRule="exact"/>
        <w:rPr>
          <w:rFonts w:ascii="Times New Roman" w:cs="Times New Roman" w:eastAsia="Times New Roman" w:hAnsi="Times New Roman"/>
          <w:sz w:val="18"/>
          <w:szCs w:val="18"/>
          <w:color w:val="auto"/>
        </w:rPr>
      </w:pPr>
    </w:p>
    <w:p>
      <w:pPr>
        <w:jc w:val="both"/>
        <w:ind w:right="140" w:firstLine="464"/>
        <w:spacing w:after="0" w:line="289" w:lineRule="auto"/>
        <w:tabs>
          <w:tab w:leader="none" w:pos="711"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Accuracy of Specified Representations</w:t>
      </w:r>
      <w:r>
        <w:rPr>
          <w:rFonts w:ascii="Times New Roman" w:cs="Times New Roman" w:eastAsia="Times New Roman" w:hAnsi="Times New Roman"/>
          <w:sz w:val="17"/>
          <w:szCs w:val="17"/>
          <w:color w:val="auto"/>
        </w:rPr>
        <w:t>. An Authorized Officer of the Company shall have certified that the Specified Representations shall be true and correct in all material respects (or, if qualified by “materiality,” “Material Adverse Effect” or similar language, in all respects (after giving effect to such qualification)) as of the Closing Date and with the same effect as though such representations and warranties had been made on and as of the Closing Date.</w:t>
      </w:r>
    </w:p>
    <w:p>
      <w:pPr>
        <w:spacing w:after="0" w:line="158" w:lineRule="exact"/>
        <w:rPr>
          <w:rFonts w:ascii="Times New Roman" w:cs="Times New Roman" w:eastAsia="Times New Roman" w:hAnsi="Times New Roman"/>
          <w:sz w:val="17"/>
          <w:szCs w:val="17"/>
          <w:color w:val="auto"/>
        </w:rPr>
      </w:pPr>
    </w:p>
    <w:p>
      <w:pPr>
        <w:ind w:right="60" w:firstLine="464"/>
        <w:spacing w:after="0" w:line="282" w:lineRule="auto"/>
        <w:tabs>
          <w:tab w:leader="none" w:pos="68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Specified Purchase Agreement Representations</w:t>
      </w:r>
      <w:r>
        <w:rPr>
          <w:rFonts w:ascii="Times New Roman" w:cs="Times New Roman" w:eastAsia="Times New Roman" w:hAnsi="Times New Roman"/>
          <w:sz w:val="18"/>
          <w:szCs w:val="18"/>
          <w:color w:val="auto"/>
        </w:rPr>
        <w:t xml:space="preserve">. Each of the Specified Purchase Agreement Representations shall be true and correct to the extent provided in, and subject to,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of the Merger Agreement.</w:t>
      </w:r>
    </w:p>
    <w:p>
      <w:pPr>
        <w:spacing w:after="0" w:line="161" w:lineRule="exact"/>
        <w:rPr>
          <w:rFonts w:ascii="Times New Roman" w:cs="Times New Roman" w:eastAsia="Times New Roman" w:hAnsi="Times New Roman"/>
          <w:sz w:val="18"/>
          <w:szCs w:val="18"/>
          <w:color w:val="auto"/>
        </w:rPr>
      </w:pPr>
    </w:p>
    <w:p>
      <w:pPr>
        <w:ind w:right="140" w:firstLine="464"/>
        <w:spacing w:after="0" w:line="313" w:lineRule="auto"/>
        <w:tabs>
          <w:tab w:leader="none" w:pos="691"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Target Material Adverse Effect</w:t>
      </w:r>
      <w:r>
        <w:rPr>
          <w:rFonts w:ascii="Times New Roman" w:cs="Times New Roman" w:eastAsia="Times New Roman" w:hAnsi="Times New Roman"/>
          <w:sz w:val="17"/>
          <w:szCs w:val="17"/>
          <w:color w:val="auto"/>
        </w:rPr>
        <w:t>. Since April 30, 2014, there shall not have been any Target Material Adverse Effect, nor have any event or events occurred that, individually or in the aggregate, with or without the lapse of time, would reasonably be expected to result in a Target Material Adverse Effect.</w:t>
      </w:r>
    </w:p>
    <w:p>
      <w:pPr>
        <w:spacing w:after="0" w:line="138" w:lineRule="exact"/>
        <w:rPr>
          <w:rFonts w:ascii="Times New Roman" w:cs="Times New Roman" w:eastAsia="Times New Roman" w:hAnsi="Times New Roman"/>
          <w:sz w:val="17"/>
          <w:szCs w:val="17"/>
          <w:color w:val="auto"/>
        </w:rPr>
      </w:pPr>
    </w:p>
    <w:p>
      <w:pPr>
        <w:ind w:left="680" w:hanging="216"/>
        <w:spacing w:after="0"/>
        <w:tabs>
          <w:tab w:leader="none" w:pos="6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Equity Contribution</w:t>
      </w:r>
      <w:r>
        <w:rPr>
          <w:rFonts w:ascii="Times New Roman" w:cs="Times New Roman" w:eastAsia="Times New Roman" w:hAnsi="Times New Roman"/>
          <w:sz w:val="18"/>
          <w:szCs w:val="18"/>
          <w:color w:val="auto"/>
        </w:rPr>
        <w:t>. The Administrative Agent shall have received evidence that the Closing Date Equity Contribution has been made.</w:t>
      </w:r>
    </w:p>
    <w:p>
      <w:pPr>
        <w:spacing w:after="0" w:line="225" w:lineRule="exact"/>
        <w:rPr>
          <w:rFonts w:ascii="Times New Roman" w:cs="Times New Roman" w:eastAsia="Times New Roman" w:hAnsi="Times New Roman"/>
          <w:sz w:val="18"/>
          <w:szCs w:val="18"/>
          <w:color w:val="auto"/>
        </w:rPr>
      </w:pPr>
    </w:p>
    <w:p>
      <w:pPr>
        <w:ind w:right="320" w:firstLine="464"/>
        <w:spacing w:after="0" w:line="282" w:lineRule="auto"/>
        <w:tabs>
          <w:tab w:leader="none" w:pos="71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The Administrative Agent and the Term Loan Agent shall have executed, and there shall be in full force and effect, the Intercreditor Agreement, which shall be in form and substance satisfactory to the Administrative Agent.</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Credit Agreement</w:t>
      </w:r>
      <w:r>
        <w:rPr>
          <w:rFonts w:ascii="Times New Roman" w:cs="Times New Roman" w:eastAsia="Times New Roman" w:hAnsi="Times New Roman"/>
          <w:sz w:val="18"/>
          <w:szCs w:val="18"/>
          <w:color w:val="auto"/>
        </w:rPr>
        <w:t>. The U.S. Borrower shall have received the proceeds of the Term Loans in an aggregate principal amount of</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$350,000,000 in accordance with the Term Loan Documents, all of which shall be in full force and effect and in form and substance satisfactory to the Administrative Agent and the Administrative Agent shall have received a copy of all of the Term Loan Documents certified by an officer of the Company as being true, correct and complete.</w:t>
      </w:r>
    </w:p>
    <w:p>
      <w:pPr>
        <w:spacing w:after="0" w:line="186" w:lineRule="exact"/>
        <w:rPr>
          <w:sz w:val="20"/>
          <w:szCs w:val="20"/>
          <w:color w:val="auto"/>
        </w:rPr>
      </w:pPr>
    </w:p>
    <w:p>
      <w:pPr>
        <w:ind w:right="40" w:firstLine="464"/>
        <w:spacing w:after="0" w:line="261" w:lineRule="auto"/>
        <w:tabs>
          <w:tab w:leader="none" w:pos="75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Availability</w:t>
      </w:r>
      <w:r>
        <w:rPr>
          <w:rFonts w:ascii="Times New Roman" w:cs="Times New Roman" w:eastAsia="Times New Roman" w:hAnsi="Times New Roman"/>
          <w:sz w:val="18"/>
          <w:szCs w:val="18"/>
          <w:color w:val="auto"/>
        </w:rPr>
        <w:t xml:space="preserve">. The Administrative Agent shall have received a certificate of a Financial Officer,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H-2</w:t>
      </w:r>
      <w:r>
        <w:rPr>
          <w:rFonts w:ascii="Times New Roman" w:cs="Times New Roman" w:eastAsia="Times New Roman" w:hAnsi="Times New Roman"/>
          <w:sz w:val="18"/>
          <w:szCs w:val="18"/>
          <w:color w:val="auto"/>
        </w:rPr>
        <w:t>, and otherwise in form and substance satisfactory to the Administrative Agent, certifying that the Borrowers have, on the Closing Date, Availability of no less than $20,000,000, after taking into account fees and expenses due in connection with this Agreement and (ii) a deduction of the trade payable balance over sixty days past due.</w:t>
      </w:r>
    </w:p>
    <w:p>
      <w:pPr>
        <w:spacing w:after="0" w:line="180" w:lineRule="exact"/>
        <w:rPr>
          <w:rFonts w:ascii="Times New Roman" w:cs="Times New Roman" w:eastAsia="Times New Roman" w:hAnsi="Times New Roman"/>
          <w:sz w:val="18"/>
          <w:szCs w:val="18"/>
          <w:color w:val="auto"/>
        </w:rPr>
      </w:pPr>
    </w:p>
    <w:p>
      <w:pPr>
        <w:ind w:right="480" w:firstLine="464"/>
        <w:spacing w:after="0" w:line="313" w:lineRule="auto"/>
        <w:tabs>
          <w:tab w:leader="none" w:pos="711"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Target Acquisition</w:t>
      </w:r>
      <w:r>
        <w:rPr>
          <w:rFonts w:ascii="Times New Roman" w:cs="Times New Roman" w:eastAsia="Times New Roman" w:hAnsi="Times New Roman"/>
          <w:sz w:val="17"/>
          <w:szCs w:val="17"/>
          <w:color w:val="auto"/>
        </w:rPr>
        <w:t>. The Administrative Agent shall have received copies of the Target Acquisition Documentation, certified by an Authorized Officer. The Target Acquisition shall have been consummated in accordance with the terms of the Merger Agreement (without giving effect to any</w:t>
      </w:r>
    </w:p>
    <w:p>
      <w:pPr>
        <w:sectPr>
          <w:pgSz w:w="11900" w:h="16838" w:orient="portrait"/>
          <w:cols w:equalWidth="0" w:num="1">
            <w:col w:w="11420"/>
          </w:cols>
          <w:pgMar w:left="240" w:top="270" w:right="239" w:bottom="1440" w:gutter="0" w:footer="0" w:header="0"/>
        </w:sectPr>
      </w:pPr>
    </w:p>
    <w:bookmarkStart w:id="268" w:name="page269"/>
    <w:bookmarkEnd w:id="26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 (it being understood that any modification, amendment, consent or waiver to (i) the definition of, or with respect to the occurrence of a, “Target Material Adverse Effect” in the Merger Agreement, (ii) the third party beneficiary rights applicable to the Administrative Agent and/or the Lenders in the Merger Agreement, (iii) the governing law of the Merger Agreement, (iv) the amount or form of the purchase price to be paid in connection with the Target Acquisition, (v) the definition of “Outside Date” (as defined in the Merger Agreement) or the terms upon which such date may be extended or (vi) the definition of “Marketing Period” (as defined in the Merger Agreement”),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of the Merger Agreement or any related provisions, if the effect thereof would be to shorten the “Marketing Period” or the applicable time period to close the Target Acquisition under the Merger Agreement, shall in each such case be deemed to be material to the interests of the Lenders)) and in compliance with applicable Law and regulatory and required third party approvals, and an Authorized officer of the Borrowers shall have certified as to the foregoing.</w:t>
      </w:r>
    </w:p>
    <w:p>
      <w:pPr>
        <w:spacing w:after="0" w:line="186" w:lineRule="exact"/>
        <w:rPr>
          <w:sz w:val="20"/>
          <w:szCs w:val="20"/>
          <w:color w:val="auto"/>
        </w:rPr>
      </w:pPr>
    </w:p>
    <w:p>
      <w:pPr>
        <w:ind w:right="220" w:firstLine="464"/>
        <w:spacing w:after="0" w:line="266" w:lineRule="auto"/>
        <w:tabs>
          <w:tab w:leader="none" w:pos="71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Administrative Agent shall have received, at least three Business Days prior to the Closing Date, all documentation and other information required by regulatory authorities under applicable “know your customer” and anti-money laundering rules and regulations, including the USA Patriot Act.</w:t>
      </w:r>
    </w:p>
    <w:p>
      <w:pPr>
        <w:spacing w:after="0" w:line="176" w:lineRule="exact"/>
        <w:rPr>
          <w:rFonts w:ascii="Times New Roman" w:cs="Times New Roman" w:eastAsia="Times New Roman" w:hAnsi="Times New Roman"/>
          <w:sz w:val="18"/>
          <w:szCs w:val="18"/>
          <w:color w:val="auto"/>
        </w:rPr>
      </w:pPr>
    </w:p>
    <w:p>
      <w:pPr>
        <w:ind w:right="120" w:firstLine="464"/>
        <w:spacing w:after="0" w:line="282" w:lineRule="auto"/>
        <w:tabs>
          <w:tab w:leader="none" w:pos="70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written Borrowing Base Certificate in form and substance satisfactory to the Administrative Agent.</w:t>
      </w:r>
    </w:p>
    <w:p>
      <w:pPr>
        <w:spacing w:after="0" w:line="162" w:lineRule="exact"/>
        <w:rPr>
          <w:sz w:val="20"/>
          <w:szCs w:val="20"/>
          <w:color w:val="auto"/>
        </w:rPr>
      </w:pPr>
    </w:p>
    <w:p>
      <w:pPr>
        <w:ind w:left="780" w:hanging="316"/>
        <w:spacing w:after="0"/>
        <w:tabs>
          <w:tab w:leader="none" w:pos="7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Works Council</w:t>
      </w:r>
      <w:r>
        <w:rPr>
          <w:rFonts w:ascii="Times New Roman" w:cs="Times New Roman" w:eastAsia="Times New Roman" w:hAnsi="Times New Roman"/>
          <w:sz w:val="18"/>
          <w:szCs w:val="18"/>
          <w:color w:val="auto"/>
        </w:rPr>
        <w:t>. The Administrative Agent and the Foreign Collateral Agent shall have received from each relevant Dutch Credit Party, copies of</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 for advice to the relevant works council and (ii) the positive advice obtained from such relevant works council.</w:t>
      </w:r>
    </w:p>
    <w:p>
      <w:pPr>
        <w:spacing w:after="0" w:line="20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short-form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closing of the transactions contemplated hereunder, but shall be required to be completed after the Closing Date pursuant to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Precedent to All Credit Events</w:t>
      </w:r>
      <w:r>
        <w:rPr>
          <w:rFonts w:ascii="Times New Roman" w:cs="Times New Roman" w:eastAsia="Times New Roman" w:hAnsi="Times New Roman"/>
          <w:sz w:val="18"/>
          <w:szCs w:val="18"/>
          <w:color w:val="auto"/>
        </w:rPr>
        <w:t>. The obligations of the Lenders, the Swing Line Lender and each LC Issuer to make or participate in each Credit Event is subject, at the time thereof, to the satisfaction of the following conditions:</w:t>
      </w:r>
    </w:p>
    <w:p>
      <w:pPr>
        <w:spacing w:after="0" w:line="162" w:lineRule="exact"/>
        <w:rPr>
          <w:sz w:val="20"/>
          <w:szCs w:val="20"/>
          <w:color w:val="auto"/>
        </w:rPr>
      </w:pPr>
    </w:p>
    <w:p>
      <w:pPr>
        <w:ind w:right="60" w:firstLine="464"/>
        <w:spacing w:after="0" w:line="261" w:lineRule="auto"/>
        <w:tabs>
          <w:tab w:leader="none" w:pos="701"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The Administrative Agent (and in the case of subpart (iii) below, the applicable LC Issuer) shall have received, as applicable, (i) a Notice of Borrowing meeting the requirements of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with respect to any Borrowing (other than a Continuation or Conversion), (ii) a Notice of Continuation or Conversion meeting the requirements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with respect to a Continuation or Conversion, or (iii) an LC Request meeting the requirements of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as applicable, with respect to each LC Issuance.</w:t>
      </w:r>
    </w:p>
    <w:p>
      <w:pPr>
        <w:sectPr>
          <w:pgSz w:w="11900" w:h="16838" w:orient="portrait"/>
          <w:cols w:equalWidth="0" w:num="1">
            <w:col w:w="11420"/>
          </w:cols>
          <w:pgMar w:left="240" w:top="270" w:right="239" w:bottom="1440" w:gutter="0" w:footer="0" w:header="0"/>
        </w:sectPr>
      </w:pPr>
    </w:p>
    <w:bookmarkStart w:id="269" w:name="page270"/>
    <w:bookmarkEnd w:id="269"/>
    <w:p>
      <w:pPr>
        <w:ind w:right="60" w:firstLine="464"/>
        <w:spacing w:after="0" w:line="282" w:lineRule="auto"/>
        <w:tabs>
          <w:tab w:leader="none" w:pos="71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w:t>
      </w:r>
      <w:r>
        <w:rPr>
          <w:rFonts w:ascii="Times New Roman" w:cs="Times New Roman" w:eastAsia="Times New Roman" w:hAnsi="Times New Roman"/>
          <w:sz w:val="18"/>
          <w:szCs w:val="18"/>
          <w:color w:val="auto"/>
        </w:rPr>
        <w:t>. At the time of each Credit Event and also after giving effect thereto (other than with respect to a Credit Event occurring on the Closing Date), there shall exist no Default or Event of Default.</w:t>
      </w:r>
    </w:p>
    <w:p>
      <w:pPr>
        <w:spacing w:after="0" w:line="161" w:lineRule="exact"/>
        <w:rPr>
          <w:rFonts w:ascii="Times New Roman" w:cs="Times New Roman" w:eastAsia="Times New Roman" w:hAnsi="Times New Roman"/>
          <w:sz w:val="18"/>
          <w:szCs w:val="18"/>
          <w:color w:val="auto"/>
        </w:rPr>
      </w:pPr>
    </w:p>
    <w:p>
      <w:pPr>
        <w:ind w:right="40" w:firstLine="464"/>
        <w:spacing w:after="0" w:line="256" w:lineRule="auto"/>
        <w:tabs>
          <w:tab w:leader="none" w:pos="7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At the time of each Credit Event and also after giving effect thereto (other than with respect to a Credit Event occurring on the Closing Date), all representations and warranties of the Credit Parties contained herein or in the other Loan Documents shall be true and correct with the same effect as though such representations and warranties had been made on and as of the date of such Credit Event, except to the extent that such representations and warranties expressly relate to an earlier specified date, in which case such representations and warranties shall have been true and correct as of the date when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Closing Date, only the representations and warranties as set forth in </w:t>
      </w:r>
      <w:r>
        <w:rPr>
          <w:rFonts w:ascii="Times New Roman" w:cs="Times New Roman" w:eastAsia="Times New Roman" w:hAnsi="Times New Roman"/>
          <w:sz w:val="18"/>
          <w:szCs w:val="18"/>
          <w:u w:val="single" w:color="auto"/>
          <w:color w:val="auto"/>
        </w:rPr>
        <w:t>Sections 4.01(q)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4.01(r)</w:t>
      </w:r>
      <w:r>
        <w:rPr>
          <w:rFonts w:ascii="Times New Roman" w:cs="Times New Roman" w:eastAsia="Times New Roman" w:hAnsi="Times New Roman"/>
          <w:sz w:val="18"/>
          <w:szCs w:val="18"/>
          <w:color w:val="auto"/>
        </w:rPr>
        <w:t xml:space="preserve"> need to be complied with.</w:t>
      </w:r>
    </w:p>
    <w:p>
      <w:pPr>
        <w:spacing w:after="0" w:line="18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Availability</w:t>
      </w:r>
      <w:r>
        <w:rPr>
          <w:rFonts w:ascii="Times New Roman" w:cs="Times New Roman" w:eastAsia="Times New Roman" w:hAnsi="Times New Roman"/>
          <w:sz w:val="17"/>
          <w:szCs w:val="17"/>
          <w:color w:val="auto"/>
        </w:rPr>
        <w:t>. At the time of each Credit Event and also after giving effect thereto, none of Availability, Dutch Availability or U.S. Availability is less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than zero.</w:t>
      </w:r>
    </w:p>
    <w:p>
      <w:pPr>
        <w:spacing w:after="0" w:line="206" w:lineRule="exact"/>
        <w:rPr>
          <w:rFonts w:ascii="Times New Roman" w:cs="Times New Roman" w:eastAsia="Times New Roman" w:hAnsi="Times New Roman"/>
          <w:sz w:val="17"/>
          <w:szCs w:val="17"/>
          <w:color w:val="auto"/>
        </w:rPr>
      </w:pPr>
    </w:p>
    <w:p>
      <w:pPr>
        <w:ind w:right="20" w:firstLine="464"/>
        <w:spacing w:after="0" w:line="313" w:lineRule="auto"/>
        <w:tabs>
          <w:tab w:leader="none" w:pos="701"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At the time of each Credit Event and also after giving effect thereto (other than with respect to a Credit Event occurring on the Closing Date), no event, change or condition has or shall have occurred that has had or could reasonably be expected to have, a Material Adverse Effect.</w:t>
      </w:r>
    </w:p>
    <w:p>
      <w:pPr>
        <w:spacing w:after="0" w:line="13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acceptance of the benefits of (i) the Credit Events on the Closing Date shall constitute a representation and warranty by the Borrowers to the Administrative Agent, the Foreign Collateral Agent, the Swing Line Lender, each LC Issuer and each of the Lenders that all of the applicable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have been satisfied as of the times referred to in such Section and (ii) each Credit Event thereafter shall constitute a representation and warranty by the Borrowers to the Administrative Agent, the Foreign Collateral Agent, the Swing Line Lender, each LC Issuer and each of the Lenders that all of the applicable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been satisfied as of the times referred to in such Sections and, after the initial satisfaction thereof, that the Conditions to Regular Borrowing Base have been satisfied.</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Notwithstanding the failure to satisfy the conditions precedent set forth in paragraph (b) of this Section, the Administrative Agent and the Foreign Collateral Agent may, but shall have no obligation to, continue to make Loans and an LC Issuer may, but shall have no obligation to, issue or cause to be issued any Letter of Credit for the ratable account and risk of Lenders from time to time if the Administrative Agent or Foreign Collateral Agent believes that making such Loans or issuing or causing to be issued any such Letter of Credit is in the best interests of the Lenders.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Conditions Precedent to Initial Dutch Borrowings and Initial Dutch LC Issuances</w:t>
      </w:r>
      <w:r>
        <w:rPr>
          <w:rFonts w:ascii="Times New Roman" w:cs="Times New Roman" w:eastAsia="Times New Roman" w:hAnsi="Times New Roman"/>
          <w:sz w:val="18"/>
          <w:szCs w:val="18"/>
          <w:color w:val="auto"/>
        </w:rPr>
        <w:t xml:space="preserve">. The obligation of Dutch Lenders to make the initial Dutch Revolving Loans, of the Dutch Swing Line Lender to make the initial Dutch Swing Loans and of any Dutch LC Issuer to issue the initial Dutch Letters of Credit, is subject to the satisfaction of each of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and each of the following conditions:</w:t>
      </w:r>
    </w:p>
    <w:p>
      <w:pPr>
        <w:spacing w:after="0" w:line="176" w:lineRule="exact"/>
        <w:rPr>
          <w:sz w:val="20"/>
          <w:szCs w:val="20"/>
          <w:color w:val="auto"/>
        </w:rPr>
      </w:pPr>
    </w:p>
    <w:p>
      <w:pPr>
        <w:ind w:firstLine="464"/>
        <w:spacing w:after="0" w:line="258" w:lineRule="auto"/>
        <w:tabs>
          <w:tab w:leader="none" w:pos="70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Dutch Security Documents</w:t>
      </w:r>
      <w:r>
        <w:rPr>
          <w:rFonts w:ascii="Times New Roman" w:cs="Times New Roman" w:eastAsia="Times New Roman" w:hAnsi="Times New Roman"/>
          <w:sz w:val="18"/>
          <w:szCs w:val="18"/>
          <w:color w:val="auto"/>
        </w:rPr>
        <w:t>. The Dutch Credit Parties shall have duly executed and delivered all of the Dutch Security Documents required by the Administrative Agent and the Foreign Collateral Agent and a perfection or information certificate, each of which shall be in form and substance satisfactory to the Administrative Agent and the Foreign Collateral Agent. In addition, the Administrative Agent and the Foreign Collateral Agent shall have received and filed proper UCC financing statements (or other relevant documentation necessary to perfect Liens in the applicable jurisdictions) in proper form for filing under the applicable laws of each relevant jurisdiction covering the Collateral.</w:t>
      </w:r>
    </w:p>
    <w:p>
      <w:pPr>
        <w:sectPr>
          <w:pgSz w:w="11900" w:h="16838" w:orient="portrait"/>
          <w:cols w:equalWidth="0" w:num="1">
            <w:col w:w="11380"/>
          </w:cols>
          <w:pgMar w:left="240" w:top="270" w:right="279" w:bottom="1440" w:gutter="0" w:footer="0" w:header="0"/>
        </w:sectPr>
      </w:pPr>
    </w:p>
    <w:bookmarkStart w:id="270" w:name="page271"/>
    <w:bookmarkEnd w:id="270"/>
    <w:p>
      <w:pPr>
        <w:ind w:right="120" w:firstLine="464"/>
        <w:spacing w:after="0" w:line="258" w:lineRule="auto"/>
        <w:tabs>
          <w:tab w:leader="none" w:pos="71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of Counsel</w:t>
      </w:r>
      <w:r>
        <w:rPr>
          <w:rFonts w:ascii="Times New Roman" w:cs="Times New Roman" w:eastAsia="Times New Roman" w:hAnsi="Times New Roman"/>
          <w:sz w:val="18"/>
          <w:szCs w:val="18"/>
          <w:color w:val="auto"/>
        </w:rPr>
        <w:t>. The Administrative Agent and the Foreign Collateral Agent shall have received such opinions of counsel from counsel to the Dutch Credit Parties, including opinions of local counsel for the Dutch Credit Parties in each jurisdiction where Administrative Agent and the Foreign Collateral Agent each deems it necessary, in its Permitted Discretion, each of which opinion shall be addressed to the Administrative Agent, the Foreign Collateral Agent and the Lenders and dated the Closing Date and in form and substance satisfactory to the Administrative Agent and the Foreign Collateral Agent.</w:t>
      </w:r>
    </w:p>
    <w:p>
      <w:pPr>
        <w:spacing w:after="0" w:line="183" w:lineRule="exact"/>
        <w:rPr>
          <w:rFonts w:ascii="Times New Roman" w:cs="Times New Roman" w:eastAsia="Times New Roman" w:hAnsi="Times New Roman"/>
          <w:sz w:val="18"/>
          <w:szCs w:val="18"/>
          <w:color w:val="auto"/>
        </w:rPr>
      </w:pPr>
    </w:p>
    <w:p>
      <w:pPr>
        <w:ind w:right="20" w:firstLine="464"/>
        <w:spacing w:after="0" w:line="266" w:lineRule="auto"/>
        <w:tabs>
          <w:tab w:leader="none" w:pos="70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Search Reports</w:t>
      </w:r>
      <w:r>
        <w:rPr>
          <w:rFonts w:ascii="Times New Roman" w:cs="Times New Roman" w:eastAsia="Times New Roman" w:hAnsi="Times New Roman"/>
          <w:sz w:val="18"/>
          <w:szCs w:val="18"/>
          <w:color w:val="auto"/>
        </w:rPr>
        <w:t>. The Administrative Agent and the Foreign Collateral Agent shall have received the results of UCC and other search reports from one or more commercial search firms acceptable to the Administrative Agent and the Foreign Collateral Agent, listing all of the effective financing statements filed against any Dutch Credit Party, together with copies of such financing statements.</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71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and the Foreign Collateral Agent shall have received a written Borrowing Base Certificate in form and substance satisfactory to the Administrative Agent and the Foreign Collateral Agent.</w:t>
      </w:r>
    </w:p>
    <w:p>
      <w:pPr>
        <w:spacing w:after="0" w:line="161" w:lineRule="exact"/>
        <w:rPr>
          <w:rFonts w:ascii="Times New Roman" w:cs="Times New Roman" w:eastAsia="Times New Roman" w:hAnsi="Times New Roman"/>
          <w:sz w:val="18"/>
          <w:szCs w:val="18"/>
          <w:color w:val="auto"/>
        </w:rPr>
      </w:pPr>
    </w:p>
    <w:p>
      <w:pPr>
        <w:ind w:right="840" w:firstLine="464"/>
        <w:spacing w:after="0" w:line="282" w:lineRule="auto"/>
        <w:tabs>
          <w:tab w:leader="none" w:pos="70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Conditions</w:t>
      </w:r>
      <w:r>
        <w:rPr>
          <w:rFonts w:ascii="Times New Roman" w:cs="Times New Roman" w:eastAsia="Times New Roman" w:hAnsi="Times New Roman"/>
          <w:sz w:val="18"/>
          <w:szCs w:val="18"/>
          <w:color w:val="auto"/>
        </w:rPr>
        <w:t>. Such other conditions as the Administrative Agent and the Foreign Collateral Agent deem necessary in their Permitted Discretion.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order to induce the Administrative Agent, the Foreign Collateral Agent, the Lenders and each LC Issuer to enter into this Agreement and to make the Loans and to issue and to participate in the Letters of Credit provided for herein, each of the Borrowers makes the following representations and warranties to, and agreements with, the Administrative Agent, the Foreign Collateral Agent, the Lenders and each LC Issuer, all of which shall survive the execution and delivery of this Agreement and each Credit Event:</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Each Credit Party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hereto, which are all of the states or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hereto sets forth, as of the Closing Date, each Subsidiary of each Credit Party (and whether such Subsidiary is an Inactive Subsidiary, Immaterial Subsidiary, Foreign Subsidiary or Credit Party), its state (or jurisdiction) of formation, its registered office or similar concept if a foreign organization, its relationship to such Credit Party, including the percentage of each class of stock or other Equity Interest owned, directly or indirectly, by a Credit Party, each Person that owns the stock or other Equity Interest of each Credit Party, the location of its chief executive office and its principal place of business. The Company, directly or indirectly, owns all of the Equity Interests of each of its Subsidiaries (excluding directors’ qualifying shares and, in the case of Foreign Subsidiaries, other nominal amounts of shares held by a Person other than a Credit Party).</w:t>
      </w:r>
    </w:p>
    <w:p>
      <w:pPr>
        <w:sectPr>
          <w:pgSz w:w="11900" w:h="16838" w:orient="portrait"/>
          <w:cols w:equalWidth="0" w:num="1">
            <w:col w:w="11420"/>
          </w:cols>
          <w:pgMar w:left="240" w:top="270" w:right="239" w:bottom="1440" w:gutter="0" w:footer="0" w:header="0"/>
        </w:sectPr>
      </w:pPr>
    </w:p>
    <w:bookmarkStart w:id="271" w:name="page272"/>
    <w:bookmarkEnd w:id="271"/>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Corporate Power and Authority</w:t>
      </w:r>
      <w:r>
        <w:rPr>
          <w:rFonts w:ascii="Times New Roman" w:cs="Times New Roman" w:eastAsia="Times New Roman" w:hAnsi="Times New Roman"/>
          <w:sz w:val="18"/>
          <w:szCs w:val="18"/>
          <w:color w:val="auto"/>
        </w:rPr>
        <w:t>. Each Credit Party has the right and power and is duly authorized and empowered to enter into, execute and deliver the Loan Documents to which it is a party and to perform and observe the provisions of the Loan Documents. Each Credit Party has duly executed and delivered the Loan Documents to which it is a party. The Loan Documents to which each Credit Party is a party have been duly authorized and approved by such Credit Party’s board of directors or other governing body, as applicable, and are the valid and binding obligations of such Credit Party, enforceable against such Credit Party in accordance with their respective terms. The execution, delivery and performance of the Loan Documents do not conflict with, result in a breach in any of the provisions of, constitute a default under, or result in the creation of a Lien (other than Permitted Liens) upon any assets or property of any Credit Party under the provisions of, (a) such Credit Party’s Organizational Documents, (b) any material agreement to which any Credit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Each Credit Party and each of their Subsidiaries:</w:t>
      </w:r>
    </w:p>
    <w:p>
      <w:pPr>
        <w:spacing w:after="0" w:line="225" w:lineRule="exact"/>
        <w:rPr>
          <w:sz w:val="20"/>
          <w:szCs w:val="20"/>
          <w:color w:val="auto"/>
        </w:rPr>
      </w:pPr>
    </w:p>
    <w:p>
      <w:pPr>
        <w:ind w:left="700" w:hanging="236"/>
        <w:spacing w:after="0"/>
        <w:tabs>
          <w:tab w:leader="none" w:pos="7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permits, certificates, licenses, orders, registrations, franchises, authorizations, and other approvals from any Governmental Authority</w:t>
      </w:r>
    </w:p>
    <w:p>
      <w:pPr>
        <w:spacing w:after="0" w:line="27" w:lineRule="exact"/>
        <w:rPr>
          <w:rFonts w:ascii="Times New Roman" w:cs="Times New Roman" w:eastAsia="Times New Roman" w:hAnsi="Times New Roman"/>
          <w:sz w:val="18"/>
          <w:szCs w:val="18"/>
          <w:color w:val="auto"/>
        </w:rPr>
      </w:pPr>
    </w:p>
    <w:p>
      <w:pPr>
        <w:ind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for the conduct of its business and is in compliance with all applicable laws relating thereto, except where the failure to do so, either individually or in the aggregate, would not have a Material Adverse Effect;</w:t>
      </w:r>
    </w:p>
    <w:p>
      <w:pPr>
        <w:spacing w:after="0" w:line="179" w:lineRule="exact"/>
        <w:rPr>
          <w:rFonts w:ascii="Times New Roman" w:cs="Times New Roman" w:eastAsia="Times New Roman" w:hAnsi="Times New Roman"/>
          <w:sz w:val="18"/>
          <w:szCs w:val="18"/>
          <w:color w:val="auto"/>
        </w:rPr>
      </w:pPr>
    </w:p>
    <w:p>
      <w:pPr>
        <w:jc w:val="both"/>
        <w:ind w:firstLine="464"/>
        <w:spacing w:after="0" w:line="266" w:lineRule="auto"/>
        <w:tabs>
          <w:tab w:leader="none" w:pos="71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176" w:lineRule="exact"/>
        <w:rPr>
          <w:rFonts w:ascii="Times New Roman" w:cs="Times New Roman" w:eastAsia="Times New Roman" w:hAnsi="Times New Roman"/>
          <w:sz w:val="18"/>
          <w:szCs w:val="18"/>
          <w:color w:val="auto"/>
        </w:rPr>
      </w:pPr>
    </w:p>
    <w:p>
      <w:pPr>
        <w:ind w:right="180" w:firstLine="464"/>
        <w:spacing w:after="0" w:line="282" w:lineRule="auto"/>
        <w:tabs>
          <w:tab w:leader="none" w:pos="70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violation of or in default under any agreement to which it is a party or by which its assets are subject or bound, except with respect to any violation or default that, either individually or in the aggregate, would not have a Material Adverse Effect; and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material compliance with all applicable Bank Secrecy Act (“BSA”) and anti-money laundering laws and regulations.</w:t>
      </w:r>
    </w:p>
    <w:p>
      <w:pPr>
        <w:spacing w:after="0" w:line="225" w:lineRule="exact"/>
        <w:rPr>
          <w:sz w:val="20"/>
          <w:szCs w:val="20"/>
          <w:color w:val="auto"/>
        </w:rPr>
      </w:pPr>
    </w:p>
    <w:p>
      <w:pPr>
        <w:ind w:right="60" w:firstLine="456"/>
        <w:spacing w:after="0" w:line="273"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Litigation and Administrative Proceedings</w:t>
      </w:r>
      <w:r>
        <w:rPr>
          <w:rFonts w:ascii="Times New Roman" w:cs="Times New Roman" w:eastAsia="Times New Roman" w:hAnsi="Times New Roman"/>
          <w:sz w:val="17"/>
          <w:szCs w:val="17"/>
          <w:color w:val="auto"/>
        </w:rPr>
        <w:t xml:space="preserve">. Except as disclosed on </w:t>
      </w:r>
      <w:r>
        <w:rPr>
          <w:rFonts w:ascii="Times New Roman" w:cs="Times New Roman" w:eastAsia="Times New Roman" w:hAnsi="Times New Roman"/>
          <w:sz w:val="17"/>
          <w:szCs w:val="17"/>
          <w:u w:val="single" w:color="auto"/>
          <w:color w:val="auto"/>
        </w:rPr>
        <w:t>Schedule 5.04</w:t>
      </w:r>
      <w:r>
        <w:rPr>
          <w:rFonts w:ascii="Times New Roman" w:cs="Times New Roman" w:eastAsia="Times New Roman" w:hAnsi="Times New Roman"/>
          <w:sz w:val="17"/>
          <w:szCs w:val="17"/>
          <w:color w:val="auto"/>
        </w:rPr>
        <w:t xml:space="preserve"> hereto, there are (a) no lawsuits, actions, investigations, examinations or other proceedings pending or threatened against any Credit Party or any of their Subsidiaries, or in respect of which any Credit Party or any of their Subsidiaries may have any liability, in any court or before or by any Governmental Authority, arbitration board or other tribunal, (b) no orders, writs, injunctions, judgments, or decrees of any court or Governmental Authority to which any Credit Party or any of their Subsidiaries is a party or by which the property or assets of any Credit Party or any of their Subsidiaries are bound, and (c) no grievances, disputes, or controversies outstanding with any union or other organization of the employees of any Credit Party or any of their Subsidiaries, or threats of work stoppage, strike, or pending demands for collective bargaining, that, as to (a) through (c) above, if violated or determined adversely, either individually or in the aggregate, would have a Material Adverse Effect</w:t>
      </w:r>
    </w:p>
    <w:p>
      <w:pPr>
        <w:spacing w:after="0" w:line="17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Each Credit Party and each of their Subsidiaries has good title to and ownership of all material property it purports to own, which property is free and clear of all Liens, except Permitted Liens. As of the Closing Date, the Credit Parties and their Subsidiaries own the real property listed on </w:t>
      </w:r>
      <w:r>
        <w:rPr>
          <w:rFonts w:ascii="Times New Roman" w:cs="Times New Roman" w:eastAsia="Times New Roman" w:hAnsi="Times New Roman"/>
          <w:sz w:val="18"/>
          <w:szCs w:val="18"/>
          <w:u w:val="single" w:color="auto"/>
          <w:color w:val="auto"/>
        </w:rPr>
        <w:t>Schedule 5.05</w:t>
      </w:r>
      <w:r>
        <w:rPr>
          <w:rFonts w:ascii="Times New Roman" w:cs="Times New Roman" w:eastAsia="Times New Roman" w:hAnsi="Times New Roman"/>
          <w:sz w:val="18"/>
          <w:szCs w:val="18"/>
          <w:color w:val="auto"/>
        </w:rPr>
        <w:t xml:space="preserve"> hereto.</w:t>
      </w:r>
    </w:p>
    <w:p>
      <w:pPr>
        <w:sectPr>
          <w:pgSz w:w="11900" w:h="16838" w:orient="portrait"/>
          <w:cols w:equalWidth="0" w:num="1">
            <w:col w:w="11420"/>
          </w:cols>
          <w:pgMar w:left="240" w:top="270" w:right="239" w:bottom="1440" w:gutter="0" w:footer="0" w:header="0"/>
        </w:sectPr>
      </w:pPr>
    </w:p>
    <w:bookmarkStart w:id="272" w:name="page273"/>
    <w:bookmarkEnd w:id="272"/>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Liens and Security Interests</w:t>
      </w:r>
      <w:r>
        <w:rPr>
          <w:rFonts w:ascii="Times New Roman" w:cs="Times New Roman" w:eastAsia="Times New Roman" w:hAnsi="Times New Roman"/>
          <w:sz w:val="18"/>
          <w:szCs w:val="18"/>
          <w:color w:val="auto"/>
        </w:rPr>
        <w:t>. On and after the Closing Date, except for Permitted Liens, (a) there is and will be no financing statements or similar notice of Lien outstanding covering any personal property of any Credit Party or any Subsidiary thereof; (b) there is and will be no mortgage or deed or hypothec outstanding covering any real property of any Credit Party or any Subsidiary thereof; and (c) no real or personal property of any Credit Party or any Subsidiary thereof is subject to any Lien of any kind. The Administrative Agent and the Foreign Collateral Agent, as applicable, each has a valid and enforceable perfected (to the extent required under the Security Agreements) first-priority Lien on the applicable Collateral (subject to the Intercreditor Agreement and the priority of any Permitted Liens). No Credit Party or any Subsidiary thereof has entered into any contract or agreement (other than a contract or agreement entered into in connection with the purchase or lease of fixed assets that prohibits Liens on such fixed assets) that exists on or after the Closing Date that would prohibit the Administrative Agent or the Lenders from acquiring a Lien on, or a collateral assignment of, any of the property or assets of any Credit Party or any Subsidiary thereof.</w:t>
      </w:r>
    </w:p>
    <w:p>
      <w:pPr>
        <w:spacing w:after="0" w:line="189"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xml:space="preserve"> All federal, foreign, state, provincial and local tax returns and other reports required by law to be filed in respect of the income, business, properties and employees of each Credit Party and each of their Subsidiaries have been filed and all taxes, assessments, fees and other governmental charges that are due and payable have been paid, except as otherwise permitted herein. The provision for taxes on the books of each Credit Party and each Subsidiary thereof is adequate for all years not closed by applicable statutes and for the current fiscal year.</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Except where non-compliance, individually or in the aggregate, would not reasonably be expected to have a Material Adverse Effect, each Credit Party and each Subsidiary is in compliance with all applicable Environmental Laws, including, without limitation, all Environmental Laws in all jurisdictions in which any Credit Party or any Subsidiary thereof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knowledge of each Credit Party and each Subsidiary thereof, threatened, against any Credit Party or any Subsidiary thereof, any real property in which any Credit Party or any Subsidiary thereof holds or has held an interest or any past or present operation of any Credit Party or any Subsidiary thereof. No release, threatened release or disposal of hazardous waste, solid waste or other wastes is occurring, or has occurred (other than those that are currently being remediated in accordance with Environmental Laws), on, under or to any real property in which any Credit Party or any Subsidiary thereof holds any interest or performs any of its operations, in material violation of any Environmental Law. As used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“litigation or proceeding” means any demand, claim, notice, suit, suit in equity, action, administrative action, investigation or inquiry whether brought by any Governmental Authority or private Person, or otherwise.</w:t>
      </w:r>
    </w:p>
    <w:p>
      <w:pPr>
        <w:spacing w:after="0" w:line="19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Locations</w:t>
      </w:r>
      <w:r>
        <w:rPr>
          <w:rFonts w:ascii="Times New Roman" w:cs="Times New Roman" w:eastAsia="Times New Roman" w:hAnsi="Times New Roman"/>
          <w:sz w:val="18"/>
          <w:szCs w:val="18"/>
          <w:color w:val="auto"/>
        </w:rPr>
        <w:t xml:space="preserve">. As of the Closing Date, the Credit Parties have places of business or maintain their accounts, inventory and equipment at the locations (including third party locations)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and each Credit Party’s chief executive office is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further specifies whether each location, as of the Closing Date, (a) is owned by the Credit Parties, or (b) is leased by a Credit Party from a third party, and, if leased by a Credit Party from a third party, if a landlord’s waiver has been requested. As of the Closing Date,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correctly identifies the name and address of each third party location where a material portion of the assets of the Credit Parties are located.</w:t>
      </w:r>
    </w:p>
    <w:p>
      <w:pPr>
        <w:sectPr>
          <w:pgSz w:w="11900" w:h="16838" w:orient="portrait"/>
          <w:cols w:equalWidth="0" w:num="1">
            <w:col w:w="11400"/>
          </w:cols>
          <w:pgMar w:left="240" w:top="270" w:right="259" w:bottom="1440" w:gutter="0" w:footer="0" w:header="0"/>
        </w:sectPr>
      </w:pPr>
    </w:p>
    <w:bookmarkStart w:id="273" w:name="page274"/>
    <w:bookmarkEnd w:id="273"/>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Continued Business</w:t>
      </w:r>
      <w:r>
        <w:rPr>
          <w:rFonts w:ascii="Times New Roman" w:cs="Times New Roman" w:eastAsia="Times New Roman" w:hAnsi="Times New Roman"/>
          <w:sz w:val="18"/>
          <w:szCs w:val="18"/>
          <w:color w:val="auto"/>
        </w:rPr>
        <w:t>. There exists no actual, pending, or, to each Credit Party’s and each of their Subsidiaries’ knowledge, any threatened termination, cancellation or limitation of, or any modification or change in the business relationship of any Credit Party or any Subsidiary thereof and any customer or supplier, or any group of customers or suppliers, whose purchases or supplies, individually or in the aggregate, are material to the business of any Credit Party or any Subsidiary, and there exists no present condition or state of facts or circumstances that would prevent a Credit Party or a Subsidiary from conducting such business or the transactions contemplated by this Agreement in substantially the same manner in which it was previously conducted.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Employee Benefits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52" w:lineRule="auto"/>
        <w:tabs>
          <w:tab w:leader="none" w:pos="70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Employee Benefit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hereto identifies each Plan as of the Closing Date. No ERISA Event has occurred or is expected to occur with respect to a Plan. Full payment has been made of all amounts that the Company and each ERISA Affiliate is required, under applicable Law or under the governing documents, to have paid as a contribution to or a benefit under each Plan. The liability of the Company and each ERISA Affiliate with respect to each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any Plan. With respect to each Plan that is intended to be qualified under Code Section 401(a), (a) the Plan and any associated trust operationally comply with the applicable requirements of Code Section 401(a); (b) the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Plan and any associated trust have received a favorable determination letter or opinion letter from the IRS stating that the Plan qualifies under Code Section 401(a), that the associated trust qualifies under Code Section 501(a) and, if applicable, that any cash or deferred arrangement under the Plan qualifies under Code Section 401(k), unless the Plan was first adopted at a time for which the above-described “remedial amendment period” has not yet expired; (d) the Plan currently satisfies the requirements of Code Section 410(b), subject to any retroactive amendment that may be made within the above-described “remedial amendment period”; and</w:t>
      </w:r>
    </w:p>
    <w:p>
      <w:pPr>
        <w:spacing w:after="0" w:line="2" w:lineRule="exact"/>
        <w:rPr>
          <w:rFonts w:ascii="Times New Roman" w:cs="Times New Roman" w:eastAsia="Times New Roman" w:hAnsi="Times New Roman"/>
          <w:sz w:val="18"/>
          <w:szCs w:val="18"/>
          <w:color w:val="auto"/>
        </w:rPr>
      </w:pPr>
    </w:p>
    <w:p>
      <w:pPr>
        <w:ind w:right="100" w:firstLine="8"/>
        <w:spacing w:after="0" w:line="250" w:lineRule="auto"/>
        <w:tabs>
          <w:tab w:leader="none" w:pos="24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contribution made to the Plan is subject to an excise tax under Code Section 4972. With respect to any Pension Plan, the “accumulated benefit obligation” of the Company or any ERISA Affiliate with respect to the Pension Plan (as determined in accordance with Statement of Accounting Standards No. 87, “Employers’ Accounting for Pensions”) does not exceed the fair market value of Pension Plan assets. Neither the Company nor any ERISA Affiliate has engaged in a transaction that could be subject to Section 4069 or Section 4212(c) of ERISA. Except as could not reasonably be expected to result in a Material Adverse Effect, (i) each Plan is in compliance with applicable provisions of ERISA, the Code, and other applicable Laws, (ii) there are no pending or, to the best knowledge of the Company, threatened claims, actions or lawsuits, or action by any Governmental Authority, with respect to any Plan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prohibited transaction or violation of the fiduciary responsibility rules with respect to any Plan.</w:t>
      </w:r>
    </w:p>
    <w:p>
      <w:pPr>
        <w:spacing w:after="0" w:line="206" w:lineRule="exact"/>
        <w:rPr>
          <w:rFonts w:ascii="Times New Roman" w:cs="Times New Roman" w:eastAsia="Times New Roman" w:hAnsi="Times New Roman"/>
          <w:sz w:val="18"/>
          <w:szCs w:val="18"/>
          <w:color w:val="auto"/>
        </w:rPr>
      </w:pPr>
    </w:p>
    <w:p>
      <w:pPr>
        <w:ind w:firstLine="464"/>
        <w:spacing w:after="0" w:line="256" w:lineRule="auto"/>
        <w:tabs>
          <w:tab w:leader="none" w:pos="71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Pension Plan and Benefit Plans</w:t>
      </w:r>
      <w:r>
        <w:rPr>
          <w:rFonts w:ascii="Times New Roman" w:cs="Times New Roman" w:eastAsia="Times New Roman" w:hAnsi="Times New Roman"/>
          <w:sz w:val="18"/>
          <w:szCs w:val="18"/>
          <w:color w:val="auto"/>
        </w:rPr>
        <w:t xml:space="preserve">. As of the Closing Date,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hereto lists all Foreign Benefit Plans and Foreign Pension Plans currently maintained or contributed to by a Credit Party, any Subsidiary thereof or any Foreign Subsidiaries. The Foreign Pension Plans are duly registered under all applicable Laws which require registration and are approved for tax purposes by the relevant tax authorities in the jurisdiction in which such Foreign Pension Plans are registered. Each Credit Party, Subsidiary thereof and any appropriate Foreign Subsidiaries have complied with and performed all of its obligations under and in respect of the Foreign Pension Plans and Foreign Benefit Plans under the terms thereof, any funding agreements and all applicable laws (including any fiduciary, funding,</w:t>
      </w:r>
    </w:p>
    <w:p>
      <w:pPr>
        <w:sectPr>
          <w:pgSz w:w="11900" w:h="16838" w:orient="portrait"/>
          <w:cols w:equalWidth="0" w:num="1">
            <w:col w:w="11400"/>
          </w:cols>
          <w:pgMar w:left="240" w:top="270" w:right="259" w:bottom="1440" w:gutter="0" w:footer="0" w:header="0"/>
        </w:sectPr>
      </w:pPr>
    </w:p>
    <w:bookmarkStart w:id="274" w:name="page275"/>
    <w:bookmarkEnd w:id="27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and administration obligations) except to the extent as, either individually or in the aggregate,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either individually or in the aggregate,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18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Consents or Approvals</w:t>
      </w:r>
      <w:r>
        <w:rPr>
          <w:rFonts w:ascii="Times New Roman" w:cs="Times New Roman" w:eastAsia="Times New Roman" w:hAnsi="Times New Roman"/>
          <w:sz w:val="18"/>
          <w:szCs w:val="18"/>
          <w:color w:val="auto"/>
        </w:rPr>
        <w:t>. No consent, approval or authorization of, or filing, registration or qualification with, any Governmental Authority or any other Person is required to be obtained or completed by any Credit Party in connection with the execution, delivery or performance of any of the Loan Documents, that has not already been obtained or completed.</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Company has received consideration that is the reasonable equivalent value of the obligations and liabilities that the Company has incurred to the Administrative Agent and the Lenders. The Dutch Borrower has received consideration that is the reasonable equivalent value of the obligations and liabilities that the Dutch Borrower has incurred to the Administrative Agent and the Lenders. Each Credit Party is, individually and collectively with its Subsidiaries on a consolidated basis, Solvent.</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 The Audited Financial Statements, the Company Interim Financial Statements and the Target Interim Financial Statements, furnished to the Administrative Agent and the Lenders, are true and complete, have been prepared in accordance with GAAP, and fairly present the financial condition of the Company and its Subsidiaries and the Target and its Subsidiaries, as applicable, as of the dates of such financial statements and the results of their operations for the periods then ending. Since the dates of such Company Interim Financial Statements, there has been no material adverse change in the Company’s or any of its Subsidiary’s financial condition, properties or business or any change in any Company’s or any of its Subsidiary’s accounting procedures. Since the dates of such Target Interim Financial Statements, there has been no material adverse change in the Target’s or any of its Subsidiary’s financial condition, properties or business or any change in the Target’s or any of its Subsidiary’s accounting procedures. Since December 31, 2013, there has been no event or circumstance either individually or in the aggregate that has had or would reasonably be expected to have a Material Adverse Effect.</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Regulations; Use of Proceeds</w:t>
      </w:r>
      <w:r>
        <w:rPr>
          <w:rFonts w:ascii="Times New Roman" w:cs="Times New Roman" w:eastAsia="Times New Roman" w:hAnsi="Times New Roman"/>
          <w:sz w:val="18"/>
          <w:szCs w:val="18"/>
          <w:color w:val="auto"/>
        </w:rPr>
        <w:t xml:space="preserve">. No Credit Party or Subsidiary thereof is engaged principally or as one of its important activities, in the business of extending credit for the purpose of purchasing or carrying any “margin stock” (within the meaning of Regulation U of the Board of Governors of the Federal Reserve System of the United States). Neither the granting of the Loan (or any conversion thereof) nor the use of the proceeds of the Loan will violate, or be inconsistent with, the provisions of Regulation T, U or X or any other Regulation of such Board of Governors. At no time would more than 25% of the value of the assets of the Borrowers or of the Borrowers and their consolidated Subsidiaries that are subject to any “arrangement” (as such term is used in Section 221.2(g) of such Regulation U) hereunder be represented by Margin Stock. The proceeds of all Loans and LC issuances shall be utilized (a) to finance the ongoing working capital requirements of the Borrowers, and (b) the general corporate purposes of the Borrowers. No such proceeds shall be used to finance all or any portion of the Target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 to $5,000,000 of such proceeds may be used to finance original issue discount on the Term Loans on the Closing Date so long as such use would not constitute unlawful financial assistance under any applicable Law.</w:t>
      </w:r>
    </w:p>
    <w:p>
      <w:pPr>
        <w:sectPr>
          <w:pgSz w:w="11900" w:h="16838" w:orient="portrait"/>
          <w:cols w:equalWidth="0" w:num="1">
            <w:col w:w="11420"/>
          </w:cols>
          <w:pgMar w:left="240" w:top="270" w:right="239" w:bottom="1440" w:gutter="0" w:footer="0" w:header="0"/>
        </w:sectPr>
      </w:pPr>
    </w:p>
    <w:bookmarkStart w:id="275" w:name="page276"/>
    <w:bookmarkEnd w:id="275"/>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hereto, as of the Closing Date, no Credit Party or Subsidiary thereof is a party to any (a) debt instrument (excluding the Loan Documents, the Term Loan Credit Agreement and the other Term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Credit Party or a Subsidiary thereof; (e) management or employment contract or contract for personal services with any of its Affiliates that is not otherwise terminable at will or on less than ninety (90) days’ notice without liability;</w:t>
      </w:r>
    </w:p>
    <w:p>
      <w:pPr>
        <w:ind w:right="60" w:firstLine="8"/>
        <w:spacing w:after="0" w:line="255" w:lineRule="auto"/>
        <w:tabs>
          <w:tab w:leader="none" w:pos="22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bargaining agreement; or (g) other contract, agreement, understanding, or arrangement with a third party; that, as to subsections (a) through (g), above, if violated, breached, or terminated for any reason, either individually or in the aggregate, would have or would be reasonably expected to have a Material Adverse Effect.</w:t>
      </w:r>
    </w:p>
    <w:p>
      <w:pPr>
        <w:spacing w:after="0" w:line="18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Each Credit Party and each Subsidiary thereof owns, or has the right to use, all of the material patents, patent applications, industrial designs, designs, trademarks, service marks, copyrights and licenses, and rights with respect to the foregoing, necessary for the conduct of its business without any known conflict with the rights of others.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hereto sets forth all patents, trademarks, copyrights, service marks and license agreements owned by each Credit Party.</w:t>
      </w:r>
    </w:p>
    <w:p>
      <w:pPr>
        <w:spacing w:after="0" w:line="180"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Each Credit Party and each Subsidiary thereof maintains with financially sound and reputable insurers (or is self-insured) insurance with coverage and limits as required by Law and as is customary with Persons engaged in the same businesses as the Credit Parties and their Subsidiaries.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hereto sets forth all insurance carried by the Credit Parties and their Subsidiaries on the Closing Date, setting forth in detail the amount and type of such insurance.</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Casualty, Etc</w:t>
      </w:r>
      <w:r>
        <w:rPr>
          <w:rFonts w:ascii="Times New Roman" w:cs="Times New Roman" w:eastAsia="Times New Roman" w:hAnsi="Times New Roman"/>
          <w:sz w:val="18"/>
          <w:szCs w:val="18"/>
          <w:color w:val="auto"/>
        </w:rPr>
        <w:t>. Neither the businesses nor the properties of any Credit Party or any Subsidiary thereof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There are no collective bargaining agreements or Multiemployer Plans covering the employees of the Company or any of its Subsidiaries as of the Closing Date and neither the Company nor any Subsidiary has suffered any strikes, walkouts, work stoppages or other material labor difficulty within the last five years.</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Anti-Terrorism Law Compliance and Anti-Money Laundering Law Compliance</w:t>
      </w:r>
      <w:r>
        <w:rPr>
          <w:rFonts w:ascii="Times New Roman" w:cs="Times New Roman" w:eastAsia="Times New Roman" w:hAnsi="Times New Roman"/>
          <w:sz w:val="18"/>
          <w:szCs w:val="18"/>
          <w:color w:val="auto"/>
        </w:rPr>
        <w:t>. Each Credit Party and each Subsidiary of each Credit Party is and will remain in compliance in all material respects with all U.S. economic sanctions laws, Executive Orders and implementing regulations as promulgated by the U.S. Treasury Department’s Office of Foreign Assets Control, and all applicable anti-money laundering and counter-terrorism financing provisions of the Bank Secrecy Act and all regulations issued pursuant to it. No Credit Party and no Subsidiary or Affiliate of a Credit Party (a) is a Person designated by the U.S. government on the list of the Specially Designated Nationals and Blocked Persons (the “</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with which a U.S. Person cannot deal with or otherwise engage in business transactions, (b) is a Person who is otherwise the target of U.S. economic sanctions laws such that a U.S. Person cannot deal or otherwise engage in business transactions with such Person or (c) is controlled by (including without limitation by virtue of such person being a director or owning voting shares or interests), or acts, directly or indirectly, for or on behalf of, any person or entity on the SDN List or a foreign government that is the target of U.S. economic sanctions prohibitions such that the entry into, or performance under, this Agreement or any other Loan Document would be prohibited under U.S. law.</w:t>
      </w:r>
    </w:p>
    <w:p>
      <w:pPr>
        <w:sectPr>
          <w:pgSz w:w="11900" w:h="16838" w:orient="portrait"/>
          <w:cols w:equalWidth="0" w:num="1">
            <w:col w:w="11380"/>
          </w:cols>
          <w:pgMar w:left="240" w:top="270" w:right="279" w:bottom="1440" w:gutter="0" w:footer="0" w:header="0"/>
        </w:sectPr>
      </w:pPr>
    </w:p>
    <w:bookmarkStart w:id="276" w:name="page277"/>
    <w:bookmarkEnd w:id="27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Credit Parties, each of their Subsidiaries and each of their Affiliates are in compliance with (x) the Trading with the Enemy Act, and each of the foreign assets control regulations of the United States Treasury Department (31 CFR, Subtitle B Chapter V, as amended) and any other enabling legislation or executive order relating thereto, (y) the Patriot Act and (z) other federal or state laws relating to “know your customer” and anti-money laundering rules and regulations. No part of the proceeds of any Loan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Deposit Accounts;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hereto lists all banks and other financial institutions at which any Credit Party maintains deposit, securities or other accounts as of the Closing Date, and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Accurate and Complete Statements</w:t>
      </w:r>
      <w:r>
        <w:rPr>
          <w:rFonts w:ascii="Times New Roman" w:cs="Times New Roman" w:eastAsia="Times New Roman" w:hAnsi="Times New Roman"/>
          <w:sz w:val="18"/>
          <w:szCs w:val="18"/>
          <w:color w:val="auto"/>
        </w:rPr>
        <w:t>. No report, financial statement, certificate or other information furnished by or on behalf of any Credit Party or any Subsidiary to the Administrative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provided that (a) no representation is made with respect to general economic or industry information and (b) with respect to projected and pro forma financial information, the Company represents only that such information was prepared in good faith based upon assumptions reasonably believed by the Company to be reasonable at the time of preparation; it being understood that such projections may vary from actual results and that such variances may be material.</w:t>
      </w:r>
    </w:p>
    <w:p>
      <w:pPr>
        <w:spacing w:after="0" w:line="18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Term Loan Indebtedness</w:t>
      </w:r>
      <w:r>
        <w:rPr>
          <w:rFonts w:ascii="Times New Roman" w:cs="Times New Roman" w:eastAsia="Times New Roman" w:hAnsi="Times New Roman"/>
          <w:sz w:val="18"/>
          <w:szCs w:val="18"/>
          <w:color w:val="auto"/>
        </w:rPr>
        <w:t>. No “default” or “event of default” (as each term is defined in the Term Loan Credit Agreement or any other Term Loan Document) exists or event with which the passage of time or the giving of notice, or both, would cause such a “default” or “event of default” to exist thereunder, nor will exist immediately after the granting of the Loan under this Agreement.</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No Credit Party or Subsidiary thereof is an “investment company” or a company “controlled” by an “investment company” within the meaning of the Investment Company Act of 1940, as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No Default exists hereunder, nor will any begin to exist immediately after the execution and delivery hereof.</w:t>
      </w:r>
    </w:p>
    <w:p>
      <w:pPr>
        <w:spacing w:after="0" w:line="223" w:lineRule="exact"/>
        <w:rPr>
          <w:sz w:val="20"/>
          <w:szCs w:val="20"/>
          <w:color w:val="auto"/>
        </w:rPr>
      </w:pPr>
    </w:p>
    <w:p>
      <w:pPr>
        <w:jc w:val="both"/>
        <w:ind w:right="380" w:firstLine="456"/>
        <w:spacing w:after="0" w:line="267"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Senior Debt Status</w:t>
      </w:r>
      <w:r>
        <w:rPr>
          <w:rFonts w:ascii="Times New Roman" w:cs="Times New Roman" w:eastAsia="Times New Roman" w:hAnsi="Times New Roman"/>
          <w:sz w:val="18"/>
          <w:szCs w:val="18"/>
          <w:color w:val="auto"/>
        </w:rPr>
        <w:t xml:space="preserve">. The Obligations (a)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material senior Indebtedness of the Company and its Subsidiaries and (b) are designated as “Senior Indebtedness”, “Designated Senior Debt” or such similar term under all instruments and documents relating to all Subordinated Indebtedness and all senior unsecured Indebtedness of such Person.</w:t>
      </w:r>
    </w:p>
    <w:p>
      <w:pPr>
        <w:spacing w:after="0" w:line="176" w:lineRule="exact"/>
        <w:rPr>
          <w:sz w:val="20"/>
          <w:szCs w:val="20"/>
          <w:color w:val="auto"/>
        </w:rPr>
      </w:pPr>
    </w:p>
    <w:p>
      <w:pPr>
        <w:ind w:right="480" w:firstLine="456"/>
        <w:spacing w:after="0" w:line="313" w:lineRule="auto"/>
        <w:rPr>
          <w:sz w:val="20"/>
          <w:szCs w:val="20"/>
          <w:color w:val="auto"/>
        </w:rPr>
      </w:pPr>
      <w:r>
        <w:rPr>
          <w:rFonts w:ascii="Times New Roman" w:cs="Times New Roman" w:eastAsia="Times New Roman" w:hAnsi="Times New Roman"/>
          <w:sz w:val="17"/>
          <w:szCs w:val="17"/>
          <w:color w:val="auto"/>
        </w:rPr>
        <w:t xml:space="preserve">Section 5.28 </w:t>
      </w:r>
      <w:r>
        <w:rPr>
          <w:rFonts w:ascii="Times New Roman" w:cs="Times New Roman" w:eastAsia="Times New Roman" w:hAnsi="Times New Roman"/>
          <w:sz w:val="17"/>
          <w:szCs w:val="17"/>
          <w:u w:val="single" w:color="auto"/>
          <w:color w:val="auto"/>
        </w:rPr>
        <w:t>Centre of Main Interests and Establishment</w:t>
      </w:r>
      <w:r>
        <w:rPr>
          <w:rFonts w:ascii="Times New Roman" w:cs="Times New Roman" w:eastAsia="Times New Roman" w:hAnsi="Times New Roman"/>
          <w:sz w:val="17"/>
          <w:szCs w:val="17"/>
          <w:color w:val="auto"/>
        </w:rPr>
        <w:t>. For the purposes of The Council of the European Union Regulation No. 1346/2000 on Insolvency Proceedings (the “</w:t>
      </w:r>
      <w:r>
        <w:rPr>
          <w:rFonts w:ascii="Times New Roman" w:cs="Times New Roman" w:eastAsia="Times New Roman" w:hAnsi="Times New Roman"/>
          <w:sz w:val="17"/>
          <w:szCs w:val="17"/>
          <w:u w:val="single" w:color="auto"/>
          <w:color w:val="auto"/>
        </w:rPr>
        <w:t>Regulation</w:t>
      </w:r>
      <w:r>
        <w:rPr>
          <w:rFonts w:ascii="Times New Roman" w:cs="Times New Roman" w:eastAsia="Times New Roman" w:hAnsi="Times New Roman"/>
          <w:sz w:val="17"/>
          <w:szCs w:val="17"/>
          <w:color w:val="auto"/>
        </w:rPr>
        <w:t>”), each Applicable Dutch Credit Party’s and each of their Subsidiary’s Centre of main interest (as that term is</w:t>
      </w:r>
    </w:p>
    <w:p>
      <w:pPr>
        <w:sectPr>
          <w:pgSz w:w="11900" w:h="16838" w:orient="portrait"/>
          <w:cols w:equalWidth="0" w:num="1">
            <w:col w:w="11360"/>
          </w:cols>
          <w:pgMar w:left="240" w:top="270" w:right="299" w:bottom="1440" w:gutter="0" w:footer="0" w:header="0"/>
        </w:sectPr>
      </w:pPr>
    </w:p>
    <w:bookmarkStart w:id="277" w:name="page278"/>
    <w:bookmarkEnd w:id="277"/>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used in Article 3(l) of the Regulation) is situated in its jurisdiction of organization and it has no “establishment” (as that term is used in Article 2(h) of the Regulation) in any other jurisdiction. No Applicable Dutch Credit Party or any of its Subsidiaries has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(as that term is used in Dutch fiscal legislation) in a jurisdiction other than its jurisdiction of organization.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Each of the Borrowers hereby covenants and agrees that on the Closing Date and thereafter so long as this Agreement is in effect and until such time as the Revolving Commitments have been terminated, no Notes remain outstanding and the Loans, together with interest, Fees and all other Obligations incurred hereunder and under the other Loan Documents, have been paid in full, as follows: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Borrowers will furnish to the Administrative Agent and each Lender:</w:t>
      </w:r>
    </w:p>
    <w:p>
      <w:pPr>
        <w:spacing w:after="0" w:line="225" w:lineRule="exact"/>
        <w:rPr>
          <w:sz w:val="20"/>
          <w:szCs w:val="20"/>
          <w:color w:val="auto"/>
        </w:rPr>
      </w:pPr>
    </w:p>
    <w:p>
      <w:pPr>
        <w:ind w:firstLine="464"/>
        <w:spacing w:after="0" w:line="261" w:lineRule="auto"/>
        <w:tabs>
          <w:tab w:leader="none" w:pos="70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ninety-five (95) days after the end of each fiscal year of the Company, an annual audit report of the Company and its Subsidiaries for that year prepared on a consolidated basis, in accordance with GAAP, and certified by an unqualified opinion of an independent public accountant satisfactory to the Administrative Agent, which report shall include balance sheets and statements of income (loss), stockholders’ equity and cash-flow for that period.</w:t>
      </w:r>
    </w:p>
    <w:p>
      <w:pPr>
        <w:spacing w:after="0" w:line="180" w:lineRule="exact"/>
        <w:rPr>
          <w:rFonts w:ascii="Times New Roman" w:cs="Times New Roman" w:eastAsia="Times New Roman" w:hAnsi="Times New Roman"/>
          <w:sz w:val="18"/>
          <w:szCs w:val="18"/>
          <w:color w:val="auto"/>
        </w:rPr>
      </w:pPr>
    </w:p>
    <w:p>
      <w:pPr>
        <w:ind w:right="20" w:firstLine="464"/>
        <w:spacing w:after="0" w:line="255" w:lineRule="auto"/>
        <w:tabs>
          <w:tab w:leader="none" w:pos="71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and in any event within 50 days after the close of each of the first three quarterly accounting periods in each fiscal year of the Company, the unaudited consolidated and consolidating balance sheets of the Company and its consolidated Subsidiaries as at the end of such quarterly period and the related unaudited consolidated and consolidating statements of income and of cash flows for such quarterly period and/or for the fiscal year to date, and setting forth, in the case of such unaudited consolidated and consolidating statements of income and of cash flows, comparative figures for the related periods in the prior fiscal year, and which shall be certified on behalf of the Company by the Chief Financial Officer of the Company, subject to changes resulting from normal year-end audit adjustments. Notwithstanding the foregoing, Borrowers shall be required to deliver consolidating balance sheets and consolidating statements of income and cash flows under this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only with respect to Persons who are Credit Parties.</w:t>
      </w:r>
    </w:p>
    <w:p>
      <w:pPr>
        <w:spacing w:after="0" w:line="185" w:lineRule="exact"/>
        <w:rPr>
          <w:rFonts w:ascii="Times New Roman" w:cs="Times New Roman" w:eastAsia="Times New Roman" w:hAnsi="Times New Roman"/>
          <w:sz w:val="18"/>
          <w:szCs w:val="18"/>
          <w:color w:val="auto"/>
        </w:rPr>
      </w:pPr>
    </w:p>
    <w:p>
      <w:pPr>
        <w:ind w:right="80" w:firstLine="464"/>
        <w:spacing w:after="0" w:line="256" w:lineRule="auto"/>
        <w:tabs>
          <w:tab w:leader="none" w:pos="70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As soon as available and in any event within 30 days after the end of each fiscal month of the Company, the unaudited consolidated and consolidating balance sheets of the Company and its consolidated Subsidiaries as at the end of such month and the related unaudited consolidated and consolidating statements of income and of cash flows for such monthly period and/or for the fiscal year to date, and setting forth, in the case of such unaudited consolidated and consolidating statements of income and of cash flows, comparative figures for the related periods in the prior fiscal year, and which shall be certified on behalf of the Company by the Chief Financial Officer of the Company (or another Financial Officer acceptable to the Administrative Agent), subject to changes resulting from normal year-end audit adjustments.</w:t>
      </w:r>
    </w:p>
    <w:p>
      <w:pPr>
        <w:spacing w:after="0" w:line="187" w:lineRule="exact"/>
        <w:rPr>
          <w:rFonts w:ascii="Times New Roman" w:cs="Times New Roman" w:eastAsia="Times New Roman" w:hAnsi="Times New Roman"/>
          <w:sz w:val="18"/>
          <w:szCs w:val="18"/>
          <w:color w:val="auto"/>
        </w:rPr>
      </w:pPr>
    </w:p>
    <w:p>
      <w:pPr>
        <w:jc w:val="both"/>
        <w:ind w:firstLine="464"/>
        <w:spacing w:after="0" w:line="261" w:lineRule="auto"/>
        <w:tabs>
          <w:tab w:leader="none" w:pos="71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Compliance Certificates</w:t>
      </w:r>
      <w:r>
        <w:rPr>
          <w:rFonts w:ascii="Times New Roman" w:cs="Times New Roman" w:eastAsia="Times New Roman" w:hAnsi="Times New Roman"/>
          <w:sz w:val="18"/>
          <w:szCs w:val="18"/>
          <w:color w:val="auto"/>
        </w:rPr>
        <w:t>. At the time of the delivery of the financial statements provided for in subparts (a) and (b) above, (i) a certificate (a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signed by a Financial Officer to the effect that (A) no Default or Event of Default exists or, if any Default or Event of Default does exist, specifying the nature and extent thereof and the actions the Credit Parties have taken or proposes to take with respect thereto, and (B) the representations and warranties of the Credit Parties are true and correct in all material respects, except to the extent that</w:t>
      </w:r>
    </w:p>
    <w:p>
      <w:pPr>
        <w:sectPr>
          <w:pgSz w:w="11900" w:h="16838" w:orient="portrait"/>
          <w:cols w:equalWidth="0" w:num="1">
            <w:col w:w="11400"/>
          </w:cols>
          <w:pgMar w:left="240" w:top="270" w:right="259" w:bottom="1440" w:gutter="0" w:footer="0" w:header="0"/>
        </w:sectPr>
      </w:pPr>
    </w:p>
    <w:bookmarkStart w:id="278" w:name="page279"/>
    <w:bookmarkEnd w:id="278"/>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relate to an earlier specified date, in which case, such representations shall be true and correct in all material respects as of the date made, which certificate shall set forth the calculations required to establish compliance with the provisions of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and (ii) a copy of the MD&amp;A prepared with respect to such financial statements and filed with the SEC by the Company.</w:t>
      </w:r>
    </w:p>
    <w:p>
      <w:pPr>
        <w:spacing w:after="0" w:line="176" w:lineRule="exact"/>
        <w:rPr>
          <w:sz w:val="20"/>
          <w:szCs w:val="20"/>
          <w:color w:val="auto"/>
        </w:rPr>
      </w:pPr>
    </w:p>
    <w:p>
      <w:pPr>
        <w:ind w:firstLine="464"/>
        <w:spacing w:after="0" w:line="253" w:lineRule="auto"/>
        <w:tabs>
          <w:tab w:leader="none" w:pos="70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As soon as available but in any event within 20 days of the end of each calendar month, a Borrowing Base Certificate and supporting information in connection therewith, together with any additional reports with respect to the Aggregate Borrowing Base, the Dutch Borrowing Base and the U.S. Borrowing Base as the Administrative Agent or the Foreign Collateral Agent, as applicable, may reasonably request. If a Weekly Reporting Period is in effect, Borrowing Base Certificates shall be delivered on a weekly basis. In that case, such weekly Borrowing Base Certificate for the period then ended shall be delivered, together with the supporting information in connection therewith and any additional reports with respect to the Aggregate Borrowing Base, the Dutch Borrowing Base and the U.S. Borrowing Base as the Administrative Agent or the Foreign Collateral Agent, as applicable, may reasonably request, as soon as available but in any event within 2 Business Days of the end of each week. Each Borrower acknowledges and agrees that all Borrowing Base Certificates shall be delivered under this Agreement via an Approved Electronic Communication System. Notwithstanding the foregoing, upon execution of the Dutch Security Documents, together with the Borrowing Base Certificate, the Borrowers shall deliver a copy of the most recent supplemental undisclosed pledge of receivables that has been submitted to the Dutch tax authorities for registration, in accordance with the Dutch Security Documents, and a notification of receipt by the Dutch tax authorities of such supplemental undisclosed pledge of receivables.</w:t>
      </w:r>
    </w:p>
    <w:p>
      <w:pPr>
        <w:spacing w:after="0" w:line="192" w:lineRule="exact"/>
        <w:rPr>
          <w:rFonts w:ascii="Times New Roman" w:cs="Times New Roman" w:eastAsia="Times New Roman" w:hAnsi="Times New Roman"/>
          <w:sz w:val="18"/>
          <w:szCs w:val="18"/>
          <w:color w:val="auto"/>
        </w:rPr>
      </w:pPr>
    </w:p>
    <w:p>
      <w:pPr>
        <w:ind w:firstLine="464"/>
        <w:spacing w:after="0" w:line="282" w:lineRule="auto"/>
        <w:tabs>
          <w:tab w:leader="none" w:pos="68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and Inventory Reports and Aging</w:t>
      </w:r>
      <w:r>
        <w:rPr>
          <w:rFonts w:ascii="Times New Roman" w:cs="Times New Roman" w:eastAsia="Times New Roman" w:hAnsi="Times New Roman"/>
          <w:sz w:val="18"/>
          <w:szCs w:val="18"/>
          <w:color w:val="auto"/>
        </w:rPr>
        <w:t>. As soon as available but in any event within 20 days of the end of each calendar month, as of the period then ended, all delivered electronically in a text formatted file acceptable to the Administrative Agent or the Foreign Collateral Agent, as applicable: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1" w:lineRule="auto"/>
        <w:tabs>
          <w:tab w:leader="none" w:pos="111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aging of each Borrower’s Accounts (1) including a listing of all invoices aged by invoice date and due date (with an explanation of the terms offered) and (2) reconciled to the Borrowing Base Certificate delivered as of such date prepared in a manner reasonably acceptable to the Administrative Agent and, if applicable, the Foreign Collateral Agent, together with a summary specifying the name and balance due for each Account Debtor;</w:t>
      </w:r>
    </w:p>
    <w:p>
      <w:pPr>
        <w:spacing w:after="0" w:line="71" w:lineRule="exact"/>
        <w:rPr>
          <w:rFonts w:ascii="Times New Roman" w:cs="Times New Roman" w:eastAsia="Times New Roman" w:hAnsi="Times New Roman"/>
          <w:sz w:val="18"/>
          <w:szCs w:val="18"/>
          <w:color w:val="auto"/>
        </w:rPr>
      </w:pPr>
    </w:p>
    <w:p>
      <w:pPr>
        <w:ind w:left="460" w:right="20" w:firstLine="443"/>
        <w:spacing w:after="0" w:line="256" w:lineRule="auto"/>
        <w:tabs>
          <w:tab w:leader="none" w:pos="116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each Borrower’s Inventory, in form reasonably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or, if applicable, the Foreign Collateral Agent has previously indicated to the Borrowers is deemed by the Administrative Agent or the Foreign Collateral Agent to be appropriate, and (2) reconciled to the Borrowing Base Certificate of the applicable Borrower delivered as of such date;</w:t>
      </w:r>
    </w:p>
    <w:p>
      <w:pPr>
        <w:spacing w:after="0" w:line="79" w:lineRule="exact"/>
        <w:rPr>
          <w:rFonts w:ascii="Times New Roman" w:cs="Times New Roman" w:eastAsia="Times New Roman" w:hAnsi="Times New Roman"/>
          <w:sz w:val="18"/>
          <w:szCs w:val="18"/>
          <w:color w:val="auto"/>
        </w:rPr>
      </w:pPr>
    </w:p>
    <w:p>
      <w:pPr>
        <w:ind w:left="460" w:right="160" w:firstLine="443"/>
        <w:spacing w:after="0" w:line="282" w:lineRule="auto"/>
        <w:tabs>
          <w:tab w:leader="none" w:pos="121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worksheet of calculations prepared by the Borrowers to determine Eligible Account and Eligible Inventory, such worksheets detailing the Accounts and Inventory excluded from Eligible Accounts and Eligible Inventory and the reason for such exclusion;</w:t>
      </w:r>
    </w:p>
    <w:p>
      <w:pPr>
        <w:spacing w:after="0" w:line="53" w:lineRule="exact"/>
        <w:rPr>
          <w:rFonts w:ascii="Times New Roman" w:cs="Times New Roman" w:eastAsia="Times New Roman" w:hAnsi="Times New Roman"/>
          <w:sz w:val="18"/>
          <w:szCs w:val="18"/>
          <w:color w:val="auto"/>
        </w:rPr>
      </w:pPr>
    </w:p>
    <w:p>
      <w:pPr>
        <w:ind w:left="460" w:right="240" w:firstLine="443"/>
        <w:spacing w:after="0" w:line="289" w:lineRule="auto"/>
        <w:tabs>
          <w:tab w:leader="none" w:pos="1203"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reconciliation of the applicable Borrower’s Accounts and Inventory between (A) the amounts shown in the general ledger of each Credit Party and financial statements and the reports delivered pursuant to clauses (i) and (ii) above, and (B) the amounts and dates shown in the reports delivered pursuant to clauses (i) and (ii) above with the Borrowing Base Certificate delivered pursuant to </w:t>
      </w:r>
      <w:r>
        <w:rPr>
          <w:rFonts w:ascii="Times New Roman" w:cs="Times New Roman" w:eastAsia="Times New Roman" w:hAnsi="Times New Roman"/>
          <w:sz w:val="17"/>
          <w:szCs w:val="17"/>
          <w:u w:val="single" w:color="auto"/>
          <w:color w:val="auto"/>
        </w:rPr>
        <w:t>Section 6.01(e)</w:t>
      </w:r>
      <w:r>
        <w:rPr>
          <w:rFonts w:ascii="Times New Roman" w:cs="Times New Roman" w:eastAsia="Times New Roman" w:hAnsi="Times New Roman"/>
          <w:sz w:val="17"/>
          <w:szCs w:val="17"/>
          <w:color w:val="auto"/>
        </w:rPr>
        <w:t xml:space="preserve"> above as of such date; and</w:t>
      </w:r>
    </w:p>
    <w:p>
      <w:pPr>
        <w:spacing w:after="0" w:line="50" w:lineRule="exact"/>
        <w:rPr>
          <w:rFonts w:ascii="Times New Roman" w:cs="Times New Roman" w:eastAsia="Times New Roman" w:hAnsi="Times New Roman"/>
          <w:sz w:val="17"/>
          <w:szCs w:val="17"/>
          <w:color w:val="auto"/>
        </w:rPr>
      </w:pPr>
    </w:p>
    <w:p>
      <w:pPr>
        <w:ind w:left="1160" w:hanging="257"/>
        <w:spacing w:after="0"/>
        <w:tabs>
          <w:tab w:leader="none" w:pos="116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loan balance per each Borrower’s general ledger to the loan balance under this Agreement.</w:t>
      </w:r>
    </w:p>
    <w:p>
      <w:pPr>
        <w:sectPr>
          <w:pgSz w:w="11900" w:h="16838" w:orient="portrait"/>
          <w:cols w:equalWidth="0" w:num="1">
            <w:col w:w="11400"/>
          </w:cols>
          <w:pgMar w:left="240" w:top="270" w:right="259" w:bottom="1440" w:gutter="0" w:footer="0" w:header="0"/>
        </w:sectPr>
      </w:pPr>
    </w:p>
    <w:bookmarkStart w:id="279" w:name="page280"/>
    <w:bookmarkEnd w:id="279"/>
    <w:p>
      <w:pPr>
        <w:ind w:left="-464" w:right="80" w:firstLine="464"/>
        <w:spacing w:after="0" w:line="256" w:lineRule="auto"/>
        <w:tabs>
          <w:tab w:leader="none" w:pos="24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Budgets and Forecasts</w:t>
      </w:r>
      <w:r>
        <w:rPr>
          <w:rFonts w:ascii="Times New Roman" w:cs="Times New Roman" w:eastAsia="Times New Roman" w:hAnsi="Times New Roman"/>
          <w:sz w:val="18"/>
          <w:szCs w:val="18"/>
          <w:color w:val="auto"/>
        </w:rPr>
        <w:t>. Within forty-five 45 days after the end of each fiscal year of the Company and its Subsidiaries, commencing with the fiscal year ending 2014, a consolidated budget in reasonable detail for (i) each of the four fiscal quarters of such fiscal year and (ii) each of the twelve calendar months of such fiscal year, and (if and to the extent prepared by management of the Company or any other Credit Party) for any subsequent fiscal years, as customarily prepared by management for its internal use, setting forth, with appropriate discussion, the forecasted balance sheet, income statement, operating cash flows, capital expenditures and calculation of financial covenants (</w:t>
      </w:r>
      <w:r>
        <w:rPr>
          <w:rFonts w:ascii="Times New Roman" w:cs="Times New Roman" w:eastAsia="Times New Roman" w:hAnsi="Times New Roman"/>
          <w:sz w:val="18"/>
          <w:szCs w:val="18"/>
          <w:u w:val="single" w:color="auto"/>
          <w:color w:val="auto"/>
        </w:rPr>
        <w:t>including, without limitation, Section 7.07</w:t>
      </w:r>
      <w:r>
        <w:rPr>
          <w:rFonts w:ascii="Times New Roman" w:cs="Times New Roman" w:eastAsia="Times New Roman" w:hAnsi="Times New Roman"/>
          <w:sz w:val="18"/>
          <w:szCs w:val="18"/>
          <w:color w:val="auto"/>
        </w:rPr>
        <w:t>) of the Company and its Subsidiaries for the period covered thereby, and the principal assumptions upon which forecasts and budget are based.</w:t>
      </w:r>
    </w:p>
    <w:p>
      <w:pPr>
        <w:spacing w:after="0" w:line="187"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and each Lender, in form and detail satisfactory to the Administrative Agent:</w:t>
      </w:r>
    </w:p>
    <w:p>
      <w:pPr>
        <w:spacing w:after="0" w:line="117" w:lineRule="exact"/>
        <w:rPr>
          <w:rFonts w:ascii="Times New Roman" w:cs="Times New Roman" w:eastAsia="Times New Roman" w:hAnsi="Times New Roman"/>
          <w:sz w:val="18"/>
          <w:szCs w:val="18"/>
          <w:color w:val="auto"/>
        </w:rPr>
      </w:pPr>
    </w:p>
    <w:p>
      <w:pPr>
        <w:jc w:val="both"/>
        <w:ind w:left="-4" w:right="20" w:firstLine="443"/>
        <w:spacing w:after="0" w:line="256" w:lineRule="auto"/>
        <w:tabs>
          <w:tab w:leader="none" w:pos="649"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all notices, reports, definitive proxy or other statements and other documents (other than any routine ministerial statements or reports) sent by the Company to its shareholders, to the holders of any of its debentures or bonds or the trustee of any indenture securing the same or pursuant to which they are issued, or sent by the Company (in final form) to any securities exchange or over the counter authority or system, or to the SEC or any similar federal agency having regulatory jurisdiction over the issuance of the Company’s securities, including, without limitation, a transcript and summary (in form and substance satisfactory to the Administrative Agent) of any earnings calls or similar calls with respect to the Company;</w:t>
      </w:r>
    </w:p>
    <w:p>
      <w:pPr>
        <w:spacing w:after="0" w:line="79" w:lineRule="exact"/>
        <w:rPr>
          <w:rFonts w:ascii="Times New Roman" w:cs="Times New Roman" w:eastAsia="Times New Roman" w:hAnsi="Times New Roman"/>
          <w:sz w:val="18"/>
          <w:szCs w:val="18"/>
          <w:color w:val="auto"/>
        </w:rPr>
      </w:pPr>
    </w:p>
    <w:p>
      <w:pPr>
        <w:ind w:left="-4" w:right="140" w:firstLine="443"/>
        <w:spacing w:after="0" w:line="266" w:lineRule="auto"/>
        <w:tabs>
          <w:tab w:leader="none" w:pos="699"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statement or report (other than any routine ministerial statements or reports) furnished to any holder of debt securities, including, without limitation, the Term Loan Facility, of any Credit Party or of any of its Subsidiaries pursuant to the terms of any indenture, loan or credit or similar agreement and not otherwise required to be furnished to the Lenders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jc w:val="both"/>
        <w:ind w:left="-4" w:right="300" w:firstLine="443"/>
        <w:spacing w:after="0" w:line="266" w:lineRule="auto"/>
        <w:tabs>
          <w:tab w:leader="none" w:pos="749"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30 days after the end of each fiscal year of the Company, a report summarizing the insurance coverage (specifying type, amount and carrier) in effect for each Credit Party and its Subsidiaries and containing such additional information as the Administrative Agent, or any Lender through the Administrative Agent, may reasonably specify;</w:t>
      </w:r>
    </w:p>
    <w:p>
      <w:pPr>
        <w:spacing w:after="0" w:line="68" w:lineRule="exact"/>
        <w:rPr>
          <w:rFonts w:ascii="Times New Roman" w:cs="Times New Roman" w:eastAsia="Times New Roman" w:hAnsi="Times New Roman"/>
          <w:sz w:val="18"/>
          <w:szCs w:val="18"/>
          <w:color w:val="auto"/>
        </w:rPr>
      </w:pPr>
    </w:p>
    <w:p>
      <w:pPr>
        <w:ind w:left="-4" w:right="140" w:firstLine="443"/>
        <w:spacing w:after="0" w:line="261" w:lineRule="auto"/>
        <w:tabs>
          <w:tab w:leader="none" w:pos="739"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any Credit Party or any Subsidiary thereof, copies of each notice or other correspondence received from the SEC (or comparable agency in any applicable non-U.S. jurisdiction) concerning any investigation or possible investigation or other material inquiry by such agency regarding financial or other operational results of any Credit Party or any Subsidiary thereof;</w:t>
      </w:r>
    </w:p>
    <w:p>
      <w:pPr>
        <w:spacing w:after="0" w:line="71" w:lineRule="exact"/>
        <w:rPr>
          <w:rFonts w:ascii="Times New Roman" w:cs="Times New Roman" w:eastAsia="Times New Roman" w:hAnsi="Times New Roman"/>
          <w:sz w:val="18"/>
          <w:szCs w:val="18"/>
          <w:color w:val="auto"/>
        </w:rPr>
      </w:pPr>
    </w:p>
    <w:p>
      <w:pPr>
        <w:ind w:left="-4" w:firstLine="443"/>
        <w:spacing w:after="0" w:line="258" w:lineRule="auto"/>
        <w:tabs>
          <w:tab w:leader="none" w:pos="689"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after receipt thereof by any Credit Party or any Subsidiary thereof, copies of all material notices, requests and other documents (including amendments, waivers and other modifications) so received under or pursuant to any Target Acquisition Documentation, any Term Loan Document or any Material Indebtedness Agreement and, from time to time upon request by the Administrative Agent, such information and reports regarding the Target Acquisition Documentation, any Term Loan Document and any Material Indebtedness Agreement as the Administrative Agent may reasonably request;</w:t>
      </w:r>
    </w:p>
    <w:p>
      <w:pPr>
        <w:sectPr>
          <w:pgSz w:w="11900" w:h="16838" w:orient="portrait"/>
          <w:cols w:equalWidth="0" w:num="1">
            <w:col w:w="10956"/>
          </w:cols>
          <w:pgMar w:left="704" w:top="270" w:right="239" w:bottom="1440" w:gutter="0" w:footer="0" w:header="0"/>
        </w:sectPr>
      </w:pPr>
    </w:p>
    <w:bookmarkStart w:id="280" w:name="page281"/>
    <w:bookmarkEnd w:id="280"/>
    <w:p>
      <w:pPr>
        <w:ind w:left="-443" w:right="40" w:firstLine="443"/>
        <w:spacing w:after="0" w:line="261" w:lineRule="auto"/>
        <w:tabs>
          <w:tab w:leader="none" w:pos="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the assertion or occurrence thereof, notice of any action or proceeding against or of any noncompliance by any Credit Party or any of its Subsidiaries with any Environmental Law or Environmental Permit that would (A) either individually or in the aggregate reasonably be expected to have a Material Adverse Effect or (B) cause any property described in the Mortgages to be subject to any restrictions on ownership, occupancy, use or transferability under any Environmental Law (other than Permitted Liens);</w:t>
      </w:r>
    </w:p>
    <w:p>
      <w:pPr>
        <w:spacing w:after="0" w:line="71" w:lineRule="exact"/>
        <w:rPr>
          <w:rFonts w:ascii="Times New Roman" w:cs="Times New Roman" w:eastAsia="Times New Roman" w:hAnsi="Times New Roman"/>
          <w:sz w:val="18"/>
          <w:szCs w:val="18"/>
          <w:color w:val="auto"/>
        </w:rPr>
      </w:pPr>
    </w:p>
    <w:p>
      <w:pPr>
        <w:ind w:left="-443" w:firstLine="443"/>
        <w:spacing w:after="0" w:line="255" w:lineRule="auto"/>
        <w:tabs>
          <w:tab w:leader="none" w:pos="35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but in any event within 30 days after the end of each fiscal year of the Company, (A) a report supplementing </w:t>
      </w:r>
      <w:r>
        <w:rPr>
          <w:rFonts w:ascii="Times New Roman" w:cs="Times New Roman" w:eastAsia="Times New Roman" w:hAnsi="Times New Roman"/>
          <w:sz w:val="18"/>
          <w:szCs w:val="18"/>
          <w:u w:val="single" w:color="auto"/>
          <w:color w:val="auto"/>
        </w:rPr>
        <w:t>Schedules 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5.09</w:t>
      </w:r>
      <w:r>
        <w:rPr>
          <w:rFonts w:ascii="Times New Roman" w:cs="Times New Roman" w:eastAsia="Times New Roman" w:hAnsi="Times New Roman"/>
          <w:sz w:val="18"/>
          <w:szCs w:val="18"/>
          <w:color w:val="auto"/>
        </w:rPr>
        <w:t xml:space="preserve">, including an identification of all owned and leased real property disposed of by any Credit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(B) a report supplementing </w:t>
      </w:r>
      <w:r>
        <w:rPr>
          <w:rFonts w:ascii="Times New Roman" w:cs="Times New Roman" w:eastAsia="Times New Roman" w:hAnsi="Times New Roman"/>
          <w:sz w:val="18"/>
          <w:szCs w:val="18"/>
          <w:u w:val="single" w:color="auto"/>
          <w:color w:val="auto"/>
        </w:rPr>
        <w:t>Schedules 5.01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containing a description of all changes in the information included in such Schedules as may be necessary for such Schedules to be accurate and complete, each such report to be signed by an Authorized Officer of the Company and to be in a form reasonably satisfactory to the Administrative Agent;</w:t>
      </w:r>
    </w:p>
    <w:p>
      <w:pPr>
        <w:spacing w:after="0" w:line="77" w:lineRule="exact"/>
        <w:rPr>
          <w:rFonts w:ascii="Times New Roman" w:cs="Times New Roman" w:eastAsia="Times New Roman" w:hAnsi="Times New Roman"/>
          <w:sz w:val="18"/>
          <w:szCs w:val="18"/>
          <w:color w:val="auto"/>
        </w:rPr>
      </w:pPr>
    </w:p>
    <w:p>
      <w:pPr>
        <w:ind w:left="-443" w:right="120" w:firstLine="443"/>
        <w:spacing w:after="0" w:line="258" w:lineRule="auto"/>
        <w:tabs>
          <w:tab w:leader="none" w:pos="4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any Credit Party or any Subsidiary thereof obtains knowledge that any Credit Party or any Subsidiary thereof or any Person which owns, directly or indirectly, any Equity Interest of any Credit Party or any Subsidiary thereof, or any other holder at any time of any direct or indirect equitable, legal or beneficial interest therein is in violation or breach of any of </w:t>
      </w:r>
      <w:r>
        <w:rPr>
          <w:rFonts w:ascii="Times New Roman" w:cs="Times New Roman" w:eastAsia="Times New Roman" w:hAnsi="Times New Roman"/>
          <w:sz w:val="18"/>
          <w:szCs w:val="18"/>
          <w:u w:val="single" w:color="auto"/>
          <w:color w:val="auto"/>
        </w:rPr>
        <w:t>Sections 6.08(b)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such Credit Party or Subsidiary will deliver reasonably prompt notice to the Administrative Agent and the Lenders of such violation. Upon the request of any Lender, such Credit Party or Subsidiary, as applicable, will provide any information such Lender believes is reasonably necessary to be delivered to comply with the Act;</w:t>
      </w:r>
    </w:p>
    <w:p>
      <w:pPr>
        <w:spacing w:after="0" w:line="75" w:lineRule="exact"/>
        <w:rPr>
          <w:rFonts w:ascii="Times New Roman" w:cs="Times New Roman" w:eastAsia="Times New Roman" w:hAnsi="Times New Roman"/>
          <w:sz w:val="18"/>
          <w:szCs w:val="18"/>
          <w:color w:val="auto"/>
        </w:rPr>
      </w:pPr>
    </w:p>
    <w:p>
      <w:pPr>
        <w:ind w:left="-443" w:right="220" w:firstLine="443"/>
        <w:spacing w:after="0" w:line="313" w:lineRule="auto"/>
        <w:tabs>
          <w:tab w:leader="none" w:pos="30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delivery thereof to the Term Loan Agent or the Term Loan Lenders, any other notices or information provided to the Term Loan Agent or the Term Loan Lenders under the Term Loan Documents not otherwise provided to the Administrative Agent or the Lenders;</w:t>
      </w:r>
    </w:p>
    <w:p>
      <w:pPr>
        <w:spacing w:after="0" w:line="30" w:lineRule="exact"/>
        <w:rPr>
          <w:rFonts w:ascii="Times New Roman" w:cs="Times New Roman" w:eastAsia="Times New Roman" w:hAnsi="Times New Roman"/>
          <w:sz w:val="17"/>
          <w:szCs w:val="17"/>
          <w:color w:val="auto"/>
        </w:rPr>
      </w:pPr>
    </w:p>
    <w:p>
      <w:pPr>
        <w:ind w:left="-443" w:right="180" w:firstLine="443"/>
        <w:spacing w:after="0" w:line="261" w:lineRule="auto"/>
        <w:tabs>
          <w:tab w:leader="none" w:pos="25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days of the written request of the Administrative Agent or any Lender, such other information about the financial condition, properties and operations of the Company or any of its Subsidiaries as may from time to time be reasonably requested, which information shall be submitted in form and detail satisfactory to the Administrative Agent and the Lenders and certified by an Authorized Officer of the Company or such Subsidiary, as case may be, in question; and</w:t>
      </w:r>
    </w:p>
    <w:p>
      <w:pPr>
        <w:spacing w:after="0" w:line="71" w:lineRule="exact"/>
        <w:rPr>
          <w:rFonts w:ascii="Times New Roman" w:cs="Times New Roman" w:eastAsia="Times New Roman" w:hAnsi="Times New Roman"/>
          <w:sz w:val="18"/>
          <w:szCs w:val="18"/>
          <w:color w:val="auto"/>
        </w:rPr>
      </w:pPr>
    </w:p>
    <w:p>
      <w:pPr>
        <w:ind w:left="-443" w:right="60" w:firstLine="443"/>
        <w:spacing w:after="0" w:line="261" w:lineRule="auto"/>
        <w:tabs>
          <w:tab w:leader="none" w:pos="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making of (1) an Investment pursuant to </w:t>
      </w:r>
      <w:r>
        <w:rPr>
          <w:rFonts w:ascii="Times New Roman" w:cs="Times New Roman" w:eastAsia="Times New Roman" w:hAnsi="Times New Roman"/>
          <w:sz w:val="18"/>
          <w:szCs w:val="18"/>
          <w:u w:val="single" w:color="auto"/>
          <w:color w:val="auto"/>
        </w:rPr>
        <w:t>Section 7.03(xiii)</w:t>
      </w:r>
      <w:r>
        <w:rPr>
          <w:rFonts w:ascii="Times New Roman" w:cs="Times New Roman" w:eastAsia="Times New Roman" w:hAnsi="Times New Roman"/>
          <w:sz w:val="18"/>
          <w:szCs w:val="18"/>
          <w:color w:val="auto"/>
        </w:rPr>
        <w:t xml:space="preserve"> or a Restricted Payment pursuant to </w:t>
      </w:r>
      <w:r>
        <w:rPr>
          <w:rFonts w:ascii="Times New Roman" w:cs="Times New Roman" w:eastAsia="Times New Roman" w:hAnsi="Times New Roman"/>
          <w:sz w:val="18"/>
          <w:szCs w:val="18"/>
          <w:u w:val="single" w:color="auto"/>
          <w:color w:val="auto"/>
        </w:rPr>
        <w:t>Sections 7.06(d)</w:t>
      </w:r>
      <w:r>
        <w:rPr>
          <w:rFonts w:ascii="Times New Roman" w:cs="Times New Roman" w:eastAsia="Times New Roman" w:hAnsi="Times New Roman"/>
          <w:sz w:val="18"/>
          <w:szCs w:val="18"/>
          <w:color w:val="auto"/>
        </w:rPr>
        <w:t>, as the case may be, a certificate executed by a Financial Officer of the Company in form and substance reasonably satisfactory to the Administrative Agent demonstrating after giving pro form effect to any such Investment or Restricted Payment that the (A) Availability on each of the 30 consecutive days preceding the proposed date of such Investment or Restricted Payment and on the date of such Investment or</w:t>
      </w:r>
    </w:p>
    <w:p>
      <w:pPr>
        <w:sectPr>
          <w:pgSz w:w="11900" w:h="16838" w:orient="portrait"/>
          <w:cols w:equalWidth="0" w:num="1">
            <w:col w:w="10497"/>
          </w:cols>
          <w:pgMar w:left="1143" w:top="270" w:right="259" w:bottom="1440" w:gutter="0" w:footer="0" w:header="0"/>
        </w:sectPr>
      </w:pPr>
    </w:p>
    <w:bookmarkStart w:id="281" w:name="page282"/>
    <w:bookmarkEnd w:id="281"/>
    <w:p>
      <w:pPr>
        <w:ind w:left="460"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Payment, exceeds the Covenant Threshold (Other) or Covenant Threshold (RP), as applicable, and (B) if Availability is less than the Minimum FCCR Amount (Other) or the Minimum FCCR Amount (RP), as applicable, the Fixed Charge Coverage Ratio is greater than 1.05 to 1.0, and</w:t>
      </w:r>
    </w:p>
    <w:p>
      <w:pPr>
        <w:spacing w:after="0" w:line="1" w:lineRule="exact"/>
        <w:rPr>
          <w:sz w:val="20"/>
          <w:szCs w:val="20"/>
          <w:color w:val="auto"/>
        </w:rPr>
      </w:pPr>
    </w:p>
    <w:p>
      <w:pPr>
        <w:jc w:val="both"/>
        <w:ind w:left="460" w:right="200" w:firstLine="4"/>
        <w:spacing w:after="0" w:line="254" w:lineRule="auto"/>
        <w:tabs>
          <w:tab w:leader="none" w:pos="71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Restricted Payment pursuant to </w:t>
      </w:r>
      <w:r>
        <w:rPr>
          <w:rFonts w:ascii="Times New Roman" w:cs="Times New Roman" w:eastAsia="Times New Roman" w:hAnsi="Times New Roman"/>
          <w:sz w:val="18"/>
          <w:szCs w:val="18"/>
          <w:u w:val="single" w:color="auto"/>
          <w:color w:val="auto"/>
        </w:rPr>
        <w:t>Sections 7.06(e)</w:t>
      </w:r>
      <w:r>
        <w:rPr>
          <w:rFonts w:ascii="Times New Roman" w:cs="Times New Roman" w:eastAsia="Times New Roman" w:hAnsi="Times New Roman"/>
          <w:sz w:val="18"/>
          <w:szCs w:val="18"/>
          <w:color w:val="auto"/>
        </w:rPr>
        <w:t>, a certificate executed by a Financial Officer of the Company in form and substance reasonably satisfactory to the Administrative Agent demonstrating after giving pro form effect to such Restricted Payment that the Availability on each of the 30 consecutive days preceding the proposed date of such Investment or Restricted Payment and on the date of such Investment or Restricted Payment, exceeds the Aggregate Liquidity Threshold.</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(h)(i)</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telecopier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93" w:lineRule="exact"/>
        <w:rPr>
          <w:sz w:val="20"/>
          <w:szCs w:val="20"/>
          <w:color w:val="auto"/>
        </w:rPr>
      </w:pPr>
    </w:p>
    <w:p>
      <w:pPr>
        <w:ind w:right="280" w:firstLine="464"/>
        <w:spacing w:after="0" w:line="282" w:lineRule="auto"/>
        <w:tabs>
          <w:tab w:leader="none" w:pos="67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and in any event within three Business Days, after an Authorized Officer of the Borrowers or any of their Subsidiaries obtains knowledge thereof, notice of:</w:t>
      </w:r>
    </w:p>
    <w:p>
      <w:pPr>
        <w:spacing w:after="0" w:line="53"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Default or Event of Default may occur hereunder;</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has resulted, or either individually or in the aggregate, would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w:t>
      </w:r>
    </w:p>
    <w:p>
      <w:pPr>
        <w:spacing w:after="0" w:line="117"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financial reporting practices by any Credit Party or any Subsidiary thereof;</w:t>
      </w:r>
    </w:p>
    <w:p>
      <w:pPr>
        <w:spacing w:after="0" w:line="117" w:lineRule="exact"/>
        <w:rPr>
          <w:rFonts w:ascii="Times New Roman" w:cs="Times New Roman" w:eastAsia="Times New Roman" w:hAnsi="Times New Roman"/>
          <w:sz w:val="18"/>
          <w:szCs w:val="18"/>
          <w:color w:val="auto"/>
        </w:rPr>
      </w:pPr>
    </w:p>
    <w:p>
      <w:pPr>
        <w:ind w:left="460" w:right="100" w:firstLine="443"/>
        <w:spacing w:after="0" w:line="266" w:lineRule="auto"/>
        <w:tabs>
          <w:tab w:leader="none" w:pos="1153"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 occurrence of any disposition of property or assets for which the applicable Borrower is required to make a mandatory prepayment pursuant to </w:t>
      </w:r>
      <w:r>
        <w:rPr>
          <w:rFonts w:ascii="Times New Roman" w:cs="Times New Roman" w:eastAsia="Times New Roman" w:hAnsi="Times New Roman"/>
          <w:sz w:val="18"/>
          <w:szCs w:val="18"/>
          <w:u w:val="single" w:color="auto"/>
          <w:color w:val="auto"/>
        </w:rPr>
        <w:t>Section 2.13(b)(ii)</w:t>
      </w:r>
      <w:r>
        <w:rPr>
          <w:rFonts w:ascii="Times New Roman" w:cs="Times New Roman" w:eastAsia="Times New Roman" w:hAnsi="Times New Roman"/>
          <w:sz w:val="18"/>
          <w:szCs w:val="18"/>
          <w:color w:val="auto"/>
        </w:rPr>
        <w:t xml:space="preserve">, and (B) incurrence or issuance of any Indebtedness for which the applicable Borrower is required to make a mandatory prepayment pursuant to </w:t>
      </w:r>
      <w:r>
        <w:rPr>
          <w:rFonts w:ascii="Times New Roman" w:cs="Times New Roman" w:eastAsia="Times New Roman" w:hAnsi="Times New Roman"/>
          <w:sz w:val="18"/>
          <w:szCs w:val="18"/>
          <w:u w:val="single" w:color="auto"/>
          <w:color w:val="auto"/>
        </w:rPr>
        <w:t>Section 2.13(b)(iii)</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203"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 (as each term is defined in the Term Loan Credit Agreement or any other Term Loan Document) or any amendment or waiver of the terms of the Term Loan Credit Agreement or any other Term Loan Document;</w:t>
      </w:r>
    </w:p>
    <w:p>
      <w:pPr>
        <w:spacing w:after="0" w:line="53" w:lineRule="exact"/>
        <w:rPr>
          <w:rFonts w:ascii="Times New Roman" w:cs="Times New Roman" w:eastAsia="Times New Roman" w:hAnsi="Times New Roman"/>
          <w:sz w:val="18"/>
          <w:szCs w:val="18"/>
          <w:color w:val="auto"/>
        </w:rPr>
      </w:pPr>
    </w:p>
    <w:p>
      <w:pPr>
        <w:ind w:left="1260" w:hanging="357"/>
        <w:spacing w:after="0"/>
        <w:tabs>
          <w:tab w:leader="none" w:pos="12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announcement by Moody’s or S&amp;P of any change or possible change in the Moody’s Rating or S&amp;P Rating;</w:t>
      </w:r>
    </w:p>
    <w:p>
      <w:pPr>
        <w:sectPr>
          <w:pgSz w:w="11900" w:h="16838" w:orient="portrait"/>
          <w:cols w:equalWidth="0" w:num="1">
            <w:col w:w="11420"/>
          </w:cols>
          <w:pgMar w:left="240" w:top="270" w:right="239" w:bottom="1440" w:gutter="0" w:footer="0" w:header="0"/>
        </w:sectPr>
      </w:pPr>
    </w:p>
    <w:bookmarkStart w:id="282" w:name="page283"/>
    <w:bookmarkEnd w:id="282"/>
    <w:p>
      <w:pPr>
        <w:ind w:left="836" w:hanging="397"/>
        <w:spacing w:after="0"/>
        <w:tabs>
          <w:tab w:leader="none" w:pos="83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default notices received under or with respect to any leased location or public warehouse where collateral is located; and</w:t>
      </w:r>
    </w:p>
    <w:p>
      <w:pPr>
        <w:spacing w:after="0" w:line="117" w:lineRule="exact"/>
        <w:rPr>
          <w:rFonts w:ascii="Times New Roman" w:cs="Times New Roman" w:eastAsia="Times New Roman" w:hAnsi="Times New Roman"/>
          <w:sz w:val="18"/>
          <w:szCs w:val="18"/>
          <w:color w:val="auto"/>
        </w:rPr>
      </w:pPr>
    </w:p>
    <w:p>
      <w:pPr>
        <w:ind w:left="-4" w:right="160" w:firstLine="443"/>
        <w:spacing w:after="0" w:line="282" w:lineRule="auto"/>
        <w:tabs>
          <w:tab w:leader="none" w:pos="739"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entering into a Hedge Agreement or an amendment thereto, together with copies of all agreements evidencing such Hedge Agreement or amendment.</w:t>
      </w:r>
    </w:p>
    <w:p>
      <w:pPr>
        <w:spacing w:after="0" w:line="161" w:lineRule="exact"/>
        <w:rPr>
          <w:rFonts w:ascii="Times New Roman" w:cs="Times New Roman" w:eastAsia="Times New Roman" w:hAnsi="Times New Roman"/>
          <w:sz w:val="18"/>
          <w:szCs w:val="18"/>
          <w:color w:val="auto"/>
        </w:rPr>
      </w:pPr>
    </w:p>
    <w:p>
      <w:pPr>
        <w:ind w:left="-464" w:right="200" w:firstLine="464"/>
        <w:spacing w:after="0" w:line="261" w:lineRule="auto"/>
        <w:tabs>
          <w:tab w:leader="none" w:pos="20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Promptly after the assertion or occurrence thereof, notice of any action or proceeding against or of any noncompliance by any Credit Party or any of its Subsidiaries with any Environmental Law or Environmental Permit that could (i) reasonably be expected to have a Material Adverse Effect or (ii) cause any property described in the Mortgages to be subject to any restrictions on ownership, occupancy, use or transferability under any Environmental Law.</w:t>
      </w:r>
    </w:p>
    <w:p>
      <w:pPr>
        <w:spacing w:after="0" w:line="180" w:lineRule="exact"/>
        <w:rPr>
          <w:rFonts w:ascii="Times New Roman" w:cs="Times New Roman" w:eastAsia="Times New Roman" w:hAnsi="Times New Roman"/>
          <w:sz w:val="18"/>
          <w:szCs w:val="18"/>
          <w:color w:val="auto"/>
        </w:rPr>
      </w:pPr>
    </w:p>
    <w:p>
      <w:pPr>
        <w:ind w:left="-464" w:right="100" w:firstLine="464"/>
        <w:spacing w:after="0" w:line="258" w:lineRule="auto"/>
        <w:tabs>
          <w:tab w:leader="none" w:pos="24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and Registration Statements</w:t>
      </w:r>
      <w:r>
        <w:rPr>
          <w:rFonts w:ascii="Times New Roman" w:cs="Times New Roman" w:eastAsia="Times New Roman" w:hAnsi="Times New Roman"/>
          <w:sz w:val="18"/>
          <w:szCs w:val="18"/>
          <w:color w:val="auto"/>
        </w:rPr>
        <w:t>. Promptly after transmission thereof or other filing with the SEC, copies of all registration statements (other than the exhibits thereto and any registration statement on Form S-8 or its equivalent) and all annual, quarterly or current reports that any Credit Party or any Subsidiary files with the SEC on Form 10-K, 10-Q or 8-K (or any successor forms). Any such documents that are filed pursuant to and are accessible through the SEC’s EDGAR system will be deemed to have been provided in accordance with this clause (j) so long as the Administrative Agent and each Lender have received notification of the same.</w:t>
      </w:r>
    </w:p>
    <w:p>
      <w:pPr>
        <w:spacing w:after="0" w:line="183" w:lineRule="exact"/>
        <w:rPr>
          <w:rFonts w:ascii="Times New Roman" w:cs="Times New Roman" w:eastAsia="Times New Roman" w:hAnsi="Times New Roman"/>
          <w:sz w:val="18"/>
          <w:szCs w:val="18"/>
          <w:color w:val="auto"/>
        </w:rPr>
      </w:pPr>
    </w:p>
    <w:p>
      <w:pPr>
        <w:ind w:left="-464" w:right="40" w:firstLine="464"/>
        <w:spacing w:after="0" w:line="261" w:lineRule="auto"/>
        <w:tabs>
          <w:tab w:leader="none" w:pos="20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Auditors’ Internal Control Comment Letters, etc</w:t>
      </w:r>
      <w:r>
        <w:rPr>
          <w:rFonts w:ascii="Times New Roman" w:cs="Times New Roman" w:eastAsia="Times New Roman" w:hAnsi="Times New Roman"/>
          <w:sz w:val="18"/>
          <w:szCs w:val="18"/>
          <w:color w:val="auto"/>
        </w:rPr>
        <w:t>. Promptly upon the reasonable request of the Administrative Agent, a copy of each letter or memorandum commenting on internal accounting controls and/or accounting or financial reporting policies followed by the Credit Parties and/or any of their Subsidiaries that is submitted to such Credit Party or Subsidiary, as applicable, by its independent accountants in connection with any annual or interim audit made by them of the books of the Company or any of its respective Subsidiaries.</w:t>
      </w:r>
    </w:p>
    <w:p>
      <w:pPr>
        <w:spacing w:after="0" w:line="180" w:lineRule="exact"/>
        <w:rPr>
          <w:rFonts w:ascii="Times New Roman" w:cs="Times New Roman" w:eastAsia="Times New Roman" w:hAnsi="Times New Roman"/>
          <w:sz w:val="18"/>
          <w:szCs w:val="18"/>
          <w:color w:val="auto"/>
        </w:rPr>
      </w:pPr>
    </w:p>
    <w:p>
      <w:pPr>
        <w:ind w:left="-464" w:right="80" w:firstLine="464"/>
        <w:spacing w:after="0" w:line="254" w:lineRule="auto"/>
        <w:tabs>
          <w:tab w:leader="none" w:pos="29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Relating to Collateral</w:t>
      </w:r>
      <w:r>
        <w:rPr>
          <w:rFonts w:ascii="Times New Roman" w:cs="Times New Roman" w:eastAsia="Times New Roman" w:hAnsi="Times New Roman"/>
          <w:sz w:val="18"/>
          <w:szCs w:val="18"/>
          <w:color w:val="auto"/>
        </w:rPr>
        <w:t>. At the time of the delivery of the annual financial statements provided for in subpart (a) above, a certificate of an Authorized Officer of the Borrowers (i) setting forth any changes to the information required pursuant to the Security Documents or confirming that there has been no change in such information since the date of the most recently delivered or updated Security Documents, (ii) outlining all material insurance coverage maintained as of the date of such report by the Credit Parties and all material insurance coverage planned to be maintained by the Credit Parties in the immediately succeeding fiscal year, and (iii) certifying that no Credit Party has taken any actions (and is not aware of any actions so taken) to terminate any UCC financing statements or other appropriate filings, recordings or registrations, including all refilings, rerecordings and reregistrations, containing a description of the Collateral have been filed of record in each governmental, municipal or other appropriate office in each jurisdiction identified pursuant to clause (i) above to the extent necessary to protect and perfect the security interests and Liens under the Security Documents for a period of not less than 18 months after the date of such certificate (except as noted therein with respect to any continuation statements to be filed within such period).</w:t>
      </w:r>
    </w:p>
    <w:p>
      <w:pPr>
        <w:spacing w:after="0" w:line="189" w:lineRule="exact"/>
        <w:rPr>
          <w:rFonts w:ascii="Times New Roman" w:cs="Times New Roman" w:eastAsia="Times New Roman" w:hAnsi="Times New Roman"/>
          <w:sz w:val="18"/>
          <w:szCs w:val="18"/>
          <w:color w:val="auto"/>
        </w:rPr>
      </w:pPr>
    </w:p>
    <w:p>
      <w:pPr>
        <w:jc w:val="both"/>
        <w:ind w:left="-464" w:firstLine="464"/>
        <w:spacing w:after="0" w:line="266" w:lineRule="auto"/>
        <w:tabs>
          <w:tab w:leader="none" w:pos="24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Promptly after the transmission or receipt thereof, as applicable, copies of all notices received or sent by any Credit Party to or from the holders of any Material Indebtedness (including, without limitation, the Term Loan Obligations) or any trustee with respect thereto (other than any routine or ministerial notices).</w:t>
      </w:r>
    </w:p>
    <w:p>
      <w:pPr>
        <w:spacing w:after="0" w:line="176" w:lineRule="exact"/>
        <w:rPr>
          <w:rFonts w:ascii="Times New Roman" w:cs="Times New Roman" w:eastAsia="Times New Roman" w:hAnsi="Times New Roman"/>
          <w:sz w:val="18"/>
          <w:szCs w:val="18"/>
          <w:color w:val="auto"/>
        </w:rPr>
      </w:pPr>
    </w:p>
    <w:p>
      <w:pPr>
        <w:ind w:left="-464" w:right="180" w:firstLine="464"/>
        <w:spacing w:after="0" w:line="282" w:lineRule="auto"/>
        <w:tabs>
          <w:tab w:leader="none" w:pos="24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Proposed Amendments, etc. to Certain Agreements</w:t>
      </w:r>
      <w:r>
        <w:rPr>
          <w:rFonts w:ascii="Times New Roman" w:cs="Times New Roman" w:eastAsia="Times New Roman" w:hAnsi="Times New Roman"/>
          <w:sz w:val="18"/>
          <w:szCs w:val="18"/>
          <w:color w:val="auto"/>
        </w:rPr>
        <w:t>. No later than five (5) Business Days prior to the effectiveness thereof, copies of substantially final drafts of any proposed amendment,</w:t>
      </w:r>
    </w:p>
    <w:p>
      <w:pPr>
        <w:sectPr>
          <w:pgSz w:w="11900" w:h="16838" w:orient="portrait"/>
          <w:cols w:equalWidth="0" w:num="1">
            <w:col w:w="10916"/>
          </w:cols>
          <w:pgMar w:left="704" w:top="270" w:right="279" w:bottom="1440" w:gutter="0" w:footer="0" w:header="0"/>
        </w:sectPr>
      </w:pPr>
    </w:p>
    <w:bookmarkStart w:id="283" w:name="page284"/>
    <w:bookmarkEnd w:id="28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supplement, waiver or other modification with respect to any Subordinated Debt Document, any Material Indebtedness Agreement, any Term Loan Document or any other agreement or instrument subject to the restrictions contained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64"/>
        <w:spacing w:after="0" w:line="266" w:lineRule="auto"/>
        <w:tabs>
          <w:tab w:leader="none" w:pos="71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Regarding Material Contracts</w:t>
      </w:r>
      <w:r>
        <w:rPr>
          <w:rFonts w:ascii="Times New Roman" w:cs="Times New Roman" w:eastAsia="Times New Roman" w:hAnsi="Times New Roman"/>
          <w:sz w:val="18"/>
          <w:szCs w:val="18"/>
          <w:color w:val="auto"/>
        </w:rPr>
        <w:t>. Promptly, and in any event within ten (10) Business Days (i) after any Material Contract of any Credit Party is terminated or amended in a manner that could reasonably be expected to have a Material Adverse Effect, or (ii) any new Material Contract is entered into, written notice of the same. For the avoidance of doubt, no notice will be required in connection with the expiry of a Material Contract pursuant to its terms.</w:t>
      </w:r>
    </w:p>
    <w:p>
      <w:pPr>
        <w:spacing w:after="0" w:line="176" w:lineRule="exact"/>
        <w:rPr>
          <w:rFonts w:ascii="Times New Roman" w:cs="Times New Roman" w:eastAsia="Times New Roman" w:hAnsi="Times New Roman"/>
          <w:sz w:val="18"/>
          <w:szCs w:val="18"/>
          <w:color w:val="auto"/>
        </w:rPr>
      </w:pPr>
    </w:p>
    <w:p>
      <w:pPr>
        <w:ind w:right="60" w:firstLine="464"/>
        <w:spacing w:after="0" w:line="256" w:lineRule="auto"/>
        <w:tabs>
          <w:tab w:leader="none" w:pos="71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Violation of Anti-Terrorism Laws</w:t>
      </w:r>
      <w:r>
        <w:rPr>
          <w:rFonts w:ascii="Times New Roman" w:cs="Times New Roman" w:eastAsia="Times New Roman" w:hAnsi="Times New Roman"/>
          <w:sz w:val="18"/>
          <w:szCs w:val="18"/>
          <w:color w:val="auto"/>
        </w:rPr>
        <w:t>. Promptly (i) if any Credit Party obtains knowledge that any Credit Party or any Person that owns, directly or indirectly, any Equity Interests of any Credit Party, or any other holder at any time of any direct or indirect equitable, legal or beneficial interest therein is the subject of any of the Anti-Terrorism Laws, such Credit Party will notify the Administrative Agent and (ii) upon the request of the Administrative Agent, the Foreign Collateral Agent or any Lender (through the Administrative Agent), such Credit Party will provide any information the Administrative Agent or such Lender believes is reasonably necessary to be delivered to comply with the USA Patriot Act or comparable law under the laws of jurisdictions other than the United States.</w:t>
      </w:r>
    </w:p>
    <w:p>
      <w:pPr>
        <w:spacing w:after="0" w:line="187" w:lineRule="exact"/>
        <w:rPr>
          <w:rFonts w:ascii="Times New Roman" w:cs="Times New Roman" w:eastAsia="Times New Roman" w:hAnsi="Times New Roman"/>
          <w:sz w:val="18"/>
          <w:szCs w:val="18"/>
          <w:color w:val="auto"/>
        </w:rPr>
      </w:pPr>
    </w:p>
    <w:p>
      <w:pPr>
        <w:ind w:right="180" w:firstLine="464"/>
        <w:spacing w:after="0" w:line="266" w:lineRule="auto"/>
        <w:tabs>
          <w:tab w:leader="none" w:pos="68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Payable</w:t>
      </w:r>
      <w:r>
        <w:rPr>
          <w:rFonts w:ascii="Times New Roman" w:cs="Times New Roman" w:eastAsia="Times New Roman" w:hAnsi="Times New Roman"/>
          <w:sz w:val="18"/>
          <w:szCs w:val="18"/>
          <w:color w:val="auto"/>
        </w:rPr>
        <w:t>. As soon as available but in any event within 5 days of the end of each calendar month and at such other times as may be requested by the Administrative Agent, as of the month then ended, a schedule and aging of each Borrower’s accounts payable, delivered electronically in a text formatted file acceptable to the Administrative Agent;</w:t>
      </w:r>
    </w:p>
    <w:p>
      <w:pPr>
        <w:spacing w:after="0" w:line="176" w:lineRule="exact"/>
        <w:rPr>
          <w:rFonts w:ascii="Times New Roman" w:cs="Times New Roman" w:eastAsia="Times New Roman" w:hAnsi="Times New Roman"/>
          <w:sz w:val="18"/>
          <w:szCs w:val="18"/>
          <w:color w:val="auto"/>
        </w:rPr>
      </w:pPr>
    </w:p>
    <w:p>
      <w:pPr>
        <w:ind w:right="240" w:firstLine="464"/>
        <w:spacing w:after="0" w:line="282" w:lineRule="auto"/>
        <w:tabs>
          <w:tab w:leader="none" w:pos="69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Within 5 days of the first Business Day of each September, a certificate of good standing for each domestic Credit Party from the appropriate governmental officer in its jurisdiction of incorporation, formation, or organization.</w:t>
      </w:r>
    </w:p>
    <w:p>
      <w:pPr>
        <w:spacing w:after="0" w:line="161" w:lineRule="exact"/>
        <w:rPr>
          <w:rFonts w:ascii="Times New Roman" w:cs="Times New Roman" w:eastAsia="Times New Roman" w:hAnsi="Times New Roman"/>
          <w:sz w:val="18"/>
          <w:szCs w:val="18"/>
          <w:color w:val="auto"/>
        </w:rPr>
      </w:pPr>
    </w:p>
    <w:p>
      <w:pPr>
        <w:ind w:right="240" w:firstLine="464"/>
        <w:spacing w:after="0" w:line="282" w:lineRule="auto"/>
        <w:tabs>
          <w:tab w:leader="none" w:pos="67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Accounts</w:t>
      </w:r>
      <w:r>
        <w:rPr>
          <w:rFonts w:ascii="Times New Roman" w:cs="Times New Roman" w:eastAsia="Times New Roman" w:hAnsi="Times New Roman"/>
          <w:sz w:val="18"/>
          <w:szCs w:val="18"/>
          <w:color w:val="auto"/>
        </w:rPr>
        <w:t>. As soon as they are available (and by no later than the date that they are required to be delivered by law), the annual statutory audited accounts for each Dutch Credit Party</w:t>
      </w:r>
    </w:p>
    <w:p>
      <w:pPr>
        <w:spacing w:after="0" w:line="161" w:lineRule="exact"/>
        <w:rPr>
          <w:rFonts w:ascii="Times New Roman" w:cs="Times New Roman" w:eastAsia="Times New Roman" w:hAnsi="Times New Roman"/>
          <w:sz w:val="18"/>
          <w:szCs w:val="18"/>
          <w:color w:val="auto"/>
        </w:rPr>
      </w:pPr>
    </w:p>
    <w:p>
      <w:pPr>
        <w:jc w:val="both"/>
        <w:ind w:right="400" w:firstLine="464"/>
        <w:spacing w:after="0" w:line="266" w:lineRule="auto"/>
        <w:tabs>
          <w:tab w:leader="none" w:pos="71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Promptly upon the reasonable request therefor (and in any event within 10 days of such request), such other information or documents (financial or otherwise) relating to any Credit Party or any Subsidiary as the Administrative Agent or any Lender (through the Administrative Agent) may reasonably request from time to time.</w:t>
      </w:r>
    </w:p>
    <w:p>
      <w:pPr>
        <w:spacing w:after="0" w:line="176" w:lineRule="exact"/>
        <w:rPr>
          <w:sz w:val="20"/>
          <w:szCs w:val="20"/>
          <w:color w:val="auto"/>
        </w:rPr>
      </w:pPr>
    </w:p>
    <w:p>
      <w:pPr>
        <w:ind w:right="20" w:firstLine="456"/>
        <w:spacing w:after="0" w:line="271"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Payment of Taxes and Claims</w:t>
      </w:r>
      <w:r>
        <w:rPr>
          <w:rFonts w:ascii="Times New Roman" w:cs="Times New Roman" w:eastAsia="Times New Roman" w:hAnsi="Times New Roman"/>
          <w:sz w:val="17"/>
          <w:szCs w:val="17"/>
          <w:color w:val="auto"/>
        </w:rPr>
        <w:t>. The Company shall, and shall cause each of its Subsidiaries to pay in full (a) prior in each case to the date when penalties would attach, all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Company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ectPr>
          <w:pgSz w:w="11900" w:h="16838" w:orient="portrait"/>
          <w:cols w:equalWidth="0" w:num="1">
            <w:col w:w="11420"/>
          </w:cols>
          <w:pgMar w:left="240" w:top="270" w:right="239" w:bottom="1440" w:gutter="0" w:footer="0" w:header="0"/>
        </w:sectPr>
      </w:pPr>
    </w:p>
    <w:bookmarkStart w:id="284" w:name="page285"/>
    <w:bookmarkEnd w:id="284"/>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Other than any Inactive Subsidiary or Immaterial Subsidiary, each Credit Party will (a) 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Merger Sub may consummate the Target Acquisition;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 (c) preserve or renew all of its registered patents, trademarks, trade names and service marks, the non-preservation of which, either individually or in the aggregate, would reasonably be expected to have a Material Adverse Effect.</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Company shall, and shall cause each of its Subsidiaries to, except where the failure to do so, either individually or in the aggregate, would not reasonably be expected to have a Material Adverse Effect, (a) maintain, preserve and protect all of its material properties and equipment necessary in the operation of its business in good working order and condition, ordinary wear and tear excepted, (b) make all necessary repairs thereto and renewals and replacements thereof and (c) use the standard of care typical in the industry in the operation and maintenance of its facilities.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53" w:lineRule="auto"/>
        <w:tabs>
          <w:tab w:leader="none" w:pos="70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Security Documents, with provisions for, with respect to Credit Parties, payment of all losses thereunder to the Administrative Agent, the Foreign Collateral Agent and such Credit Parties as their interests may appear and subject to the applicable provisions of the Intercreditor Agreement (with lender’s loss payable, mortgagee, and additional insured endorsements, as appropriate, in favor of the Administrative Agent and Foreign Collateral Agent). Any such policies of insurance shall provide for no fewer than thirty (30) days’ prior written notice of cancellation to the Administrative Agent, the Foreign Collateral Agent and the Lenders. The Administrative Agent is hereby authorized to act as attorney-in-fact for the Credit Parties in (after the occurrence and during the continuation of an Event of Default) obtaining, adjusting, settling and canceling such insurance and indorsing any drafts. Within ten (10) Business Days of the Administrative Agent’s written request, the Company shall furnish to the Administrative Agent such information about the insurance of the Credit Parties and the Subsidiaries thereof (including, without limitation, copies of insurance policies of the Credit Parties and the Subsidiaries) as the Administrative Agent may from time to time reasonably request, which information shall be prepared in form and detail satisfactory to the Administrative Agent and certified by an Authorized Officer.</w:t>
      </w:r>
    </w:p>
    <w:p>
      <w:pPr>
        <w:spacing w:after="0" w:line="190" w:lineRule="exact"/>
        <w:rPr>
          <w:rFonts w:ascii="Times New Roman" w:cs="Times New Roman" w:eastAsia="Times New Roman" w:hAnsi="Times New Roman"/>
          <w:sz w:val="18"/>
          <w:szCs w:val="18"/>
          <w:color w:val="auto"/>
        </w:rPr>
      </w:pPr>
    </w:p>
    <w:p>
      <w:pPr>
        <w:ind w:right="120" w:firstLine="464"/>
        <w:spacing w:after="0" w:line="256" w:lineRule="auto"/>
        <w:tabs>
          <w:tab w:leader="none" w:pos="711"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Company shall, or shall cause each Credit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ectPr>
          <w:pgSz w:w="11900" w:h="16838" w:orient="portrait"/>
          <w:cols w:equalWidth="0" w:num="1">
            <w:col w:w="11400"/>
          </w:cols>
          <w:pgMar w:left="240" w:top="270" w:right="259"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Company shall, and shall cause each of its Subsidiaries to:</w:t>
      </w:r>
    </w:p>
    <w:p>
      <w:pPr>
        <w:spacing w:after="0" w:line="225" w:lineRule="exact"/>
        <w:rPr>
          <w:sz w:val="20"/>
          <w:szCs w:val="20"/>
          <w:color w:val="auto"/>
        </w:rPr>
      </w:pPr>
    </w:p>
    <w:p>
      <w:pPr>
        <w:ind w:right="160" w:firstLine="464"/>
        <w:spacing w:after="0" w:line="261" w:lineRule="auto"/>
        <w:tabs>
          <w:tab w:leader="none" w:pos="70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the requirements of all Laws (including, without limitation,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0" w:lineRule="exact"/>
        <w:rPr>
          <w:rFonts w:ascii="Times New Roman" w:cs="Times New Roman" w:eastAsia="Times New Roman" w:hAnsi="Times New Roman"/>
          <w:sz w:val="18"/>
          <w:szCs w:val="18"/>
          <w:color w:val="auto"/>
        </w:rPr>
      </w:pPr>
    </w:p>
    <w:p>
      <w:pPr>
        <w:ind w:right="640" w:firstLine="464"/>
        <w:spacing w:after="0" w:line="282" w:lineRule="auto"/>
        <w:tabs>
          <w:tab w:leader="none" w:pos="71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compliance with applicable Anti-Corruption Laws and Anti-Terrorism Laws and maintain policies and procedures designed to promote and achieve compliance with such laws.</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Books, Records and Inspections</w:t>
      </w:r>
      <w:r>
        <w:rPr>
          <w:rFonts w:ascii="Times New Roman" w:cs="Times New Roman" w:eastAsia="Times New Roman" w:hAnsi="Times New Roman"/>
          <w:sz w:val="18"/>
          <w:szCs w:val="18"/>
          <w:color w:val="auto"/>
        </w:rPr>
        <w:t>. Each Credit Party will, and will cause each Subsidiary to, (a) maintain proper books of record and account, in which full, true and correct entries in conformity with GAAP consistently applied shall be made of all financial transactions and matters involving the assets and business of the Company or such Subsidiary, as the case may be; and (b) maintain such books of record and account in material conformity with all applicable requirements of any Governmental Authority having regulatory jurisdiction over the Company or such Subsidiary, as the case may be</w:t>
      </w:r>
    </w:p>
    <w:p>
      <w:pPr>
        <w:spacing w:after="0" w:line="3" w:lineRule="exact"/>
        <w:rPr>
          <w:sz w:val="20"/>
          <w:szCs w:val="20"/>
          <w:color w:val="auto"/>
        </w:rPr>
      </w:pPr>
    </w:p>
    <w:p>
      <w:pPr>
        <w:ind w:right="40" w:firstLine="8"/>
        <w:spacing w:after="0" w:line="251" w:lineRule="auto"/>
        <w:tabs>
          <w:tab w:leader="none" w:pos="24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representatives designated by the Administrative Agent or any Lender (including employees of the Administrative Agent, any Lender or any consultants, accountants, lawyers and appraisers retained by the Administrative Agent), upon reasonable prior notice, to visit and inspect its properties, conduct at the Credit Party’s premises, field examinations of the Credit Party’s assets, liabilities, books and records, including examining and making extracts from its books and record (which books and records shall include existing environmental assessment reports and Phase I or Phase II studies), and to discuss its affairs, finances and condition with its officers and independent accountants, all at any time during normal business hours and as often as reasonably requested. After the occurrence and during the continuance of any Event of Default, each Credit Party shall provide the Administrative Agent and each Lender with access to its suppliers. The Credit Parties acknowledge that the Administrative Agent, after exercising its rights of inspection, may prepare and distribute to the Lenders certain reports pertaining to the Credit Parties’ assets for internal use by the Administrative Agent and the Lenders. Notwithstanding anything to the contrary set forth herein, so long as no Event of Default shall have occurred and be continuing, only two (2) field examinations per calendar year shall be at the sole expense of the Borrowers.</w:t>
      </w:r>
    </w:p>
    <w:p>
      <w:pPr>
        <w:spacing w:after="0" w:line="1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Borrowers and each Credit Party shall use the proceeds of the Loans solely to (a) finance the ongoing working capital requirements of the Borrowers and (b) provide funds for other general corporate purposes, in each case, not inconsistent with the terms of this Agreement. In no event shall any such proceeds be used to fund all or any part of the Target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 to $5,000,000 of such proceeds may be used to finance original issue discount on the Term Loans on the Closing Date so long as such use would not constitute unlawful financial assistance under any applicable Law.</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6.09 [Reserved]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61" w:lineRule="auto"/>
        <w:tabs>
          <w:tab w:leader="none" w:pos="70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and Security Documents</w:t>
      </w:r>
      <w:r>
        <w:rPr>
          <w:rFonts w:ascii="Times New Roman" w:cs="Times New Roman" w:eastAsia="Times New Roman" w:hAnsi="Times New Roman"/>
          <w:sz w:val="18"/>
          <w:szCs w:val="18"/>
          <w:color w:val="auto"/>
        </w:rPr>
        <w:t xml:space="preserve">. Each Domestic Subsidiary and, if required by the Administrative Agent and the Foreign Collateral Agent, each Foreign Subsidiary (other than, in any case, any Inactive Subsidiary or an Immaterial Subsidiary) created, acquired or held subsequent to the Closing Date, and each Domestic Subsidiary and, if required by the Administrative Agent and the Foreign Collateral Agent, each Foreign Subsidiary, that at any time ceases to be an Inactive Subsidiary or an Immaterial Subsidiary (including by virtue of clause (j)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shall within</w:t>
      </w:r>
    </w:p>
    <w:p>
      <w:pPr>
        <w:sectPr>
          <w:pgSz w:w="11900" w:h="16838" w:orient="portrait"/>
          <w:cols w:equalWidth="0" w:num="1">
            <w:col w:w="11400"/>
          </w:cols>
          <w:pgMar w:left="240" w:top="270" w:right="259" w:bottom="1440" w:gutter="0" w:footer="0" w:header="0"/>
        </w:sectPr>
      </w:pPr>
    </w:p>
    <w:bookmarkStart w:id="286" w:name="page287"/>
    <w:bookmarkEnd w:id="28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thirty (30) days (or such longer period as the Administrative Agent shall approve in its Permitted Discretion) after such creation, acquisition, holding or cessation execute and deliver to the Administrative Agent, for the benefit of the Lenders, a Guaranty (or guaranty supplement) and the appropriate Security Documents, such agreements to be in form and substance acceptable to the Administrative Agent and, solely with respect to a Foreign Subsidiary, the Foreign Collateral Agent along with any such other supporting documentation, corporate governance and authorization documents, and an opinion of counsel as may be deemed necessary or advisable by the Administrative Agent and, if applicable, the Foreign Collateral Agent.</w:t>
      </w:r>
    </w:p>
    <w:p>
      <w:pPr>
        <w:spacing w:after="0" w:line="184" w:lineRule="exact"/>
        <w:rPr>
          <w:sz w:val="20"/>
          <w:szCs w:val="20"/>
          <w:color w:val="auto"/>
        </w:rPr>
      </w:pPr>
    </w:p>
    <w:p>
      <w:pPr>
        <w:ind w:firstLine="464"/>
        <w:spacing w:after="0" w:line="255" w:lineRule="auto"/>
        <w:tabs>
          <w:tab w:leader="none" w:pos="71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Equity Interest</w:t>
      </w:r>
      <w:r>
        <w:rPr>
          <w:rFonts w:ascii="Times New Roman" w:cs="Times New Roman" w:eastAsia="Times New Roman" w:hAnsi="Times New Roman"/>
          <w:sz w:val="18"/>
          <w:szCs w:val="18"/>
          <w:color w:val="auto"/>
        </w:rPr>
        <w:t xml:space="preserve">. With respect to the creation or acquisition of a Subsidiary, the appropriate Credit Party shall within thirty (30) days (or such longer period as the Administrative Agent shall approve in its Permitted Discretion) after such creation or acquisition execute a Security Agreement (or a Security Joinder Agreement) and, in connection therewith, pledge all of its Equity Interests in such Subsidiary to the Administrative Agent as security for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Foreign Subsidiary shall be required to pledge any of its Equity Interests in any other Foreign Subsidiary, (ii) the Company or any Domestic Subsidiary shall not be required to pledge more than sixty-five percent (65%) of the voting Equity Interests of any first-tier Foreign Subsidiary, and (iii) such pledge shall be legally available and shall not result in materially adverse tax consequences on such Credit Party. If the Term Loan Credit Agreement is terminated, the Company shall deliver to the Administrative Agent the share certificates (or other evidence of equity) evidencing any of the Equity Interests pledged pursuant to this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if such Equity Interests are certificated or so evidenced.</w:t>
      </w:r>
    </w:p>
    <w:p>
      <w:pPr>
        <w:spacing w:after="0" w:line="185" w:lineRule="exact"/>
        <w:rPr>
          <w:rFonts w:ascii="Times New Roman" w:cs="Times New Roman" w:eastAsia="Times New Roman" w:hAnsi="Times New Roman"/>
          <w:sz w:val="18"/>
          <w:szCs w:val="18"/>
          <w:color w:val="auto"/>
        </w:rPr>
      </w:pPr>
    </w:p>
    <w:p>
      <w:pPr>
        <w:ind w:firstLine="464"/>
        <w:spacing w:after="0" w:line="258" w:lineRule="auto"/>
        <w:tabs>
          <w:tab w:leader="none" w:pos="70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or Registration of Interest in Foreign Equity Interests</w:t>
      </w:r>
      <w:r>
        <w:rPr>
          <w:rFonts w:ascii="Times New Roman" w:cs="Times New Roman" w:eastAsia="Times New Roman" w:hAnsi="Times New Roman"/>
          <w:sz w:val="18"/>
          <w:szCs w:val="18"/>
          <w:color w:val="auto"/>
        </w:rPr>
        <w:t>. Subject to the terms of the Intercreditor Agreement, with respect to any foreign Equity Interests pledged to the Administrative Agent by the Company or any Domestic Subsidiary or any Foreign Subsidiary,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83" w:lineRule="exact"/>
        <w:rPr>
          <w:rFonts w:ascii="Times New Roman" w:cs="Times New Roman" w:eastAsia="Times New Roman" w:hAnsi="Times New Roman"/>
          <w:sz w:val="18"/>
          <w:szCs w:val="18"/>
          <w:color w:val="auto"/>
        </w:rPr>
      </w:pPr>
    </w:p>
    <w:p>
      <w:pPr>
        <w:jc w:val="both"/>
        <w:ind w:right="160" w:firstLine="464"/>
        <w:spacing w:after="0" w:line="261" w:lineRule="auto"/>
        <w:tabs>
          <w:tab w:leader="none" w:pos="71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Intercompany Notes</w:t>
      </w:r>
      <w:r>
        <w:rPr>
          <w:rFonts w:ascii="Times New Roman" w:cs="Times New Roman" w:eastAsia="Times New Roman" w:hAnsi="Times New Roman"/>
          <w:sz w:val="18"/>
          <w:szCs w:val="18"/>
          <w:color w:val="auto"/>
        </w:rPr>
        <w:t>. Subject to the terms of the Intercreditor Agreement, with respect to the creation or acquisition by a Credit Party of a Pledged Intercompany Note, the appropriate Credit Party shall pledge to the Administrative Agent or the Foreign Collateral Agent, as applicable, as security for the Obligations, such Pledged Intercompany Note. Such Credit Party shall promptly deliver to the Administrative Agent or the Foreign Collateral Agent, as applicable, such Pledged Intercompany Note and an accompanying allonge.</w:t>
      </w:r>
    </w:p>
    <w:p>
      <w:pPr>
        <w:spacing w:after="0" w:line="180"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Generally</w:t>
      </w:r>
      <w:r>
        <w:rPr>
          <w:rFonts w:ascii="Times New Roman" w:cs="Times New Roman" w:eastAsia="Times New Roman" w:hAnsi="Times New Roman"/>
          <w:sz w:val="18"/>
          <w:szCs w:val="18"/>
          <w:color w:val="auto"/>
        </w:rPr>
        <w:t>. The Company shall, and shall cause each of its Subsidiaries to, subject to the terms of the Intercreditor Agreement:</w:t>
      </w:r>
    </w:p>
    <w:p>
      <w:pPr>
        <w:spacing w:after="0" w:line="117" w:lineRule="exact"/>
        <w:rPr>
          <w:rFonts w:ascii="Times New Roman" w:cs="Times New Roman" w:eastAsia="Times New Roman" w:hAnsi="Times New Roman"/>
          <w:sz w:val="18"/>
          <w:szCs w:val="18"/>
          <w:color w:val="auto"/>
        </w:rPr>
      </w:pPr>
    </w:p>
    <w:p>
      <w:pPr>
        <w:ind w:left="460" w:right="20" w:firstLine="443"/>
        <w:spacing w:after="0" w:line="261" w:lineRule="auto"/>
        <w:tabs>
          <w:tab w:leader="none" w:pos="1113"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to the Administrative Agent, the Foreign Collateral Agent or any Lender upon request (x) additional statements and information with respect to the Collateral, and all writings and information relating to or evidencing any of the Company’s or any Subsidiary’s accounts (including, without limitation, computer printouts or typewritten reports listing the mailing addresses of all present account debtors), and (y) any other writings and information as the Administrative Agent, the Foreign Collateral Agent or such Lender may reasonably request;</w:t>
      </w:r>
    </w:p>
    <w:p>
      <w:pPr>
        <w:spacing w:after="0" w:line="71" w:lineRule="exact"/>
        <w:rPr>
          <w:rFonts w:ascii="Times New Roman" w:cs="Times New Roman" w:eastAsia="Times New Roman" w:hAnsi="Times New Roman"/>
          <w:sz w:val="18"/>
          <w:szCs w:val="18"/>
          <w:color w:val="auto"/>
        </w:rPr>
      </w:pPr>
    </w:p>
    <w:p>
      <w:pPr>
        <w:ind w:left="460" w:right="300" w:firstLine="443"/>
        <w:spacing w:after="0" w:line="313" w:lineRule="auto"/>
        <w:tabs>
          <w:tab w:leader="none" w:pos="1163" w:val="left"/>
        </w:tabs>
        <w:numPr>
          <w:ilvl w:val="1"/>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notify the Administrative Agent or the Foreign Collateral Agent, as applicable, in writing upon the creation of any accounts with respect to which the account debtor is the United States or any other Governmental Authority, or any business that is located in a foreign country;</w:t>
      </w:r>
    </w:p>
    <w:p>
      <w:pPr>
        <w:sectPr>
          <w:pgSz w:w="11900" w:h="16838" w:orient="portrait"/>
          <w:cols w:equalWidth="0" w:num="1">
            <w:col w:w="11420"/>
          </w:cols>
          <w:pgMar w:left="240" w:top="270" w:right="239" w:bottom="1440" w:gutter="0" w:footer="0" w:header="0"/>
        </w:sectPr>
      </w:pPr>
    </w:p>
    <w:bookmarkStart w:id="287" w:name="page288"/>
    <w:bookmarkEnd w:id="287"/>
    <w:p>
      <w:pPr>
        <w:ind w:left="-443" w:firstLine="443"/>
        <w:spacing w:after="0" w:line="261" w:lineRule="auto"/>
        <w:tabs>
          <w:tab w:leader="none" w:pos="31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notify the Administrative Agent or the Foreign Collateral Agent, as applicable, in writing upon the creation by any Credit Party of a deposit account or securities account not listed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hereto and, if such deposit account is owned by the Company or another Credit Party and is not an Excluded Account, promptly provide for the execution of an applicable Control Agreement with respect thereto, if required by the Administrative Agent, the Foreign Collateral Agent or the Required Lenders;</w:t>
      </w:r>
    </w:p>
    <w:p>
      <w:pPr>
        <w:spacing w:after="0" w:line="71" w:lineRule="exact"/>
        <w:rPr>
          <w:rFonts w:ascii="Times New Roman" w:cs="Times New Roman" w:eastAsia="Times New Roman" w:hAnsi="Times New Roman"/>
          <w:sz w:val="18"/>
          <w:szCs w:val="18"/>
          <w:color w:val="auto"/>
        </w:rPr>
      </w:pPr>
    </w:p>
    <w:p>
      <w:pPr>
        <w:ind w:left="-443" w:right="20" w:firstLine="443"/>
        <w:spacing w:after="0" w:line="256" w:lineRule="auto"/>
        <w:tabs>
          <w:tab w:leader="none" w:pos="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the Administrative Agent or the Foreign Collateral Agent, as applicable, in writing whenever a material amount of assets of a Credit Party is located at a location of a third party (other than another Credit Party) that is not listed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and use commercially reasonable efforts to cause to be executed any bailee’s waiver, processor’s waiver, consignee’s waiver or similar document or notice that may be required by the Administrative Agent, the Foreign Collateral Agent or the Required Lenders; provided that to the extent that any such waivers, documents or notices are provided in connection with the Term Loan Facility, a corresponding bailee’s waiver, processor’s waiver, consignee’s waiver or similar document or notice shall be provided to the Administrative Agent or the Foreign Collateral Agent, as applicable;</w:t>
      </w:r>
    </w:p>
    <w:p>
      <w:pPr>
        <w:spacing w:after="0" w:line="79" w:lineRule="exact"/>
        <w:rPr>
          <w:rFonts w:ascii="Times New Roman" w:cs="Times New Roman" w:eastAsia="Times New Roman" w:hAnsi="Times New Roman"/>
          <w:sz w:val="18"/>
          <w:szCs w:val="18"/>
          <w:color w:val="auto"/>
        </w:rPr>
      </w:pPr>
    </w:p>
    <w:p>
      <w:pPr>
        <w:ind w:left="-443" w:right="160" w:firstLine="443"/>
        <w:spacing w:after="0" w:line="266" w:lineRule="auto"/>
        <w:tabs>
          <w:tab w:leader="none" w:pos="25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Administrative Agent, the Foreign Collateral Agent and the Lenders in writing of any information that the Company or any of its Subsidiaries has or may receive with respect to the Collateral that would reasonably be expected to materially and adversely affect the value thereof or the rights of the Administrative Agent, the Foreign Collateral Agent and the Lenders with respect thereto;</w:t>
      </w:r>
    </w:p>
    <w:p>
      <w:pPr>
        <w:spacing w:after="0" w:line="68" w:lineRule="exact"/>
        <w:rPr>
          <w:rFonts w:ascii="Times New Roman" w:cs="Times New Roman" w:eastAsia="Times New Roman" w:hAnsi="Times New Roman"/>
          <w:sz w:val="18"/>
          <w:szCs w:val="18"/>
          <w:color w:val="auto"/>
        </w:rPr>
      </w:pPr>
    </w:p>
    <w:p>
      <w:pPr>
        <w:ind w:left="-443" w:right="80" w:firstLine="443"/>
        <w:spacing w:after="0" w:line="256" w:lineRule="auto"/>
        <w:tabs>
          <w:tab w:leader="none" w:pos="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 to the Administrative Agent or the Foreign Collateral Agent, as applicable, to hold as security for the applicable Obligations, within ten Business Days after the written request of the Administrative Agent, all certificated investment property owned by a Credit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79" w:lineRule="exact"/>
        <w:rPr>
          <w:rFonts w:ascii="Times New Roman" w:cs="Times New Roman" w:eastAsia="Times New Roman" w:hAnsi="Times New Roman"/>
          <w:sz w:val="18"/>
          <w:szCs w:val="18"/>
          <w:color w:val="auto"/>
        </w:rPr>
      </w:pPr>
    </w:p>
    <w:p>
      <w:pPr>
        <w:ind w:left="-443" w:right="160" w:firstLine="443"/>
        <w:spacing w:after="0" w:line="266" w:lineRule="auto"/>
        <w:tabs>
          <w:tab w:leader="none" w:pos="35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to the Administrative Agent a list of any patents, trademarks or copyrights that have been federally registered by the Company or any other Credit Party since the last list so delivered, and provide for the execution of an appropriate collateral assignment of intellectual property or intellectual property security agreement; and</w:t>
      </w:r>
    </w:p>
    <w:p>
      <w:pPr>
        <w:spacing w:after="0" w:line="68" w:lineRule="exact"/>
        <w:rPr>
          <w:rFonts w:ascii="Times New Roman" w:cs="Times New Roman" w:eastAsia="Times New Roman" w:hAnsi="Times New Roman"/>
          <w:sz w:val="18"/>
          <w:szCs w:val="18"/>
          <w:color w:val="auto"/>
        </w:rPr>
      </w:pPr>
    </w:p>
    <w:p>
      <w:pPr>
        <w:ind w:left="-443" w:right="60" w:firstLine="443"/>
        <w:spacing w:after="0" w:line="261" w:lineRule="auto"/>
        <w:tabs>
          <w:tab w:leader="none" w:pos="4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ectPr>
          <w:pgSz w:w="11900" w:h="16838" w:orient="portrait"/>
          <w:cols w:equalWidth="0" w:num="1">
            <w:col w:w="10517"/>
          </w:cols>
          <w:pgMar w:left="1143" w:top="270" w:right="239" w:bottom="1440" w:gutter="0" w:footer="0" w:header="0"/>
        </w:sectPr>
      </w:pPr>
    </w:p>
    <w:bookmarkStart w:id="288" w:name="page289"/>
    <w:bookmarkEnd w:id="288"/>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Borrowers hereby authorize the Administrative Agent or Foreign Collateral Agent to file UCC financing statements (or similar notice filings applicable in foreign jurisdictions) with respect to the Collateral. If certificates of title or applications for title are issued or outstanding with respect to any of the inventory or equipment of any Credit Party, the Company shall (or cause such applicable Credit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Company hereby authorizes the Administrative Agent or its respective designated agent (but without obligation by the Administrative Agent to do so) to incur expenses with respect to the foregoing (whether prior to, upon, or subsequent to any Default), and the Company shall promptly repay, reimburse, and indemnify the Administrative Agent and the Lenders for any and all such expenses.</w:t>
      </w:r>
    </w:p>
    <w:p>
      <w:pPr>
        <w:spacing w:after="0" w:line="185" w:lineRule="exact"/>
        <w:rPr>
          <w:sz w:val="20"/>
          <w:szCs w:val="20"/>
          <w:color w:val="auto"/>
        </w:rPr>
      </w:pPr>
    </w:p>
    <w:p>
      <w:pPr>
        <w:ind w:firstLine="464"/>
        <w:spacing w:after="0" w:line="252" w:lineRule="auto"/>
        <w:tabs>
          <w:tab w:leader="none" w:pos="68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Acquired Subsequent to the Closing Date and Right to Take Additional Collateral</w:t>
      </w:r>
      <w:r>
        <w:rPr>
          <w:rFonts w:ascii="Times New Roman" w:cs="Times New Roman" w:eastAsia="Times New Roman" w:hAnsi="Times New Roman"/>
          <w:sz w:val="18"/>
          <w:szCs w:val="18"/>
          <w:color w:val="auto"/>
        </w:rPr>
        <w:t>. The Borrowers shall provide the Administrative Agent and the Foreign Collateral Agent with prompt written notice with respect to any Material Real Property or material personal property (other than accounts, inventory, equipment and general intangibles and other property acquired in the ordinary course of business) acquired (including, in the case of Material Real Property, leased) by any Credit Party subsequent to the Closing Date. In addition to any other right that the Administrative Agent, the Foreign Collateral Agent and the Lenders may have pursuant to this Agreement or otherwise, upon written request of the Administrative Agent or the Foreign Collateral Agent, whenever made, the Borrowers shall, and shall cause each Credit Party to, grant to the Administrative Agent, for the benefit of the Lenders, as additional security for the Obligations, a perfected Lien (subject to the terms of the Intercreditor Agreement) on any Material Real Property or personal property of each Credit Party (other than for leased equipment or equipment subject to a purchase money security interest in which the lessor or purchase money lender of such equipment holds a first priority security interest, in which case, the Administrative Agent shall have the right to obtain a security interest junior only to such lessor or purchase money lender), including, without limitation, such property acquired subsequent to the Closing Date, in which the Administrative Agent does not have a perfected first priority Lien. The Borrowers agree, (i) in the case of Material Real Property, to provide all Real Estate Requirements with respect to such Material Real Property within 60 days (or such later time as may be specified by the Administrative Agent in its Permitted Discretion), and</w:t>
      </w:r>
    </w:p>
    <w:p>
      <w:pPr>
        <w:spacing w:after="0" w:line="3" w:lineRule="exact"/>
        <w:rPr>
          <w:rFonts w:ascii="Times New Roman" w:cs="Times New Roman" w:eastAsia="Times New Roman" w:hAnsi="Times New Roman"/>
          <w:sz w:val="18"/>
          <w:szCs w:val="18"/>
          <w:color w:val="auto"/>
        </w:rPr>
      </w:pPr>
    </w:p>
    <w:p>
      <w:pPr>
        <w:ind w:right="140" w:firstLine="8"/>
        <w:spacing w:after="0" w:line="254" w:lineRule="auto"/>
        <w:tabs>
          <w:tab w:leader="none" w:pos="26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within ten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require. The Borrowers shall pay all recordation, legal and other expenses in connection therewith.</w:t>
      </w:r>
    </w:p>
    <w:p>
      <w:pPr>
        <w:spacing w:after="0" w:line="18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Immaterial Subsidiaries</w:t>
      </w:r>
      <w:r>
        <w:rPr>
          <w:rFonts w:ascii="Times New Roman" w:cs="Times New Roman" w:eastAsia="Times New Roman" w:hAnsi="Times New Roman"/>
          <w:sz w:val="18"/>
          <w:szCs w:val="18"/>
          <w:color w:val="auto"/>
        </w:rPr>
        <w:t>. In the event that the Immaterial Subsidiaries and Inactive Subsidiaries, when taken as a whole,</w:t>
      </w:r>
    </w:p>
    <w:p>
      <w:pPr>
        <w:spacing w:after="0" w:line="27" w:lineRule="exact"/>
        <w:rPr>
          <w:sz w:val="20"/>
          <w:szCs w:val="20"/>
          <w:color w:val="auto"/>
        </w:rPr>
      </w:pPr>
    </w:p>
    <w:p>
      <w:pPr>
        <w:ind w:right="120" w:firstLine="8"/>
        <w:spacing w:after="0" w:line="252" w:lineRule="auto"/>
        <w:tabs>
          <w:tab w:leader="none" w:pos="21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more than 5% of the Consolidated EBITDA of the Company and its Subsidiaries, taken as a whole, during the most recently-ended four fiscal quarter period (taken as a single period) or (ii) as of any applicable date of determination have assets that in the aggregate constitute more than 5% aggregate net book value of the assets of the Company and its Subsidiaries, taken as a whole, the Company shall promptly designate one or more Immaterial Subsidiaries or Inactive Subsidiaries to be Credit Parties hereunder (at which time such Subsidiaries shall cease to be Immaterial Subsidiaries or Inactive Subsidiaries, as applicable) such that the resulting EBITDA attributable to, and net book value of the assets held by, the remaining Immaterial Subsidiaries and Inactive Subsidiaries, when taken as a whole, shall be less than the required percentages set forth in clauses (i) and (ii) of this clause (j).</w:t>
      </w:r>
    </w:p>
    <w:p>
      <w:pPr>
        <w:spacing w:after="0" w:line="190" w:lineRule="exact"/>
        <w:rPr>
          <w:rFonts w:ascii="Times New Roman" w:cs="Times New Roman" w:eastAsia="Times New Roman" w:hAnsi="Times New Roman"/>
          <w:sz w:val="18"/>
          <w:szCs w:val="18"/>
          <w:color w:val="auto"/>
        </w:rPr>
      </w:pPr>
    </w:p>
    <w:p>
      <w:pPr>
        <w:ind w:right="280" w:firstLine="464"/>
        <w:spacing w:after="0" w:line="282" w:lineRule="auto"/>
        <w:tabs>
          <w:tab w:leader="none" w:pos="711"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Material Real Property</w:t>
      </w:r>
      <w:r>
        <w:rPr>
          <w:rFonts w:ascii="Times New Roman" w:cs="Times New Roman" w:eastAsia="Times New Roman" w:hAnsi="Times New Roman"/>
          <w:sz w:val="18"/>
          <w:szCs w:val="18"/>
          <w:color w:val="auto"/>
        </w:rPr>
        <w:t>. In the event that the aggregate fair market value of (i) the real property owned in fee simple by the Credit Parties that is not subject to a Mortgage and</w:t>
      </w:r>
    </w:p>
    <w:p>
      <w:pPr>
        <w:sectPr>
          <w:pgSz w:w="11900" w:h="16838" w:orient="portrait"/>
          <w:cols w:equalWidth="0" w:num="1">
            <w:col w:w="11420"/>
          </w:cols>
          <w:pgMar w:left="240" w:top="270" w:right="239" w:bottom="1440" w:gutter="0" w:footer="0" w:header="0"/>
        </w:sectPr>
      </w:pPr>
    </w:p>
    <w:bookmarkStart w:id="289" w:name="page290"/>
    <w:bookmarkEnd w:id="289"/>
    <w:p>
      <w:pPr>
        <w:ind w:right="80" w:firstLine="8"/>
        <w:spacing w:after="0" w:line="266" w:lineRule="auto"/>
        <w:tabs>
          <w:tab w:leader="none" w:pos="26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leasehold real property of the Credit Parties that is not subject to a Mortgage exceeds $20,000,000 the Company shall promptly designate one or more of such owned or leased real property locations to be Material Real Property (at which time such real property shall constitute Material Real Property for all purposes hereunder and under the other Loan Documents).</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xml:space="preserve"> Except where non-compliance, either individually or in the aggregate, would not reasonably be expected to have a Material Adverse Effect, the Borrowers and their Subsidiaries shall comply in all respects with any and all applicable Environmental Laws and Environmental Permits including, without limitation, all Environmental Laws in jurisdictions in which such Person owns or operates a facility or site, arranges for disposal or treatment of hazardous substances, solid waste or other wastes, accepts for transport any hazardous substances, solid waste or other wastes or holds any interest in real property or otherwise. The Borrowers and their Subsidiaries shall furnish to the Administrative Agent and the Lenders, promptly after receipt thereof, a copy of any notice the Company or such Subsidiary may receive from any Governmental Authority or private Person, or otherwise, that any material litigation or proceeding pertaining to any environmental, health or safety matter has been filed or is threatened against any Borrower or such Subsidiary, any real property in which the Company or such Subsidiary holds any interest or any past or present operation of the Company or such Subsidiary. Neither the Company nor any of its Subsidiaries shall allow the material release or material disposal of hazardous waste, solid waste or other wastes on, under or to any real property in which the Company or any of its Subsidiaries holds any ownership interest or performs any of its operations, in violation of any Environmental Law. As used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“litigation or proceeding” means any demand, claim, notice, suit, suit in equity action, administrative action, investigation or inquiry whether brought by any Governmental Authority or private Person, or otherwise.</w:t>
      </w:r>
    </w:p>
    <w:p>
      <w:pPr>
        <w:spacing w:after="0" w:line="19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Provide the Administrative Agent and the Lenders with at least 30 days’ prior written notice before any change its legal name, organizational structure or its state, province or other jurisdiction of organization. The Company shall promptly notify the Administrative Agent of (a) any change in any location where a material portion of any Credit Party’s assets are maintained, and any new locations where any material portion of any Credit Party’s assets are to be maintained; (b) any change in the location of the office where any Credit Party’s records pertaining to its accounts are kept; (c) the location of any new places of business and the changing or closing of any of its existing places of business; and (d) any change in the location of any Credit Party’s chief executive office.</w:t>
      </w:r>
    </w:p>
    <w:p>
      <w:pPr>
        <w:spacing w:after="0" w:line="188"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Maintenance of Debt Ratings</w:t>
      </w:r>
      <w:r>
        <w:rPr>
          <w:rFonts w:ascii="Times New Roman" w:cs="Times New Roman" w:eastAsia="Times New Roman" w:hAnsi="Times New Roman"/>
          <w:sz w:val="18"/>
          <w:szCs w:val="18"/>
          <w:color w:val="auto"/>
        </w:rPr>
        <w:t>. The Company shall, and shall cause each of its Subsidiaries to, use commercially reasonable efforts to maintain a Moody’s Rating and an S&amp;P Rating from Moody’s and S&amp;P,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shall, and shall cause each of its Subsidiaries to:</w:t>
      </w:r>
    </w:p>
    <w:p>
      <w:pPr>
        <w:spacing w:after="0" w:line="225" w:lineRule="exact"/>
        <w:rPr>
          <w:sz w:val="20"/>
          <w:szCs w:val="20"/>
          <w:color w:val="auto"/>
        </w:rPr>
      </w:pPr>
    </w:p>
    <w:p>
      <w:pPr>
        <w:ind w:left="700" w:hanging="236"/>
        <w:spacing w:after="0"/>
        <w:tabs>
          <w:tab w:leader="none" w:pos="7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by the Administrative Agent or the Foreign Collateral Agent, as applicable, or the Required Lenders through the</w:t>
      </w:r>
    </w:p>
    <w:p>
      <w:pPr>
        <w:spacing w:after="0" w:line="27" w:lineRule="exact"/>
        <w:rPr>
          <w:rFonts w:ascii="Times New Roman" w:cs="Times New Roman" w:eastAsia="Times New Roman" w:hAnsi="Times New Roman"/>
          <w:sz w:val="18"/>
          <w:szCs w:val="18"/>
          <w:color w:val="auto"/>
        </w:rPr>
      </w:pPr>
    </w:p>
    <w:p>
      <w:pPr>
        <w:ind w:right="2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more effectively the purposes of the Loan Documents.</w:t>
      </w:r>
    </w:p>
    <w:p>
      <w:pPr>
        <w:spacing w:after="0" w:line="185" w:lineRule="exact"/>
        <w:rPr>
          <w:rFonts w:ascii="Times New Roman" w:cs="Times New Roman" w:eastAsia="Times New Roman" w:hAnsi="Times New Roman"/>
          <w:sz w:val="18"/>
          <w:szCs w:val="18"/>
          <w:color w:val="auto"/>
        </w:rPr>
      </w:pPr>
    </w:p>
    <w:p>
      <w:pPr>
        <w:ind w:right="700" w:firstLine="464"/>
        <w:spacing w:after="0" w:line="282" w:lineRule="auto"/>
        <w:tabs>
          <w:tab w:leader="none" w:pos="71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deemed appropriate by the Administrative Agent or the Foreign Collateral Agent, as applicable, the Administrative Agent or the Foreign Collateral Agent, as applicable, is hereby authorized</w:t>
      </w:r>
    </w:p>
    <w:p>
      <w:pPr>
        <w:sectPr>
          <w:pgSz w:w="11900" w:h="16838" w:orient="portrait"/>
          <w:cols w:equalWidth="0" w:num="1">
            <w:col w:w="11420"/>
          </w:cols>
          <w:pgMar w:left="240" w:top="270" w:right="239" w:bottom="1440" w:gutter="0" w:footer="0" w:header="0"/>
        </w:sectPr>
      </w:pPr>
    </w:p>
    <w:bookmarkStart w:id="290" w:name="page291"/>
    <w:bookmarkEnd w:id="29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file new UCC financing statements (or similar notice filings applicable in foreign jurisdictions) describing the Collateral and otherwise in form and substance sufficient for recordation wherever necessary or appropriate, as determined in the Administrative Agent’s or the Foreign Collateral Agent’s, as applicable, Permitted Discretion, to perfect or continue perfected the security interest of the Administrative Agent or the Foreign Collateral Agent, as applicable, in the applicable Collateral. The Company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Control Agreements; Cash Management</w:t>
      </w:r>
      <w:r>
        <w:rPr>
          <w:rFonts w:ascii="Times New Roman" w:cs="Times New Roman" w:eastAsia="Times New Roman" w:hAnsi="Times New Roman"/>
          <w:sz w:val="18"/>
          <w:szCs w:val="18"/>
          <w:color w:val="auto"/>
        </w:rPr>
        <w:t>. (a) Within 60 days of the Closing Date (or such longer time as may be agreed by the Administrative Agent in its Permitted Discretion), the U.S. Credit Parties will enter into, and will maintain in effect, Control Agreements with respect to each Deposit Account and lock box account maintained by the U.S. Credit Parties after the Closing Date. Each Control Agreement shall be in form and substance satisfactory to the Administrative Agent. Each Credit Party’s lockbox and cash collateral account management shall be established and maintained solely with the Administrative Agent (or with another financial institution mutually satisfactory to the Administrative Agent and the Company), in the Administrative Agent’s name (or such other financial institution’s name), which shall provide for the collection and remittance of all proceeds of the Collateral on a daily basis during any U.S. Cash Dominion Period. During any U.S. Cash Dominion Period, all amounts in controlled concentration accounts (or in any other deposit account that is not swept on a regular basis into a controlled account) will be swept into a collection account maintained with the Administrative Agent and used to repay Borrowings under this Agreement.</w:t>
      </w:r>
    </w:p>
    <w:p>
      <w:pPr>
        <w:spacing w:after="0" w:line="189" w:lineRule="exact"/>
        <w:rPr>
          <w:sz w:val="20"/>
          <w:szCs w:val="20"/>
          <w:color w:val="auto"/>
        </w:rPr>
      </w:pPr>
    </w:p>
    <w:p>
      <w:pPr>
        <w:ind w:right="40" w:firstLine="464"/>
        <w:spacing w:after="0" w:line="272" w:lineRule="auto"/>
        <w:tabs>
          <w:tab w:leader="none" w:pos="711"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60 days of the Closing Date (or such longer time as may be agreed by the Foreign Collateral Agent in its Permitted Discretion), the Dutch Credit Parties will enter into, and will maintain in effect, Control Agreements with respect to each Deposit Account maintained by the Dutch Credit Parties after the Closing Date. Each Control Agreement shall be in form and substance satisfactory to the Foreign Collateral Agent. Each Dutch Credit Party’s cash collateral account management shall be established and maintained solely with the Foreign Collateral Agent (or with another financial institution mutually satisfactory to the Foreign Collateral Agent and the Dutch Borrower), in the Foreign Collateral Agent’s name (or such other financial institution’s name), which shall provide for the collection and remittance of all proceeds of the Collateral on a daily basis during any Dutch Cash Dominion Period. During any Dutch Cash Dominion Period, all amounts in controlled concentration accounts (or in any other deposit account that is not swept on a regular basis into a controlled account) will be swept into a collection account maintained with the Foreign Collateral Agent and used to repay Borrowings under this Agreement.</w:t>
      </w:r>
    </w:p>
    <w:p>
      <w:pPr>
        <w:spacing w:after="0" w:line="17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Each Credit Party will perform and observe in all material respects all the terms and provisions of each Material Contract to be performed or observed by it (subject to all applicable grace and cure periods specifically set forth therein), and no Credit Party will take any action that would cause any such Material Contract to not be in full force and effect, and cause each of its Subsidiaries to do so except, in each case, where the failure to do so, either individually or in the aggregate, could not reasonably be expected to have a Material Adverse Effect.</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Senior Debt</w:t>
      </w:r>
      <w:r>
        <w:rPr>
          <w:rFonts w:ascii="Times New Roman" w:cs="Times New Roman" w:eastAsia="Times New Roman" w:hAnsi="Times New Roman"/>
          <w:sz w:val="18"/>
          <w:szCs w:val="18"/>
          <w:color w:val="auto"/>
        </w:rPr>
        <w:t xml:space="preserve">. The Obligations shall, and the Credit Parties shall take all necessary action to ensure that the Obligations shall, at all times rank (a)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the fullest extent permitted by law) with all other senior Secured Indebtedness of the Credit Parties and (b) prior in right of payment, to the extent set forth in the applicable subordination agreement, to the Subordinated Indebtedness.</w:t>
      </w:r>
    </w:p>
    <w:p>
      <w:pPr>
        <w:sectPr>
          <w:pgSz w:w="11900" w:h="16838" w:orient="portrait"/>
          <w:cols w:equalWidth="0" w:num="1">
            <w:col w:w="11420"/>
          </w:cols>
          <w:pgMar w:left="240" w:top="270" w:right="239" w:bottom="1440" w:gutter="0" w:footer="0" w:header="0"/>
        </w:sectPr>
      </w:pPr>
    </w:p>
    <w:bookmarkStart w:id="291" w:name="page292"/>
    <w:bookmarkEnd w:id="291"/>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6.18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Each Credit Party shall cause all Indebtedness and other obligations now or hereafter owed by it to any of its Affiliates (other than, in the case of management of the Credit Parties, payroll obligations) to be subordinated in right of payment and security to the Indebtedness and other Obligations owing to the Administrative Agent and the Lenders in accordance with the Intercompany Subordination Agreement or another subordination agreement in form and substance reasonably satisfactory to the Administrative Agent.</w:t>
      </w:r>
    </w:p>
    <w:p>
      <w:pPr>
        <w:spacing w:after="0" w:line="180"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Lender Meetings</w:t>
      </w:r>
      <w:r>
        <w:rPr>
          <w:rFonts w:ascii="Times New Roman" w:cs="Times New Roman" w:eastAsia="Times New Roman" w:hAnsi="Times New Roman"/>
          <w:sz w:val="18"/>
          <w:szCs w:val="18"/>
          <w:color w:val="auto"/>
        </w:rPr>
        <w:t>. The Credit Parties will, upon the request of the Administrative Agent or the Required Lenders, participate in a meeting of the Administrative Agent and the Lenders once during each fiscal year to be held at the Company’s corporate offices (or at such other location as may be agreed to by the Company and Administrative Agent) at such time as may be agreed to by the Company and the Administrative Agent.</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xml:space="preserve">. At any time that the Administrative Agent requests, each Credit Party will, and will cause each Subsidiary to, provide the Administrative Agent with appraisals or updates thereof of their Inventory from an appraiser selected and engaged by the Administrative Agent, and prepared on a basis satisfactory to the Administrative Agent, such appraisals and updates to include, without limitation, information required by applicable law and regulations;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no Event of Default has occurred and is continuing, one (1) such appraisal per calendar year shall be at the sole expense of the Company.</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Post Closing Obligations</w:t>
      </w:r>
      <w:r>
        <w:rPr>
          <w:rFonts w:ascii="Times New Roman" w:cs="Times New Roman" w:eastAsia="Times New Roman" w:hAnsi="Times New Roman"/>
          <w:sz w:val="18"/>
          <w:szCs w:val="18"/>
          <w:color w:val="auto"/>
        </w:rPr>
        <w:t>. The Credit Parties shall execute and deliver the documents and complete the tasks set forth on Schedule 6.21, in each case within the time limits specified on such schedule.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Each of the Borrowers hereby covenants and agrees that on the Closing Date and thereafter for so long as this Agreement is in effect and until such time as the Revolving Commitments have been terminated, no Notes remain outstanding and the Loans, together with interest, Fees and all other Obligations incurred hereunder and under the other Loan Documents, have been paid in full as follows: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No Credit Party will, nor will any Credit Party permit its Subsidiaries to, create, incur, assume or suffer to exist (upon the happening of a contingency or otherwise) any Lien upon any of its property or assets,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176" w:lineRule="exact"/>
        <w:rPr>
          <w:sz w:val="20"/>
          <w:szCs w:val="20"/>
          <w:color w:val="auto"/>
        </w:rPr>
      </w:pPr>
    </w:p>
    <w:p>
      <w:pPr>
        <w:ind w:right="80" w:firstLine="464"/>
        <w:spacing w:after="0" w:line="282" w:lineRule="auto"/>
        <w:tabs>
          <w:tab w:leader="none" w:pos="70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actively contested in good faith by appropriate proceedings and for which adequate reserves shall have been established in accordance with GAAP;</w:t>
      </w:r>
    </w:p>
    <w:p>
      <w:pPr>
        <w:spacing w:after="0" w:line="161" w:lineRule="exact"/>
        <w:rPr>
          <w:rFonts w:ascii="Times New Roman" w:cs="Times New Roman" w:eastAsia="Times New Roman" w:hAnsi="Times New Roman"/>
          <w:sz w:val="18"/>
          <w:szCs w:val="18"/>
          <w:color w:val="auto"/>
        </w:rPr>
      </w:pPr>
    </w:p>
    <w:p>
      <w:pPr>
        <w:ind w:firstLine="464"/>
        <w:spacing w:after="0" w:line="266" w:lineRule="auto"/>
        <w:tabs>
          <w:tab w:leader="none" w:pos="71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76" w:lineRule="exact"/>
        <w:rPr>
          <w:rFonts w:ascii="Times New Roman" w:cs="Times New Roman" w:eastAsia="Times New Roman" w:hAnsi="Times New Roman"/>
          <w:sz w:val="18"/>
          <w:szCs w:val="18"/>
          <w:color w:val="auto"/>
        </w:rPr>
      </w:pPr>
    </w:p>
    <w:p>
      <w:pPr>
        <w:ind w:right="140" w:firstLine="464"/>
        <w:spacing w:after="0" w:line="266" w:lineRule="auto"/>
        <w:tabs>
          <w:tab w:leader="none" w:pos="70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assets of a Subsidiary to secure obligations of such Subsidiary to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Liens do not extend to ABL Priority Collateral (as defined in the Intercreditor Agreement on the Closing Date) unless such Liens are subordinated pursuant to an intercreditor agreement satisfactory to the Administrative Agent or the Foreign Collateral Agent, as applicable, in its sole discretion;</w:t>
      </w:r>
    </w:p>
    <w:p>
      <w:pPr>
        <w:sectPr>
          <w:pgSz w:w="11900" w:h="16838" w:orient="portrait"/>
          <w:cols w:equalWidth="0" w:num="1">
            <w:col w:w="11420"/>
          </w:cols>
          <w:pgMar w:left="240" w:top="270" w:right="239" w:bottom="1440" w:gutter="0" w:footer="0" w:header="0"/>
        </w:sectPr>
      </w:pPr>
    </w:p>
    <w:bookmarkStart w:id="292" w:name="page293"/>
    <w:bookmarkEnd w:id="292"/>
    <w:p>
      <w:pPr>
        <w:ind w:left="-464" w:right="220" w:firstLine="464"/>
        <w:spacing w:after="0" w:line="282" w:lineRule="auto"/>
        <w:tabs>
          <w:tab w:leader="none" w:pos="24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money Liens on fixed assets securing the loans and Indebtedness under Capitalized Leases pursuant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hereof; provided that any such Lien is limited to the purchase price and only attaches to the property being acquired or financed thereby;</w:t>
      </w:r>
    </w:p>
    <w:p>
      <w:pPr>
        <w:spacing w:after="0" w:line="161" w:lineRule="exact"/>
        <w:rPr>
          <w:rFonts w:ascii="Times New Roman" w:cs="Times New Roman" w:eastAsia="Times New Roman" w:hAnsi="Times New Roman"/>
          <w:sz w:val="18"/>
          <w:szCs w:val="18"/>
          <w:color w:val="auto"/>
        </w:rPr>
      </w:pPr>
    </w:p>
    <w:p>
      <w:pPr>
        <w:ind w:left="236" w:hanging="236"/>
        <w:spacing w:after="0"/>
        <w:tabs>
          <w:tab w:leader="none" w:pos="23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of the Administrative Agent or the Foreign Collateral Agent, for the benefit of the Secured Creditors;</w:t>
      </w:r>
    </w:p>
    <w:p>
      <w:pPr>
        <w:spacing w:after="0" w:line="225" w:lineRule="exact"/>
        <w:rPr>
          <w:rFonts w:ascii="Times New Roman" w:cs="Times New Roman" w:eastAsia="Times New Roman" w:hAnsi="Times New Roman"/>
          <w:sz w:val="18"/>
          <w:szCs w:val="18"/>
          <w:color w:val="auto"/>
        </w:rPr>
      </w:pPr>
    </w:p>
    <w:p>
      <w:pPr>
        <w:ind w:left="-464" w:right="100" w:firstLine="464"/>
        <w:spacing w:after="0" w:line="261" w:lineRule="auto"/>
        <w:tabs>
          <w:tab w:leader="none" w:pos="21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existing on the Closing Date as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180" w:lineRule="exact"/>
        <w:rPr>
          <w:rFonts w:ascii="Times New Roman" w:cs="Times New Roman" w:eastAsia="Times New Roman" w:hAnsi="Times New Roman"/>
          <w:sz w:val="18"/>
          <w:szCs w:val="18"/>
          <w:color w:val="auto"/>
        </w:rPr>
      </w:pPr>
    </w:p>
    <w:p>
      <w:pPr>
        <w:ind w:left="-464" w:right="120" w:firstLine="464"/>
        <w:spacing w:after="0" w:line="282" w:lineRule="auto"/>
        <w:tabs>
          <w:tab w:leader="none" w:pos="24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or other minor defects or irregularities in title of real property not interfering in any material respect with the use of such property in the business of the Company or any of its Subsidiaries;</w:t>
      </w:r>
    </w:p>
    <w:p>
      <w:pPr>
        <w:spacing w:after="0" w:line="161"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insurance, unemployment insurance and like matters;</w:t>
      </w:r>
    </w:p>
    <w:p>
      <w:pPr>
        <w:spacing w:after="0" w:line="225" w:lineRule="exact"/>
        <w:rPr>
          <w:rFonts w:ascii="Times New Roman" w:cs="Times New Roman" w:eastAsia="Times New Roman" w:hAnsi="Times New Roman"/>
          <w:sz w:val="18"/>
          <w:szCs w:val="18"/>
          <w:color w:val="auto"/>
        </w:rPr>
      </w:pPr>
    </w:p>
    <w:p>
      <w:pPr>
        <w:ind w:left="-464" w:right="460" w:firstLine="464"/>
        <w:spacing w:after="0" w:line="282" w:lineRule="auto"/>
        <w:tabs>
          <w:tab w:leader="none" w:pos="20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any writ of execution, attachment, garnishment, judgment or judicial award solely to the extent not constituting an Event of Default under </w:t>
      </w:r>
      <w:r>
        <w:rPr>
          <w:rFonts w:ascii="Times New Roman" w:cs="Times New Roman" w:eastAsia="Times New Roman" w:hAnsi="Times New Roman"/>
          <w:sz w:val="18"/>
          <w:szCs w:val="18"/>
          <w:u w:val="single" w:color="auto"/>
          <w:color w:val="auto"/>
        </w:rPr>
        <w:t>Section 8.01(h)(i)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16" w:hanging="216"/>
        <w:spacing w:after="0"/>
        <w:tabs>
          <w:tab w:leader="none" w:pos="21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the Term Loan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subject at all times to the Intercreditor Agreement;</w:t>
      </w:r>
    </w:p>
    <w:p>
      <w:pPr>
        <w:spacing w:after="0" w:line="225"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civil law Lien arising in the Netherlands under Netherland’s General Banking Conditions;</w:t>
      </w:r>
    </w:p>
    <w:p>
      <w:pPr>
        <w:spacing w:after="0" w:line="225" w:lineRule="exact"/>
        <w:rPr>
          <w:rFonts w:ascii="Times New Roman" w:cs="Times New Roman" w:eastAsia="Times New Roman" w:hAnsi="Times New Roman"/>
          <w:sz w:val="18"/>
          <w:szCs w:val="18"/>
          <w:color w:val="auto"/>
        </w:rPr>
      </w:pPr>
    </w:p>
    <w:p>
      <w:pPr>
        <w:ind w:left="-464" w:right="220" w:firstLine="464"/>
        <w:spacing w:after="0" w:line="256" w:lineRule="auto"/>
        <w:tabs>
          <w:tab w:leader="none" w:pos="20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tangible property of a Person existing at the time such Person is acquired by the Company or a Subsidiary pursuant to an Acquisition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Acquisition and do not extend to any assets other than those of the Person acquired by the Company or such Subsidiary, and the applicable Indebtedness secured by such Lien is permitted under </w:t>
      </w:r>
      <w:r>
        <w:rPr>
          <w:rFonts w:ascii="Times New Roman" w:cs="Times New Roman" w:eastAsia="Times New Roman" w:hAnsi="Times New Roman"/>
          <w:sz w:val="18"/>
          <w:szCs w:val="18"/>
          <w:u w:val="single" w:color="auto"/>
          <w:color w:val="auto"/>
        </w:rPr>
        <w:t>Section 7.02(l)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such Liens do not extend to ABL Priority Collateral (as defined in the Intercreditor Agreement on the Closing Date) unless such Liens are subordinated pursuant to an intercreditor agreement satisfactory to the Administrative Agent or the Foreign Collateral Agent, as applicable, in its sole discretion;</w:t>
      </w:r>
    </w:p>
    <w:p>
      <w:pPr>
        <w:spacing w:after="0" w:line="187" w:lineRule="exact"/>
        <w:rPr>
          <w:rFonts w:ascii="Times New Roman" w:cs="Times New Roman" w:eastAsia="Times New Roman" w:hAnsi="Times New Roman"/>
          <w:sz w:val="18"/>
          <w:szCs w:val="18"/>
          <w:color w:val="auto"/>
        </w:rPr>
      </w:pPr>
    </w:p>
    <w:p>
      <w:pPr>
        <w:ind w:left="296" w:hanging="296"/>
        <w:spacing w:after="0"/>
        <w:tabs>
          <w:tab w:leader="none" w:pos="29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permitted by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shall extend to, or cover, any Collateral; and</w:t>
      </w:r>
    </w:p>
    <w:p>
      <w:pPr>
        <w:spacing w:after="0" w:line="225" w:lineRule="exact"/>
        <w:rPr>
          <w:rFonts w:ascii="Times New Roman" w:cs="Times New Roman" w:eastAsia="Times New Roman" w:hAnsi="Times New Roman"/>
          <w:sz w:val="18"/>
          <w:szCs w:val="18"/>
          <w:color w:val="auto"/>
        </w:rPr>
      </w:pPr>
    </w:p>
    <w:p>
      <w:pPr>
        <w:ind w:left="-464" w:firstLine="464"/>
        <w:spacing w:after="0" w:line="261" w:lineRule="auto"/>
        <w:tabs>
          <w:tab w:leader="none" w:pos="24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non-consensual Liens not securing Indebtedness, (i) the amount of which does not exceed $1,000,000 in the aggregate, and (ii) the existence of which, either individually or in the aggregate, will not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permitted by this clause (n) is permitted only for so long as is reasonably necessary for the affected Credit Party or the affected Subsidiary, using its best efforts, to remove or eliminate such Lien and, provided further that, any Lien not otherwise permitted by this clause (n) shall be permitted so long as such Credit Party or the affected Subsidiary shall</w:t>
      </w:r>
    </w:p>
    <w:p>
      <w:pPr>
        <w:sectPr>
          <w:pgSz w:w="11900" w:h="16838" w:orient="portrait"/>
          <w:cols w:equalWidth="0" w:num="1">
            <w:col w:w="10936"/>
          </w:cols>
          <w:pgMar w:left="704" w:top="270" w:right="259" w:bottom="1440" w:gutter="0" w:footer="0" w:header="0"/>
        </w:sectPr>
      </w:pPr>
    </w:p>
    <w:bookmarkStart w:id="293" w:name="page294"/>
    <w:bookmarkEnd w:id="293"/>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Neither the Borrowers nor any of their Subsidiaries shall enter into any contract or agreement (other than a contract or agreement entered into in connection with the purchase or lease of fixed assets that prohibits Liens on such fixed assets) that would prohibit the Administrative Agent, the Foreign Collateral Agent or the Lenders from acquiring a security interest, mortgage or other Lien on, or a collateral assignment of, any of the property or assets of the Borrowers or such Subsidiary.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Credit Party will, nor will any Credit Party permit its Subsidiaries to, create, incur, assume or have outstanding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of any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207" w:lineRule="exact"/>
        <w:rPr>
          <w:sz w:val="20"/>
          <w:szCs w:val="20"/>
          <w:color w:val="auto"/>
        </w:rPr>
      </w:pPr>
    </w:p>
    <w:p>
      <w:pPr>
        <w:ind w:left="700" w:hanging="236"/>
        <w:spacing w:after="0"/>
        <w:tabs>
          <w:tab w:leader="none" w:pos="70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and any other Obligation under this Agreement or under any other Loan Document;</w:t>
      </w:r>
    </w:p>
    <w:p>
      <w:pPr>
        <w:spacing w:after="0" w:line="225" w:lineRule="exact"/>
        <w:rPr>
          <w:rFonts w:ascii="Times New Roman" w:cs="Times New Roman" w:eastAsia="Times New Roman" w:hAnsi="Times New Roman"/>
          <w:sz w:val="18"/>
          <w:szCs w:val="18"/>
          <w:color w:val="auto"/>
        </w:rPr>
      </w:pPr>
    </w:p>
    <w:p>
      <w:pPr>
        <w:ind w:right="120" w:firstLine="464"/>
        <w:spacing w:after="0" w:line="261" w:lineRule="auto"/>
        <w:tabs>
          <w:tab w:leader="none" w:pos="711"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granted to or Indebtedness under Capitalized Leases entered into by the Company or any of its Subsidiaries for the purchase or lease of fixed assets (and refinancings of such loans or Indebtedness under Capitalized Leases), which loans and Indebtedness under Capitalized Leases shall only be secured by the fixed assets being purchased or leased, so long as the aggregate principal amount of all such loans and Indebtedness under Capitalized Leases for the Company and all of its Subsidiaries shall not exceed $10,000,000 at any time outstanding;</w:t>
      </w:r>
    </w:p>
    <w:p>
      <w:pPr>
        <w:spacing w:after="0" w:line="180" w:lineRule="exact"/>
        <w:rPr>
          <w:rFonts w:ascii="Times New Roman" w:cs="Times New Roman" w:eastAsia="Times New Roman" w:hAnsi="Times New Roman"/>
          <w:sz w:val="18"/>
          <w:szCs w:val="18"/>
          <w:color w:val="auto"/>
        </w:rPr>
      </w:pPr>
    </w:p>
    <w:p>
      <w:pPr>
        <w:ind w:right="40" w:firstLine="464"/>
        <w:spacing w:after="0" w:line="258" w:lineRule="auto"/>
        <w:tabs>
          <w:tab w:leader="none" w:pos="701"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Indebtedness existing on the Closing Date, in addition to the other Indebtedness permitted to be incurred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hereto (any extension, renewal or refinancing thereof but only to the extent that the principal amount thereof does not increase after the Closing Date, except by an amount equal to a reasonable premium or other reasonable amount paid, and fees and expenses reasonably incurred, in connection with such extension, renewal or refinancing and by an amount equal to any existing commitments unutilized thereunder and the direct or any contingent obligor with respect thereto is not changed, as a result of or in connection with such extension, renewal or refinancing);</w:t>
      </w:r>
    </w:p>
    <w:p>
      <w:pPr>
        <w:spacing w:after="0" w:line="18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 Credit Party from another Credit Party;</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 Foreign Subsidiary from another Foreign Subsidiary that is not a Credit Party;</w:t>
      </w:r>
    </w:p>
    <w:p>
      <w:pPr>
        <w:spacing w:after="0" w:line="225" w:lineRule="exact"/>
        <w:rPr>
          <w:rFonts w:ascii="Times New Roman" w:cs="Times New Roman" w:eastAsia="Times New Roman" w:hAnsi="Times New Roman"/>
          <w:sz w:val="18"/>
          <w:szCs w:val="18"/>
          <w:color w:val="auto"/>
        </w:rPr>
      </w:pPr>
    </w:p>
    <w:p>
      <w:pPr>
        <w:ind w:right="20" w:firstLine="464"/>
        <w:spacing w:after="0" w:line="282" w:lineRule="auto"/>
        <w:tabs>
          <w:tab w:leader="none" w:pos="681"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Hedge Agreement, so long as such Hedge Agreement shall have been entered into in the ordinary course of business and not for speculative purposes;</w:t>
      </w:r>
    </w:p>
    <w:p>
      <w:pPr>
        <w:spacing w:after="0" w:line="161" w:lineRule="exact"/>
        <w:rPr>
          <w:rFonts w:ascii="Times New Roman" w:cs="Times New Roman" w:eastAsia="Times New Roman" w:hAnsi="Times New Roman"/>
          <w:sz w:val="18"/>
          <w:szCs w:val="18"/>
          <w:color w:val="auto"/>
        </w:rPr>
      </w:pPr>
    </w:p>
    <w:p>
      <w:pPr>
        <w:ind w:right="400" w:firstLine="464"/>
        <w:spacing w:after="0" w:line="261" w:lineRule="auto"/>
        <w:tabs>
          <w:tab w:leader="none" w:pos="711"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Foreign Subsidiary and other Loans and Investments, so long as (i) no Default or Event of Default shall exist immediately prior to or immediately after giving effect thereto and (ii) after giving pro forma effect thereto (and to any Indebtedness incurred in connection therewith), the</w:t>
      </w:r>
    </w:p>
    <w:p>
      <w:pPr>
        <w:ind w:right="460" w:firstLine="8"/>
        <w:spacing w:after="0" w:line="290" w:lineRule="auto"/>
        <w:tabs>
          <w:tab w:leader="none" w:pos="285"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on each of the 30 consecutive days preceding the proposed date of such incurrence and on such incurrence date, exceeds the Covenant Threshold (Other) and (B) if Availability is less than the Minimum FCCR Amount (Other), the Fixed Charge Coverage Ratio is greater than 1.05 to 1.0;</w:t>
      </w:r>
    </w:p>
    <w:p>
      <w:pPr>
        <w:spacing w:after="0" w:line="157" w:lineRule="exact"/>
        <w:rPr>
          <w:rFonts w:ascii="Times New Roman" w:cs="Times New Roman" w:eastAsia="Times New Roman" w:hAnsi="Times New Roman"/>
          <w:sz w:val="17"/>
          <w:szCs w:val="17"/>
          <w:color w:val="auto"/>
        </w:rPr>
      </w:pPr>
    </w:p>
    <w:p>
      <w:pPr>
        <w:ind w:right="560" w:firstLine="464"/>
        <w:spacing w:after="0" w:line="282" w:lineRule="auto"/>
        <w:tabs>
          <w:tab w:leader="none" w:pos="711"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the financing of insurance premiums, in an aggregate amount not to exceed $2,000,000 at any time outstanding;</w:t>
      </w:r>
    </w:p>
    <w:p>
      <w:pPr>
        <w:sectPr>
          <w:pgSz w:w="11900" w:h="16838" w:orient="portrait"/>
          <w:cols w:equalWidth="0" w:num="1">
            <w:col w:w="11420"/>
          </w:cols>
          <w:pgMar w:left="240" w:top="270" w:right="239" w:bottom="1440" w:gutter="0" w:footer="0" w:header="0"/>
        </w:sectPr>
      </w:pPr>
    </w:p>
    <w:bookmarkStart w:id="294" w:name="page295"/>
    <w:bookmarkEnd w:id="294"/>
    <w:p>
      <w:pPr>
        <w:ind w:firstLine="464"/>
        <w:spacing w:after="0" w:line="282" w:lineRule="auto"/>
        <w:tabs>
          <w:tab w:leader="none" w:pos="67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obligations consisting of Guarantees executed by (i) any Credit Party with respect to Indebtedness otherwise permitted by this Agreement and (ii) any Foreign Subsidiary that is not a Credit Party with respect to any Indebtedness of a Foreign Subsidiary otherwise permitted by this Agreement;</w:t>
      </w:r>
    </w:p>
    <w:p>
      <w:pPr>
        <w:spacing w:after="0" w:line="161" w:lineRule="exact"/>
        <w:rPr>
          <w:rFonts w:ascii="Times New Roman" w:cs="Times New Roman" w:eastAsia="Times New Roman" w:hAnsi="Times New Roman"/>
          <w:sz w:val="18"/>
          <w:szCs w:val="18"/>
          <w:color w:val="auto"/>
        </w:rPr>
      </w:pPr>
    </w:p>
    <w:p>
      <w:pPr>
        <w:ind w:right="580" w:firstLine="464"/>
        <w:spacing w:after="0" w:line="282" w:lineRule="auto"/>
        <w:tabs>
          <w:tab w:leader="none" w:pos="67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(including unsecured Subordinated Indebtedness), in addition to the Indebtedness listed above, in an aggregate principal amount for the Company and all of its Subsidiaries not to exceed $15,000,000 at any time outstanding;</w:t>
      </w:r>
    </w:p>
    <w:p>
      <w:pPr>
        <w:spacing w:after="0" w:line="161" w:lineRule="exact"/>
        <w:rPr>
          <w:rFonts w:ascii="Times New Roman" w:cs="Times New Roman" w:eastAsia="Times New Roman" w:hAnsi="Times New Roman"/>
          <w:sz w:val="18"/>
          <w:szCs w:val="18"/>
          <w:color w:val="auto"/>
        </w:rPr>
      </w:pPr>
    </w:p>
    <w:p>
      <w:pPr>
        <w:ind w:right="140" w:firstLine="464"/>
        <w:spacing w:after="0" w:line="254" w:lineRule="auto"/>
        <w:tabs>
          <w:tab w:leader="none" w:pos="71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Term Loan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the Term Loan Obligations (excluding any Term Loan Obligations consisting of debts, liabilities and obligations with respect to any Secured Cash Management Agreement or Secured Hedge Agreement (each as defined in the Term Loan Credit Agreement)), at any one time outstanding, shall not exceed $430,000,000 less the sum of (x) any regularly scheduled payments of principal (whether or not actually made)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any prepayments thereof, but only so long as the Intercreditor Agreement shall be in effect and (ii) any extension, renewal, replacement or refinancing of any Term Loan Obligations but only to the extent that the outstanding principal amount thereof as of the date of such extension, renewal, replacement or refinancing is not increased, except by an amount equal to a reasonable premium or other reasonable amount paid, and fees and expenses reasonably incurred, in connection with such extension, renewal, replacement or refinancing, the direct or any contingent obligor with respect thereto is not changed, as a result of or in connection with such extension, renewal, replacement or refinancing and the Indebtedness extending, renewing, replacing or refinancing such Term Loan Obligations shall not have a shorter maturity or weighted average life to maturity than the Term Loan Obligations being extended, renewed, replaced or refinanced;</w:t>
      </w:r>
    </w:p>
    <w:p>
      <w:pPr>
        <w:spacing w:after="0" w:line="18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of the Company after the date hereof pursuant to an Acquisition permitted under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7.03(b)</w:t>
      </w:r>
      <w:r>
        <w:rPr>
          <w:rFonts w:ascii="Times New Roman" w:cs="Times New Roman" w:eastAsia="Times New Roman" w:hAnsi="Times New Roman"/>
          <w:sz w:val="18"/>
          <w:szCs w:val="18"/>
          <w:color w:val="auto"/>
        </w:rPr>
        <w:t>; provided that (i) such Indebtedness is existing at the time such Person becomes a Subsidiary of the Company (other than Indebtedness incurred solely in contemplation of such Person’s becoming a Subsidiary of the Company) and (ii) (A) the aggregate principal amount of such Indebtedness shall not exceed $10,000,000 at any time and (B) the aggregate principal amount of such Indebtedness of a Subsidiary that becomes a Dutch Credit Party shall not exceed $1,500,000;</w:t>
      </w:r>
    </w:p>
    <w:p>
      <w:pPr>
        <w:spacing w:after="0" w:line="186" w:lineRule="exact"/>
        <w:rPr>
          <w:sz w:val="20"/>
          <w:szCs w:val="20"/>
          <w:color w:val="auto"/>
        </w:rPr>
      </w:pPr>
    </w:p>
    <w:p>
      <w:pPr>
        <w:ind w:right="340" w:firstLine="464"/>
        <w:spacing w:after="0" w:line="282" w:lineRule="auto"/>
        <w:tabs>
          <w:tab w:leader="none" w:pos="76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secured Indebtedness in an aggregate principal amount for the Company and all of its Subsidiaries not to exceed $10,000,000 at any time outstanding, so long as no Default or Event of Default shall exist prior to or after giving effect thereto;</w:t>
      </w:r>
    </w:p>
    <w:p>
      <w:pPr>
        <w:spacing w:after="0" w:line="161" w:lineRule="exact"/>
        <w:rPr>
          <w:rFonts w:ascii="Times New Roman" w:cs="Times New Roman" w:eastAsia="Times New Roman" w:hAnsi="Times New Roman"/>
          <w:sz w:val="18"/>
          <w:szCs w:val="18"/>
          <w:color w:val="auto"/>
        </w:rPr>
      </w:pPr>
    </w:p>
    <w:p>
      <w:pPr>
        <w:ind w:right="140" w:firstLine="464"/>
        <w:spacing w:after="0" w:line="313" w:lineRule="auto"/>
        <w:tabs>
          <w:tab w:leader="none" w:pos="711"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Indebtedness arising under guarantees entered into pursuant to Section 2:403 of the Dutch Civil Code in respect of a Credit Party incorporated under the laws of the Netherlands and any residual liability with respect to such guarantees arising under Section 2:404 of the Dutch Civil Code;</w:t>
      </w:r>
    </w:p>
    <w:p>
      <w:pPr>
        <w:spacing w:after="0" w:line="136" w:lineRule="exact"/>
        <w:rPr>
          <w:rFonts w:ascii="Times New Roman" w:cs="Times New Roman" w:eastAsia="Times New Roman" w:hAnsi="Times New Roman"/>
          <w:sz w:val="17"/>
          <w:szCs w:val="17"/>
          <w:color w:val="auto"/>
        </w:rPr>
      </w:pPr>
    </w:p>
    <w:p>
      <w:pPr>
        <w:ind w:right="300" w:firstLine="464"/>
        <w:spacing w:after="0" w:line="284" w:lineRule="auto"/>
        <w:tabs>
          <w:tab w:leader="none" w:pos="71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and several liability arising as a result of a Dutch fiscal unity (</w:t>
      </w:r>
      <w:r>
        <w:rPr>
          <w:rFonts w:ascii="Times New Roman" w:cs="Times New Roman" w:eastAsia="Times New Roman" w:hAnsi="Times New Roman"/>
          <w:sz w:val="18"/>
          <w:szCs w:val="18"/>
          <w:i w:val="1"/>
          <w:iCs w:val="1"/>
          <w:color w:val="auto"/>
        </w:rPr>
        <w:t>Nederlandse fiscal eenheid</w:t>
      </w:r>
      <w:r>
        <w:rPr>
          <w:rFonts w:ascii="Times New Roman" w:cs="Times New Roman" w:eastAsia="Times New Roman" w:hAnsi="Times New Roman"/>
          <w:sz w:val="18"/>
          <w:szCs w:val="18"/>
          <w:color w:val="auto"/>
        </w:rPr>
        <w:t>) or the establishment thereof among a Credit Party incorporated under the law of the Netherlands and one or more of its Subsidiaries or its equivalent in any other relevant jurisdiction; and</w:t>
      </w:r>
    </w:p>
    <w:p>
      <w:pPr>
        <w:spacing w:after="0" w:line="160" w:lineRule="exact"/>
        <w:rPr>
          <w:rFonts w:ascii="Times New Roman" w:cs="Times New Roman" w:eastAsia="Times New Roman" w:hAnsi="Times New Roman"/>
          <w:sz w:val="18"/>
          <w:szCs w:val="18"/>
          <w:color w:val="auto"/>
        </w:rPr>
      </w:pPr>
    </w:p>
    <w:p>
      <w:pPr>
        <w:ind w:firstLine="464"/>
        <w:spacing w:after="0" w:line="258" w:lineRule="auto"/>
        <w:tabs>
          <w:tab w:leader="none" w:pos="71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that do not constitute Indebtedness, but that are listed for purposes of clarification, contingent obligations consisting of the indemnification by the Company or any of its Subsidiaries of (i) the officers, directors, employees and agents of the Company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Company’s or any of its Subsidiaries’ securities or the rendering of banking or professional services to the Company or any of its Subsidiaries,</w:t>
      </w:r>
    </w:p>
    <w:p>
      <w:pPr>
        <w:sectPr>
          <w:pgSz w:w="11900" w:h="16838" w:orient="portrait"/>
          <w:cols w:equalWidth="0" w:num="1">
            <w:col w:w="11400"/>
          </w:cols>
          <w:pgMar w:left="240" w:top="270" w:right="259" w:bottom="1440" w:gutter="0" w:footer="0" w:header="0"/>
        </w:sectPr>
      </w:pPr>
    </w:p>
    <w:bookmarkStart w:id="295" w:name="page296"/>
    <w:bookmarkEnd w:id="295"/>
    <w:p>
      <w:pPr>
        <w:jc w:val="both"/>
        <w:ind w:right="460" w:firstLine="8"/>
        <w:spacing w:after="0" w:line="266" w:lineRule="auto"/>
        <w:tabs>
          <w:tab w:leader="none" w:pos="31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landlords, licensors, licensees and other parties pursuant to agreements entered into in the ordinary course of business by the Company or any of its Subsidiaries, and (iv) other Persons under agreements relating to Company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foregoing is only permitted to the extent that such indemnity obligation is not incurred in connection with the borrowing of money or the extension of credit.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Investments and Acquisitions</w:t>
      </w:r>
      <w:r>
        <w:rPr>
          <w:rFonts w:ascii="Times New Roman" w:cs="Times New Roman" w:eastAsia="Times New Roman" w:hAnsi="Times New Roman"/>
          <w:sz w:val="18"/>
          <w:szCs w:val="18"/>
          <w:color w:val="auto"/>
        </w:rPr>
        <w:t>. No Credit Party will, nor will any Credit Party permit any of its Subsidiaries to, directly or indirectly:</w:t>
      </w:r>
    </w:p>
    <w:p>
      <w:pPr>
        <w:spacing w:after="0" w:line="225" w:lineRule="exact"/>
        <w:rPr>
          <w:sz w:val="20"/>
          <w:szCs w:val="20"/>
          <w:color w:val="auto"/>
        </w:rPr>
      </w:pPr>
    </w:p>
    <w:p>
      <w:pPr>
        <w:ind w:left="700" w:hanging="236"/>
        <w:spacing w:after="0"/>
        <w:tabs>
          <w:tab w:leader="none" w:pos="7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hold any Investments (other than Investments pursuant to the Target Acquisition), except:</w:t>
      </w:r>
    </w:p>
    <w:p>
      <w:pPr>
        <w:spacing w:after="0" w:line="117"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1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endorsement of a check or other medium of payment for deposit or collection through normal banking channels or similar transaction in the normal course of business;</w:t>
      </w:r>
    </w:p>
    <w:p>
      <w:pPr>
        <w:spacing w:after="0" w:line="53" w:lineRule="exact"/>
        <w:rPr>
          <w:rFonts w:ascii="Times New Roman" w:cs="Times New Roman" w:eastAsia="Times New Roman" w:hAnsi="Times New Roman"/>
          <w:sz w:val="18"/>
          <w:szCs w:val="18"/>
          <w:color w:val="auto"/>
        </w:rPr>
      </w:pPr>
    </w:p>
    <w:p>
      <w:pPr>
        <w:jc w:val="both"/>
        <w:ind w:left="460" w:firstLine="443"/>
        <w:spacing w:after="0" w:line="266" w:lineRule="auto"/>
        <w:tabs>
          <w:tab w:leader="none" w:pos="116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 direct obligations of the United States or in certificates of deposit issued by a member bank (having capital resources in excess of $100,000,000) of the Federal Reserve System or (B) commercial paper or securities that at the time of such investment is assigned the highest quality rating in accordance with the rating systems employed by either Moody’s or S&amp;P;</w:t>
      </w:r>
    </w:p>
    <w:p>
      <w:pPr>
        <w:spacing w:after="0" w:line="68" w:lineRule="exact"/>
        <w:rPr>
          <w:rFonts w:ascii="Times New Roman" w:cs="Times New Roman" w:eastAsia="Times New Roman" w:hAnsi="Times New Roman"/>
          <w:sz w:val="18"/>
          <w:szCs w:val="18"/>
          <w:color w:val="auto"/>
        </w:rPr>
      </w:pPr>
    </w:p>
    <w:p>
      <w:pPr>
        <w:ind w:left="460" w:right="260" w:firstLine="443"/>
        <w:spacing w:after="0" w:line="266" w:lineRule="auto"/>
        <w:tabs>
          <w:tab w:leader="none" w:pos="121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holding of each of the Subsidiaries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460" w:firstLine="443"/>
        <w:spacing w:after="0" w:line="261" w:lineRule="auto"/>
        <w:tabs>
          <w:tab w:leader="none" w:pos="120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Foreign Subsidiary and other Loans and Investments, so long as (A) no Default shall exist prior to or after giving effect thereto and (B) after giving pro forma effect to such investments or loans (and to any Indebtedness incurred in connection therewith), the (1) Availability on each of the 30 consecutive days preceding the proposed date of such Investment and on such Investment date, exceeds the Covenant Threshold (Other) and (2) if Availability is less than the Minimum FCCR Amount (Other), the Fixed Charge Coverage Ratio is greater than 1.05 to 1.0;</w:t>
      </w:r>
    </w:p>
    <w:p>
      <w:pPr>
        <w:spacing w:after="0" w:line="7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investments in, and Guarantees of Indebtedness of, the Company or any other Credit Party from or by another Credit Party;</w:t>
      </w:r>
    </w:p>
    <w:p>
      <w:pPr>
        <w:spacing w:after="0" w:line="117"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investments in, and Guarantees of Indebtedness of, a Foreign Subsidiary from or by a Foreign Subsidiary that is not a Credit Party;</w:t>
      </w:r>
    </w:p>
    <w:p>
      <w:pPr>
        <w:spacing w:after="0" w:line="117" w:lineRule="exact"/>
        <w:rPr>
          <w:rFonts w:ascii="Times New Roman" w:cs="Times New Roman" w:eastAsia="Times New Roman" w:hAnsi="Times New Roman"/>
          <w:sz w:val="18"/>
          <w:szCs w:val="18"/>
          <w:color w:val="auto"/>
        </w:rPr>
      </w:pPr>
    </w:p>
    <w:p>
      <w:pPr>
        <w:jc w:val="both"/>
        <w:ind w:left="460" w:right="40" w:firstLine="443"/>
        <w:spacing w:after="0" w:line="266" w:lineRule="auto"/>
        <w:tabs>
          <w:tab w:leader="none" w:pos="125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advance or loan to an officer or employee of the Company or any Subsidiary as an advance on commissions, travel, relocation and other similar items in the ordinary course of business, so long as all such advances and loans from the Company and all Subsidiaries aggregate not more than the maximum principal sum of $1,000,000 at any time outstanding;</w:t>
      </w:r>
    </w:p>
    <w:p>
      <w:pPr>
        <w:spacing w:after="0" w:line="68" w:lineRule="exact"/>
        <w:rPr>
          <w:rFonts w:ascii="Times New Roman" w:cs="Times New Roman" w:eastAsia="Times New Roman" w:hAnsi="Times New Roman"/>
          <w:sz w:val="18"/>
          <w:szCs w:val="18"/>
          <w:color w:val="auto"/>
        </w:rPr>
      </w:pPr>
    </w:p>
    <w:p>
      <w:pPr>
        <w:ind w:left="1300" w:hanging="397"/>
        <w:spacing w:after="0"/>
        <w:tabs>
          <w:tab w:leader="none" w:pos="13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any Equity Interests that has been acquired pursuant to an Acquisition permitted by subsection (b) hereof;</w:t>
      </w:r>
    </w:p>
    <w:p>
      <w:pPr>
        <w:sectPr>
          <w:pgSz w:w="11900" w:h="16838" w:orient="portrait"/>
          <w:cols w:equalWidth="0" w:num="1">
            <w:col w:w="11400"/>
          </w:cols>
          <w:pgMar w:left="240" w:top="270" w:right="259" w:bottom="1440" w:gutter="0" w:footer="0" w:header="0"/>
        </w:sectPr>
      </w:pPr>
    </w:p>
    <w:bookmarkStart w:id="296" w:name="page297"/>
    <w:bookmarkEnd w:id="296"/>
    <w:p>
      <w:pPr>
        <w:ind w:left="460" w:firstLine="443"/>
        <w:spacing w:after="0" w:line="266" w:lineRule="auto"/>
        <w:tabs>
          <w:tab w:leader="none" w:pos="120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creation of a Subsidiary for the purpose of making an Acquisition permitted by subsection (b) hereof or the holding of any Subsidiary as a result of an Acquisition made pursuant subsection (b) hereof, so long as, in each case, if required pursuant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hereof, such Subsidiary becomes a Guarantor or Borrower promptly following such Acquisition;</w:t>
      </w:r>
    </w:p>
    <w:p>
      <w:pPr>
        <w:spacing w:after="0" w:line="68"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15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Investments existing on the Closing Date, in addition to the other Investments permitted to be incurred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60" w:right="180" w:firstLine="443"/>
        <w:spacing w:after="0" w:line="266" w:lineRule="auto"/>
        <w:tabs>
          <w:tab w:leader="none" w:pos="120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including accounts receivable or notes receivable arising from the grant of trade credit in the ordinary course of business and other similar types of Investments, and Investments received in satisfaction or partial satisfaction thereof from financially troubled account debtors to the extent reasonably necessary in order to prevent or limit loss;</w:t>
      </w:r>
    </w:p>
    <w:p>
      <w:pPr>
        <w:spacing w:after="0" w:line="68" w:lineRule="exact"/>
        <w:rPr>
          <w:rFonts w:ascii="Times New Roman" w:cs="Times New Roman" w:eastAsia="Times New Roman" w:hAnsi="Times New Roman"/>
          <w:sz w:val="18"/>
          <w:szCs w:val="18"/>
          <w:color w:val="auto"/>
        </w:rPr>
      </w:pPr>
    </w:p>
    <w:p>
      <w:pPr>
        <w:ind w:left="1260" w:hanging="357"/>
        <w:spacing w:after="0"/>
        <w:tabs>
          <w:tab w:leader="none" w:pos="12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20" w:firstLine="443"/>
        <w:spacing w:after="0" w:line="258" w:lineRule="auto"/>
        <w:tabs>
          <w:tab w:leader="none" w:pos="130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Subsidiaries may make Investments not otherwise permitted by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so long as (A) no Default shall exist prior to or after giving effect thereto and (B) after giving pro forma effect to such investments or loans (and to any Indebtedness incurred in connection therewith), (1) Availability on each of the 30 consecutive days preceding the proposed date of such Investment and on such Investment date, exceeds the Covenant Threshold (Other) and (2) if Availability is less than the Minimum FCCR Amount (Other), the Fixed Charge Coverage Ratio is greater than 1.05 to 1.0; and</w:t>
      </w:r>
    </w:p>
    <w:p>
      <w:pPr>
        <w:spacing w:after="0" w:line="75" w:lineRule="exact"/>
        <w:rPr>
          <w:rFonts w:ascii="Times New Roman" w:cs="Times New Roman" w:eastAsia="Times New Roman" w:hAnsi="Times New Roman"/>
          <w:sz w:val="18"/>
          <w:szCs w:val="18"/>
          <w:color w:val="auto"/>
        </w:rPr>
      </w:pPr>
    </w:p>
    <w:p>
      <w:pPr>
        <w:ind w:left="460" w:right="20" w:firstLine="443"/>
        <w:spacing w:after="0" w:line="261" w:lineRule="auto"/>
        <w:tabs>
          <w:tab w:leader="none" w:pos="1293"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made by the Company or any Credit Party in any Foreign Subsidiary consisting of obligations of such Foreign Subsidiary to pay Capital Distributions to the Company or any other Credit Party that have been declared but the payment of which has been deferred (whether or not such obligation to pay such Capital Distributions is represented by a promissory note that has been pledged to the Administrative Agent or the Foreign Collateral Agent, as applicable, in accordance with the Collateral Documents).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the amount of any Investment in Equity Interests shall be based upon the initial amount invested and shall not include any appreciation in value or return on such investment.</w:t>
      </w:r>
    </w:p>
    <w:p>
      <w:pPr>
        <w:spacing w:after="0" w:line="162" w:lineRule="exact"/>
        <w:rPr>
          <w:sz w:val="20"/>
          <w:szCs w:val="20"/>
          <w:color w:val="auto"/>
        </w:rPr>
      </w:pPr>
    </w:p>
    <w:p>
      <w:pPr>
        <w:ind w:right="180" w:firstLine="464"/>
        <w:spacing w:after="0" w:line="266" w:lineRule="auto"/>
        <w:tabs>
          <w:tab w:leader="none" w:pos="71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an Acquisition (other than the Target Acquisition or any Acquisition permitted under </w:t>
      </w:r>
      <w:r>
        <w:rPr>
          <w:rFonts w:ascii="Times New Roman" w:cs="Times New Roman" w:eastAsia="Times New Roman" w:hAnsi="Times New Roman"/>
          <w:sz w:val="18"/>
          <w:szCs w:val="18"/>
          <w:u w:val="single" w:color="auto"/>
          <w:color w:val="auto"/>
        </w:rPr>
        <w:t>Sections 7.04(a)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Default shall exist prior to or after giving pro forma effect thereto (and any Indebtedness incurred in connection therewith), the Company and its Subsidiaries may make an Acquisition so long as:</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amalgamation or other combination including a Borrower, such Borrower shall be the surviving entity;</w:t>
      </w:r>
    </w:p>
    <w:p>
      <w:pPr>
        <w:spacing w:after="0" w:line="117" w:lineRule="exact"/>
        <w:rPr>
          <w:rFonts w:ascii="Times New Roman" w:cs="Times New Roman" w:eastAsia="Times New Roman" w:hAnsi="Times New Roman"/>
          <w:sz w:val="18"/>
          <w:szCs w:val="18"/>
          <w:color w:val="auto"/>
        </w:rPr>
      </w:pPr>
    </w:p>
    <w:p>
      <w:pPr>
        <w:ind w:left="460" w:right="500" w:firstLine="443"/>
        <w:spacing w:after="0" w:line="282" w:lineRule="auto"/>
        <w:tabs>
          <w:tab w:leader="none" w:pos="1163"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amalgamation or other combination including a Credit Party (other than a Borrower), a Credit Party shall be the surviving entity;</w:t>
      </w:r>
    </w:p>
    <w:p>
      <w:pPr>
        <w:spacing w:after="0" w:line="53" w:lineRule="exact"/>
        <w:rPr>
          <w:rFonts w:ascii="Times New Roman" w:cs="Times New Roman" w:eastAsia="Times New Roman" w:hAnsi="Times New Roman"/>
          <w:sz w:val="18"/>
          <w:szCs w:val="18"/>
          <w:color w:val="auto"/>
        </w:rPr>
      </w:pPr>
    </w:p>
    <w:p>
      <w:pPr>
        <w:ind w:left="460" w:right="720" w:firstLine="443"/>
        <w:spacing w:after="0" w:line="282" w:lineRule="auto"/>
        <w:tabs>
          <w:tab w:leader="none" w:pos="1213"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to be acquired shall be similar to the lines of business of the Company and its Subsidiaries or reasonably related and/or complementary or ancillary to such lines of business and reasonable extensions and expansions thereof;</w:t>
      </w:r>
    </w:p>
    <w:p>
      <w:pPr>
        <w:spacing w:after="0" w:line="53"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be in full compliance with the Loan Documents both prior to and subsequent to the transaction;</w:t>
      </w:r>
    </w:p>
    <w:p>
      <w:pPr>
        <w:sectPr>
          <w:pgSz w:w="11900" w:h="16838" w:orient="portrait"/>
          <w:cols w:equalWidth="0" w:num="1">
            <w:col w:w="11420"/>
          </w:cols>
          <w:pgMar w:left="240" w:top="270" w:right="239" w:bottom="1440" w:gutter="0" w:footer="0" w:header="0"/>
        </w:sectPr>
      </w:pPr>
    </w:p>
    <w:bookmarkStart w:id="297" w:name="page298"/>
    <w:bookmarkEnd w:id="297"/>
    <w:p>
      <w:pPr>
        <w:ind w:left="460" w:right="380" w:firstLine="443"/>
        <w:spacing w:after="0" w:line="282" w:lineRule="auto"/>
        <w:tabs>
          <w:tab w:leader="none" w:pos="1153"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Acquisition shall not be actively opposed by the board of directors (or similar governing body) of the selling Persons or the Persons whose equity interests are to be acquired;</w:t>
      </w:r>
    </w:p>
    <w:p>
      <w:pPr>
        <w:spacing w:after="0" w:line="53" w:lineRule="exact"/>
        <w:rPr>
          <w:rFonts w:ascii="Times New Roman" w:cs="Times New Roman" w:eastAsia="Times New Roman" w:hAnsi="Times New Roman"/>
          <w:sz w:val="18"/>
          <w:szCs w:val="18"/>
          <w:color w:val="auto"/>
        </w:rPr>
      </w:pPr>
    </w:p>
    <w:p>
      <w:pPr>
        <w:ind w:left="460" w:right="200" w:firstLine="443"/>
        <w:spacing w:after="0" w:line="266" w:lineRule="auto"/>
        <w:tabs>
          <w:tab w:leader="none" w:pos="1203"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for all Acquisitions by Foreign Subsidiaries, Acquisitions of Persons or Equity Interests of Persons that do not become Credit Parties (including by way of merger into a Credit Party) and Acquisitions of assets that are not included in the Collateral, shall not exceed $75,000,000 during the term of this Agreement; and</w:t>
      </w:r>
    </w:p>
    <w:p>
      <w:pPr>
        <w:spacing w:after="0" w:line="68" w:lineRule="exact"/>
        <w:rPr>
          <w:rFonts w:ascii="Times New Roman" w:cs="Times New Roman" w:eastAsia="Times New Roman" w:hAnsi="Times New Roman"/>
          <w:sz w:val="18"/>
          <w:szCs w:val="18"/>
          <w:color w:val="auto"/>
        </w:rPr>
      </w:pPr>
    </w:p>
    <w:p>
      <w:pPr>
        <w:ind w:left="460" w:firstLine="443"/>
        <w:spacing w:after="0" w:line="257" w:lineRule="auto"/>
        <w:tabs>
          <w:tab w:leader="none" w:pos="1253"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Consideration for such Acquisition is equal to or greater than $5,000,000, the Company shall have provided to the Administrative Agent and the Lenders, at least ten (10) days prior to such Acquisition, a certificate of a Financial Officer of the Company showing that, both before and after giving pro forma effect to such Acquisition (and to any Indebtedness incurred, assumed or acquired in connection therewith), the</w:t>
      </w:r>
    </w:p>
    <w:p>
      <w:pPr>
        <w:spacing w:after="0" w:line="1" w:lineRule="exact"/>
        <w:rPr>
          <w:rFonts w:ascii="Times New Roman" w:cs="Times New Roman" w:eastAsia="Times New Roman" w:hAnsi="Times New Roman"/>
          <w:sz w:val="18"/>
          <w:szCs w:val="18"/>
          <w:color w:val="auto"/>
        </w:rPr>
      </w:pPr>
    </w:p>
    <w:p>
      <w:pPr>
        <w:jc w:val="both"/>
        <w:ind w:left="460" w:firstLine="4"/>
        <w:spacing w:after="0" w:line="290" w:lineRule="auto"/>
        <w:tabs>
          <w:tab w:leader="none" w:pos="745"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on each of the 30 consecutive days preceding the proposed date of such Investment and on such Investment date, exceeds the Covenant Threshold (Other) and (B) if Availability is less than the Minimum FCCR Amount (Other), the Fixed Charge Coverage Ratio is greater than 1.05 to 1.0.</w:t>
      </w:r>
    </w:p>
    <w:p>
      <w:pPr>
        <w:spacing w:after="0" w:line="15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No Credit Party will, nor will any Credit Party permit any of its Subsidiaries to, dissolve, liquidate, merge, amalgamate or consolidate with or into any other Person (other than the merger of Merger Sub into the Company pursuant to the Target Acquisition), except that, if no Default or Event of Default shall then exist or immediately thereafter shall begin to exist:</w:t>
      </w:r>
    </w:p>
    <w:p>
      <w:pPr>
        <w:spacing w:after="0" w:line="176" w:lineRule="exact"/>
        <w:rPr>
          <w:sz w:val="20"/>
          <w:szCs w:val="20"/>
          <w:color w:val="auto"/>
        </w:rPr>
      </w:pPr>
    </w:p>
    <w:p>
      <w:pPr>
        <w:ind w:right="200" w:firstLine="464"/>
        <w:spacing w:after="0" w:line="282" w:lineRule="auto"/>
        <w:tabs>
          <w:tab w:leader="none" w:pos="70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may merge, amalgamate or consolidate with or into (i) a Borrower (provided that such Borrower shall be the continuing or surviving Person), or (ii) any one or more Guarantors (provided that a Guarantor shall be the continuing or surviving Person);</w:t>
      </w:r>
    </w:p>
    <w:p>
      <w:pPr>
        <w:spacing w:after="0" w:line="161" w:lineRule="exact"/>
        <w:rPr>
          <w:rFonts w:ascii="Times New Roman" w:cs="Times New Roman" w:eastAsia="Times New Roman" w:hAnsi="Times New Roman"/>
          <w:sz w:val="18"/>
          <w:szCs w:val="18"/>
          <w:color w:val="auto"/>
        </w:rPr>
      </w:pPr>
    </w:p>
    <w:p>
      <w:pPr>
        <w:ind w:right="140" w:firstLine="464"/>
        <w:spacing w:after="0" w:line="282" w:lineRule="auto"/>
        <w:tabs>
          <w:tab w:leader="none" w:pos="71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(other than a Credit Party) may merge, amalgamate or consolidate with or into any other Domestic Subsidiary (other than a Credit Party);</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70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may merge, amalgamate or consolidate with or into another Foreign Subsidiary or a Borrower or a Guarantor (provided that, in any merger, amalgamation or consolidation involving a Borrower or a Guarantor, a Borrower or Guarantor shall be the continuing or surviving Person);</w:t>
      </w:r>
    </w:p>
    <w:p>
      <w:pPr>
        <w:spacing w:after="0" w:line="161" w:lineRule="exact"/>
        <w:rPr>
          <w:rFonts w:ascii="Times New Roman" w:cs="Times New Roman" w:eastAsia="Times New Roman" w:hAnsi="Times New Roman"/>
          <w:sz w:val="18"/>
          <w:szCs w:val="18"/>
          <w:color w:val="auto"/>
        </w:rPr>
      </w:pPr>
    </w:p>
    <w:p>
      <w:pPr>
        <w:ind w:right="100" w:firstLine="464"/>
        <w:spacing w:after="0" w:line="282" w:lineRule="auto"/>
        <w:tabs>
          <w:tab w:leader="none" w:pos="71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Wholly-Owned Subsidiary may be dissolved or liquidated so long as such Subsidiary is not, at the time, a Credit Party or, if it is a Credit Party at such time, all assets and interests of such Subsidiary, are transferred to another Credit Party on or before the time of its dissolution or liquidation;</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may be effected in accordance with the provisions of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No Credit Party will, nor will any Credit Party permit any of its Subsidiaries to, make any Asset Sale or enter into any agreement to make any Asset Sale, other than in the ordinary course of business, except that, if no Default or Event of Default shall then exist or immediately thereafter shall begin to exist:</w:t>
      </w:r>
    </w:p>
    <w:p>
      <w:pPr>
        <w:spacing w:after="0" w:line="176" w:lineRule="exact"/>
        <w:rPr>
          <w:sz w:val="20"/>
          <w:szCs w:val="20"/>
          <w:color w:val="auto"/>
        </w:rPr>
      </w:pPr>
    </w:p>
    <w:p>
      <w:pPr>
        <w:ind w:left="700" w:hanging="236"/>
        <w:spacing w:after="0"/>
        <w:tabs>
          <w:tab w:leader="none" w:pos="7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Party may sell, lease, transfer or otherwise dispose of any of its assets to any other Credit Party;</w:t>
      </w:r>
    </w:p>
    <w:p>
      <w:pPr>
        <w:spacing w:after="0" w:line="225" w:lineRule="exact"/>
        <w:rPr>
          <w:rFonts w:ascii="Times New Roman" w:cs="Times New Roman" w:eastAsia="Times New Roman" w:hAnsi="Times New Roman"/>
          <w:sz w:val="18"/>
          <w:szCs w:val="18"/>
          <w:color w:val="auto"/>
        </w:rPr>
      </w:pPr>
    </w:p>
    <w:p>
      <w:pPr>
        <w:ind w:right="20" w:firstLine="464"/>
        <w:spacing w:after="0" w:line="282" w:lineRule="auto"/>
        <w:tabs>
          <w:tab w:leader="none" w:pos="711"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their Subsidiaries may dispose of any assets, so long as the aggregate amount of all such Asset Sales, for the Borrowers and their Subsidiaries, shall not exceed $10,000,000 per fiscal year of the Company;</w:t>
      </w:r>
    </w:p>
    <w:p>
      <w:pPr>
        <w:sectPr>
          <w:pgSz w:w="11900" w:h="16838" w:orient="portrait"/>
          <w:cols w:equalWidth="0" w:num="1">
            <w:col w:w="11400"/>
          </w:cols>
          <w:pgMar w:left="240" w:top="270" w:right="259" w:bottom="1440" w:gutter="0" w:footer="0" w:header="0"/>
        </w:sectPr>
      </w:pPr>
    </w:p>
    <w:bookmarkStart w:id="298" w:name="page299"/>
    <w:bookmarkEnd w:id="298"/>
    <w:p>
      <w:pPr>
        <w:ind w:firstLine="464"/>
        <w:spacing w:after="0" w:line="266" w:lineRule="auto"/>
        <w:tabs>
          <w:tab w:leader="none" w:pos="70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Domestic Subsidiary (other than a Credit Party) may dispose of any of its assets to the Company or any other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Asset Sale to a Credit Party such Asset Sale shall not be for more than the fair market value of the assets which are the subject of such Asset Sale;</w:t>
      </w:r>
    </w:p>
    <w:p>
      <w:pPr>
        <w:spacing w:after="0" w:line="176"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may dispose of any of its assets to any Credit Party; provided that such Disposition shall not be for more than the fair market value of the assets which are the subject of such Disposition;</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464"/>
        <w:spacing w:after="0" w:line="266" w:lineRule="auto"/>
        <w:tabs>
          <w:tab w:leader="none" w:pos="68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and their Subsidiaries may sell, transfer or otherwise dispose of fixed assets in the ordinary course of business for the purpose of replacing such fixed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fixed assets are replaced within 180 days of such sale or other disposition with other fixed assets which have a fair market value not materially less than the fair market value of the fixed assets sold or otherwise disposed;</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(other than a Credit Party) may dispose of any of its assets to any other Foreign Subsidiary; and</w:t>
      </w:r>
    </w:p>
    <w:p>
      <w:pPr>
        <w:spacing w:after="0" w:line="225" w:lineRule="exact"/>
        <w:rPr>
          <w:rFonts w:ascii="Times New Roman" w:cs="Times New Roman" w:eastAsia="Times New Roman" w:hAnsi="Times New Roman"/>
          <w:sz w:val="18"/>
          <w:szCs w:val="18"/>
          <w:color w:val="auto"/>
        </w:rPr>
      </w:pPr>
    </w:p>
    <w:p>
      <w:pPr>
        <w:ind w:right="100" w:firstLine="464"/>
        <w:spacing w:after="0" w:line="266" w:lineRule="auto"/>
        <w:tabs>
          <w:tab w:leader="none" w:pos="71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sell the building located at 207 Mockingbird Lane, Johnson City, Tennessee to Washington County, Tennessee;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leases such building back from Washington County, Tennessee and the Company has the right to repurchase such building back from Washington County, Tennessee.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No Credit Party will, nor will any Credit Party permit any of its Subsidiaries to, make or commit itself to make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Payment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7" w:lineRule="exact"/>
        <w:rPr>
          <w:sz w:val="20"/>
          <w:szCs w:val="20"/>
          <w:color w:val="auto"/>
        </w:rPr>
      </w:pPr>
    </w:p>
    <w:p>
      <w:pPr>
        <w:jc w:val="both"/>
        <w:ind w:right="140" w:firstLine="464"/>
        <w:spacing w:after="0" w:line="266" w:lineRule="auto"/>
        <w:tabs>
          <w:tab w:leader="none" w:pos="70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may make Capital Distributions to the Borrowers, any Subsidiaries of the Borrowers that are Guarantors and any other Person that owns a direct Equity Interest in such Subsidiary, ratably according to their respective holdings of the type of Equity Interest in respect of which such Capital Distribution is being made;</w:t>
      </w:r>
    </w:p>
    <w:p>
      <w:pPr>
        <w:spacing w:after="0" w:line="176" w:lineRule="exact"/>
        <w:rPr>
          <w:rFonts w:ascii="Times New Roman" w:cs="Times New Roman" w:eastAsia="Times New Roman" w:hAnsi="Times New Roman"/>
          <w:sz w:val="18"/>
          <w:szCs w:val="18"/>
          <w:color w:val="auto"/>
        </w:rPr>
      </w:pPr>
    </w:p>
    <w:p>
      <w:pPr>
        <w:jc w:val="both"/>
        <w:ind w:right="60" w:firstLine="464"/>
        <w:spacing w:after="0" w:line="266" w:lineRule="auto"/>
        <w:tabs>
          <w:tab w:leader="none" w:pos="71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the Borrowers and their Subsidiaries may make payment of current interest, expenses and indemnities in respect of Subordinated Indebtedness (other than any such payments prohibited by the subordination provisions applicable thereto);</w:t>
      </w:r>
    </w:p>
    <w:p>
      <w:pPr>
        <w:spacing w:after="0" w:line="176" w:lineRule="exact"/>
        <w:rPr>
          <w:rFonts w:ascii="Times New Roman" w:cs="Times New Roman" w:eastAsia="Times New Roman" w:hAnsi="Times New Roman"/>
          <w:sz w:val="18"/>
          <w:szCs w:val="18"/>
          <w:color w:val="auto"/>
        </w:rPr>
      </w:pPr>
    </w:p>
    <w:p>
      <w:pPr>
        <w:ind w:right="540" w:firstLine="464"/>
        <w:spacing w:after="0" w:line="282" w:lineRule="auto"/>
        <w:tabs>
          <w:tab w:leader="none" w:pos="70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each Subsidiary may make Restricted Payments with the proceeds received from the substantially concurrent issue of new common Equity Interests; and</w:t>
      </w:r>
    </w:p>
    <w:p>
      <w:pPr>
        <w:spacing w:after="0" w:line="161" w:lineRule="exact"/>
        <w:rPr>
          <w:rFonts w:ascii="Times New Roman" w:cs="Times New Roman" w:eastAsia="Times New Roman" w:hAnsi="Times New Roman"/>
          <w:sz w:val="18"/>
          <w:szCs w:val="18"/>
          <w:color w:val="auto"/>
        </w:rPr>
      </w:pPr>
    </w:p>
    <w:p>
      <w:pPr>
        <w:ind w:right="120" w:firstLine="464"/>
        <w:spacing w:after="0" w:line="258" w:lineRule="auto"/>
        <w:tabs>
          <w:tab w:leader="none" w:pos="71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their Subsidiaries may make Restricted Payments not otherwise permitted by this Section, so long as (i) no Default or Event of Default has occurred and is continuing or would result therefrom, and (ii) after giving pro forma effect to such Restricted Payment (and to any Indebtedness incurred in connection therewith), the (A) Availability on each of the 30 consecutive days preceding the proposed date of such Restricted Payment and on such Restricted Payment date, exceeds the Covenant Threshold (RP) and (B) if Availability is less than the Minimum FCCR Amount (RP), the Fixed Charge Coverage Ratio is greater than 1.05 to 1.0;</w:t>
      </w:r>
    </w:p>
    <w:p>
      <w:pPr>
        <w:sectPr>
          <w:pgSz w:w="11900" w:h="16838" w:orient="portrait"/>
          <w:cols w:equalWidth="0" w:num="1">
            <w:col w:w="11420"/>
          </w:cols>
          <w:pgMar w:left="240" w:top="270" w:right="239" w:bottom="1440" w:gutter="0" w:footer="0" w:header="0"/>
        </w:sectPr>
      </w:pPr>
    </w:p>
    <w:bookmarkStart w:id="299" w:name="page300"/>
    <w:bookmarkEnd w:id="299"/>
    <w:p>
      <w:pPr>
        <w:ind w:firstLine="464"/>
        <w:spacing w:after="0" w:line="258" w:lineRule="auto"/>
        <w:tabs>
          <w:tab w:leader="none" w:pos="70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make Capital Distributions, consistent with its past practice, in the form of dividends to shareholders of Equity Interests in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all such Capital Distributions shall not exceed $8,000,000 per fiscal year of the Company; (ii) no Default shall have occurred and be continuing or would result from any such Capital Distribution and (iii) after giving pro forma effect to any such Capital Distribution (and to any Indebtedness incurred in connection therewith), the Availability on each of the 30 consecutive days preceding the proposed date of such Restricted Payment and on such Restricted Payment date, exceeds the Aggregate Liquidity Threshold;</w:t>
      </w:r>
    </w:p>
    <w:p>
      <w:pPr>
        <w:spacing w:after="0" w:line="183" w:lineRule="exact"/>
        <w:rPr>
          <w:rFonts w:ascii="Times New Roman" w:cs="Times New Roman" w:eastAsia="Times New Roman" w:hAnsi="Times New Roman"/>
          <w:sz w:val="18"/>
          <w:szCs w:val="18"/>
          <w:color w:val="auto"/>
        </w:rPr>
      </w:pPr>
    </w:p>
    <w:p>
      <w:pPr>
        <w:jc w:val="both"/>
        <w:ind w:firstLine="464"/>
        <w:spacing w:after="0" w:line="266" w:lineRule="auto"/>
        <w:tabs>
          <w:tab w:leader="none" w:pos="68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their Subsidiaries may make voluntary prepayments of the Term Loans so long as such voluntary prepayments are not made with the proceeds of Loans hereunder or any other proceeds or funds that are required to be applied hereunder, subject to the terms of the Intercreditor Agreement, to the U.S. Obligations or the Dutch Obligations under the terms of this Agreement or any other Loan Document; and</w:t>
      </w:r>
    </w:p>
    <w:p>
      <w:pPr>
        <w:spacing w:after="0" w:line="176" w:lineRule="exact"/>
        <w:rPr>
          <w:rFonts w:ascii="Times New Roman" w:cs="Times New Roman" w:eastAsia="Times New Roman" w:hAnsi="Times New Roman"/>
          <w:sz w:val="18"/>
          <w:szCs w:val="18"/>
          <w:color w:val="auto"/>
        </w:rPr>
      </w:pPr>
    </w:p>
    <w:p>
      <w:pPr>
        <w:ind w:right="120" w:firstLine="464"/>
        <w:spacing w:after="0" w:line="282" w:lineRule="auto"/>
        <w:tabs>
          <w:tab w:leader="none" w:pos="71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has occurred and is continuing or would result therefrom, each of Autocam do Brasil Usinagem, LTDA, Bouverat Industries S.A.S., and Autocam France, SARL may at any time repay its respective Indebtedness set forth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The Credit Parties will not permit the Fixed Charge Coverage Ratio, determined for any Testing Period ending on the last day of each fiscal quarter, to be less than 1.05 to 1.00, to be measured as of the last day of each fiscal quarter, commencing with the fiscal quarter ending immediately preceding the day Availability shall have been less than the Aggregate Liquidity Threshold. Once such covenant is in effect, compliance with the covenant will be discontinued at such time as the U.S. Availability has been greater than the U.S. Liquidity Cure Threshold for thirty consecutive calendar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covenant is subject to reinstatement after discontinuance thereof in the event that after such discontinuance, Availability shall have been less than the Aggregate Liquidity Threshold;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after Availability is less than the Aggregate Liquidity Threshold for the fifth time, such covenant shall remain in effect until the Revolving Facility Termination Date.</w:t>
      </w:r>
    </w:p>
    <w:p>
      <w:pPr>
        <w:spacing w:after="0" w:line="189"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No Credit Party will, nor will any Credit Party permit any of its Subsidiaries to engage in any business if, as a result thereof, the general nature of the business of the Company and its Subsidiaries taken as a whole would be substantially changed from the general nature of the business the Company and its Subsidiaries are engaged in on the Closing Date.</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Credit Party will, nor will any Credit Party permit any of its Subsidiaries to directly or indirectly, enter into or permit to exist any transaction (including, without limitation, the purchase, sale, lease or exchange of any property or the rendering of any service) with any Affiliate (other than a Credit Party) on terms that shall be less favorable to the Credit Party or such Subsidiary than those that might be obtained at the time in a transaction with a non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the payment of customary and reasonable directors’ fees to directors who are not employees of the Borrowers or any Subsidiary or an Affiliate.</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 Except as set forth in this Agreement and the other Loan Documents, no Credit Party will, nor will any Credit Party permit any of its Subsidiaries to directly or indirectly, create or otherwise cause or suffer to exist or become effective any encumbrance or restriction on the ability of any Subsidiary to (a) make, directly or indirectly, any Capital Distribution to a Borrower, (b) make, directly or indirectly, loans or advances or capital contributions to a Borrower or (c) transfer, directly or indirectly, any of the properties or assets of such Subsidiary to a Borrower; except for such encumbrances or restrictions existing under or by reason of (i) applicable Law, (ii) customary non-assignment</w:t>
      </w:r>
    </w:p>
    <w:p>
      <w:pPr>
        <w:sectPr>
          <w:pgSz w:w="11900" w:h="16838" w:orient="portrait"/>
          <w:cols w:equalWidth="0" w:num="1">
            <w:col w:w="11360"/>
          </w:cols>
          <w:pgMar w:left="240" w:top="270" w:right="2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in leases or other agreements entered in the ordinary course of business and consistent with past practices, (iii) the Term Loan Documents or</w:t>
      </w:r>
    </w:p>
    <w:p>
      <w:pPr>
        <w:spacing w:after="0" w:line="27" w:lineRule="exact"/>
        <w:rPr>
          <w:sz w:val="20"/>
          <w:szCs w:val="20"/>
          <w:color w:val="auto"/>
        </w:rPr>
      </w:pPr>
    </w:p>
    <w:p>
      <w:pPr>
        <w:ind w:right="240" w:firstLine="8"/>
        <w:spacing w:after="0" w:line="261" w:lineRule="auto"/>
        <w:tabs>
          <w:tab w:leader="none" w:pos="30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in security agreements or mortgages permitted hereunder securing Indebtedness or Capitalized Leases permitted hereunder, of a Subsidiary to the extent such restrictions shall only restrict the transfer of the property subject to such security agreement, mortgage or lease.</w:t>
      </w:r>
    </w:p>
    <w:p>
      <w:pPr>
        <w:spacing w:after="0" w:line="18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No Credit Party will, nor will any Credit Party permit any of its Subsidiaries to, directly or indirectly, and whether immediately, incidentally or ultimately:</w:t>
      </w:r>
    </w:p>
    <w:p>
      <w:pPr>
        <w:spacing w:after="0" w:line="162" w:lineRule="exact"/>
        <w:rPr>
          <w:sz w:val="20"/>
          <w:szCs w:val="20"/>
          <w:color w:val="auto"/>
        </w:rPr>
      </w:pPr>
    </w:p>
    <w:p>
      <w:pPr>
        <w:ind w:right="40" w:firstLine="464"/>
        <w:spacing w:after="0" w:line="282" w:lineRule="auto"/>
        <w:tabs>
          <w:tab w:leader="none" w:pos="701"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161" w:lineRule="exact"/>
        <w:rPr>
          <w:rFonts w:ascii="Times New Roman" w:cs="Times New Roman" w:eastAsia="Times New Roman" w:hAnsi="Times New Roman"/>
          <w:sz w:val="18"/>
          <w:szCs w:val="18"/>
          <w:color w:val="auto"/>
        </w:rPr>
      </w:pPr>
    </w:p>
    <w:p>
      <w:pPr>
        <w:ind w:firstLine="464"/>
        <w:spacing w:after="0" w:line="261" w:lineRule="auto"/>
        <w:tabs>
          <w:tab w:leader="none" w:pos="711"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Foreign Collateral Agent or otherwise) of Sanctions; or</w:t>
      </w:r>
    </w:p>
    <w:p>
      <w:pPr>
        <w:spacing w:after="0" w:line="180"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for any purpose which would breach any Anti-Corruption Laws.</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No Credit Party shall, nor shall it permit any of its Subsidiaries to, change (a) its Fiscal Year end from December 31 or (b) its accounting policies or reporting practices, except as required by GAAP.</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The Borrowers and each Credit Party shall not, directly or indirectly, use the proceeds of the credit provided under this Agreement, or lend, contribute or otherwise make available such proceeds to any subsidiary, joint venture partner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0"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Modification of Certain Agreements</w:t>
      </w:r>
      <w:r>
        <w:rPr>
          <w:rFonts w:ascii="Times New Roman" w:cs="Times New Roman" w:eastAsia="Times New Roman" w:hAnsi="Times New Roman"/>
          <w:sz w:val="18"/>
          <w:szCs w:val="18"/>
          <w:color w:val="auto"/>
        </w:rPr>
        <w:t>. Without the prior written consent of the Required Lenders, no Credit Party will amend, modify, supplement, waive or otherwise change, or consent or agree to any amendment, modification, supplement, waiver or other change to, or enter into any forbearance from exercising any rights with respect to the terms or provisions contained in:</w:t>
      </w:r>
    </w:p>
    <w:p>
      <w:pPr>
        <w:spacing w:after="0" w:line="176" w:lineRule="exact"/>
        <w:rPr>
          <w:sz w:val="20"/>
          <w:szCs w:val="20"/>
          <w:color w:val="auto"/>
        </w:rPr>
      </w:pPr>
    </w:p>
    <w:p>
      <w:pPr>
        <w:ind w:firstLine="464"/>
        <w:spacing w:after="0" w:line="258" w:lineRule="auto"/>
        <w:tabs>
          <w:tab w:leader="none" w:pos="70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Debt Document (other than any amendment, modification, supplement, waiver or other change for which no fee is payable to the holders of the Subordinated Indebtedness and that (i) extends the maturity or reduces the amount of any repayment, prepayment or redemption of the principal of such Subordinated Indebtedness, (ii) reduces the rate or extends any date for payment of interest, premium (if any) or fees payable on such Subordinated Indebtedness or (iii) makes the covenants, events of default or remedies in such Subordinated Debt Documents less restrictive on any applicable Credit Party);</w:t>
      </w:r>
    </w:p>
    <w:p>
      <w:pPr>
        <w:spacing w:after="0" w:line="183" w:lineRule="exact"/>
        <w:rPr>
          <w:rFonts w:ascii="Times New Roman" w:cs="Times New Roman" w:eastAsia="Times New Roman" w:hAnsi="Times New Roman"/>
          <w:sz w:val="18"/>
          <w:szCs w:val="18"/>
          <w:color w:val="auto"/>
        </w:rPr>
      </w:pPr>
    </w:p>
    <w:p>
      <w:pPr>
        <w:ind w:right="120" w:firstLine="464"/>
        <w:spacing w:after="0" w:line="266" w:lineRule="auto"/>
        <w:tabs>
          <w:tab w:leader="none" w:pos="71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of any preferred Equity Interests of the Credit Parties (other than any such amendment, modification, supplement, waiver or other change for which no fee is payable to the holders of such preferred stock and that (i) extends the scheduled redemption date or reduces the amount of any scheduled redemption payment or (ii) reduces the rate or extend any date for payment of dividends thereon);</w:t>
      </w:r>
    </w:p>
    <w:p>
      <w:pPr>
        <w:sectPr>
          <w:pgSz w:w="11900" w:h="16838" w:orient="portrait"/>
          <w:cols w:equalWidth="0" w:num="1">
            <w:col w:w="11400"/>
          </w:cols>
          <w:pgMar w:left="240" w:top="270" w:right="259" w:bottom="1440" w:gutter="0" w:footer="0" w:header="0"/>
        </w:sectPr>
      </w:pPr>
    </w:p>
    <w:bookmarkStart w:id="301" w:name="page302"/>
    <w:bookmarkEnd w:id="301"/>
    <w:p>
      <w:pPr>
        <w:ind w:right="320" w:firstLine="464"/>
        <w:spacing w:after="0" w:line="282" w:lineRule="auto"/>
        <w:tabs>
          <w:tab w:leader="none" w:pos="70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Credit Party’s Organizational Documents, except to the extent that such amendment, modification, or other change, could not reasonably be expected to be adverse to the Lenders;</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Loan Document or the Intercreditor Agreement, except to the extent not prohibited by the Intercreditor Agreement; or</w:t>
      </w:r>
    </w:p>
    <w:p>
      <w:pPr>
        <w:spacing w:after="0" w:line="225" w:lineRule="exact"/>
        <w:rPr>
          <w:rFonts w:ascii="Times New Roman" w:cs="Times New Roman" w:eastAsia="Times New Roman" w:hAnsi="Times New Roman"/>
          <w:sz w:val="18"/>
          <w:szCs w:val="18"/>
          <w:color w:val="auto"/>
        </w:rPr>
      </w:pPr>
    </w:p>
    <w:p>
      <w:pPr>
        <w:ind w:right="240" w:firstLine="464"/>
        <w:spacing w:after="0" w:line="282" w:lineRule="auto"/>
        <w:tabs>
          <w:tab w:leader="none" w:pos="70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or other Material Indebtedness Agreement, except to the extent that such amendment, modification, supplement, waiver or other change, or forbearance, (i) is otherwise permitted by this Section or (ii) could not reasonably be expected to cause a Material Adverse Effect.</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No Credit Party shall establish any new Deposit Accounts unless the Administrative Agent or Foreign Collateral Agent, as applicable, and the depository institution at which the account is to be opened enter into a Control Agreement pursuant to which such depository institution acknowledges the security interest of the Administrative Agent or Foreign Collateral Agent in such Deposit Account, agrees to comply with instructions originated by the Administrative Agent or Foreign Collateral Agent directing disposition of the funds in the Deposit Account without further consent from the Borrowers or such Credit Party, and agrees to subordinate and limit any security interest the bank may have in the Deposit Account and waive all rights of set-off with respect thereto (other than for customary fees and expenses) on terms satisfactory to the Administrative Agent or the Foreign Collateral Agent, as applicable.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specified events shall constitute an Event of Default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64"/>
        <w:spacing w:after="0" w:line="261" w:lineRule="auto"/>
        <w:tabs>
          <w:tab w:leader="none" w:pos="70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Borrowers or any other Credit Party shall (i) default in the payment when due (whether at maturity, on a date fixed for a scheduled repayment, on a date on which a required prepayment is to be made, upon acceleration or otherwise) of any principal of or interest on the Loans or any reimbursement obligation in respect of any Unpaid Drawing; or (ii) default in the payment any Fees or any other Obligations within 3 Business Days following the date due; or (iii) fail to Cash Collateralize any Letter of Credit when required to do so hereunder; or</w:t>
      </w:r>
    </w:p>
    <w:p>
      <w:pPr>
        <w:spacing w:after="0" w:line="180" w:lineRule="exact"/>
        <w:rPr>
          <w:rFonts w:ascii="Times New Roman" w:cs="Times New Roman" w:eastAsia="Times New Roman" w:hAnsi="Times New Roman"/>
          <w:sz w:val="18"/>
          <w:szCs w:val="18"/>
          <w:color w:val="auto"/>
        </w:rPr>
      </w:pPr>
    </w:p>
    <w:p>
      <w:pPr>
        <w:ind w:right="40" w:firstLine="464"/>
        <w:spacing w:after="0" w:line="261" w:lineRule="auto"/>
        <w:tabs>
          <w:tab w:leader="none" w:pos="71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etc</w:t>
      </w:r>
      <w:r>
        <w:rPr>
          <w:rFonts w:ascii="Times New Roman" w:cs="Times New Roman" w:eastAsia="Times New Roman" w:hAnsi="Times New Roman"/>
          <w:sz w:val="18"/>
          <w:szCs w:val="18"/>
          <w:color w:val="auto"/>
        </w:rPr>
        <w:t>.: any representation, warranty or statement made by the Borrowers or any other Credit Party herein or in any other Loan Document or in any statement or certificate delivered or required to be delivered pursuant hereto or thereto shall prove to be untrue in any material respect on the date as of which made, deemed made, or confirmed (or, if any such representation, warranty or statement is by its terms qualified by concepts of materiality or reference to Material Adverse Effect, such representation, warranty or statement in any respect); or</w:t>
      </w:r>
    </w:p>
    <w:p>
      <w:pPr>
        <w:spacing w:after="0" w:line="180" w:lineRule="exact"/>
        <w:rPr>
          <w:rFonts w:ascii="Times New Roman" w:cs="Times New Roman" w:eastAsia="Times New Roman" w:hAnsi="Times New Roman"/>
          <w:sz w:val="18"/>
          <w:szCs w:val="18"/>
          <w:color w:val="auto"/>
        </w:rPr>
      </w:pPr>
    </w:p>
    <w:p>
      <w:pPr>
        <w:ind w:right="340" w:firstLine="464"/>
        <w:spacing w:after="0" w:line="282" w:lineRule="auto"/>
        <w:tabs>
          <w:tab w:leader="none" w:pos="70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w:t>
      </w:r>
      <w:r>
        <w:rPr>
          <w:rFonts w:ascii="Times New Roman" w:cs="Times New Roman" w:eastAsia="Times New Roman" w:hAnsi="Times New Roman"/>
          <w:sz w:val="18"/>
          <w:szCs w:val="18"/>
          <w:color w:val="auto"/>
        </w:rPr>
        <w:t xml:space="preserve">: if any Credit Party shall default in the due performance or observance by it of any term, covenant or agreement contained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6.21</w:t>
      </w:r>
      <w:r>
        <w:rPr>
          <w:rFonts w:ascii="Times New Roman" w:cs="Times New Roman" w:eastAsia="Times New Roman" w:hAnsi="Times New Roman"/>
          <w:sz w:val="18"/>
          <w:szCs w:val="18"/>
          <w:color w:val="auto"/>
        </w:rPr>
        <w:t xml:space="preserve"> or any Section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thereof; or</w:t>
      </w:r>
    </w:p>
    <w:p>
      <w:pPr>
        <w:spacing w:after="0" w:line="161" w:lineRule="exact"/>
        <w:rPr>
          <w:rFonts w:ascii="Times New Roman" w:cs="Times New Roman" w:eastAsia="Times New Roman" w:hAnsi="Times New Roman"/>
          <w:sz w:val="18"/>
          <w:szCs w:val="18"/>
          <w:color w:val="auto"/>
        </w:rPr>
      </w:pPr>
    </w:p>
    <w:p>
      <w:pPr>
        <w:ind w:right="300" w:firstLine="464"/>
        <w:spacing w:after="0" w:line="282" w:lineRule="auto"/>
        <w:tabs>
          <w:tab w:leader="none" w:pos="71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xml:space="preserve">: any Credit Party shall default in the due performance or observance by it of any term, covenant or agreement contained in this Agreement or any other Loan Document (other than those referred to in </w:t>
      </w:r>
      <w:r>
        <w:rPr>
          <w:rFonts w:ascii="Times New Roman" w:cs="Times New Roman" w:eastAsia="Times New Roman" w:hAnsi="Times New Roman"/>
          <w:sz w:val="18"/>
          <w:szCs w:val="18"/>
          <w:u w:val="single" w:color="auto"/>
          <w:color w:val="auto"/>
        </w:rPr>
        <w:t>Section 8.01(a) or (b) or (c)</w:t>
      </w:r>
      <w:r>
        <w:rPr>
          <w:rFonts w:ascii="Times New Roman" w:cs="Times New Roman" w:eastAsia="Times New Roman" w:hAnsi="Times New Roman"/>
          <w:sz w:val="18"/>
          <w:szCs w:val="18"/>
          <w:color w:val="auto"/>
        </w:rPr>
        <w:t xml:space="preserve"> above) and such default is not remedied within 15</w:t>
      </w:r>
    </w:p>
    <w:p>
      <w:pPr>
        <w:sectPr>
          <w:pgSz w:w="11900" w:h="16838" w:orient="portrait"/>
          <w:cols w:equalWidth="0" w:num="1">
            <w:col w:w="11400"/>
          </w:cols>
          <w:pgMar w:left="240" w:top="270" w:right="259" w:bottom="1440" w:gutter="0" w:footer="0" w:header="0"/>
        </w:sectPr>
      </w:pPr>
    </w:p>
    <w:bookmarkStart w:id="302" w:name="page303"/>
    <w:bookmarkEnd w:id="302"/>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after the earlier of (i) an Authorized Officer of any Credit Party obtaining knowledge of such default or (ii) the Borrowers receiving written notice of such default from the Administrative Agent or the Required Lenders (any such notice to be identified as a “notice of default” and to refer specifically to this paragraph); or</w:t>
      </w:r>
    </w:p>
    <w:p>
      <w:pPr>
        <w:spacing w:after="0" w:line="176" w:lineRule="exact"/>
        <w:rPr>
          <w:sz w:val="20"/>
          <w:szCs w:val="20"/>
          <w:color w:val="auto"/>
        </w:rPr>
      </w:pPr>
    </w:p>
    <w:p>
      <w:pPr>
        <w:ind w:firstLine="464"/>
        <w:spacing w:after="0" w:line="255" w:lineRule="auto"/>
        <w:tabs>
          <w:tab w:leader="none" w:pos="701"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 Default Under Other Agreements; Designated Hedge Agreements</w:t>
      </w:r>
      <w:r>
        <w:rPr>
          <w:rFonts w:ascii="Times New Roman" w:cs="Times New Roman" w:eastAsia="Times New Roman" w:hAnsi="Times New Roman"/>
          <w:sz w:val="18"/>
          <w:szCs w:val="18"/>
          <w:color w:val="auto"/>
        </w:rPr>
        <w:t>: if any Credit Party or any Subsidiary shall default in (i) the payment of any amount due and owing with respect to Term Loan Documents or any Material Indebtedness Agreement beyond any period of grace provided with respect thereto, (ii) the performance or observance of any other agreement, term or condition contained in any Term Loan Document, any other Material Indebtedness Agreement or any other agreement under which such obligation is created, if the effect of such default is to allow the acceleration of the maturity of any Indebtedness under any Material Indebtedness Agreement or under the Term Loan Credit Agreement or to permit the holder thereof to cause such Indebtedness thereunder to become due prior to its stated maturity or (iii) without limitation of the foregoing clauses, default in any payment obligation under a Designated Hedge Agreement, and such default shall continue after the applicable grace period, if any, specified in such Designated Hedge Agreement or any other agreement or instrument relating thereto; or</w:t>
      </w:r>
    </w:p>
    <w:p>
      <w:pPr>
        <w:spacing w:after="0" w:line="185" w:lineRule="exact"/>
        <w:rPr>
          <w:rFonts w:ascii="Times New Roman" w:cs="Times New Roman" w:eastAsia="Times New Roman" w:hAnsi="Times New Roman"/>
          <w:sz w:val="18"/>
          <w:szCs w:val="18"/>
          <w:color w:val="auto"/>
        </w:rPr>
      </w:pPr>
    </w:p>
    <w:p>
      <w:pPr>
        <w:jc w:val="both"/>
        <w:ind w:right="100" w:firstLine="464"/>
        <w:spacing w:after="0" w:line="266" w:lineRule="auto"/>
        <w:tabs>
          <w:tab w:leader="none" w:pos="681"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Default</w:t>
      </w:r>
      <w:r>
        <w:rPr>
          <w:rFonts w:ascii="Times New Roman" w:cs="Times New Roman" w:eastAsia="Times New Roman" w:hAnsi="Times New Roman"/>
          <w:sz w:val="18"/>
          <w:szCs w:val="18"/>
          <w:color w:val="auto"/>
        </w:rPr>
        <w:t>. The occurrence of one or more ERISA Events that (a) the Required Lenders determine, either individually or in the aggregate, has or would reasonably be expected to have a Material Adverse Effect, or (b) results in a Lien on any of the assets of any Credit Party or any Subsidiary thereof and such Lien is not released within 30 days; provided that adequate reserves have been established in accordance with GAAP with respect to such Lien; or</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any Change in Control shall occur; or</w:t>
      </w:r>
    </w:p>
    <w:p>
      <w:pPr>
        <w:spacing w:after="0" w:line="225" w:lineRule="exact"/>
        <w:rPr>
          <w:rFonts w:ascii="Times New Roman" w:cs="Times New Roman" w:eastAsia="Times New Roman" w:hAnsi="Times New Roman"/>
          <w:sz w:val="18"/>
          <w:szCs w:val="18"/>
          <w:color w:val="auto"/>
        </w:rPr>
      </w:pPr>
    </w:p>
    <w:p>
      <w:pPr>
        <w:ind w:right="160" w:firstLine="464"/>
        <w:spacing w:after="0" w:line="253" w:lineRule="auto"/>
        <w:tabs>
          <w:tab w:leader="none" w:pos="711"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(i) A final judgment or order for the payment of money shall be rendered against any Credit Party or any Subsidiary thereof by a court of competent jurisdiction, that remains unpaid or unstayed and undischarged for a period (during which execution shall not be effectively stayed) of 30 days after the date on which the right to appeal has expired and the aggregate of all such judgments, for all such Credit Parties or Subsidiaries, shall exceed $7,000,000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Credit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period of 10 consecutive days during which a stay of enforcement of such judgment, by reason of a pending appeal or otherwise, is not in effect;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the Loan Documents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right="40" w:firstLine="443"/>
        <w:spacing w:after="0" w:line="258" w:lineRule="auto"/>
        <w:tabs>
          <w:tab w:leader="none" w:pos="1113" w:val="left"/>
        </w:tabs>
        <w:numPr>
          <w:ilvl w:val="2"/>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Lien granted in this Agreement or any other Loan Document in favor of the Administrative Agent or the Foreign Collateral Agent shall be determined to be (i) void, voidable or invalid, or is subordinated or not otherwise given the priority contemplated by this Agreement and the Intercreditor Agreement and the Borrowers have (or the appropriate Credit Party has) failed to promptly execute appropriate documents to correct such matters, or (ii) unperfected as to any material amount of Collateral (as determined by the Administrative Agent, in its reasonable discretion) and the Borrowers have (or the appropriate Credit Party has) failed to promptly execute appropriate documents to correct such matters;</w:t>
      </w:r>
    </w:p>
    <w:p>
      <w:pPr>
        <w:sectPr>
          <w:pgSz w:w="11900" w:h="16838" w:orient="portrait"/>
          <w:cols w:equalWidth="0" w:num="1">
            <w:col w:w="11400"/>
          </w:cols>
          <w:pgMar w:left="240" w:top="270" w:right="259" w:bottom="1440" w:gutter="0" w:footer="0" w:header="0"/>
        </w:sectPr>
      </w:pPr>
    </w:p>
    <w:bookmarkStart w:id="303" w:name="page304"/>
    <w:bookmarkEnd w:id="303"/>
    <w:p>
      <w:pPr>
        <w:ind w:left="1160" w:hanging="257"/>
        <w:spacing w:after="0"/>
        <w:tabs>
          <w:tab w:leader="none" w:pos="11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The validity, binding effect or enforceability of any Loan Document against any Credit Party shall be contested by any Credit Party;</w:t>
      </w:r>
    </w:p>
    <w:p>
      <w:pPr>
        <w:spacing w:after="0" w:line="27" w:lineRule="exact"/>
        <w:rPr>
          <w:rFonts w:ascii="Times New Roman" w:cs="Times New Roman" w:eastAsia="Times New Roman" w:hAnsi="Times New Roman"/>
          <w:sz w:val="18"/>
          <w:szCs w:val="18"/>
          <w:color w:val="auto"/>
        </w:rPr>
      </w:pPr>
    </w:p>
    <w:p>
      <w:pPr>
        <w:ind w:left="460" w:right="260" w:firstLine="4"/>
        <w:spacing w:after="0" w:line="255" w:lineRule="auto"/>
        <w:tabs>
          <w:tab w:leader="none" w:pos="74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shall deny that it has any or further liability or obligation under any Loan Document; or (C) any Loan Document shall be terminated, invalidated or set aside, or be declared ineffective or inoperative or in any way cease to give or provide to the Administrative Agent, the Foreign Collateral Agent or the Lenders the benefits purported to be created thereby; or</w:t>
      </w:r>
    </w:p>
    <w:p>
      <w:pPr>
        <w:spacing w:after="0" w:line="186" w:lineRule="exact"/>
        <w:rPr>
          <w:sz w:val="20"/>
          <w:szCs w:val="20"/>
          <w:color w:val="auto"/>
        </w:rPr>
      </w:pPr>
    </w:p>
    <w:p>
      <w:pPr>
        <w:ind w:right="420" w:firstLine="464"/>
        <w:spacing w:after="0" w:line="282" w:lineRule="auto"/>
        <w:tabs>
          <w:tab w:leader="none" w:pos="671"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If any Credit Party or any Subsidiary thereof (other than an Inactive Subsidiary or an Immaterial Subsidiary) shall permit an Insolvency Event to occur; or</w:t>
      </w:r>
    </w:p>
    <w:p>
      <w:pPr>
        <w:spacing w:after="0" w:line="161" w:lineRule="exact"/>
        <w:rPr>
          <w:rFonts w:ascii="Times New Roman" w:cs="Times New Roman" w:eastAsia="Times New Roman" w:hAnsi="Times New Roman"/>
          <w:sz w:val="18"/>
          <w:szCs w:val="18"/>
          <w:color w:val="auto"/>
        </w:rPr>
      </w:pPr>
    </w:p>
    <w:p>
      <w:pPr>
        <w:ind w:right="180" w:firstLine="464"/>
        <w:spacing w:after="0" w:line="254" w:lineRule="auto"/>
        <w:tabs>
          <w:tab w:leader="none" w:pos="711"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 Senior Debt Status</w:t>
      </w:r>
      <w:r>
        <w:rPr>
          <w:rFonts w:ascii="Times New Roman" w:cs="Times New Roman" w:eastAsia="Times New Roman" w:hAnsi="Times New Roman"/>
          <w:sz w:val="18"/>
          <w:szCs w:val="18"/>
          <w:color w:val="auto"/>
        </w:rPr>
        <w:t xml:space="preserve">. (1) The Intercreditor Agreement shall be invalidated or otherwise cease to constitute the legal, valid and binding obligations of the Term Loan Agent, enforceable in accordance with its terms (to the extent that any Indebtedness held by such party remains outstanding), (ii) the Obligations of each Credit Party under this Agreement and each of the other Loan Documents shall fail to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 material senior Indebtedness of the Credit Parties and be designated as “Senior Indebtedness”, “Designated Senior Debt” or such similar term under all instruments and documents relating to all Subordinated Indebtedness and all senior unsecured Indebtedness of such Person or</w:t>
      </w:r>
    </w:p>
    <w:p>
      <w:pPr>
        <w:spacing w:after="0" w:line="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breach or event of default shall have occurred under the Intercreditor Agreement; or</w:t>
      </w:r>
    </w:p>
    <w:p>
      <w:pPr>
        <w:spacing w:after="0" w:line="206" w:lineRule="exact"/>
        <w:rPr>
          <w:rFonts w:ascii="Times New Roman" w:cs="Times New Roman" w:eastAsia="Times New Roman" w:hAnsi="Times New Roman"/>
          <w:sz w:val="18"/>
          <w:szCs w:val="18"/>
          <w:color w:val="auto"/>
        </w:rPr>
      </w:pPr>
    </w:p>
    <w:p>
      <w:pPr>
        <w:ind w:right="760" w:firstLine="464"/>
        <w:spacing w:after="0" w:line="282" w:lineRule="auto"/>
        <w:tabs>
          <w:tab w:leader="none" w:pos="671"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Insurance Endorsements</w:t>
      </w:r>
      <w:r>
        <w:rPr>
          <w:rFonts w:ascii="Times New Roman" w:cs="Times New Roman" w:eastAsia="Times New Roman" w:hAnsi="Times New Roman"/>
          <w:sz w:val="18"/>
          <w:szCs w:val="18"/>
          <w:color w:val="auto"/>
        </w:rPr>
        <w:t>: within 30 days of the Closing Date, the Insurance Endorsements shall not have been received by the Administrative Agent.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of any Event of Default, and at any time thereafter, if any Event of Default shall then be continuing, the Administrative Agent (i) may, in its discretion, or (ii) shall, upon the written request of the Required Lenders, by written notice to the Borrowers, take any or all of the following actions, without prejudice to the rights of the Administrative Agent or any Lender to enforce its claims against the Borrowers or any other Credit Party in any manner permitted under applicable law:</w:t>
      </w:r>
    </w:p>
    <w:p>
      <w:pPr>
        <w:spacing w:after="0" w:line="180" w:lineRule="exact"/>
        <w:rPr>
          <w:sz w:val="20"/>
          <w:szCs w:val="20"/>
          <w:color w:val="auto"/>
        </w:rPr>
      </w:pPr>
    </w:p>
    <w:p>
      <w:pPr>
        <w:ind w:right="380" w:firstLine="464"/>
        <w:spacing w:after="0" w:line="282" w:lineRule="auto"/>
        <w:tabs>
          <w:tab w:leader="none" w:pos="70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Revolving Commitments terminated, whereupon the Revolving Commitment of each Lender shall forthwith terminate immediately without any other notice of any kind;</w:t>
      </w:r>
    </w:p>
    <w:p>
      <w:pPr>
        <w:spacing w:after="0" w:line="161" w:lineRule="exact"/>
        <w:rPr>
          <w:rFonts w:ascii="Times New Roman" w:cs="Times New Roman" w:eastAsia="Times New Roman" w:hAnsi="Times New Roman"/>
          <w:sz w:val="18"/>
          <w:szCs w:val="18"/>
          <w:color w:val="auto"/>
        </w:rPr>
      </w:pPr>
    </w:p>
    <w:p>
      <w:pPr>
        <w:ind w:right="120" w:firstLine="464"/>
        <w:spacing w:after="0" w:line="266" w:lineRule="auto"/>
        <w:tabs>
          <w:tab w:leader="none" w:pos="71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principal of and any accrued interest in respect of all Loans, all Unpaid Drawings and all other Obligations (other than any Obligations under any Designated Hedge Agreement) owing hereunder and thereunder to be, whereupon the same shall become, forthwith due and payable without presentment, demand, protest or other notice of any kind, all of which are hereby waived by the Borrowers;</w:t>
      </w:r>
    </w:p>
    <w:p>
      <w:pPr>
        <w:spacing w:after="0" w:line="176" w:lineRule="exact"/>
        <w:rPr>
          <w:rFonts w:ascii="Times New Roman" w:cs="Times New Roman" w:eastAsia="Times New Roman" w:hAnsi="Times New Roman"/>
          <w:sz w:val="18"/>
          <w:szCs w:val="18"/>
          <w:color w:val="auto"/>
        </w:rPr>
      </w:pPr>
    </w:p>
    <w:p>
      <w:pPr>
        <w:ind w:right="180" w:firstLine="464"/>
        <w:spacing w:after="0" w:line="282" w:lineRule="auto"/>
        <w:tabs>
          <w:tab w:leader="none" w:pos="70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terminate any Letter of Credit that may be terminated in accordance with its terms and/or (ii) require the Borrowers to Cash Collateralize all or any portion of the LC Outstandings in an amount determined by the Administrative Agent, in its sole discretion; or</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right or remedy available under any of the Loan Documents or applicable law;</w:t>
      </w:r>
    </w:p>
    <w:p>
      <w:pPr>
        <w:spacing w:after="0" w:line="225"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specified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shall occur, the result that would occur upon the giving of written notice by the Administrative Agent as specified in clauses (a), (b) and/or (c)(ii) above shall occur automatically without the giving of any such notice.</w:t>
      </w:r>
    </w:p>
    <w:p>
      <w:pPr>
        <w:sectPr>
          <w:pgSz w:w="11900" w:h="16838" w:orient="portrait"/>
          <w:cols w:equalWidth="0" w:num="1">
            <w:col w:w="11380"/>
          </w:cols>
          <w:pgMar w:left="240" w:top="270" w:right="279" w:bottom="1440" w:gutter="0" w:footer="0" w:header="0"/>
        </w:sectPr>
      </w:pPr>
    </w:p>
    <w:bookmarkStart w:id="304" w:name="page305"/>
    <w:bookmarkEnd w:id="304"/>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Application of Certain Payments and Proceeds</w:t>
      </w:r>
      <w:r>
        <w:rPr>
          <w:rFonts w:ascii="Times New Roman" w:cs="Times New Roman" w:eastAsia="Times New Roman" w:hAnsi="Times New Roman"/>
          <w:sz w:val="18"/>
          <w:szCs w:val="18"/>
          <w:color w:val="auto"/>
        </w:rPr>
        <w:t>. All payments and other amounts received by the Administrative Agent, Foreign Collateral Agent or any Lender through the exercise of remedies hereunder or under the other Loan Documents shall, unless otherwise required by the terms of the other Loan Documents or by applicable law, be applied as follows:</w:t>
      </w:r>
    </w:p>
    <w:p>
      <w:pPr>
        <w:spacing w:after="0" w:line="176" w:lineRule="exact"/>
        <w:rPr>
          <w:sz w:val="20"/>
          <w:szCs w:val="20"/>
          <w:color w:val="auto"/>
        </w:rPr>
      </w:pPr>
    </w:p>
    <w:p>
      <w:pPr>
        <w:ind w:left="700" w:hanging="236"/>
        <w:spacing w:after="0"/>
        <w:tabs>
          <w:tab w:leader="none" w:pos="7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monies, property or Collateral of or from any U.S. Credit Party:</w:t>
      </w:r>
    </w:p>
    <w:p>
      <w:pPr>
        <w:spacing w:after="0" w:line="115"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that portion of the U.S. Obligations constituting fees, indemnities and expenses and other amounts (including</w:t>
      </w:r>
    </w:p>
    <w:p>
      <w:pPr>
        <w:spacing w:after="0" w:line="29" w:lineRule="exact"/>
        <w:rPr>
          <w:rFonts w:ascii="Times New Roman" w:cs="Times New Roman" w:eastAsia="Times New Roman" w:hAnsi="Times New Roman"/>
          <w:sz w:val="18"/>
          <w:szCs w:val="18"/>
          <w:color w:val="auto"/>
        </w:rPr>
      </w:pPr>
    </w:p>
    <w:p>
      <w:pPr>
        <w:ind w:left="4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attorneys’ fees and amounts due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and the Foreign Collateral Agent in their respective capacity as such, pro rata;</w:t>
      </w:r>
    </w:p>
    <w:p>
      <w:pPr>
        <w:spacing w:after="0" w:line="69" w:lineRule="exact"/>
        <w:rPr>
          <w:rFonts w:ascii="Times New Roman" w:cs="Times New Roman" w:eastAsia="Times New Roman" w:hAnsi="Times New Roman"/>
          <w:sz w:val="18"/>
          <w:szCs w:val="18"/>
          <w:color w:val="auto"/>
        </w:rPr>
      </w:pPr>
    </w:p>
    <w:p>
      <w:pPr>
        <w:jc w:val="both"/>
        <w:ind w:left="460" w:right="460" w:firstLine="443"/>
        <w:spacing w:after="0" w:line="284" w:lineRule="auto"/>
        <w:tabs>
          <w:tab w:leader="none" w:pos="116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that portion of the U.S. Obligations constituting fees, indemnities and expenses (including attorneys’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amounts due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each Lender or each LC Issuer, ratably among them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60" w:right="1100" w:firstLine="443"/>
        <w:spacing w:after="0" w:line="284" w:lineRule="auto"/>
        <w:tabs>
          <w:tab w:leader="none" w:pos="121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payment of that portion of the U.S. Obligations constituting accrued and unpaid interest on Agent Advances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and the Foreign Collateral Agent, pro rata;</w:t>
      </w:r>
    </w:p>
    <w:p>
      <w:pPr>
        <w:spacing w:after="0" w:line="50" w:lineRule="exact"/>
        <w:rPr>
          <w:rFonts w:ascii="Times New Roman" w:cs="Times New Roman" w:eastAsia="Times New Roman" w:hAnsi="Times New Roman"/>
          <w:sz w:val="18"/>
          <w:szCs w:val="18"/>
          <w:color w:val="auto"/>
        </w:rPr>
      </w:pPr>
    </w:p>
    <w:p>
      <w:pPr>
        <w:ind w:left="460" w:right="240" w:firstLine="443"/>
        <w:spacing w:after="0" w:line="284" w:lineRule="auto"/>
        <w:tabs>
          <w:tab w:leader="none" w:pos="120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payment of that portion of the U.S. Obligations constituting accrued and unpaid interest on Overadvances, ratably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60" w:right="1100" w:firstLine="443"/>
        <w:spacing w:after="0" w:line="284" w:lineRule="auto"/>
        <w:tabs>
          <w:tab w:leader="none" w:pos="115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the payment of that portion of the U.S. Obligations constituting accrued and unpaid principal on Agent Advances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and the Foreign Collateral Agent, pro rata;</w:t>
      </w:r>
    </w:p>
    <w:p>
      <w:pPr>
        <w:spacing w:after="0" w:line="50" w:lineRule="exact"/>
        <w:rPr>
          <w:rFonts w:ascii="Times New Roman" w:cs="Times New Roman" w:eastAsia="Times New Roman" w:hAnsi="Times New Roman"/>
          <w:sz w:val="18"/>
          <w:szCs w:val="18"/>
          <w:color w:val="auto"/>
        </w:rPr>
      </w:pPr>
    </w:p>
    <w:p>
      <w:pPr>
        <w:ind w:left="460" w:right="220" w:firstLine="443"/>
        <w:spacing w:after="0" w:line="284" w:lineRule="auto"/>
        <w:tabs>
          <w:tab w:leader="none" w:pos="120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that portion of the U.S. Obligations constituting accrued and unpaid principal on Overadvances, ratably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60" w:right="160" w:firstLine="443"/>
        <w:spacing w:after="0" w:line="284" w:lineRule="auto"/>
        <w:tabs>
          <w:tab w:leader="none" w:pos="125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the payment of that portion of the U.S. Obligations constituting accrued and unpaid interest on the Loans and Unpaid Drawings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Letters of Credit, ratably among the Lenders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60" w:right="20" w:firstLine="443"/>
        <w:spacing w:after="0" w:line="261" w:lineRule="auto"/>
        <w:tabs>
          <w:tab w:leader="none" w:pos="130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the payment of that portion of the U.S. Obligations constituting unpaid principal of the Loans and Unpaid Drawings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of any amounts owing to Designated Hedge Creditors under Designated Hedge Agreements up to and including the amount most recently provided to the Administrative Agent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for which U.S. Reserves have been established, ratably among the Lenders (or Affiliates thereof in the case of Designated Hedge Agreements) and each LC Issuer in proportion to the aggregate of all such amounts;</w:t>
      </w:r>
    </w:p>
    <w:p>
      <w:pPr>
        <w:spacing w:after="0" w:line="71" w:lineRule="exact"/>
        <w:rPr>
          <w:rFonts w:ascii="Times New Roman" w:cs="Times New Roman" w:eastAsia="Times New Roman" w:hAnsi="Times New Roman"/>
          <w:sz w:val="18"/>
          <w:szCs w:val="18"/>
          <w:color w:val="auto"/>
        </w:rPr>
      </w:pPr>
    </w:p>
    <w:p>
      <w:pPr>
        <w:ind w:left="460" w:right="180" w:firstLine="443"/>
        <w:spacing w:after="0" w:line="284" w:lineRule="auto"/>
        <w:tabs>
          <w:tab w:leader="none" w:pos="120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ninth</w:t>
      </w:r>
      <w:r>
        <w:rPr>
          <w:rFonts w:ascii="Times New Roman" w:cs="Times New Roman" w:eastAsia="Times New Roman" w:hAnsi="Times New Roman"/>
          <w:sz w:val="18"/>
          <w:szCs w:val="18"/>
          <w:color w:val="auto"/>
        </w:rPr>
        <w:t>, to the Administrative Agent and the Foreign Collateral Agent for the benefit of each LC Issuer to ratably Cash Collateralize 105%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LC Outstandings;</w:t>
      </w:r>
    </w:p>
    <w:p>
      <w:pPr>
        <w:spacing w:after="0" w:line="50" w:lineRule="exact"/>
        <w:rPr>
          <w:rFonts w:ascii="Times New Roman" w:cs="Times New Roman" w:eastAsia="Times New Roman" w:hAnsi="Times New Roman"/>
          <w:sz w:val="18"/>
          <w:szCs w:val="18"/>
          <w:color w:val="auto"/>
        </w:rPr>
      </w:pPr>
    </w:p>
    <w:p>
      <w:pPr>
        <w:ind w:left="460" w:right="40" w:firstLine="443"/>
        <w:spacing w:after="0" w:line="284" w:lineRule="auto"/>
        <w:tabs>
          <w:tab w:leader="none" w:pos="115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tenth</w:t>
      </w:r>
      <w:r>
        <w:rPr>
          <w:rFonts w:ascii="Times New Roman" w:cs="Times New Roman" w:eastAsia="Times New Roman" w:hAnsi="Times New Roman"/>
          <w:sz w:val="18"/>
          <w:szCs w:val="18"/>
          <w:color w:val="auto"/>
        </w:rPr>
        <w:t>, to amounts due to Lenders in respect of Banking Services Obligations, ratably among such Lenders in proportion to the aggregate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w:t>
      </w:r>
    </w:p>
    <w:p>
      <w:pPr>
        <w:spacing w:after="0" w:line="50" w:lineRule="exact"/>
        <w:rPr>
          <w:rFonts w:ascii="Times New Roman" w:cs="Times New Roman" w:eastAsia="Times New Roman" w:hAnsi="Times New Roman"/>
          <w:sz w:val="18"/>
          <w:szCs w:val="18"/>
          <w:color w:val="auto"/>
        </w:rPr>
      </w:pPr>
    </w:p>
    <w:p>
      <w:pPr>
        <w:ind w:left="460" w:firstLine="443"/>
        <w:spacing w:after="0" w:line="284" w:lineRule="auto"/>
        <w:tabs>
          <w:tab w:leader="none" w:pos="120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eleventh</w:t>
      </w:r>
      <w:r>
        <w:rPr>
          <w:rFonts w:ascii="Times New Roman" w:cs="Times New Roman" w:eastAsia="Times New Roman" w:hAnsi="Times New Roman"/>
          <w:sz w:val="18"/>
          <w:szCs w:val="18"/>
          <w:color w:val="auto"/>
        </w:rPr>
        <w:t>, the amounts due to Designated Hedge Creditors under Designated Hedge Agreements subject to confirmation by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that any calculations of termination or other payment obligations are being made in accordance with normal industry practice;</w:t>
      </w:r>
    </w:p>
    <w:p>
      <w:pPr>
        <w:sectPr>
          <w:pgSz w:w="11900" w:h="16838" w:orient="portrait"/>
          <w:cols w:equalWidth="0" w:num="1">
            <w:col w:w="11420"/>
          </w:cols>
          <w:pgMar w:left="240" w:top="269" w:right="239" w:bottom="1440" w:gutter="0" w:footer="0" w:header="0"/>
        </w:sectPr>
      </w:pPr>
    </w:p>
    <w:bookmarkStart w:id="305" w:name="page306"/>
    <w:bookmarkEnd w:id="305"/>
    <w:p>
      <w:pPr>
        <w:jc w:val="both"/>
        <w:ind w:left="-4" w:firstLine="443"/>
        <w:spacing w:after="0" w:line="267" w:lineRule="auto"/>
        <w:tabs>
          <w:tab w:leader="none" w:pos="788"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twelfth</w:t>
      </w:r>
      <w:r>
        <w:rPr>
          <w:rFonts w:ascii="Times New Roman" w:cs="Times New Roman" w:eastAsia="Times New Roman" w:hAnsi="Times New Roman"/>
          <w:sz w:val="18"/>
          <w:szCs w:val="18"/>
          <w:color w:val="auto"/>
        </w:rPr>
        <w:t>, to the payment of all other U.S. Obligations of the U.S. Credit Parties owing under or in respect of the Loan Documents that are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and payable to the Administrative Agent, Foreign Collateral Agent, each LC Issuer, the Swing Line Lender, the Lenders and the Designated Hedge Creditors, ratably based upon the respective aggregate amounts of all such U.S. Obligations owing to them on such date; and</w:t>
      </w:r>
    </w:p>
    <w:p>
      <w:pPr>
        <w:spacing w:after="0" w:line="65" w:lineRule="exact"/>
        <w:rPr>
          <w:rFonts w:ascii="Times New Roman" w:cs="Times New Roman" w:eastAsia="Times New Roman" w:hAnsi="Times New Roman"/>
          <w:sz w:val="18"/>
          <w:szCs w:val="18"/>
          <w:color w:val="auto"/>
        </w:rPr>
      </w:pPr>
    </w:p>
    <w:p>
      <w:pPr>
        <w:ind w:left="-4" w:right="140" w:firstLine="443"/>
        <w:spacing w:after="0" w:line="284" w:lineRule="auto"/>
        <w:tabs>
          <w:tab w:leader="none" w:pos="838"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finally</w:t>
      </w:r>
      <w:r>
        <w:rPr>
          <w:rFonts w:ascii="Times New Roman" w:cs="Times New Roman" w:eastAsia="Times New Roman" w:hAnsi="Times New Roman"/>
          <w:sz w:val="18"/>
          <w:szCs w:val="18"/>
          <w:color w:val="auto"/>
        </w:rPr>
        <w:t>, any remaining surplus after all of the U.S. Obligations have been paid in full, to the Borrowers or to whomsoever shall be lawfully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thereto; and</w:t>
      </w:r>
    </w:p>
    <w:p>
      <w:pPr>
        <w:spacing w:after="0" w:line="160" w:lineRule="exact"/>
        <w:rPr>
          <w:rFonts w:ascii="Times New Roman" w:cs="Times New Roman" w:eastAsia="Times New Roman" w:hAnsi="Times New Roman"/>
          <w:sz w:val="18"/>
          <w:szCs w:val="18"/>
          <w:color w:val="auto"/>
        </w:rPr>
      </w:pPr>
    </w:p>
    <w:p>
      <w:pPr>
        <w:ind w:left="256" w:hanging="256"/>
        <w:spacing w:after="0"/>
        <w:tabs>
          <w:tab w:leader="none" w:pos="2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monies, property or Collateral of or from any Dutch Credit Party:</w:t>
      </w:r>
    </w:p>
    <w:p>
      <w:pPr>
        <w:spacing w:after="0" w:line="115" w:lineRule="exact"/>
        <w:rPr>
          <w:rFonts w:ascii="Times New Roman" w:cs="Times New Roman" w:eastAsia="Times New Roman" w:hAnsi="Times New Roman"/>
          <w:sz w:val="18"/>
          <w:szCs w:val="18"/>
          <w:color w:val="auto"/>
        </w:rPr>
      </w:pPr>
    </w:p>
    <w:p>
      <w:pPr>
        <w:ind w:left="-4" w:right="600" w:firstLine="443"/>
        <w:spacing w:after="0" w:line="284" w:lineRule="auto"/>
        <w:tabs>
          <w:tab w:leader="none" w:pos="649"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that portion of the Dutch Obligations constituting fees, indemnities and expenses and other amounts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attorneys’ fees and amounts due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Foreign Collateral Agent in its capacity as such;</w:t>
      </w:r>
    </w:p>
    <w:p>
      <w:pPr>
        <w:spacing w:after="0" w:line="50" w:lineRule="exact"/>
        <w:rPr>
          <w:rFonts w:ascii="Times New Roman" w:cs="Times New Roman" w:eastAsia="Times New Roman" w:hAnsi="Times New Roman"/>
          <w:sz w:val="18"/>
          <w:szCs w:val="18"/>
          <w:color w:val="auto"/>
        </w:rPr>
      </w:pPr>
    </w:p>
    <w:p>
      <w:pPr>
        <w:ind w:left="-4" w:right="220" w:firstLine="443"/>
        <w:spacing w:after="0" w:line="267" w:lineRule="auto"/>
        <w:tabs>
          <w:tab w:leader="none" w:pos="699"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that portion of the Dutch Obligations constituting fees, indemnities and expenses (including attorneys’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amounts due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each Dutch Lender or each Dutch LC Issuer, ratably among them in proportion to the aggregate of all such amounts;</w:t>
      </w:r>
    </w:p>
    <w:p>
      <w:pPr>
        <w:spacing w:after="0" w:line="65" w:lineRule="exact"/>
        <w:rPr>
          <w:rFonts w:ascii="Times New Roman" w:cs="Times New Roman" w:eastAsia="Times New Roman" w:hAnsi="Times New Roman"/>
          <w:sz w:val="18"/>
          <w:szCs w:val="18"/>
          <w:color w:val="auto"/>
        </w:rPr>
      </w:pPr>
    </w:p>
    <w:p>
      <w:pPr>
        <w:ind w:left="-4" w:right="480" w:firstLine="443"/>
        <w:spacing w:after="0" w:line="284" w:lineRule="auto"/>
        <w:tabs>
          <w:tab w:leader="none" w:pos="749"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payment of that portion of the Dutch Obligations constituting accrued and unpaid interest on Dutch Agent Advances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Collateral Agent;</w:t>
      </w:r>
    </w:p>
    <w:p>
      <w:pPr>
        <w:spacing w:after="0" w:line="50" w:lineRule="exact"/>
        <w:rPr>
          <w:rFonts w:ascii="Times New Roman" w:cs="Times New Roman" w:eastAsia="Times New Roman" w:hAnsi="Times New Roman"/>
          <w:sz w:val="18"/>
          <w:szCs w:val="18"/>
          <w:color w:val="auto"/>
        </w:rPr>
      </w:pPr>
    </w:p>
    <w:p>
      <w:pPr>
        <w:ind w:left="-4" w:right="420" w:firstLine="443"/>
        <w:spacing w:after="0" w:line="284" w:lineRule="auto"/>
        <w:tabs>
          <w:tab w:leader="none" w:pos="73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payment of that portion of the Dutch Obligations constituting accrued and unpaid interest on Dutch Overadvances, ratably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Dutch Lenders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 w:right="140" w:firstLine="443"/>
        <w:spacing w:after="0" w:line="284" w:lineRule="auto"/>
        <w:tabs>
          <w:tab w:leader="none" w:pos="68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the payment of that portion of the Dutch Obligations constituting accrued and unpaid principal on Dutch Agent Advances to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Agent;</w:t>
      </w:r>
    </w:p>
    <w:p>
      <w:pPr>
        <w:spacing w:after="0" w:line="50" w:lineRule="exact"/>
        <w:rPr>
          <w:rFonts w:ascii="Times New Roman" w:cs="Times New Roman" w:eastAsia="Times New Roman" w:hAnsi="Times New Roman"/>
          <w:sz w:val="18"/>
          <w:szCs w:val="18"/>
          <w:color w:val="auto"/>
        </w:rPr>
      </w:pPr>
    </w:p>
    <w:p>
      <w:pPr>
        <w:ind w:left="-4" w:right="400" w:firstLine="443"/>
        <w:spacing w:after="0" w:line="284" w:lineRule="auto"/>
        <w:tabs>
          <w:tab w:leader="none" w:pos="73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that portion of the Dutch Obligations constituting accrued and unpaid principal on Dutch Overadvances, ratably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Dutch Lenders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 w:right="60" w:firstLine="443"/>
        <w:spacing w:after="0" w:line="284" w:lineRule="auto"/>
        <w:tabs>
          <w:tab w:leader="none" w:pos="78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the payment of that portion of the Dutch Obligations constituting accrued and unpaid interest on the Dutch Revolving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Unpaid Drawings with respect to Dutch Letters of Credit, ratably among the Dutch Lenders in proportion to the aggregate of all such amounts;</w:t>
      </w:r>
    </w:p>
    <w:p>
      <w:pPr>
        <w:spacing w:after="0" w:line="50" w:lineRule="exact"/>
        <w:rPr>
          <w:rFonts w:ascii="Times New Roman" w:cs="Times New Roman" w:eastAsia="Times New Roman" w:hAnsi="Times New Roman"/>
          <w:sz w:val="18"/>
          <w:szCs w:val="18"/>
          <w:color w:val="auto"/>
        </w:rPr>
      </w:pPr>
    </w:p>
    <w:p>
      <w:pPr>
        <w:ind w:left="-4" w:right="100" w:firstLine="443"/>
        <w:spacing w:after="0" w:line="259" w:lineRule="auto"/>
        <w:tabs>
          <w:tab w:leader="none" w:pos="83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the payment of that portion of the Dutch Obligations constituting unpaid principal of the Dutch Revolving Loans and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Drawings and to the payment of any amounts owing to Designated Hedge Creditors under Designated Hedge Agreements up to and including the amount most recently provided to the Foreign Collateral Agent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for which Dutch Reserves have been established, ratably among the Dutch Lenders (or Affiliates thereof in the case of Designated Hedge Agreements) and each Dutch LC Issuer in proportion to the aggregate of all such amounts;</w:t>
      </w:r>
    </w:p>
    <w:p>
      <w:pPr>
        <w:sectPr>
          <w:pgSz w:w="11900" w:h="16838" w:orient="portrait"/>
          <w:cols w:equalWidth="0" w:num="1">
            <w:col w:w="10936"/>
          </w:cols>
          <w:pgMar w:left="704" w:top="267" w:right="259" w:bottom="1440" w:gutter="0" w:footer="0" w:header="0"/>
        </w:sectPr>
      </w:pPr>
    </w:p>
    <w:bookmarkStart w:id="306" w:name="page307"/>
    <w:bookmarkEnd w:id="306"/>
    <w:p>
      <w:pPr>
        <w:ind w:left="460" w:right="80" w:firstLine="443"/>
        <w:spacing w:after="0" w:line="284" w:lineRule="auto"/>
        <w:tabs>
          <w:tab w:leader="none" w:pos="120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ninth</w:t>
      </w:r>
      <w:r>
        <w:rPr>
          <w:rFonts w:ascii="Times New Roman" w:cs="Times New Roman" w:eastAsia="Times New Roman" w:hAnsi="Times New Roman"/>
          <w:sz w:val="18"/>
          <w:szCs w:val="18"/>
          <w:color w:val="auto"/>
        </w:rPr>
        <w:t>, to the Foreign Collateral Agent for the benefit of each Dutch LC Issuer to ratably Cash Collateralize 105% of the amount of Dutch 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Outstandings;</w:t>
      </w:r>
    </w:p>
    <w:p>
      <w:pPr>
        <w:spacing w:after="0" w:line="50" w:lineRule="exact"/>
        <w:rPr>
          <w:rFonts w:ascii="Times New Roman" w:cs="Times New Roman" w:eastAsia="Times New Roman" w:hAnsi="Times New Roman"/>
          <w:sz w:val="18"/>
          <w:szCs w:val="18"/>
          <w:color w:val="auto"/>
        </w:rPr>
      </w:pPr>
    </w:p>
    <w:p>
      <w:pPr>
        <w:ind w:left="460" w:right="20" w:firstLine="443"/>
        <w:spacing w:after="0" w:line="284" w:lineRule="auto"/>
        <w:tabs>
          <w:tab w:leader="none" w:pos="115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tenth</w:t>
      </w:r>
      <w:r>
        <w:rPr>
          <w:rFonts w:ascii="Times New Roman" w:cs="Times New Roman" w:eastAsia="Times New Roman" w:hAnsi="Times New Roman"/>
          <w:sz w:val="18"/>
          <w:szCs w:val="18"/>
          <w:color w:val="auto"/>
        </w:rPr>
        <w:t>, to amounts due to Dutch Lenders in respect of Dutch Banking Services Obligations, ratably among such Dutch Lenders in proportion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of all such amounts;</w:t>
      </w:r>
    </w:p>
    <w:p>
      <w:pPr>
        <w:spacing w:after="0" w:line="50" w:lineRule="exact"/>
        <w:rPr>
          <w:rFonts w:ascii="Times New Roman" w:cs="Times New Roman" w:eastAsia="Times New Roman" w:hAnsi="Times New Roman"/>
          <w:sz w:val="18"/>
          <w:szCs w:val="18"/>
          <w:color w:val="auto"/>
        </w:rPr>
      </w:pPr>
    </w:p>
    <w:p>
      <w:pPr>
        <w:ind w:left="460" w:firstLine="443"/>
        <w:spacing w:after="0" w:line="284" w:lineRule="auto"/>
        <w:tabs>
          <w:tab w:leader="none" w:pos="120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eleventh</w:t>
      </w:r>
      <w:r>
        <w:rPr>
          <w:rFonts w:ascii="Times New Roman" w:cs="Times New Roman" w:eastAsia="Times New Roman" w:hAnsi="Times New Roman"/>
          <w:sz w:val="18"/>
          <w:szCs w:val="18"/>
          <w:color w:val="auto"/>
        </w:rPr>
        <w:t>, the amounts due to Designated Hedge Creditors under Designated Hedge Agreements subject to confirmation by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that any calculations of termination or other payment obligations are being made in accordance with normal industry practice;</w:t>
      </w:r>
    </w:p>
    <w:p>
      <w:pPr>
        <w:spacing w:after="0" w:line="50" w:lineRule="exact"/>
        <w:rPr>
          <w:rFonts w:ascii="Times New Roman" w:cs="Times New Roman" w:eastAsia="Times New Roman" w:hAnsi="Times New Roman"/>
          <w:sz w:val="18"/>
          <w:szCs w:val="18"/>
          <w:color w:val="auto"/>
        </w:rPr>
      </w:pPr>
    </w:p>
    <w:p>
      <w:pPr>
        <w:ind w:left="460" w:right="140" w:firstLine="443"/>
        <w:spacing w:after="0" w:line="267" w:lineRule="auto"/>
        <w:tabs>
          <w:tab w:leader="none" w:pos="125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twelfth</w:t>
      </w:r>
      <w:r>
        <w:rPr>
          <w:rFonts w:ascii="Times New Roman" w:cs="Times New Roman" w:eastAsia="Times New Roman" w:hAnsi="Times New Roman"/>
          <w:sz w:val="18"/>
          <w:szCs w:val="18"/>
          <w:color w:val="auto"/>
        </w:rPr>
        <w:t>, to the payment of all other Dutch Obligations of the Dutch Credit Parties owing under or in respect of the Loan Documents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due and payable to the Foreign Collateral Agent, each Dutch LC Issuer, the Dutch Swing Line Lender, the Dutch Lenders and the Designated Hedge Creditors, ratably based upon the respective aggregate amounts of all such Dutch Obligations owing to them on such date; and</w:t>
      </w:r>
    </w:p>
    <w:p>
      <w:pPr>
        <w:spacing w:after="0" w:line="65" w:lineRule="exact"/>
        <w:rPr>
          <w:rFonts w:ascii="Times New Roman" w:cs="Times New Roman" w:eastAsia="Times New Roman" w:hAnsi="Times New Roman"/>
          <w:sz w:val="18"/>
          <w:szCs w:val="18"/>
          <w:color w:val="auto"/>
        </w:rPr>
      </w:pPr>
    </w:p>
    <w:p>
      <w:pPr>
        <w:ind w:left="460" w:right="200" w:firstLine="443"/>
        <w:spacing w:after="0" w:line="284" w:lineRule="auto"/>
        <w:tabs>
          <w:tab w:leader="none" w:pos="130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finally</w:t>
      </w:r>
      <w:r>
        <w:rPr>
          <w:rFonts w:ascii="Times New Roman" w:cs="Times New Roman" w:eastAsia="Times New Roman" w:hAnsi="Times New Roman"/>
          <w:sz w:val="18"/>
          <w:szCs w:val="18"/>
          <w:color w:val="auto"/>
        </w:rPr>
        <w:t>, any remaining surplus after all of the Dutch Obligations have been paid in full, to the Dutch Borrowers or to whomsoever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lawfully entitled thereto.</w:t>
      </w:r>
    </w:p>
    <w:p>
      <w:pPr>
        <w:spacing w:after="0" w:line="16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Administrative Agent and Foreign Collateral Agent each is hereby granted an irrevocable, non-exclusive license or other right to use, license or sub-license (without payment of royalty or other compensation to any Credit Party) any or all intellectual property of Credit Parties,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Each Credit Party’s rights and interests under intellectual property shall inure to Administrative Agent’s and Foreign Collateral Agent’s benefit.</w:t>
      </w:r>
    </w:p>
    <w:p>
      <w:pPr>
        <w:spacing w:after="0" w:line="184"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If, for the purpose of obtaining judgment in any court or obtaining an order enforcing a judgment, it becomes necessary to convert any amount due under this Agreement in any a currency (hereinafter in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called the “</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xml:space="preserve">”) into any other currency (hereinafter in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called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then the conversion shall be made at the Spot Rate of exchange for buying the first currency with the second currency prevailing at the Administrative Agent’s close of business on the Business Day next preceding the day on which the judgment is given or (as the case may be) the order is made. Any payment made by any Credit Party to any Lender, Administrative Agent, Foreign Collateral Agent or LC Issuer pursuant to this Agreement in the second currency shall constitute a discharge of the obligations of any applicable Credit Parties to pay to such Lender, Administrative Agent, Foreign Collateral Agent or LC Issuer any amount originally due to such Person in the first currency under this Agreement only to the extent of the amount of the first currency which such Person is able, on the date of the receipt by it of such payment in any second currency, to purchase, in accordance with such Person’s normal banking procedures, with the amount of such second currency so received. If the amount of the first currency falls short of the amount originally due to such Lender, Administrative Agent, Foreign Collateral Agent or LC Issuer in the first currency under this Agreement, Credit Parties agree that they will indemnify each Lender, Administrative Agent, Foreign Collateral Agent and LC Issuer against and save each such person harmless from any shortfall so arising. This indemnity shall constitute an obligation of each such Credit Party separate and independent from the other obligations contained in this Agreement, shall give rise to a separate and independent cause of action and shall continue in full force and effect notwithstanding any judgment or order for a liquidated sum or sums in respect of amounts due to any Lender, Administrative Agent, Foreign</w:t>
      </w:r>
    </w:p>
    <w:p>
      <w:pPr>
        <w:sectPr>
          <w:pgSz w:w="11900" w:h="16838" w:orient="portrait"/>
          <w:cols w:equalWidth="0" w:num="1">
            <w:col w:w="11420"/>
          </w:cols>
          <w:pgMar w:left="240" w:top="268" w:right="239" w:bottom="1440" w:gutter="0" w:footer="0" w:header="0"/>
        </w:sectPr>
      </w:pPr>
    </w:p>
    <w:bookmarkStart w:id="307" w:name="page308"/>
    <w:bookmarkEnd w:id="307"/>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Collateral Agent or LC Issuer under any Loan Documents or under any such judgment or order. Any such shortfall shall be deemed to constitute a loss suffered by such Lender, Administrative Agent, Foreign Collateral Agent or LC Issuer under any Loan Documents and Credit Parties shall not be entitled to require any proof or evidence of any actual loss. If the amount of the first currency exceeds the amount originally due to any Lender, Administrative Agent, Foreign Collateral Agent or LC Issuer in the first currency under this Agreement, such Person shall promptly remit such excess to Credit Parties. The covenants contained in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shall survive the payment in full of the Obligations under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53" w:lineRule="auto"/>
        <w:tabs>
          <w:tab w:leader="none" w:pos="70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irrevocably designates and appoints KeyBank National Association to act as specified herein and in the other Loan Documents, and each such Lender hereby irrevocably authorizes KeyBank National Association as the Administrative Agent for such Lender,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The Administrative Agent agrees to act as such upon the express conditions contained in this Article. Notwithstanding any provision to the contrary elsewhere in this Agreement, the Administrative Agent shall not have any duties or responsibilities, except those expressly set forth herein or in the other Loan Documents, nor any fiduciary relationship with any Lender or LC Issuer, and no implied covenants, functions, responsibilities, duties, obligations or liabilities shall be read into this Agreement or otherwise exist against the Administrative Agent.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solely for the benefit of the Administrative Agent and the Lenders, and no Credit Party shall have any rights as a third-party beneficiary of any of the provisions hereof. In performing its functions and duties under this Agreement, the Administrative Agent shall act solely as agent of the Lenders and does not assume and shall not be deemed to have assumed any obligation or relationship of agency or trust with or for the Credit Parties or any of their respective Subsidiaries.</w:t>
      </w:r>
    </w:p>
    <w:p>
      <w:pPr>
        <w:spacing w:after="0" w:line="192" w:lineRule="exact"/>
        <w:rPr>
          <w:rFonts w:ascii="Times New Roman" w:cs="Times New Roman" w:eastAsia="Times New Roman" w:hAnsi="Times New Roman"/>
          <w:sz w:val="18"/>
          <w:szCs w:val="18"/>
          <w:color w:val="auto"/>
        </w:rPr>
      </w:pPr>
    </w:p>
    <w:p>
      <w:pPr>
        <w:ind w:right="20" w:firstLine="464"/>
        <w:spacing w:after="0" w:line="255" w:lineRule="auto"/>
        <w:tabs>
          <w:tab w:leader="none" w:pos="71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hereby further irrevocably authorizes the Administrative Agent on behalf of and for the benefit of the Lenders, to be the agent for and representative of the Lenders with respect to the Guaranty, the Security Agreement, the Collateral and any other Loan Document, including the Intercreditor Agreement. Subject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without further written consent or authorization from Lenders, the Administrative Agent may execute any documents or instruments necessary to (i) release any Lien encumbering any item of Collateral that is the subject of a sale or other disposition of assets permitted hereby or to which the Required Lenders (or such other Lenders as may be required to give such consent under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have otherwise consented, or (ii) release any Guarantor from the Guaranty with respect to which the Required Lenders (or such other Lenders as may be required to give such consent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11.12</w:t>
      </w:r>
      <w:r>
        <w:rPr>
          <w:rFonts w:ascii="Times New Roman" w:cs="Times New Roman" w:eastAsia="Times New Roman" w:hAnsi="Times New Roman"/>
          <w:sz w:val="18"/>
          <w:szCs w:val="18"/>
          <w:color w:val="auto"/>
        </w:rPr>
        <w:t>) have otherwise consented.</w:t>
      </w:r>
    </w:p>
    <w:p>
      <w:pPr>
        <w:spacing w:after="0" w:line="189" w:lineRule="exact"/>
        <w:rPr>
          <w:rFonts w:ascii="Times New Roman" w:cs="Times New Roman" w:eastAsia="Times New Roman" w:hAnsi="Times New Roman"/>
          <w:sz w:val="18"/>
          <w:szCs w:val="18"/>
          <w:color w:val="auto"/>
        </w:rPr>
      </w:pPr>
    </w:p>
    <w:p>
      <w:pPr>
        <w:jc w:val="both"/>
        <w:ind w:right="160" w:firstLine="464"/>
        <w:spacing w:after="0" w:line="258" w:lineRule="auto"/>
        <w:tabs>
          <w:tab w:leader="none" w:pos="70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in any of the Loan Documents to the contrary notwithstanding, the Borrowers, the Administrative Agent and each Lender hereby agree that (i) no Lender shall have any right individually to realize upon any of the Collateral or to enforce the Guaranty, it being understood and agreed that all powers, rights and remedies hereunder may be exercised solely by the Administrative Agent, on behalf of the Lenders in accordance with the terms hereof and all powers, rights and remedies under the Loan Documents may be exercised solely by the Administrative Agent, and (ii) in the event of a foreclosure by the Administrative Agent on any of the Collateral pursuant to a public or private sale, the</w:t>
      </w:r>
    </w:p>
    <w:p>
      <w:pPr>
        <w:sectPr>
          <w:pgSz w:w="11900" w:h="16838" w:orient="portrait"/>
          <w:cols w:equalWidth="0" w:num="1">
            <w:col w:w="11400"/>
          </w:cols>
          <w:pgMar w:left="240" w:top="270" w:right="259" w:bottom="1440" w:gutter="0" w:footer="0" w:header="0"/>
        </w:sectPr>
      </w:pPr>
    </w:p>
    <w:bookmarkStart w:id="308" w:name="page309"/>
    <w:bookmarkEnd w:id="308"/>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or any Lender may be the purchaser of any or all of such Collateral at any such sale and the Administrative Agent, as agent for and representative of the Secured Creditors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w:t>
      </w:r>
    </w:p>
    <w:p>
      <w:pPr>
        <w:spacing w:after="0" w:line="184" w:lineRule="exact"/>
        <w:rPr>
          <w:sz w:val="20"/>
          <w:szCs w:val="20"/>
          <w:color w:val="auto"/>
        </w:rPr>
      </w:pPr>
    </w:p>
    <w:p>
      <w:pPr>
        <w:ind w:firstLine="464"/>
        <w:spacing w:after="0" w:line="254" w:lineRule="auto"/>
        <w:tabs>
          <w:tab w:leader="none" w:pos="711"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Dutch Lenders appoint the Foreign Collateral Agent to hold (i) any security interest created by any Dutch Security Document and act as security trustee under any such documents other than Dutch Security Documents governed by Dutch law pursuant to the terms thereof; (ii) any security interest created by any Dutch Security Document governed by English law and act as security trustee under any such documents pursuant to the terms thereof; and (iii) the covenants and undertakings of the relevant Dutch Security Documents, with respect to any jurisdiction where the concept of trust is appropriate, on trust for the Dutch Lenders and with respect to any jurisdiction where the concept of trust is not appropriate, as security agent for the Dutch Lenders, and, in each case, the Foreign Collateral Agent accepts that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Dutch Security Document expressed to be governed by the laws of the Netherlands, the Dutch Lenders appoint the Foreign Collateral Agent to enter into such Dutch Security Documents in its own name and on behalf of itself and not as agent, representative or trustee of any other Lender, subject to </w:t>
      </w:r>
      <w:r>
        <w:rPr>
          <w:rFonts w:ascii="Times New Roman" w:cs="Times New Roman" w:eastAsia="Times New Roman" w:hAnsi="Times New Roman"/>
          <w:sz w:val="18"/>
          <w:szCs w:val="18"/>
          <w:u w:val="single" w:color="auto"/>
          <w:color w:val="auto"/>
        </w:rPr>
        <w:t>Section 11.29(d)</w:t>
      </w:r>
      <w:r>
        <w:rPr>
          <w:rFonts w:ascii="Times New Roman" w:cs="Times New Roman" w:eastAsia="Times New Roman" w:hAnsi="Times New Roman"/>
          <w:sz w:val="18"/>
          <w:szCs w:val="18"/>
          <w:color w:val="auto"/>
        </w:rPr>
        <w:t>. The Foreign Collateral Agent, its subsidiaries and associated companies may each retain for its own account and benefit any fee, remuneration and profits paid to it in connection with (i) its activities under the Loan Documents and (ii) its engagement in any kind of banking or other business with any Credit Party.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53" w:lineRule="auto"/>
        <w:tabs>
          <w:tab w:leader="none" w:pos="70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may execute any of its duties under this Agreement or any other Loan Document by or through agents, sub-agents or attorneys-in-fact, and shall be entitled to advice of counsel concerning all matters pertaining to such duties. The Administrative Agent shall not be responsible for the negligence or misconduct of any agents, sub-agents or attorneys-in-fact selected by it with reasonable care except to the extent otherwise required by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All of the rights, benefits and privileges (including the exculpatory and indemnification provisions)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Credit Party, any Lender or any other Person and no Credit Party, Lender or any other Person shall have the rights, directly or indirectly, as a third party beneficiary or otherwise, against such sub-agent.</w:t>
      </w:r>
    </w:p>
    <w:p>
      <w:pPr>
        <w:spacing w:after="0" w:line="188" w:lineRule="exact"/>
        <w:rPr>
          <w:rFonts w:ascii="Times New Roman" w:cs="Times New Roman" w:eastAsia="Times New Roman" w:hAnsi="Times New Roman"/>
          <w:sz w:val="18"/>
          <w:szCs w:val="18"/>
          <w:color w:val="auto"/>
        </w:rPr>
      </w:pPr>
    </w:p>
    <w:p>
      <w:pPr>
        <w:ind w:right="120" w:firstLine="464"/>
        <w:spacing w:after="0" w:line="261" w:lineRule="auto"/>
        <w:tabs>
          <w:tab w:leader="none" w:pos="71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Collateral Agent may execute any of its duties under this Agreement or any other Loan Document by or through agents, sub-agents or attorneys-in-fact, and shall be entitled to advice of counsel concerning all matters pertaining to such duties. The Foreign Collateral Agent shall not be responsible for the negligence or misconduct of any agents, sub-agents or attorneys-in-fact selected by it with reasonable care except to the extent otherwise required by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All of the rights, benefits</w:t>
      </w:r>
    </w:p>
    <w:p>
      <w:pPr>
        <w:sectPr>
          <w:pgSz w:w="11900" w:h="16838" w:orient="portrait"/>
          <w:cols w:equalWidth="0" w:num="1">
            <w:col w:w="11420"/>
          </w:cols>
          <w:pgMar w:left="240" w:top="270" w:right="239" w:bottom="1440" w:gutter="0" w:footer="0" w:header="0"/>
        </w:sectPr>
      </w:pPr>
    </w:p>
    <w:bookmarkStart w:id="309" w:name="page310"/>
    <w:bookmarkEnd w:id="30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privileges (including the exculpatory and indemnification provisions)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Foreign Collateral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the Foreign Collateral Agent and not to any Credit Party, any Lender or any other Person and no Credit Party, Lender or any other Person shall have the rights, directly or indirectly, as a third party beneficiary or otherwise, against such sub-agent.</w:t>
      </w:r>
    </w:p>
    <w:p>
      <w:pPr>
        <w:spacing w:after="0" w:line="186"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the Foreign Collateral Agent, nor any of its Related Parties shall be (a) liable for any action lawfully taken or omitted to be taken by it or such Person under or in connection with this Agreement or any other Loan Document (except for its or such Related Parties’ own gross negligence or willful misconduct as determined by a final non-appealable judgment of a court of competent jurisdiction) or (b) responsible in any manner to any of the Lenders for any recitals, statements, representations or warranties made by the Credit Parties or any of their respective Subsidiaries or any of their respective officers contained in this Agreement, any other Loan Document or in any certificate, report, statement or other document referred to or provided for in, or received by the Administrative Agent under or in connection with, this Agreement or any other Loan Document or for any failure of any Credit Party or any of its officers to perform its obligations hereunder or thereunder. Neither the Administrative Agent nor the Foreign Collateral Agent shall be under any obligation to any Lender to ascertain or to inquire as to the observance or performance of any of the agreements contained in, or conditions of, this Agreement or any other Loan Document, or to inspect the properties, books or records of the Credit Parties or any of their respective Subsidiaries. Neither the Administrative Agent nor the Foreign Collateral Agent shall be responsible to any Lender for the effectiveness, genuineness, validity, enforceability, collectability or sufficiency of this Agreement or any Loan Document or for any representations, warranties, recitals or statements made herein or therein or made in any written or oral statement or in any financial or other statements, instruments, reports, certificates or any other documents in connection herewith or therewith furnished or made by the Administrative Agent or the Foreign Collateral Agent to the Lenders or by or on behalf of the Credit Parties or any of their respective Subsidiaries to the Administrative Agent, the Foreign Collateral Agent or any Lender or be required to ascertain or inquire as to the performance or observance of any of the terms, conditions, provisions, covenants or agreements contained herein or therein or as to the use of the proceeds of the Loans or of the existence or possible existence of any Default or Event of Default.</w:t>
      </w:r>
    </w:p>
    <w:p>
      <w:pPr>
        <w:spacing w:after="0" w:line="19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and the Foreign Collateral Agent shall be entitled to rely, and shall be fully protected in relying, upon any note, writing, resolution, notice, consent, certificate, affidavit, letter, cablegram, telegram, e-mail or other electronic transmission, facsimile transmission, telex or teletype message, statement, order or other document or conversation believed by it, in good faith, to be genuine and correct and to have been signed, sent or made by the proper Person or Persons and upon advice and statements of legal counsel (including, without limitation, counsel to the Company or any of its Subsidiaries), independent accountants and other experts selected by the Administrative Agent or the Foreign Collateral Agent, as applicable. Each of the Administrative Agent and the Foreign Collateral Agent shall be fully justified in failing or refusing to take any action under this Agreement or any other Loan Document unless it shall first receive such advice or concurrence of the Required Lenders as it deems appropriate or it shall first be indemnified to its</w:t>
      </w:r>
    </w:p>
    <w:p>
      <w:pPr>
        <w:sectPr>
          <w:pgSz w:w="11900" w:h="16838" w:orient="portrait"/>
          <w:cols w:equalWidth="0" w:num="1">
            <w:col w:w="11420"/>
          </w:cols>
          <w:pgMar w:left="240" w:top="269" w:right="239" w:bottom="1440" w:gutter="0" w:footer="0" w:header="0"/>
        </w:sectPr>
      </w:pPr>
    </w:p>
    <w:bookmarkStart w:id="310" w:name="page311"/>
    <w:bookmarkEnd w:id="31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satisfaction by the Lenders against any and all liability and expense that may be incurred by it by reason of taking or continuing to take any such action. Each of the Administrative Agent and the Foreign Collateral Agent shall in all cases be fully protected in acting, or in refraining from acting, under this Agreement and the other Loan Documents in accordance with a request of the Required Lenders or all of the Lenders, as applicable, as to any matter that,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can only be effectuated with the consent of all Required Lenders, or all applicable Lenders, as the case may be, and such request and any action taken or failure to act pursuant thereto shall be binding upon all the Lenders.</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Neither the Administrative Agent nor the Foreign Collateral Agent shall be deemed to have knowledge or notice of the occurrence of any Default or Event of Default hereunder unless the Administrative Agent or the Foreign Collateral Agent, respectively, has received notice from a Lender or the Borrowers referring to this Agreement, describing such Default or Event of Default and stating that such notice is a “notice of default.” If the Administrative Agent or the Foreign Collateral Agent receives such a notice, the Administrative Agent or the Foreign Collateral Agent, as applicable, shall give prompt notice thereof to the Lenders. The Administrative Agent and the Foreign Collateral Agent shall take such action with respect to such Default or Event of Default as shall be reasonably directed by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unless and until the Administrative Agent or the Foreign Collateral Agent shall have received such directions, the Administrative Agent or the Foreign Collateral Agent may (but shall not be obligated to) take such action, or refrain from taking such action, with respect to such Default or Event of Default as it shall deem advisable in the best interests of the Lenders.</w:t>
      </w:r>
    </w:p>
    <w:p>
      <w:pPr>
        <w:spacing w:after="0" w:line="18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Each Lender expressly acknowledges that neither the Administrative Agent, the Foreign Collateral Agent nor any of their Related Parties has made any representations or warranties to it and that no act by the Administrative Agent or the Foreign Collateral Agent hereinafter taken, including, without limitation, any review of the affairs of the Credit Parties or their respective Subsidiaries, shall be deemed to constitute any representation or warranty by the Administrative Agent or the Foreign Collateral Agent to any Lender. Each Lender represents to the Administrative Agent or the Foreign Collateral Agent that it has, independently and without reliance upon the Administrative Agent, the Foreign Collateral Agent, or any other Lender, and based on such documents and information as it has deemed appropriate, made its own appraisal of, and investigation into, the business, assets, operations, property, financial and other conditions, prospects and creditworthiness of the Credit Parties and their Subsidiaries and made its own decision to make its Loans hereunder and enter into this Agreement. Each Lender also represents that it will, independently and without reliance upon the Administrative Agent, the Foreign Collateral Agent, or any other Lender,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assets, operations, property, financial and other conditions, prospects and creditworthiness of the Credit Parties and their Subsidiaries. Neither the Administrative Agent nor the Foreign Collateral Agent shall have any duty or responsibility to provide any Lender with any credit or other information concerning the business, operations, assets, property, financial and other conditions, prospects or creditworthiness of the Credit Parties and their Subsidiaries that may come into the possession of the Administrative Agent, the Foreign Collateral Agent or any of their Related Parties.</w:t>
      </w:r>
    </w:p>
    <w:p>
      <w:pPr>
        <w:spacing w:after="0" w:line="19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Reliance on Administrative Agent’s Customer Identification Program</w:t>
      </w:r>
      <w:r>
        <w:rPr>
          <w:rFonts w:ascii="Times New Roman" w:cs="Times New Roman" w:eastAsia="Times New Roman" w:hAnsi="Times New Roman"/>
          <w:sz w:val="18"/>
          <w:szCs w:val="18"/>
          <w:color w:val="auto"/>
        </w:rPr>
        <w:t>. Each Lender acknowledges and agrees that neither such Lender, nor any of its Affiliates, participants or assignees, may rely on the Administrative Agent or the Foreign Collateral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or</w:t>
      </w:r>
    </w:p>
    <w:p>
      <w:pPr>
        <w:sectPr>
          <w:pgSz w:w="11900" w:h="16838" w:orient="portrait"/>
          <w:cols w:equalWidth="0" w:num="1">
            <w:col w:w="11420"/>
          </w:cols>
          <w:pgMar w:left="240" w:top="269" w:right="239" w:bottom="1440" w:gutter="0" w:footer="0" w:header="0"/>
        </w:sectPr>
      </w:pPr>
    </w:p>
    <w:bookmarkStart w:id="311" w:name="page312"/>
    <w:bookmarkEnd w:id="31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Anti-Terrorism Law, including any programs involving any of the following items relating to or in connection with the Credit Parties or their respective Subsidiaries, any of their respective Affiliates or agents, the Loan Documents or the transactions hereunder: (a) any identity verification procedures, (b) any record keeping, (c) any comparisons with government lists, (d) any customer notices or (e) any other procedures required under the CIP Regulations or such other laws.</w:t>
      </w:r>
    </w:p>
    <w:p>
      <w:pPr>
        <w:spacing w:after="0" w:line="180" w:lineRule="exact"/>
        <w:rPr>
          <w:sz w:val="20"/>
          <w:szCs w:val="20"/>
          <w:color w:val="auto"/>
        </w:rPr>
      </w:pPr>
    </w:p>
    <w:p>
      <w:pPr>
        <w:ind w:right="140" w:firstLine="456"/>
        <w:spacing w:after="0" w:line="272" w:lineRule="auto"/>
        <w:rPr>
          <w:sz w:val="20"/>
          <w:szCs w:val="20"/>
          <w:color w:val="auto"/>
        </w:rPr>
      </w:pPr>
      <w:r>
        <w:rPr>
          <w:rFonts w:ascii="Times New Roman" w:cs="Times New Roman" w:eastAsia="Times New Roman" w:hAnsi="Times New Roman"/>
          <w:sz w:val="17"/>
          <w:szCs w:val="17"/>
          <w:color w:val="auto"/>
        </w:rPr>
        <w:t xml:space="preserve">Section 9.08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Each Lender or assignee or participant of a Lender that is not organized under the laws of the United States of America or a state thereof (and is not excepted from the certification requirement contained in Section 313 of the USA Patriot Act and the applicable regulations because it is both (a) an affiliate of a depository institution or foreign bank that maintains a physical presence in the United States or foreign country, and</w:t>
      </w:r>
    </w:p>
    <w:p>
      <w:pPr>
        <w:spacing w:after="0" w:line="2" w:lineRule="exact"/>
        <w:rPr>
          <w:sz w:val="20"/>
          <w:szCs w:val="20"/>
          <w:color w:val="auto"/>
        </w:rPr>
      </w:pPr>
    </w:p>
    <w:p>
      <w:pPr>
        <w:ind w:firstLine="8"/>
        <w:spacing w:after="0" w:line="255" w:lineRule="auto"/>
        <w:tabs>
          <w:tab w:leader="none" w:pos="25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supervision by a banking authority regulating such affiliated depository institution or foreign bank) shall deliver to the Administrative Agent the certification, or, if applicable, recertification, certifying that such Lender is not a “shell” and certifying to other matters as required by Section 313 of the USA Patriot Act and the applicable regulations: (i) within 10 days after the Closing Date, and (ii) at such other times as are required under the USA Patriot Act.</w:t>
      </w:r>
    </w:p>
    <w:p>
      <w:pPr>
        <w:spacing w:after="0" w:line="40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Lenders agree to indemnify (a) the Administrative Agent and its Related Parties, ratably according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Credit Facility Exposure (excluding Swing Loans) and (b) the Foreign Collateral Agent and its Related Parties, ratably according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Dutch Credit Facility Exposure (excluding Swing Loans), from and against any and all liabilities, obligations, losses, damages, penalties, actions, judgments, suits, costs, reasonable expenses or disbursements of any kind whatsoever that may at any time (including, without limitation, at any time following the payment of the Obligations) be imposed on, incurred by or asserted against the Administrative Agent, the Foreign Collateral Agent or such Related Parties in any way relating to or arising out of this Agreement or any other Loan Document, or any documents contemplated by or referred to herein or the transactions contemplated hereby or any action taken or omitted to be taken by the Administrative Agent, the Foreign Collateral Agent or such Related Parties under or in connection with any of the foregoing, but only to the extent that any of the foregoing is not paid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Lender shall be liable to the Administrative Agent, the Foreign Collateral Agent or any of their Related Parties for the payment of any portion of such liabilities, obligations, losses, damages, penalties, actions, judgments, suits, costs, expenses or disbursements to the extent resulting solely from the Administrative Agent’s, the Foreign Collateral Agent’s or such Related Parties’ gross negligence or willful misconduct as determined by a final non-appealable judgment of a court of competent jurisdiction. If any indemnity furnished to the Administrative Agent, the Foreign Collateral Agent or any such Related Parties for any purpose shall, in the opinion of the Administrative Agent or the Foreign Collateral Agent, as applicable, be insufficient or become impaired, the Administrative Agent or the Foreign Collateral Agent, as applicable, may call for additional indemnity and cease, or not commence, to do the acts indemnified against until such additional indemnity is furnished. The agreements in this Section shall survive the payment of all Obligations.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The Administrative Agent and Foreign Collateral Agent in Individual Capacity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61" w:lineRule="auto"/>
        <w:tabs>
          <w:tab w:leader="none" w:pos="70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its Affiliates may make loans to, accept deposits from and generally engage in any kind of business with the Credit Parties, their respective Subsidiaries and their Affiliates as though not acting as Administrative Agent hereunder. With respect to the Loans made by it and all Obligations owing to it,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sectPr>
          <w:pgSz w:w="11900" w:h="16838" w:orient="portrait"/>
          <w:cols w:equalWidth="0" w:num="1">
            <w:col w:w="11400"/>
          </w:cols>
          <w:pgMar w:left="240" w:top="270" w:right="259" w:bottom="1440" w:gutter="0" w:footer="0" w:header="0"/>
        </w:sectPr>
      </w:pPr>
    </w:p>
    <w:bookmarkStart w:id="312" w:name="page313"/>
    <w:bookmarkEnd w:id="312"/>
    <w:p>
      <w:pPr>
        <w:ind w:left="-460" w:firstLine="464"/>
        <w:spacing w:after="0" w:line="258" w:lineRule="auto"/>
        <w:tabs>
          <w:tab w:leader="none" w:pos="251"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Foreign Collateral Agent and its Affiliates may make loans to, accept deposits from and generally engage in any kind of business with the Credit Parties, their respective Subsidiaries and their Affiliates as though not acting as Foreign Collateral Agent hereunder. With respect to the Loans made by it and all Obligations owing to it, the Foreign Collateral Agent shall have the same rights and powers under this Agreement as any Lender and may exercise the same as though it were not the Foreign Collateral Agent, and the terms “Lender” and “Lenders” shall include the Foreign Collateral Agent in its individual capacity.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right="60" w:firstLine="464"/>
        <w:spacing w:after="0" w:line="252" w:lineRule="auto"/>
        <w:tabs>
          <w:tab w:leader="none" w:pos="24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may resign at any time upon not less than 30 days notice to the Lenders, each LC Issuer and the Borrowers. Upon receipt of any such notice of resignation, the Required Lenders shall have the right, in consultation with the Borrowers, to appoint a successor. If no such successor shall have been so appointed by the Required Lenders and shall have accepted such appointment within 30 days after the retiring Administrative Agent gives notice of its resignation, then the retiring Administrative Agent may on behalf of the Lenders and each LC Issuer, appoint a successor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Administrative Agent shall notify the Borrowers and the Lenders that no such successor is willing to accept such appointment, then such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any LC Issuer under any of the Loan Documents, the retiring Administrative Agent shall continue to hold such collateral security until such time as a successor Administrative Agent is appointed) and (ii) all payments, communications and determinations provided to be made by, to or through the Administrative Agent shall instead be made by or to each Lender and LC Issuer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paragraph).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3" w:lineRule="exact"/>
        <w:rPr>
          <w:rFonts w:ascii="Times New Roman" w:cs="Times New Roman" w:eastAsia="Times New Roman" w:hAnsi="Times New Roman"/>
          <w:sz w:val="18"/>
          <w:szCs w:val="18"/>
          <w:color w:val="auto"/>
        </w:rPr>
      </w:pPr>
    </w:p>
    <w:p>
      <w:pPr>
        <w:ind w:left="-460" w:right="20" w:firstLine="464"/>
        <w:spacing w:after="0" w:line="254" w:lineRule="auto"/>
        <w:tabs>
          <w:tab w:leader="none" w:pos="25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Collateral Agent may resign at any time upon not less than 30 days notice to the Dutch Lenders, each Dutch LC Issuer and the Borrowers. Upon receipt of any such notice of resignation, the Required Lenders shall have the right, in consultation with the Borrowers, to appoint a successor. If no such successor shall have been so appointed by the Required Lenders and shall have accepted such appointment within 30 days after the retiring Foreign Collateral Agent gives notice of its resignation, then the retiring Foreign Collateral Agent may on behalf of the Dutch Lenders and each Dutch LC Issuer, appoint a successor Foreign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Foreign Collateral Agent shall notify the Borrowers and the Dutch Lenders that no such successor is willing to accept such appointment, then such resignation shall nonetheless become effective in accordance with such notice and (i) the retiring Foreign Collateral Agent shall be discharged from its duties and obligations hereunder and under the other Loan Documents (except that in the case of any collateral security held by the Foreign Collateral Agent on behalf of the Dutch Lenders or any Dutch LC Issuer under any of the Loan Documents, the retiring Foreign Collateral Agent shall continue to hold such collateral security until such time as a successor Foreign Collateral Agent is appointed) and (ii) all</w:t>
      </w:r>
    </w:p>
    <w:p>
      <w:pPr>
        <w:sectPr>
          <w:pgSz w:w="11900" w:h="16838" w:orient="portrait"/>
          <w:cols w:equalWidth="0" w:num="1">
            <w:col w:w="10960"/>
          </w:cols>
          <w:pgMar w:left="700" w:top="269" w:right="239" w:bottom="1440" w:gutter="0" w:footer="0" w:header="0"/>
        </w:sectPr>
      </w:pPr>
    </w:p>
    <w:bookmarkStart w:id="313" w:name="page314"/>
    <w:bookmarkEnd w:id="31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payments, communications and determinations provided to be made by, to or through the Foreign Collateral Agent shall instead be made by or to each Dutch Lender and Dutch LC Issuer directly, until such time as the Required Lenders appoint a successor Foreign Collateral Agent as provided for above in this paragraph. Upon the acceptance of a successor’s appointment as Foreign Collateral Agent hereunder, such successor shall succeed to and become vested with all of the rights, powers, privileges and duties of the retiring (or retired) Foreign Collateral Agent, and the retiring Foreign Collateral Agent shall be discharged from all of its duties and obligations hereunder or under the other Loan Documents (if not already discharged therefrom as provided above in this paragraph). The fees payable by the Borrowers to a successor Foreign Collateral Agent shall be the same as those payable to its predecessor unless otherwise agreed between the Borrowers and such successor. After the retiring Foreign Collateral Agent’s resignation hereunder and under the other Loan Documents, the provisions of this Article and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18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For purposes of any Security Document expressed to be governed by Dutch law, any resignation by the Foreign Collateral Agent is not effective with respect to its rights under the Parallel Debt until all rights and obligations with respect to the Parallel Debt have been assigned to and assumed by the successor agent. The Foreign Collateral Agent will reasonably cooperate in assigning its rights under the Parallel Debt to any such successor agent and will reasonably cooperate in transferring all rights under any Security Document expressed to be governed by Dutch law (as the case may be) to such successor agent.</w:t>
      </w:r>
    </w:p>
    <w:p>
      <w:pPr>
        <w:spacing w:after="0" w:line="184"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Any Lender identified herein as a Co-Agent, Syndication Agent, Documentation Agent, Managing Agent, Manager, Lead Arranger, Arranger or any other corresponding title, other than “Administrative Agent” or “Foreign Collateral Agent” shall have no right, power, obligation, liability, responsibility or duty under this Agreement or any other Loan Document except those applicable to all Lenders as such. Each Lender acknowledges that it has not relied, and will not rely, on any Lender so identified in deciding to enter into this Agreement or in taking or not taking any action hereunder.</w:t>
      </w:r>
    </w:p>
    <w:p>
      <w:pPr>
        <w:spacing w:after="0" w:line="180"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 The Administrative Agent or the Foreign Collateral Agent, as applicable, may from time to time make such disbursements and advances (“</w:t>
      </w:r>
      <w:r>
        <w:rPr>
          <w:rFonts w:ascii="Times New Roman" w:cs="Times New Roman" w:eastAsia="Times New Roman" w:hAnsi="Times New Roman"/>
          <w:sz w:val="18"/>
          <w:szCs w:val="18"/>
          <w:u w:val="single" w:color="auto"/>
          <w:color w:val="auto"/>
        </w:rPr>
        <w:t>Agent Advances</w:t>
      </w:r>
      <w:r>
        <w:rPr>
          <w:rFonts w:ascii="Times New Roman" w:cs="Times New Roman" w:eastAsia="Times New Roman" w:hAnsi="Times New Roman"/>
          <w:sz w:val="18"/>
          <w:szCs w:val="18"/>
          <w:color w:val="auto"/>
        </w:rPr>
        <w:t xml:space="preserve">”) that the Administrative Agent or the Foreign Collateral Agent, each in its sole discretion, as applicable, deems necessary or desirable to (a) preserve, protect, prepare for sale or lease or dispose of the Collateral or any portion thereof, to enhance the likelihood or maximize the amount of repayment by the Borrowers of the Loans, Letters of Credit, and other Obligations or (b) to pay any other amount chargeable to the Borrowers or the other Credit Parties pursuant to the terms of this Agreement, including, without limitation, costs, fees and expenses as described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(y) Agent Advances made by the Foreign Collateral Agent for the purposes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(1) the aggregate amount of such Agent Advances at any time outstanding shall not exceed, when combined with any Dutch Overadvances then outstanding, 10% of the Total Dutch Revolving Commitment and (2) no such Agent Advance shall be made if, after giving effect to the Dollar Equivalent of any such Agent Advance, the Dutch Credit Facility Exposure of any Dutch Lender would exceed such Dutch Lender’s Dutch Revolving Commitment and</w:t>
      </w:r>
    </w:p>
    <w:p>
      <w:pPr>
        <w:spacing w:after="0" w:line="7" w:lineRule="exact"/>
        <w:rPr>
          <w:sz w:val="20"/>
          <w:szCs w:val="20"/>
          <w:color w:val="auto"/>
        </w:rPr>
      </w:pPr>
    </w:p>
    <w:p>
      <w:pPr>
        <w:ind w:firstLine="8"/>
        <w:spacing w:after="0" w:line="253" w:lineRule="auto"/>
        <w:tabs>
          <w:tab w:leader="none" w:pos="23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Advances made by the Administrative Agent for the purposes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(1) the aggregate amount of such Agent Advances at any time outstanding shall not exceed, when combined with any U.S. Overadvances then outstanding, 10% of the Total U.S. Revolving Commitment and (2) no such Agent Advance shall be made if, after giving effect to the Dollar Equivalent of any such Agent Advance, the U.S. Credit Facility Exposure of any U.S. Lender would exceed such U.S. Lender’s U.S. Revolving Commitment. The Agent Advances shall constitute Obligations hereunder, shall be repayable on demand, shall be secured by the Collateral and</w:t>
      </w:r>
    </w:p>
    <w:p>
      <w:pPr>
        <w:sectPr>
          <w:pgSz w:w="11900" w:h="16838" w:orient="portrait"/>
          <w:cols w:equalWidth="0" w:num="1">
            <w:col w:w="11380"/>
          </w:cols>
          <w:pgMar w:left="240" w:top="270" w:right="279" w:bottom="1440" w:gutter="0" w:footer="0" w:header="0"/>
        </w:sectPr>
      </w:pPr>
    </w:p>
    <w:bookmarkStart w:id="314" w:name="page315"/>
    <w:bookmarkEnd w:id="3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bear interest at a rate per annum equal to the rate then applicable to Revolving Loans that are Base Rate Loans. Agent Advances may be made if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not have been satisfied. Required Lenders may at any time revoke the Administrative Agent’s or Foreign Collateral Agent’s authority to make further Agent Advances under clause (a) by written notice to the Administrative Agent or Foreign Collateral Agent, as applicable. Absent such revocation, Administrative Agent’s and Foreign Collateral Agent’s determination that funding of an Agent Advance is appropriate shall be conclusive. Upon the making of an Agent Advance by the Administrative Agent or the Foreign Collateral Agent (whether before or after the occurrence of an Event of Default), each U.S. Lender, in the case of Agent Advances made by the Administrative Agent, and each Dutch Lender, in the case of Agent Advances made by the Foreign Collateral Agent shall be deemed, without further action by any party hereto, to have unconditionally and irrevocably purchased from the Administrative Agent or the Foreign Collateral Agent, as applicable, without recourse or warranty, an undivided interest and participation in such Agent Advance in proportion to its Revolving Commitment. The Administrative Agent or the Foreign Collateral Agent, as applicable, shall notify each Lender and the Borrowers in writing of each such Agent Advance, which notice shall include a description of the purpose of such Agent Advance. Without limitation to its obligations pursuant to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each Lender agrees that it shall make available to the Administrative Agent or the Foreign Collateral Agent, upon the Administrative Agent’s or Foreign Collateral Agent’s demand, in Dollars or Euros, as applicable, in immediately available funds, the amount equal to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each such Agent Advance, provided that in no event shall any Lender be required to make available Euros sooner than 3 Business Days after such demand. If such funds are not made available to the Administrative Agent or the Foreign Collateral Agent by such Lender, the Administrative Agent or the Foreign Collateral Agent shall be entitled to recover such funds on demand from such Lender, together with interest thereon for each day from the date such payment was due until the date such amount is paid to the Administrative Agent or the Foreign Collateral Agent, at the Federal Funds Effective Rate for three Business Days and thereafter at the Base Rate.</w:t>
      </w:r>
    </w:p>
    <w:p>
      <w:pPr>
        <w:spacing w:after="0" w:line="195"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The Administrative Agent, the Foreign Collateral Agent and each Lender hereby appoints the Administrative Agent, the Foreign Collateral Agent and each other Lender as agent and bailee for the purpose of perfecting the security interests in and liens upon the Collateral in assets that, in accordance with Article 9 of the UCC, can be perfected only by possession or control (or where the security interest of a secured party with possession or control has priority over the security interest of another secured party) and the Administrative Agent, the Foreign Collateral Agent and each Lender hereby acknowledges that it holds possession of or otherwise controls any such Collateral for the benefit of the Administrative Agent, the Foreign Collateral Agent and the Lenders as secured party. Should any Lender obtain possession or control of any such Collateral, such Lender shall notify the Administrative Agent or the Foreign Collateral Agent, as applicable, thereof, and, promptly upon the Administrative Agent’s or the Foreign Collateral Agent’s request therefor shall deliver such Collateral to the Administrative Agent or the Foreign Collateral Agent or in accordance with the Administrative Agent’s or the Foreign Collateral Agent’s instructions. Without limiting the generality of the foregoing, each Lender hereby appoints the Administrative Agent or the Foreign Collateral Agent, as applicable, for the purpose of perfecting the Administrative Agent’s or the Foreign Collateral Agent’s Liens on the Deposit Accounts or on any other deposit accounts or securities accounts of any Credit Party. Each Credit Party by its execution and delivery of this Agreement hereby consents to the foregoing.</w:t>
      </w:r>
    </w:p>
    <w:p>
      <w:pPr>
        <w:spacing w:after="0" w:line="19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Proof of Claim</w:t>
      </w:r>
      <w:r>
        <w:rPr>
          <w:rFonts w:ascii="Times New Roman" w:cs="Times New Roman" w:eastAsia="Times New Roman" w:hAnsi="Times New Roman"/>
          <w:sz w:val="18"/>
          <w:szCs w:val="18"/>
          <w:color w:val="auto"/>
        </w:rPr>
        <w:t xml:space="preserve">. The Lenders and the Borrowers hereby agree that after the occurrence of an Event of Default pursuant to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Borrowers or any of the Guarantors, the Administrative Agent (irrespective of whether the principal of any Loan shall then be due and payable as herein expressed or by declaration or otherwise and irrespective of whether the Administrative Agent shall have made any demand on the Borrowers or any of the Guarantors) shall be entitled and empowered, by intervention in such proceeding or otherwise:</w:t>
      </w:r>
    </w:p>
    <w:p>
      <w:pPr>
        <w:spacing w:after="0" w:line="184" w:lineRule="exact"/>
        <w:rPr>
          <w:sz w:val="20"/>
          <w:szCs w:val="20"/>
          <w:color w:val="auto"/>
        </w:rPr>
      </w:pPr>
    </w:p>
    <w:p>
      <w:pPr>
        <w:ind w:right="60" w:firstLine="464"/>
        <w:spacing w:after="0" w:line="258" w:lineRule="auto"/>
        <w:tabs>
          <w:tab w:leader="none" w:pos="70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Loans and any other Obligations that are owing and unpaid and to file such other papers or documents as may be necessary or advisable in order to have the claims of the Lenders, the Foreign Collateral Agent and the Administrative Agent (including any claim for the reasonable compensation, expenses, disbursements and advances of the Lenders, the Foreign Collateral Agent and the Administrative Agent and their agents and counsel and all other amounts due the Lenders, the Foreign Collateral Agent and the Administrative Agent hereunder) allowed in such judicial proceeding; and</w:t>
      </w:r>
    </w:p>
    <w:p>
      <w:pPr>
        <w:sectPr>
          <w:pgSz w:w="11900" w:h="16838" w:orient="portrait"/>
          <w:cols w:equalWidth="0" w:num="1">
            <w:col w:w="11380"/>
          </w:cols>
          <w:pgMar w:left="240" w:top="269" w:right="279" w:bottom="1440" w:gutter="0" w:footer="0" w:header="0"/>
        </w:sectPr>
      </w:pPr>
    </w:p>
    <w:bookmarkStart w:id="315" w:name="page316"/>
    <w:bookmarkEnd w:id="31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to collect and receive any moneys or other property payable or deliverable on any such claims and to distribute the same;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and other agents hereunder. Nothing herein contained shall be deemed to authorize the Administrative Agent to authorize or consent to or accept or adopt on behalf of any Lender any plan of reorganization, arrangement, adjustment or composition affecting the Obligations or the rights of any Lenders or to authorize the Administrative Agent to vote in respect of the claim of any Lender in any such proceeding. Further, nothing contained in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shall affect or preclude the ability of any Lender to (i) file and prove such a claim in the event that the Administrative Agent has not acted within ten (10) days prior to any applicable bar date and (ii) require an amendment of the proof of claim to accurately reflect such Lender’s outstanding Obligations.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Posting of Approved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53" w:lineRule="auto"/>
        <w:tabs>
          <w:tab w:leader="none" w:pos="70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Communications</w:t>
      </w:r>
      <w:r>
        <w:rPr>
          <w:rFonts w:ascii="Times New Roman" w:cs="Times New Roman" w:eastAsia="Times New Roman" w:hAnsi="Times New Roman"/>
          <w:sz w:val="18"/>
          <w:szCs w:val="18"/>
          <w:color w:val="auto"/>
        </w:rPr>
        <w:t>. Each Credit Party hereby agrees, unless directed otherwise by the Administrative Agent or unless the electronic mail address referred to below has not been provided by the Administrative Agent to such Credit Party that it will, or will cause its Subsidiaries to, provide to the Administrative Agent all information, documents and other materials that it is obligated to furnish to the Administrative Agent or to the Lenders pursuant to the Loan Documents, including all notices, requests, financial statements, financial and other reports, certificates and other information materials, but excluding any such communication that (i) is or relates to a Notice of Borrowing or a Notice of Continuation or Conversion, (ii) relates to the payment of any principal or other amount due under this Agreement prior to the scheduled date therefor, (iii) provides notice of any Default under this Agreement or any other Loan Document or (iv) is required to be delivered to satisfy any condition precedent to the effectiveness of this Agreement and/or any Loan or other extension of credit hereunder (all such non-excluded communications being referred to herein collectively as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by transmitting the Communications in an electronic/soft medium that is properly identified in a format acceptable to the Administrative Agent to an electronic mail address as directed by the Administrative Agent. In addition, each Credit Party agrees, and agrees to cause its Subsidiaries, to continue to provide the Communications to the Administrative Agent or the Lenders, as the case may be, in the manner specified in the Loan Documents but only to the extent requested by the Administrative Agent.</w:t>
      </w:r>
    </w:p>
    <w:p>
      <w:pPr>
        <w:spacing w:after="0" w:line="190" w:lineRule="exact"/>
        <w:rPr>
          <w:rFonts w:ascii="Times New Roman" w:cs="Times New Roman" w:eastAsia="Times New Roman" w:hAnsi="Times New Roman"/>
          <w:sz w:val="18"/>
          <w:szCs w:val="18"/>
          <w:color w:val="auto"/>
        </w:rPr>
      </w:pPr>
    </w:p>
    <w:p>
      <w:pPr>
        <w:ind w:right="540" w:firstLine="464"/>
        <w:spacing w:after="0" w:line="282" w:lineRule="auto"/>
        <w:tabs>
          <w:tab w:leader="none" w:pos="71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Each Credit Party further agrees that Administrative Agent may make the Communications available to the Lenders by posting the Communications on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269" w:right="279" w:bottom="1440" w:gutter="0" w:footer="0" w:header="0"/>
        </w:sectPr>
      </w:pPr>
    </w:p>
    <w:bookmarkStart w:id="316" w:name="page317"/>
    <w:bookmarkEnd w:id="316"/>
    <w:p>
      <w:pPr>
        <w:ind w:right="40" w:firstLine="464"/>
        <w:spacing w:after="0" w:line="253" w:lineRule="auto"/>
        <w:tabs>
          <w:tab w:leader="none" w:pos="70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Warranties as to Platform</w:t>
      </w:r>
      <w:r>
        <w:rPr>
          <w:rFonts w:ascii="Times New Roman" w:cs="Times New Roman" w:eastAsia="Times New Roman" w:hAnsi="Times New Roman"/>
          <w:sz w:val="18"/>
          <w:szCs w:val="18"/>
          <w:color w:val="auto"/>
        </w:rPr>
        <w:t>. THE PLATFORM IS PROVIDED “AS IS” AND “AS AVAILABLE.” THE INDEMNITEES DO NOT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INDEMNITEES IN CONNECTION WITH THE COMMUNICATIONS OR THE PLATFORM. IN NO EVENT SHALL THE INDEMNITEES HAVE ANY LIABILITY TO ANY LENDER OR ANY OTHER PERSON FOR DAMAGES OF ANY KIND, WHETHER OR NOT BASED ON STRICT LIABILITY AND INCLUDING DIRECT OR INDIRECT, SPECIAL, INCIDENTAL OR CONSEQUENTIAL DAMAGES, LOSSES OR EXPENSES (WHETHER IN TORT, CONTRACT OR OTHERWISE) ARISING OUT OF THE ADMINISTRATIVE AGENT’S OR THE FOREIGN COLLATERAL AGENT’S TRANSMISSION OF COMMUNICATIONS THROUGH THE INTERNET, EXCEPT TO THE EXTENT THE LIABILITY OF ANY INDEMNITEES IS FOUND IN A FINAL, NON-APPEALABLE ORDER BY A COURT OF COMPETENT JURISDICTION TO HAVE RESULTED PRIMARILY FROM SUCH INDEMNITEE’S GROSS NEGLIGENCE OR WILLFUL MISCONDUCT.</w:t>
      </w:r>
    </w:p>
    <w:p>
      <w:pPr>
        <w:spacing w:after="0" w:line="190" w:lineRule="exact"/>
        <w:rPr>
          <w:rFonts w:ascii="Times New Roman" w:cs="Times New Roman" w:eastAsia="Times New Roman" w:hAnsi="Times New Roman"/>
          <w:sz w:val="18"/>
          <w:szCs w:val="18"/>
          <w:color w:val="auto"/>
        </w:rPr>
      </w:pPr>
    </w:p>
    <w:p>
      <w:pPr>
        <w:ind w:right="140" w:firstLine="464"/>
        <w:spacing w:after="0" w:line="256" w:lineRule="auto"/>
        <w:tabs>
          <w:tab w:leader="none" w:pos="71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Via Platform</w:t>
      </w:r>
      <w:r>
        <w:rPr>
          <w:rFonts w:ascii="Times New Roman" w:cs="Times New Roman" w:eastAsia="Times New Roman" w:hAnsi="Times New Roman"/>
          <w:sz w:val="18"/>
          <w:szCs w:val="18"/>
          <w:color w:val="auto"/>
        </w:rPr>
        <w:t>. The Administrative Agent agrees that the receipt of the Communications by the Administrative Agent at its electronic mail address set forth above shall constitute effective delivery of the Communications to the Administrative Agent for purposes of the Loan Documents. Each Lender agrees that receipt of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electronic mail address to which the foregoing notice may be sent by electronic transmission and that the foregoing notice may be sent to such electronic mail address.</w:t>
      </w:r>
    </w:p>
    <w:p>
      <w:pPr>
        <w:spacing w:after="0" w:line="187" w:lineRule="exact"/>
        <w:rPr>
          <w:rFonts w:ascii="Times New Roman" w:cs="Times New Roman" w:eastAsia="Times New Roman" w:hAnsi="Times New Roman"/>
          <w:sz w:val="18"/>
          <w:szCs w:val="18"/>
          <w:color w:val="auto"/>
        </w:rPr>
      </w:pPr>
    </w:p>
    <w:p>
      <w:pPr>
        <w:ind w:right="140" w:firstLine="464"/>
        <w:spacing w:after="0" w:line="282" w:lineRule="auto"/>
        <w:tabs>
          <w:tab w:leader="none" w:pos="701"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Prejudice to Notice Rights</w:t>
      </w:r>
      <w:r>
        <w:rPr>
          <w:rFonts w:ascii="Times New Roman" w:cs="Times New Roman" w:eastAsia="Times New Roman" w:hAnsi="Times New Roman"/>
          <w:sz w:val="18"/>
          <w:szCs w:val="18"/>
          <w:color w:val="auto"/>
        </w:rPr>
        <w:t>. Nothing herein shall prejudice the right of the Administrative Agent, the Foreign Collateral Agent or any Lender to give any notice or other communication pursuant to any Loan Document in any other manner specified in such Loan Document.</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Each Lender hereby irrevocably authorizes the Administrative Agent, based upon the instruction of the Required Lenders, given at the time of the relevant event, to credit bid and purchase (either directly or through one or more acquisition vehicles) all or any portion of the Collateral at any sale thereof conducted under the provisions of the UCC, including pursuant to Sections 9-610 or 9-620 thereof, at any sale thereof conducted under the provisions of the Bankruptcy Code (including Section 363 of the Bankruptcy Code) or any applicable bankruptcy, insolvency, reorganization or other similar law (whether domestic or foreign) now or hereafter in effect, or at any sale or foreclosure conducted by the Administrative Agent (whether by judicial action or otherwise) in accordance with applicable law.</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 by the Company</w:t>
      </w:r>
      <w:r>
        <w:rPr>
          <w:rFonts w:ascii="Times New Roman" w:cs="Times New Roman" w:eastAsia="Times New Roman" w:hAnsi="Times New Roman"/>
          <w:sz w:val="18"/>
          <w:szCs w:val="18"/>
          <w:color w:val="auto"/>
        </w:rPr>
        <w:t>. The Company hereby irrevocably and unconditionally guarantees, for the benefit of the Benefited Creditors, all of the following (collectively, the “</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(a) all Dutch Obligations, (b) all reimbursement obligations and Unpaid Drawings with respect to Letters of Credit issued for the benefit of any LC Obligor (other</w:t>
      </w:r>
    </w:p>
    <w:p>
      <w:pPr>
        <w:sectPr>
          <w:pgSz w:w="11900" w:h="16838" w:orient="portrait"/>
          <w:cols w:equalWidth="0" w:num="1">
            <w:col w:w="11400"/>
          </w:cols>
          <w:pgMar w:left="240" w:top="270" w:right="259" w:bottom="1440" w:gutter="0" w:footer="0" w:header="0"/>
        </w:sectPr>
      </w:pPr>
    </w:p>
    <w:bookmarkStart w:id="317" w:name="page318"/>
    <w:bookmarkEnd w:id="31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the Company) under this Agreement, and (c) all amounts, indemnities and reimbursement obligations, direct or indirect, contingent or absolute, of every type or description, and at any time existing owing by any Subsidiary of the Company under any Designated Hedge Agreement or any other document or agreement executed and delivered in connection therewith to any Designated Hedge Creditor, in each case, other than any Excluded Swap Obligations, in all cases under subparts (a), (b) or (c) above, whether now existing, or hereafter incurred or arising, including any such interest or other amounts incurred or arising during the pendency of any bankruptcy, insolvency, reorganization, receivership or similar proceeding, regardless of whether allowed or allowable in such proceeding or subject to an automatic stay under Section 362(a) of the Bankruptcy Code). Such guaranty is an absolute, unconditional, present and continuing guaranty of payment and not of collectability and is in no way conditioned or contingent upon any attempt to collect from any Subsidiary or Affiliate of the Company, or any other action, occurrence or circumstance whatsoever. Upon failure by any Credit Party to pay punctually any of the Company Guaranteed Obligations, the Company shall forthwith on demand by the Administrative Agent pay the amount not so paid at the place and in the currency and otherwise in the manner specified in this Agreement or any other applicable agreement or instrument.</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Additional Undertaking</w:t>
      </w:r>
      <w:r>
        <w:rPr>
          <w:rFonts w:ascii="Times New Roman" w:cs="Times New Roman" w:eastAsia="Times New Roman" w:hAnsi="Times New Roman"/>
          <w:sz w:val="18"/>
          <w:szCs w:val="18"/>
          <w:color w:val="auto"/>
        </w:rPr>
        <w:t xml:space="preserve">. As a separate, additional and continuing obligation, the Company unconditionally and irrevocably undertakes and agrees, for the benefit of the Benefited Creditors that, should any Company Guaranteed Obligations not be recoverable from the Company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for any reason whatsoever (including, without limitation, by reason of any provision of any Loan Document or any other agreement or instrument executed in connection therewith being or becoming void, unenforceable, or otherwise invalid under any applicable law) then, notwithstanding any notice or knowledge thereof by any Lender, the Administrative Agent, any of their respective Affiliates, or any other person, at any time, the Company as sole, original and independent obligor, upon demand by the Administrative Agent, will make payment to the Administrative Agent, for the account of the Benefited Creditors, of all such obligations not so recoverable by way of full indemnity, in such currency and otherwise in such manner as is provided in the Loan Documents or any other applicable agreement or instrument.</w:t>
      </w:r>
    </w:p>
    <w:p>
      <w:pPr>
        <w:spacing w:after="0" w:line="18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Guaranty Unconditional</w:t>
      </w:r>
      <w:r>
        <w:rPr>
          <w:rFonts w:ascii="Times New Roman" w:cs="Times New Roman" w:eastAsia="Times New Roman" w:hAnsi="Times New Roman"/>
          <w:sz w:val="18"/>
          <w:szCs w:val="18"/>
          <w:color w:val="auto"/>
        </w:rPr>
        <w:t xml:space="preserve">. The obligations of the Company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be unconditional and absolute and, without limiting the generality of the foregoing shall not be released, discharged or otherwise affected by the occurrence, one or more times, of any of the following:</w:t>
      </w:r>
    </w:p>
    <w:p>
      <w:pPr>
        <w:spacing w:after="0" w:line="162" w:lineRule="exact"/>
        <w:rPr>
          <w:sz w:val="20"/>
          <w:szCs w:val="20"/>
          <w:color w:val="auto"/>
        </w:rPr>
      </w:pPr>
    </w:p>
    <w:p>
      <w:pPr>
        <w:ind w:right="440" w:firstLine="464"/>
        <w:spacing w:after="0" w:line="282" w:lineRule="auto"/>
        <w:tabs>
          <w:tab w:leader="none" w:pos="70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settlement, compromise, waiver or release in respect to the Company Guaranteed Obligations under any agreement or instrument, by operation of law or otherwise;</w:t>
      </w:r>
    </w:p>
    <w:p>
      <w:pPr>
        <w:spacing w:after="0" w:line="161" w:lineRule="exact"/>
        <w:rPr>
          <w:rFonts w:ascii="Times New Roman" w:cs="Times New Roman" w:eastAsia="Times New Roman" w:hAnsi="Times New Roman"/>
          <w:sz w:val="18"/>
          <w:szCs w:val="18"/>
          <w:color w:val="auto"/>
        </w:rPr>
      </w:pPr>
    </w:p>
    <w:p>
      <w:pPr>
        <w:ind w:right="680" w:firstLine="464"/>
        <w:spacing w:after="0" w:line="282" w:lineRule="auto"/>
        <w:tabs>
          <w:tab w:leader="none" w:pos="71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or amendment of or supplement to this Agreement, any Note, any other Loan Document, or any agreement or instrument evidencing or relating to any Company Guaranteed Obligation;</w:t>
      </w:r>
    </w:p>
    <w:p>
      <w:pPr>
        <w:spacing w:after="0" w:line="161" w:lineRule="exact"/>
        <w:rPr>
          <w:rFonts w:ascii="Times New Roman" w:cs="Times New Roman" w:eastAsia="Times New Roman" w:hAnsi="Times New Roman"/>
          <w:sz w:val="18"/>
          <w:szCs w:val="18"/>
          <w:color w:val="auto"/>
        </w:rPr>
      </w:pPr>
    </w:p>
    <w:p>
      <w:pPr>
        <w:ind w:right="660" w:firstLine="464"/>
        <w:spacing w:after="0" w:line="282" w:lineRule="auto"/>
        <w:tabs>
          <w:tab w:leader="none" w:pos="70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release, non-perfection or invalidity of any direct or indirect security for the Company Guaranteed Obligations under any agreement or instrument evidencing or relating to any Company Guaranteed Obligations;</w:t>
      </w:r>
    </w:p>
    <w:p>
      <w:pPr>
        <w:spacing w:after="0" w:line="161" w:lineRule="exact"/>
        <w:rPr>
          <w:rFonts w:ascii="Times New Roman" w:cs="Times New Roman" w:eastAsia="Times New Roman" w:hAnsi="Times New Roman"/>
          <w:sz w:val="18"/>
          <w:szCs w:val="18"/>
          <w:color w:val="auto"/>
        </w:rPr>
      </w:pPr>
    </w:p>
    <w:p>
      <w:pPr>
        <w:ind w:right="80" w:firstLine="464"/>
        <w:spacing w:after="0" w:line="266" w:lineRule="auto"/>
        <w:tabs>
          <w:tab w:leader="none" w:pos="71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corporate existence, structure or ownership of any Credit Party or other Subsidiary or any insolvency, bankruptcy, reorganization or other similar proceeding affecting any Credit Party or other Subsidiary or its assets or any resulting release or discharge of any obligation of any Credit Party or other Subsidiary contained in any agreement or instrument evidencing or relating to any of the Company Guaranteed Obligations;</w:t>
      </w:r>
    </w:p>
    <w:p>
      <w:pPr>
        <w:spacing w:after="0" w:line="176" w:lineRule="exact"/>
        <w:rPr>
          <w:rFonts w:ascii="Times New Roman" w:cs="Times New Roman" w:eastAsia="Times New Roman" w:hAnsi="Times New Roman"/>
          <w:sz w:val="18"/>
          <w:szCs w:val="18"/>
          <w:color w:val="auto"/>
        </w:rPr>
      </w:pPr>
    </w:p>
    <w:p>
      <w:pPr>
        <w:ind w:right="120" w:firstLine="464"/>
        <w:spacing w:after="0" w:line="282" w:lineRule="auto"/>
        <w:tabs>
          <w:tab w:leader="none" w:pos="701"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or other rights that the Company may have at any time against any other Credit Party, the Administrative Agent, any Lender, any Affiliate of any Lender or any other Person, whether in connection herewith or any unrelated transactions;</w:t>
      </w:r>
    </w:p>
    <w:p>
      <w:pPr>
        <w:sectPr>
          <w:pgSz w:w="11900" w:h="16838" w:orient="portrait"/>
          <w:cols w:equalWidth="0" w:num="1">
            <w:col w:w="11380"/>
          </w:cols>
          <w:pgMar w:left="240" w:top="269" w:right="279" w:bottom="1440" w:gutter="0" w:footer="0" w:header="0"/>
        </w:sectPr>
      </w:pPr>
    </w:p>
    <w:bookmarkStart w:id="318" w:name="page319"/>
    <w:bookmarkEnd w:id="318"/>
    <w:p>
      <w:pPr>
        <w:ind w:right="120" w:firstLine="464"/>
        <w:spacing w:after="0" w:line="266" w:lineRule="auto"/>
        <w:tabs>
          <w:tab w:leader="none" w:pos="681"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invalidity or unenforceability relating to or against any other Credit Party for any reason of any agreement or instrument evidencing or relating to any of the Company Guaranteed Obligations, or any provision of applicable law or regulation purporting to prohibit the payment by any Credit Party of any of the Company Guaranteed Obligations; or</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omission of any kind by any other Credit Party, the Administrative Agent, any Lender or any other Person or any other</w:t>
      </w:r>
    </w:p>
    <w:p>
      <w:pPr>
        <w:spacing w:after="0" w:line="27" w:lineRule="exact"/>
        <w:rPr>
          <w:rFonts w:ascii="Times New Roman" w:cs="Times New Roman" w:eastAsia="Times New Roman" w:hAnsi="Times New Roman"/>
          <w:sz w:val="18"/>
          <w:szCs w:val="18"/>
          <w:color w:val="auto"/>
        </w:rPr>
      </w:pPr>
    </w:p>
    <w:p>
      <w:pPr>
        <w:ind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 whatsoever that might, but for the provisions of this Article, constitute a legal or equitable discharge of the Company’s obligations under this Section other than the irrevocable payment in full of all Company Guaranteed Obligations.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Company Obligations to Remain in Effect; Restoration</w:t>
      </w:r>
      <w:r>
        <w:rPr>
          <w:rFonts w:ascii="Times New Roman" w:cs="Times New Roman" w:eastAsia="Times New Roman" w:hAnsi="Times New Roman"/>
          <w:sz w:val="18"/>
          <w:szCs w:val="18"/>
          <w:color w:val="auto"/>
        </w:rPr>
        <w:t xml:space="preserve">. The Company’s obligations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remain in full force and effect until the Revolving Commitments shall have terminated, and the principal of and interest on the Notes and other Company Guaranteed Obligations, and all other amounts payable by the Company, any other Credit Party or other Subsidiary, under the Loan Documents or any other agreement or instrument evidencing or relating to any of the Company Guaranteed Obligations, shall have been indefeasibly paid in full. If at any time any payment of any of the Company Guaranteed Obligations is rescinded or must be otherwise restored or returned upon the insolvency, bankruptcy or reorganization of such Credit Party, the Company’s obligations under this Article with respect to such payment shall be reinstated at such time as though such payment had been due but not made at such time.</w:t>
      </w:r>
    </w:p>
    <w:p>
      <w:pPr>
        <w:spacing w:after="0" w:line="189"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Waiver of Acceptance, etc</w:t>
      </w:r>
      <w:r>
        <w:rPr>
          <w:rFonts w:ascii="Times New Roman" w:cs="Times New Roman" w:eastAsia="Times New Roman" w:hAnsi="Times New Roman"/>
          <w:sz w:val="18"/>
          <w:szCs w:val="18"/>
          <w:color w:val="auto"/>
        </w:rPr>
        <w:t>. The Company irrevocably waives acceptance hereof, presentment, demand, protest and any notice not provided for herein, as well as any requirement that at any time any action be taken by any person against any other Credit Party or any other Person, or against any collateral or guaranty of any other Person.</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xml:space="preserve">. Until the indefeasible payment in full of all of the Obligations and the termination of the Revolving Commitments hereunder, the Company shall have no rights, by operation of law or otherwise, upon making any payment under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to be subrogated to the rights of the payee against any other Credit Party with respect to such payment or otherwise to be reimbursed, indemnified or exonerated by any such Credit Party in respect thereof.</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Effect of Stay; Limitations of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61" w:lineRule="auto"/>
        <w:tabs>
          <w:tab w:leader="none" w:pos="70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acceleration of the time for payment of any amount payable by any Credit Party under any of the Company Guaranteed Obligations is stayed upon insolvency, bankruptcy or reorganization of such Credit Party, all such amounts otherwise subject to acceleration under the terms of any applicable agreement or instrument evidencing or relating to any of the Company Guaranteed Obligations shall nonetheless be payable by the Company under this Article forthwith on demand by the Administrative Agent.</w:t>
      </w:r>
    </w:p>
    <w:p>
      <w:pPr>
        <w:spacing w:after="0" w:line="180" w:lineRule="exact"/>
        <w:rPr>
          <w:rFonts w:ascii="Times New Roman" w:cs="Times New Roman" w:eastAsia="Times New Roman" w:hAnsi="Times New Roman"/>
          <w:sz w:val="18"/>
          <w:szCs w:val="18"/>
          <w:color w:val="auto"/>
        </w:rPr>
      </w:pPr>
    </w:p>
    <w:p>
      <w:pPr>
        <w:ind w:right="80" w:firstLine="464"/>
        <w:spacing w:after="0" w:line="258" w:lineRule="auto"/>
        <w:tabs>
          <w:tab w:leader="none" w:pos="71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contained herein or in any other of the Loan Documents or Designated Hedge Agreements, the obligations of the Company as a guarantor of the Company Guaranteed Obligations under this Agreement and the other Loan Documents or Designated Hedge Agreements shall be limited to an aggregate amount equal to the largest amount that would not render such obligations subject to avoidance under the Bankruptcy Code or any bankruptcy or insolvency or analogous law in any jurisdiction outside of the United States or any comparable provisions of any applicable law.</w:t>
      </w:r>
    </w:p>
    <w:p>
      <w:pPr>
        <w:sectPr>
          <w:pgSz w:w="11900" w:h="16838" w:orient="portrait"/>
          <w:cols w:equalWidth="0" w:num="1">
            <w:col w:w="11400"/>
          </w:cols>
          <w:pgMar w:left="240" w:top="270" w:right="259" w:bottom="1440" w:gutter="0" w:footer="0" w:header="0"/>
        </w:sectPr>
      </w:pPr>
    </w:p>
    <w:bookmarkStart w:id="319" w:name="page320"/>
    <w:bookmarkEnd w:id="319"/>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10.08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The Company, to the extent it is a Qualified ECP Guarantor, hereby absolutely, unconditionally and irrevocably undertakes to provide such funds or other support as may be needed from time to time by the Company to honor all of its obligations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 respect of Designated Hedge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only be liable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or otherwise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The obligations of the Company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remain in full force and effect until indefeasible payment in full of all of the Obligations and the termination of the Commitments hereunder. The Company intends that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deemed to constitute, a “</w:t>
      </w:r>
      <w:r>
        <w:rPr>
          <w:rFonts w:ascii="Times New Roman" w:cs="Times New Roman" w:eastAsia="Times New Roman" w:hAnsi="Times New Roman"/>
          <w:sz w:val="18"/>
          <w:szCs w:val="18"/>
          <w:u w:val="single" w:color="auto"/>
          <w:color w:val="auto"/>
        </w:rPr>
        <w:t>keepwell, support, or other agreement</w:t>
      </w:r>
      <w:r>
        <w:rPr>
          <w:rFonts w:ascii="Times New Roman" w:cs="Times New Roman" w:eastAsia="Times New Roman" w:hAnsi="Times New Roman"/>
          <w:sz w:val="18"/>
          <w:szCs w:val="18"/>
          <w:color w:val="auto"/>
        </w:rPr>
        <w:t>” for the benefit of each other Credit Party for all purposes of Section 1a(18)(A)(v)(II) of the Commodity Exchange Act.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Payment of Expenses etc</w:t>
      </w:r>
      <w:r>
        <w:rPr>
          <w:rFonts w:ascii="Times New Roman" w:cs="Times New Roman" w:eastAsia="Times New Roman" w:hAnsi="Times New Roman"/>
          <w:sz w:val="18"/>
          <w:szCs w:val="18"/>
          <w:color w:val="auto"/>
        </w:rPr>
        <w:t xml:space="preserve">. Each Credit Party agrees to pay (or reimburse the Administrative Agent, the Foreign Collateral Agent, the Lenders or their Affiliates, as the case may be) all of the following: (i) whether or not the transactions contemplated hereby are consummated, for all reasonable and documented out-of-pocket costs and expenses of the Administrative Agent in connection with the negotiation, preparation, syndication, administration and execution and delivery of the Loan Documents and the documents and instruments referred to therein and the syndication of the Revolving Commitments; (ii) all reasonable and documented out-of-pocket costs and expenses of the Administrative Agent in connection with any amendment, waiver or consent relating to any of the Loan Documents; (iii) all out-of-pocket costs and expenses of the Administrative Agent, the Lenders and their Affiliates in connection with the enforcement of any of the Loan Documents or the other documents and instruments referred to therein, including, without limitation, the fees and disbursements of any individual counsel to the Administrative Agent, the Foreign Collateral Agent and any Lender; (iv) any and all present and future stamp and other similar taxes with respect to the foregoing matters and save the Administrative Agent and each of the Lenders harmless from and against any and all liabilities with respect to or resulting from any delay or omission (other than to the extent attributable to any such indemnified Person) to pay such taxes; (v) all the actual costs and expenses of creating and perfecting Liens in favor of the Administrative Agent or the Foreign Collateral Agent, for the benefit of Secured Creditors, including filing and recording fees, expenses and amounts owed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search fees, title insurance premiums and fees, expenses and disbursements of counsel to the Administrative Agent or the Foreign Collateral Agent and of counsel providing any opinions that the Administrative Agent, the Foreign Collateral Agent or the Required Lenders may request in respect of the Collateral or the Liens created pursuant to the Security Documents; (vi) all the actual and documented costs and fees, expenses and disbursements of any auditors, accountants, consultants or appraisers whether internal or external; and (vii) all the actual costs and expenses (including the fees, expenses and disbursements of counsel and of any appraisers, consultants, advisors and agents employed or retained by the Administrative Agent and the Foreign Collateral Agent and their counsel) in connection with the custody or preservation of any of the Collateral.</w:t>
      </w:r>
    </w:p>
    <w:p>
      <w:pPr>
        <w:spacing w:after="0" w:line="19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Credit Party agrees to indemnify the Administrative Agent, the Foreign Collateral Agent, each LC Issuer, each Lender, and their respective Related Parties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hold each of them harmless against any and all losses, liabilities, claims, damages or expenses reasonably incurred by any of them as a result of, or arising out of, or in any way related to, or by reason of (i) any investigation, litigation or other proceeding (whether or not any Indemnitee is a party thereto) related to the entering into and/or performance of any Loan</w:t>
      </w:r>
    </w:p>
    <w:p>
      <w:pPr>
        <w:sectPr>
          <w:pgSz w:w="11900" w:h="16838" w:orient="portrait"/>
          <w:cols w:equalWidth="0" w:num="1">
            <w:col w:w="11400"/>
          </w:cols>
          <w:pgMar w:left="240" w:top="270" w:right="259" w:bottom="1440" w:gutter="0" w:footer="0" w:header="0"/>
        </w:sectPr>
      </w:pPr>
    </w:p>
    <w:bookmarkStart w:id="320" w:name="page321"/>
    <w:bookmarkEnd w:id="3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 or the use of the proceeds of any Loans hereunder or the consummation of any transactions contemplated in any Loan Document or any other Transaction Document, other than any such investigation, litigation or proceeding arising out of transactions solely between any of the Lenders or the Administrative Agent, transactions solely involving the assignment by a Lender of all or a portion of its Loans and Revolving Commitments, or the granting of participations therein, as provided in this Agreement, or arising solely out of any examination of a Lender by any regulatory or other Governmental Authority having jurisdiction over it that is not in any way related to the entering into and/or performance of any Loan Document, or (ii) the actual or alleged presence of Hazardous Materials in the air, surface water or groundwater or on the surface or subsurface of any Real Property owned, leased or at any time operated by the Credit Parties or any of their respective Subsidiaries, the release, generation, storage, transportation, handling or disposal of Hazardous Materials at any location, whether or not owned or operated by the Credit Parties or any of their respective Subsidiaries, if the Borrowers or any such Subsidiary could have or is alleged to have any responsibility in respect thereof, the non-compliance of any such Real Property with foreign, federal, state and local laws, regulations and ordinances (including applicable permits thereunder) applicable thereto, or any Environmental Claim asserted against any Credit Party or any of their respective Subsidiaries, in respect of any such Real Property, including, in the case of each of (i) and (ii) above, without limitation, the reasonable documented fees and disbursements of counsel incurred in connection with any such investigation, litigation or other proceeding (but excluding any such losses, liabilities, claims, damages or expenses of any Indemnitee to the extent incurred by reason of the gross negligence or willful misconduct of such Indemnitee, in each case, as determined by a final non-appealable judgment of a court of competent jurisdiction). To the extent that the undertaking to indemnify, pay or hold harmless any Person set forth in the preceding sentence may be unenforceable because it is violative of any law or public policy, each Credit Party shall make the maximum contribution to the payment and satisfaction of each of the indemnified liabilities that is permissible under applicable law.</w:t>
      </w:r>
    </w:p>
    <w:p>
      <w:pPr>
        <w:spacing w:after="0" w:line="19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In addition to any rights now or hereafter granted under applicable law or otherwise, and not by way of limitation of any such rights, upon the occurrence and during the continuance of an Event of Default, each Lender and each LC Issuer is hereby authorized at any time or from time to time, without presentment, demand, protest or other notice of any kind to any Credit Party or to any other Person, any such notice being hereby expressly waived, to set off and to appropriate and apply any and all deposits (general or special) and any other Indebtedness at any time held or owing by such Lender or such LC Issuer (including, without limitation, by branches, agencies and Affiliates of such Lender or LC Issuer wherever located) to or for the credit or the account of any Credit Party against and on account of the Obligations and liabilities of any Credit Party to such Lender or LC Issuer under this Agreement or under any of the other Loan Documents, including, without limitation, all claims of any nature or description arising out of or connected with this Agreement or any other Loan Document, irrespective of whether or not such Lender or LC Issuer shall have made any demand hereunder and although said Obligations, liabilities or claims, or any of them, shall be contingent or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Each Lender and LC Issuer agrees to promptly notify the Borrowers after any such set 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such notice shall not affect the validity of such set off and application.</w:t>
      </w:r>
    </w:p>
    <w:p>
      <w:pPr>
        <w:sectPr>
          <w:pgSz w:w="11900" w:h="16838" w:orient="portrait"/>
          <w:cols w:equalWidth="0" w:num="1">
            <w:col w:w="11400"/>
          </w:cols>
          <w:pgMar w:left="240" w:top="270" w:right="259" w:bottom="1440" w:gutter="0" w:footer="0" w:header="0"/>
        </w:sectPr>
      </w:pPr>
    </w:p>
    <w:bookmarkStart w:id="321" w:name="page322"/>
    <w:bookmarkEnd w:id="321"/>
    <w:p>
      <w:pPr>
        <w:ind w:left="4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11.04 </w:t>
      </w:r>
      <w:r>
        <w:rPr>
          <w:rFonts w:ascii="Times New Roman" w:cs="Times New Roman" w:eastAsia="Times New Roman" w:hAnsi="Times New Roman"/>
          <w:sz w:val="18"/>
          <w:szCs w:val="18"/>
          <w:u w:val="single" w:color="auto"/>
          <w:color w:val="auto"/>
        </w:rPr>
        <w:t>Equalization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464"/>
        <w:spacing w:after="0" w:line="253" w:lineRule="auto"/>
        <w:tabs>
          <w:tab w:leader="none" w:pos="69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Equalization</w:t>
      </w:r>
      <w:r>
        <w:rPr>
          <w:rFonts w:ascii="Times New Roman" w:cs="Times New Roman" w:eastAsia="Times New Roman" w:hAnsi="Times New Roman"/>
          <w:sz w:val="18"/>
          <w:szCs w:val="18"/>
          <w:color w:val="auto"/>
        </w:rPr>
        <w:t xml:space="preserve">. If at any time any Lender receives any amount hereunder (whether by voluntary payment, by realization upon security, by the exercise of the right of setoff or banker’s lien, by counterclaim or cross action, by the enforcement of any right under the Loan Documents, or otherwise) that is applicable to the payment of the principal of, or interest on, the Loans (other than Swing Loans), LC Participations, Swing Loan Participations or Fees (other than Fees that are intended to be paid solely to the Administrative Agent, the Foreign Collateral Agent or an LC Issuer and amounts payable to a Lender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a sum that with respect to the related sum or sums received by other Lenders is in a greater proportion than the total of such Obligation then owed and due to such Lender bears to the total of such Obligation then owed and due to all of the Lenders immediately prior to such receipt,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such Lender receiving such excess payment shall purchase for cash without recourse or warranty from the other Lenders an interest in the Obligations to such Lenders in such amount as shall result in a proportional participation by all of the Lenders in such amount. The provisions of this </w:t>
      </w:r>
      <w:r>
        <w:rPr>
          <w:rFonts w:ascii="Times New Roman" w:cs="Times New Roman" w:eastAsia="Times New Roman" w:hAnsi="Times New Roman"/>
          <w:sz w:val="18"/>
          <w:szCs w:val="18"/>
          <w:u w:val="single" w:color="auto"/>
          <w:color w:val="auto"/>
        </w:rPr>
        <w:t>Section 11.04(a)</w:t>
      </w:r>
      <w:r>
        <w:rPr>
          <w:rFonts w:ascii="Times New Roman" w:cs="Times New Roman" w:eastAsia="Times New Roman" w:hAnsi="Times New Roman"/>
          <w:sz w:val="18"/>
          <w:szCs w:val="18"/>
          <w:color w:val="auto"/>
        </w:rPr>
        <w:t xml:space="preserve"> shall not be construed to apply to (i) any payment made by the Borrowers pursuant to and in accordance with the express terms of this Agreement (including the application of funds arising from the existence of a Defaulting Lender), or (ii) any payment obtained by a Lender as consideration for the assignment of or sale of a participation in any of its Loans or participations in L/C Outstandings to any assignee or participant, other than to the Borrowers or any Subsidiary thereof (as to which the provisions of this paragraph shall apply).</w:t>
      </w:r>
    </w:p>
    <w:p>
      <w:pPr>
        <w:spacing w:after="0" w:line="190" w:lineRule="exact"/>
        <w:rPr>
          <w:rFonts w:ascii="Times New Roman" w:cs="Times New Roman" w:eastAsia="Times New Roman" w:hAnsi="Times New Roman"/>
          <w:sz w:val="18"/>
          <w:szCs w:val="18"/>
          <w:color w:val="auto"/>
        </w:rPr>
      </w:pPr>
    </w:p>
    <w:p>
      <w:pPr>
        <w:ind w:left="-8" w:right="420" w:firstLine="464"/>
        <w:spacing w:after="0" w:line="282" w:lineRule="auto"/>
        <w:tabs>
          <w:tab w:leader="none" w:pos="70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Amounts</w:t>
      </w:r>
      <w:r>
        <w:rPr>
          <w:rFonts w:ascii="Times New Roman" w:cs="Times New Roman" w:eastAsia="Times New Roman" w:hAnsi="Times New Roman"/>
          <w:sz w:val="18"/>
          <w:szCs w:val="18"/>
          <w:color w:val="auto"/>
        </w:rPr>
        <w:t>. If any amount paid to any Lender pursuant to subpart (a) above is recovered in whole or in part from such Lender, such original purchase shall be rescinded, and the purchase price restored ratably to the extent of the recovery.</w:t>
      </w:r>
    </w:p>
    <w:p>
      <w:pPr>
        <w:spacing w:after="0" w:line="161" w:lineRule="exact"/>
        <w:rPr>
          <w:rFonts w:ascii="Times New Roman" w:cs="Times New Roman" w:eastAsia="Times New Roman" w:hAnsi="Times New Roman"/>
          <w:sz w:val="18"/>
          <w:szCs w:val="18"/>
          <w:color w:val="auto"/>
        </w:rPr>
      </w:pPr>
    </w:p>
    <w:p>
      <w:pPr>
        <w:ind w:left="-8" w:firstLine="464"/>
        <w:spacing w:after="0" w:line="266" w:lineRule="auto"/>
        <w:tabs>
          <w:tab w:leader="none" w:pos="69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Borrower</w:t>
      </w:r>
      <w:r>
        <w:rPr>
          <w:rFonts w:ascii="Times New Roman" w:cs="Times New Roman" w:eastAsia="Times New Roman" w:hAnsi="Times New Roman"/>
          <w:sz w:val="18"/>
          <w:szCs w:val="18"/>
          <w:color w:val="auto"/>
        </w:rPr>
        <w:t>.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76"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2" w:hanging="236"/>
        <w:spacing w:after="0"/>
        <w:tabs>
          <w:tab w:leader="none" w:pos="692"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subpart</w:t>
      </w:r>
    </w:p>
    <w:p>
      <w:pPr>
        <w:spacing w:after="0" w:line="27" w:lineRule="exact"/>
        <w:rPr>
          <w:rFonts w:ascii="Times New Roman" w:cs="Times New Roman" w:eastAsia="Times New Roman" w:hAnsi="Times New Roman"/>
          <w:sz w:val="18"/>
          <w:szCs w:val="18"/>
          <w:color w:val="auto"/>
        </w:rPr>
      </w:pPr>
    </w:p>
    <w:p>
      <w:pPr>
        <w:ind w:left="-8" w:firstLine="8"/>
        <w:spacing w:after="0" w:line="261" w:lineRule="auto"/>
        <w:tabs>
          <w:tab w:leader="none" w:pos="247"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all notices and other communications provided for herein shall be in writing and shall be delivered by hand or overnight courier service, mailed by certified or registered mail or sent by facsimile as follows:</w:t>
      </w:r>
    </w:p>
    <w:p>
      <w:pPr>
        <w:spacing w:after="0" w:line="71" w:lineRule="exact"/>
        <w:rPr>
          <w:rFonts w:ascii="Times New Roman" w:cs="Times New Roman" w:eastAsia="Times New Roman" w:hAnsi="Times New Roman"/>
          <w:sz w:val="18"/>
          <w:szCs w:val="18"/>
          <w:color w:val="auto"/>
        </w:rPr>
      </w:pPr>
    </w:p>
    <w:p>
      <w:pPr>
        <w:ind w:left="452" w:right="180" w:firstLine="443"/>
        <w:spacing w:after="0" w:line="282" w:lineRule="auto"/>
        <w:tabs>
          <w:tab w:leader="none" w:pos="1105"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Borrower, to it at 2000 Waters Edge Drive Building C, Suite 12, Johnson City, Tennessee 37604, Attention: James Dorton, (Facsimile No. (423) 743-2670);</w:t>
      </w:r>
    </w:p>
    <w:p>
      <w:pPr>
        <w:spacing w:after="0" w:line="53" w:lineRule="exact"/>
        <w:rPr>
          <w:rFonts w:ascii="Times New Roman" w:cs="Times New Roman" w:eastAsia="Times New Roman" w:hAnsi="Times New Roman"/>
          <w:sz w:val="18"/>
          <w:szCs w:val="18"/>
          <w:color w:val="auto"/>
        </w:rPr>
      </w:pPr>
    </w:p>
    <w:p>
      <w:pPr>
        <w:ind w:left="452" w:right="160" w:firstLine="443"/>
        <w:spacing w:after="0" w:line="282" w:lineRule="auto"/>
        <w:tabs>
          <w:tab w:leader="none" w:pos="1155"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Credit Party, to it at 2000 Waters Edge Drive Building C, Suite 12, Johnson City, Tennessee 37604, Attention: James Dorton, (Facsimile No. (423) 743-2670);</w:t>
      </w:r>
    </w:p>
    <w:p>
      <w:pPr>
        <w:spacing w:after="0" w:line="53" w:lineRule="exact"/>
        <w:rPr>
          <w:rFonts w:ascii="Times New Roman" w:cs="Times New Roman" w:eastAsia="Times New Roman" w:hAnsi="Times New Roman"/>
          <w:sz w:val="18"/>
          <w:szCs w:val="18"/>
          <w:color w:val="auto"/>
        </w:rPr>
      </w:pPr>
    </w:p>
    <w:p>
      <w:pPr>
        <w:ind w:left="1212" w:hanging="317"/>
        <w:spacing w:after="0"/>
        <w:tabs>
          <w:tab w:leader="none" w:pos="1212"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or the Foreign Collateral Agent, to it at the applicable Notice Office; and</w:t>
      </w:r>
    </w:p>
    <w:p>
      <w:pPr>
        <w:spacing w:after="0" w:line="225" w:lineRule="exact"/>
        <w:rPr>
          <w:rFonts w:ascii="Times New Roman" w:cs="Times New Roman" w:eastAsia="Times New Roman" w:hAnsi="Times New Roman"/>
          <w:sz w:val="18"/>
          <w:szCs w:val="18"/>
          <w:color w:val="auto"/>
        </w:rPr>
      </w:pPr>
    </w:p>
    <w:p>
      <w:pPr>
        <w:ind w:left="-8" w:right="20" w:firstLine="464"/>
        <w:spacing w:after="0" w:line="266" w:lineRule="auto"/>
        <w:tabs>
          <w:tab w:leader="none" w:pos="703"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 Lender, to it at its address (or facsimile number) set forth next to its name on the signature pages hereto or, in the case of any Lender that becomes a party to this Agreement by way of assignment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of this Agreement, to it at the address set forth in the Assignment Agreement to which it is a party;</w:t>
      </w:r>
    </w:p>
    <w:p>
      <w:pPr>
        <w:sectPr>
          <w:pgSz w:w="11900" w:h="16838" w:orient="portrait"/>
          <w:cols w:equalWidth="0" w:num="1">
            <w:col w:w="11392"/>
          </w:cols>
          <w:pgMar w:left="248" w:top="270" w:right="259" w:bottom="1440" w:gutter="0" w:footer="0" w:header="0"/>
        </w:sectPr>
      </w:pPr>
    </w:p>
    <w:bookmarkStart w:id="322" w:name="page323"/>
    <w:bookmarkEnd w:id="322"/>
    <w:p>
      <w:pPr>
        <w:jc w:val="both"/>
        <w:ind w:left="-460" w:right="100" w:firstLine="464"/>
        <w:spacing w:after="0" w:line="266" w:lineRule="auto"/>
        <w:tabs>
          <w:tab w:leader="none" w:pos="24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Notices</w:t>
      </w:r>
      <w:r>
        <w:rPr>
          <w:rFonts w:ascii="Times New Roman" w:cs="Times New Roman" w:eastAsia="Times New Roman" w:hAnsi="Times New Roman"/>
          <w:sz w:val="18"/>
          <w:szCs w:val="18"/>
          <w:color w:val="auto"/>
        </w:rPr>
        <w:t>. Notices and communications sent by hand or overnight courier service, or mailed by certified or registered mail, shall be deemed to have been given when received; notices sent by facsimile shall be deemed to have been given when sent and receipt has been confirmed by telephone. Notices delivered through electronic communications to the extent provided in subpart (d) below shall be effective as provided in said subpart (d).</w:t>
      </w:r>
    </w:p>
    <w:p>
      <w:pPr>
        <w:spacing w:after="0" w:line="176" w:lineRule="exact"/>
        <w:rPr>
          <w:rFonts w:ascii="Times New Roman" w:cs="Times New Roman" w:eastAsia="Times New Roman" w:hAnsi="Times New Roman"/>
          <w:sz w:val="18"/>
          <w:szCs w:val="18"/>
          <w:color w:val="auto"/>
        </w:rPr>
      </w:pPr>
    </w:p>
    <w:p>
      <w:pPr>
        <w:ind w:left="-460" w:firstLine="464"/>
        <w:spacing w:after="0" w:line="253" w:lineRule="auto"/>
        <w:tabs>
          <w:tab w:leader="none" w:pos="25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Administrative Agent, an LC Issuer or any Lender hereunder and required to be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be delivered or furnished by electronic communication (including e-mail and Internet or intranet web sites) pursuant to procedures approved by the Administrative Agent. The Administrative Agent, the Foreign Collateral Agent and the Borrowers may, in their discretion, agree in a separate writing to accept notices and other communications to them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 site shall be deemed received upon the deemed receipt by the intended recipient at its e-mail address as described in the foregoing clause (i) of notification that such notice or communication is available and identifying the web site address therefor.</w:t>
      </w:r>
    </w:p>
    <w:p>
      <w:pPr>
        <w:spacing w:after="0" w:line="192" w:lineRule="exact"/>
        <w:rPr>
          <w:rFonts w:ascii="Times New Roman" w:cs="Times New Roman" w:eastAsia="Times New Roman" w:hAnsi="Times New Roman"/>
          <w:sz w:val="18"/>
          <w:szCs w:val="18"/>
          <w:color w:val="auto"/>
        </w:rPr>
      </w:pPr>
    </w:p>
    <w:p>
      <w:pPr>
        <w:ind w:left="-460" w:right="60" w:firstLine="464"/>
        <w:spacing w:after="0" w:line="282" w:lineRule="auto"/>
        <w:tabs>
          <w:tab w:leader="none" w:pos="24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Any party hereto may change its address or facsimile number for notices and other communications hereunder by notice to each of the other parties hereto in accordance with </w:t>
      </w:r>
      <w:r>
        <w:rPr>
          <w:rFonts w:ascii="Times New Roman" w:cs="Times New Roman" w:eastAsia="Times New Roman" w:hAnsi="Times New Roman"/>
          <w:sz w:val="18"/>
          <w:szCs w:val="18"/>
          <w:u w:val="single" w:color="auto"/>
          <w:color w:val="auto"/>
        </w:rPr>
        <w:t>Section 11.05(a)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right="20" w:firstLine="464"/>
        <w:spacing w:after="0" w:line="261" w:lineRule="auto"/>
        <w:tabs>
          <w:tab w:leader="none" w:pos="24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This Agreement shall be binding upon and inure to the benefit of and be enforceable by the parties hereto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Borrowers may not assign or transfer any of its rights or obligations hereunder without the prior written consent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assignment or participation by a Lender of any of its rights and obligations hereunder shall be effected in accordance with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460" w:right="160" w:firstLine="464"/>
        <w:spacing w:after="0" w:line="282" w:lineRule="auto"/>
        <w:tabs>
          <w:tab w:leader="none" w:pos="25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Each Lender may at any time grant participations in any of its rights hereunder or under any of the Notes to an Eligible Assignee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participation,</w:t>
      </w:r>
    </w:p>
    <w:p>
      <w:pPr>
        <w:spacing w:after="0" w:line="53" w:lineRule="exact"/>
        <w:rPr>
          <w:rFonts w:ascii="Times New Roman" w:cs="Times New Roman" w:eastAsia="Times New Roman" w:hAnsi="Times New Roman"/>
          <w:sz w:val="18"/>
          <w:szCs w:val="18"/>
          <w:color w:val="auto"/>
        </w:rPr>
      </w:pPr>
    </w:p>
    <w:p>
      <w:pPr>
        <w:jc w:val="both"/>
        <w:ind w:right="260" w:firstLine="443"/>
        <w:spacing w:after="0" w:line="266" w:lineRule="auto"/>
        <w:tabs>
          <w:tab w:leader="none" w:pos="653"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not have any rights under this Agreement or any of the other Loan Documents, including rights of consent, approval or waiver (the participant’s rights against such Lender in respect of such participation to be those set forth in the agreement executed by such Lender in favor of the participant relating thereto),</w:t>
      </w:r>
    </w:p>
    <w:p>
      <w:pPr>
        <w:spacing w:after="0" w:line="68" w:lineRule="exact"/>
        <w:rPr>
          <w:rFonts w:ascii="Times New Roman" w:cs="Times New Roman" w:eastAsia="Times New Roman" w:hAnsi="Times New Roman"/>
          <w:sz w:val="18"/>
          <w:szCs w:val="18"/>
          <w:color w:val="auto"/>
        </w:rPr>
      </w:pPr>
    </w:p>
    <w:p>
      <w:pPr>
        <w:ind w:right="820" w:firstLine="443"/>
        <w:spacing w:after="0" w:line="282" w:lineRule="auto"/>
        <w:tabs>
          <w:tab w:leader="none" w:pos="703"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obligations under this Agreement (including, without limitation, its Revolving Commitment hereunder) shall remain unchanged,</w:t>
      </w:r>
    </w:p>
    <w:p>
      <w:pPr>
        <w:spacing w:after="0" w:line="53" w:lineRule="exact"/>
        <w:rPr>
          <w:rFonts w:ascii="Times New Roman" w:cs="Times New Roman" w:eastAsia="Times New Roman" w:hAnsi="Times New Roman"/>
          <w:sz w:val="18"/>
          <w:szCs w:val="18"/>
          <w:color w:val="auto"/>
        </w:rPr>
      </w:pPr>
    </w:p>
    <w:p>
      <w:pPr>
        <w:ind w:left="760" w:hanging="317"/>
        <w:spacing w:after="0"/>
        <w:tabs>
          <w:tab w:leader="none" w:pos="76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solely responsible to the other parties hereto for the performance of such obligations,</w:t>
      </w:r>
    </w:p>
    <w:p>
      <w:pPr>
        <w:sectPr>
          <w:pgSz w:w="11900" w:h="16838" w:orient="portrait"/>
          <w:cols w:equalWidth="0" w:num="1">
            <w:col w:w="10960"/>
          </w:cols>
          <w:pgMar w:left="700" w:top="269" w:right="239" w:bottom="1440" w:gutter="0" w:footer="0" w:header="0"/>
        </w:sectPr>
      </w:pPr>
    </w:p>
    <w:bookmarkStart w:id="323" w:name="page324"/>
    <w:bookmarkEnd w:id="323"/>
    <w:p>
      <w:pPr>
        <w:ind w:left="1200" w:hanging="297"/>
        <w:spacing w:after="0"/>
        <w:tabs>
          <w:tab w:leader="none" w:pos="12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Lender shall remain the holder of the Obligations owing to it and of any Note issued to it for all purposes of this Agreement, and</w:t>
      </w:r>
    </w:p>
    <w:p>
      <w:pPr>
        <w:spacing w:after="0" w:line="117" w:lineRule="exact"/>
        <w:rPr>
          <w:rFonts w:ascii="Times New Roman" w:cs="Times New Roman" w:eastAsia="Times New Roman" w:hAnsi="Times New Roman"/>
          <w:sz w:val="18"/>
          <w:szCs w:val="18"/>
          <w:color w:val="auto"/>
        </w:rPr>
      </w:pPr>
    </w:p>
    <w:p>
      <w:pPr>
        <w:ind w:left="460" w:right="120" w:firstLine="443"/>
        <w:spacing w:after="0" w:line="261" w:lineRule="auto"/>
        <w:tabs>
          <w:tab w:leader="none" w:pos="115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the Administrative Agent, the Foreign Collateral Agent and the other Lenders shall continue to deal solely and directly with the selling Lender in connection with such Lender’s rights and obligations under this Agreement, and all amounts payable by the Borrowers hereunder shall be determined as if such Lender had not sold such participation, except that the participant shall be entitled to the benefits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the extent that such Lender would be entitled to such benefits if the participation had not been entered into or sold,</w:t>
      </w:r>
    </w:p>
    <w:p>
      <w:pPr>
        <w:spacing w:after="0" w:line="1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Lender shall transfer, grant or sell any participation under which the participant shall have rights to approve any amendment to or waiver of this Agreement or any other Loan Document except to the extent (A) such participant is an Affiliate or an Approved Fund of the Lender granting the participations or (B) such amendment or waiver would (x) extend the final scheduled maturity of the date of any scheduled repayment of any of the Loans in which such participant is participating, or reduce the rate or extend the time of payment of interest or Fees thereon (except in connection with a waiver of the applicability of any post-default increase in interest rates), or reduce the principal amount thereof, or increase such participant’s participating interest in any Revolving Commitment over the amount thereof then in effect (it being understood that a waiver of any Default or Event of Default shall not constitute a change in the terms of any such Revolving Commitment), (y) release all or any substantial portion of the Collateral, or release any guarantor from its guaranty of any of the Obligations, except in accordance with the terms of the Loan Documents, or (z) consent to the assignment or transfer by the Borrowers of any of its rights and obligations under this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each participant shall be entitled to the benefits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respect to its participation as if it was a Lender, except that a participant shall (i) only deliver the forms described in </w:t>
      </w:r>
      <w:r>
        <w:rPr>
          <w:rFonts w:ascii="Times New Roman" w:cs="Times New Roman" w:eastAsia="Times New Roman" w:hAnsi="Times New Roman"/>
          <w:sz w:val="18"/>
          <w:szCs w:val="18"/>
          <w:u w:val="single" w:color="auto"/>
          <w:color w:val="auto"/>
        </w:rPr>
        <w:t>Section 3.03(g)</w:t>
      </w:r>
      <w:r>
        <w:rPr>
          <w:rFonts w:ascii="Times New Roman" w:cs="Times New Roman" w:eastAsia="Times New Roman" w:hAnsi="Times New Roman"/>
          <w:sz w:val="18"/>
          <w:szCs w:val="18"/>
          <w:color w:val="auto"/>
        </w:rPr>
        <w:t xml:space="preserve"> to the Lender granting it such participation and (ii) not be entitled to receive any greater payment under </w:t>
      </w:r>
      <w:r>
        <w:rPr>
          <w:rFonts w:ascii="Times New Roman" w:cs="Times New Roman" w:eastAsia="Times New Roman" w:hAnsi="Times New Roman"/>
          <w:sz w:val="18"/>
          <w:szCs w:val="18"/>
          <w:u w:val="single" w:color="auto"/>
          <w:color w:val="auto"/>
        </w:rPr>
        <w:t>Section 3.03(g)</w:t>
      </w:r>
      <w:r>
        <w:rPr>
          <w:rFonts w:ascii="Times New Roman" w:cs="Times New Roman" w:eastAsia="Times New Roman" w:hAnsi="Times New Roman"/>
          <w:sz w:val="18"/>
          <w:szCs w:val="18"/>
          <w:color w:val="auto"/>
        </w:rPr>
        <w:t xml:space="preserve"> than the applicable Lender would have been entitled to receive absent the participation, except to the extent such entitlement to a greater payment arose from a Change in Law, after the participant became a participant hereunder.</w:t>
      </w:r>
    </w:p>
    <w:p>
      <w:pPr>
        <w:spacing w:after="0" w:line="19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the event that any Lender sells participations in a Loan, such Lender shall, acting for this purpose as a non-fiduciary agent of the Borrowers, maintain a register on which it enters the name of all participants in such Loan and the principal amount (and stated interest thereon) of the portion of such Loan that is the subject of the participation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A Loan (and the registered note, if any, evidencing the same) may be participated in whole or in part only by registration of such participation on the Participant Register (and each registered note shall expressly so provide). Any participation of a Loan (and the registered note, if any, evidencing the same) may be effected only by the registration of such participation on the Participant Register. The Participant Register shall be available for inspection by the Borrowers and any Lender at any reasonable time and from time to time upon reasonable prior notice.</w:t>
      </w:r>
    </w:p>
    <w:p>
      <w:pPr>
        <w:spacing w:after="0" w:line="174" w:lineRule="exact"/>
        <w:rPr>
          <w:sz w:val="20"/>
          <w:szCs w:val="20"/>
          <w:color w:val="auto"/>
        </w:rPr>
      </w:pPr>
    </w:p>
    <w:p>
      <w:pPr>
        <w:ind w:left="700" w:hanging="236"/>
        <w:spacing w:after="0"/>
        <w:tabs>
          <w:tab w:leader="none" w:pos="7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60" w:right="280" w:firstLine="443"/>
        <w:spacing w:after="0" w:line="266" w:lineRule="auto"/>
        <w:tabs>
          <w:tab w:leader="none" w:pos="1113"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assign all, or if less than all, a fixed portion, of its Loans, LC Participations, Swing Loan Participations and/or Revolving Commitments and its rights and obligations hereunder to one or more Eligible Assignees, each of which shall become a party to this Agreement as a Lender by execution of an Assignment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w:t>
      </w:r>
    </w:p>
    <w:p>
      <w:pPr>
        <w:spacing w:after="0" w:line="68" w:lineRule="exact"/>
        <w:rPr>
          <w:rFonts w:ascii="Times New Roman" w:cs="Times New Roman" w:eastAsia="Times New Roman" w:hAnsi="Times New Roman"/>
          <w:sz w:val="18"/>
          <w:szCs w:val="18"/>
          <w:color w:val="auto"/>
        </w:rPr>
      </w:pPr>
    </w:p>
    <w:p>
      <w:pPr>
        <w:ind w:left="920" w:firstLine="421"/>
        <w:spacing w:after="0" w:line="289" w:lineRule="auto"/>
        <w:tabs>
          <w:tab w:leader="none" w:pos="1635" w:val="left"/>
        </w:tabs>
        <w:numPr>
          <w:ilvl w:val="2"/>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case of (x) an assignment of the entire remaining amount of the assigning Lender’s Loans and/or Revolving Commitments or (y) an assignment to another Lender, an Affiliate of such Lender or an Approved Fund with respect to such Lender, the aggregate amount of the Revolving Commitment so assigned (which for this purpose includes the Loans outstanding thereunder) shall not be less than $5,000,000;</w:t>
      </w:r>
    </w:p>
    <w:p>
      <w:pPr>
        <w:sectPr>
          <w:pgSz w:w="11900" w:h="16838" w:orient="portrait"/>
          <w:cols w:equalWidth="0" w:num="1">
            <w:col w:w="11420"/>
          </w:cols>
          <w:pgMar w:left="240" w:top="269" w:right="239" w:bottom="1440" w:gutter="0" w:footer="0" w:header="0"/>
        </w:sectPr>
      </w:pPr>
    </w:p>
    <w:bookmarkStart w:id="324" w:name="page325"/>
    <w:bookmarkEnd w:id="324"/>
    <w:p>
      <w:pPr>
        <w:ind w:left="456" w:right="20" w:firstLine="421"/>
        <w:spacing w:after="0" w:line="282" w:lineRule="auto"/>
        <w:tabs>
          <w:tab w:leader="none" w:pos="116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assignment to an Eligible Assignee at the time of any such assignment the Lender Register shall be deemed modified to reflect the Revolving Commitments of such new Lender and of the existing Lenders;</w:t>
      </w:r>
    </w:p>
    <w:p>
      <w:pPr>
        <w:spacing w:after="0" w:line="53" w:lineRule="exact"/>
        <w:rPr>
          <w:rFonts w:ascii="Times New Roman" w:cs="Times New Roman" w:eastAsia="Times New Roman" w:hAnsi="Times New Roman"/>
          <w:sz w:val="18"/>
          <w:szCs w:val="18"/>
          <w:color w:val="auto"/>
        </w:rPr>
      </w:pPr>
    </w:p>
    <w:p>
      <w:pPr>
        <w:ind w:left="456" w:right="160" w:firstLine="421"/>
        <w:spacing w:after="0" w:line="282" w:lineRule="auto"/>
        <w:tabs>
          <w:tab w:leader="none" w:pos="116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the old Notes, if any, upon request of the new Lender, new Notes will be issued, at the Borrowers’ expense, to such new Lender and to the assigning Lender, to the extent needed to reflect the revised Revolving Commitments;</w:t>
      </w:r>
    </w:p>
    <w:p>
      <w:pPr>
        <w:spacing w:after="0" w:line="53" w:lineRule="exact"/>
        <w:rPr>
          <w:rFonts w:ascii="Times New Roman" w:cs="Times New Roman" w:eastAsia="Times New Roman" w:hAnsi="Times New Roman"/>
          <w:sz w:val="18"/>
          <w:szCs w:val="18"/>
          <w:color w:val="auto"/>
        </w:rPr>
      </w:pPr>
    </w:p>
    <w:p>
      <w:pPr>
        <w:ind w:left="456" w:right="460" w:firstLine="421"/>
        <w:spacing w:after="0" w:line="282" w:lineRule="auto"/>
        <w:tabs>
          <w:tab w:leader="none" w:pos="117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Administrative Agent, the Administrative Agent shall receive at the time of each such assignment, from the assigning or assignee Lender, the payment of a non-refundable assignment fee of $3,500;</w:t>
      </w:r>
    </w:p>
    <w:p>
      <w:pPr>
        <w:spacing w:after="0" w:line="53" w:lineRule="exact"/>
        <w:rPr>
          <w:rFonts w:ascii="Times New Roman" w:cs="Times New Roman" w:eastAsia="Times New Roman" w:hAnsi="Times New Roman"/>
          <w:sz w:val="18"/>
          <w:szCs w:val="18"/>
          <w:color w:val="auto"/>
        </w:rPr>
      </w:pPr>
    </w:p>
    <w:p>
      <w:pPr>
        <w:ind w:left="456" w:firstLine="421"/>
        <w:spacing w:after="0" w:line="261" w:lineRule="auto"/>
        <w:tabs>
          <w:tab w:leader="none" w:pos="115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assignment shall be subject to the prior written consent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Borrowers shall be deemed to have consented to any such assignment unless it shall object thereto by written notice to the Administrative Agent within 2 Business Days after having received notice thereof, and provided further, that no consent of the Borrowers shall be required for an assignment to a Lender, an affiliate of such Lender or an Approved Fund or, if an Event of Default has occurred and is continuing, any other assignee; and</w:t>
      </w:r>
    </w:p>
    <w:p>
      <w:pPr>
        <w:spacing w:after="0" w:line="71" w:lineRule="exact"/>
        <w:rPr>
          <w:rFonts w:ascii="Times New Roman" w:cs="Times New Roman" w:eastAsia="Times New Roman" w:hAnsi="Times New Roman"/>
          <w:sz w:val="18"/>
          <w:szCs w:val="18"/>
          <w:color w:val="auto"/>
        </w:rPr>
      </w:pPr>
    </w:p>
    <w:p>
      <w:pPr>
        <w:ind w:left="456" w:right="300" w:firstLine="421"/>
        <w:spacing w:after="0" w:line="282" w:lineRule="auto"/>
        <w:tabs>
          <w:tab w:leader="none" w:pos="114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to any Person of Loans extended to or for the account of an Applicable Dutch Credit Party shall only be permitted if the Person to whom the Loans are assigned is a Non-Public Lender at all times.</w:t>
      </w:r>
    </w:p>
    <w:p>
      <w:pPr>
        <w:spacing w:after="0" w:line="53" w:lineRule="exact"/>
        <w:rPr>
          <w:rFonts w:ascii="Times New Roman" w:cs="Times New Roman" w:eastAsia="Times New Roman" w:hAnsi="Times New Roman"/>
          <w:sz w:val="18"/>
          <w:szCs w:val="18"/>
          <w:color w:val="auto"/>
        </w:rPr>
      </w:pPr>
    </w:p>
    <w:p>
      <w:pPr>
        <w:ind w:left="-4" w:firstLine="443"/>
        <w:spacing w:after="0" w:line="266" w:lineRule="auto"/>
        <w:tabs>
          <w:tab w:leader="none" w:pos="699"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of any assignment pursuant to this subpart (c), the assigning Lender shall be relieved of its obligations hereunder with respect to its assigned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w:t>
      </w:r>
    </w:p>
    <w:p>
      <w:pPr>
        <w:spacing w:after="0" w:line="68" w:lineRule="exact"/>
        <w:rPr>
          <w:rFonts w:ascii="Times New Roman" w:cs="Times New Roman" w:eastAsia="Times New Roman" w:hAnsi="Times New Roman"/>
          <w:sz w:val="18"/>
          <w:szCs w:val="18"/>
          <w:color w:val="auto"/>
        </w:rPr>
      </w:pPr>
    </w:p>
    <w:p>
      <w:pPr>
        <w:jc w:val="both"/>
        <w:ind w:left="-4" w:right="200" w:firstLine="443"/>
        <w:spacing w:after="0" w:line="266" w:lineRule="auto"/>
        <w:tabs>
          <w:tab w:leader="none" w:pos="749"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each assignment pursuant to this subpart (c), to a Person that is not already a Lender hereunder and that is not a U.S. Person for Federal income tax purposes, the respective assignee Lender shall provide to the Borrowers, the Administrative Agent and the Foreign Collateral Agent the applicable Internal Revenue Service Forms (and any necessary additional documentation) described in </w:t>
      </w:r>
      <w:r>
        <w:rPr>
          <w:rFonts w:ascii="Times New Roman" w:cs="Times New Roman" w:eastAsia="Times New Roman" w:hAnsi="Times New Roman"/>
          <w:sz w:val="18"/>
          <w:szCs w:val="18"/>
          <w:u w:val="single" w:color="auto"/>
          <w:color w:val="auto"/>
        </w:rPr>
        <w:t>Section 3.03(g)</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464" w:right="80" w:firstLine="464"/>
        <w:spacing w:after="0" w:line="255" w:lineRule="auto"/>
        <w:tabs>
          <w:tab w:leader="none" w:pos="247"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Lender, the transfer of any Revolving Commitment of such Lender and the rights to the principal of, and interest on, any Loan made pursuant to such Revolving Commitment shall not be effective until such transfer is recorded on the Lender Register maintained by the Administrative Agent (on behalf of and acting solely for this purpose as a non-fiduciary agent of the Borrowers) with respect to ownership of such Revolving Commitment and Loans, including the name and address of the Lenders and the principal amount of the Loans (and stated interest thereon). Prior to such recordation, all amounts owing to the transferor with respect to such Revolving Commitment and Loans shall remain owing to the transferor. The registration of assignment or transfer of all or part of any Revolving Commitments and Loans shall be recorded by the Administrative Agent on the Lender Register only upon the acceptance by the Administrative Agent of a properly executed and delivered Assignment Agreement pursuant to this subpart (d). The Lender Register shall be available for the inspection by the Borrowers at any reasonable time and from time to time upon reasonable prior notice.</w:t>
      </w:r>
    </w:p>
    <w:p>
      <w:pPr>
        <w:sectPr>
          <w:pgSz w:w="11900" w:h="16838" w:orient="portrait"/>
          <w:cols w:equalWidth="0" w:num="1">
            <w:col w:w="10916"/>
          </w:cols>
          <w:pgMar w:left="704" w:top="270" w:right="279" w:bottom="1440" w:gutter="0" w:footer="0" w:header="0"/>
        </w:sectPr>
      </w:pPr>
    </w:p>
    <w:bookmarkStart w:id="325" w:name="page326"/>
    <w:bookmarkEnd w:id="325"/>
    <w:p>
      <w:pPr>
        <w:ind w:firstLine="464"/>
        <w:spacing w:after="0" w:line="258" w:lineRule="auto"/>
        <w:tabs>
          <w:tab w:leader="none" w:pos="701"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this Section shall prevent or prohibit (A) any Lender that is a bank, trust company or other financial institution from pledging its Notes or Loans to a Federal Reserve Bank or to any Person that extends credit to such Lender in support of borrowings made by such Lender from such Federal Reserve Bank or such other Person, or (B) any Lender that is a trust, limited liability company, partnership or other investment company from pledging its Notes or Loans to a trustee or agent for the benefit of holders of certificates or debt securities issued by it. No such pledge, or any assignment pursuant to or in lieu of an enforcement of such a pledge, shall relieve the transferor Lender from its obligations hereunder.</w:t>
      </w:r>
    </w:p>
    <w:p>
      <w:pPr>
        <w:spacing w:after="0" w:line="183" w:lineRule="exact"/>
        <w:rPr>
          <w:rFonts w:ascii="Times New Roman" w:cs="Times New Roman" w:eastAsia="Times New Roman" w:hAnsi="Times New Roman"/>
          <w:sz w:val="18"/>
          <w:szCs w:val="18"/>
          <w:color w:val="auto"/>
        </w:rPr>
      </w:pPr>
    </w:p>
    <w:p>
      <w:pPr>
        <w:ind w:right="20" w:firstLine="464"/>
        <w:spacing w:after="0" w:line="253" w:lineRule="auto"/>
        <w:tabs>
          <w:tab w:leader="none" w:pos="681"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share of Loans previously requested but not funded by the Defaulting Lender, to each of which the applicable assignee and assignor hereby irrevocably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to (x) pay and satisfy in full all payment liabilities then owed by such Defaulting Lender to the Administrative Agent, each LC Issuer, each Swing Line Lender and each other Lender hereunder (and interest accrued thereon), and (y) acquire (and fund as appropriate) its full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all Loans and participations in Letters of Credit and Swing Loans in accordance with its Revolving Facility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3"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herein, no Lender may assign, sell, negotiate or otherwise transfer (a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its Loans, LC Participations, Swing Loan Participations and/or Revolving Commitments to the Company, any other Credit Party or any Affiliate of any of the foregoing.</w:t>
      </w:r>
    </w:p>
    <w:p>
      <w:pPr>
        <w:spacing w:after="0" w:line="162" w:lineRule="exact"/>
        <w:rPr>
          <w:sz w:val="20"/>
          <w:szCs w:val="20"/>
          <w:color w:val="auto"/>
        </w:rPr>
      </w:pPr>
    </w:p>
    <w:p>
      <w:pPr>
        <w:ind w:right="100" w:firstLine="464"/>
        <w:spacing w:after="0" w:line="266" w:lineRule="auto"/>
        <w:tabs>
          <w:tab w:leader="none" w:pos="711"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SEC Registration or Blue Sky Compliance</w:t>
      </w:r>
      <w:r>
        <w:rPr>
          <w:rFonts w:ascii="Times New Roman" w:cs="Times New Roman" w:eastAsia="Times New Roman" w:hAnsi="Times New Roman"/>
          <w:sz w:val="18"/>
          <w:szCs w:val="18"/>
          <w:color w:val="auto"/>
        </w:rPr>
        <w:t>. Notwithstanding any other provisions of this Section, no transfer or assignment of the interests or obligations of any Lender hereunder or any grant of participation therein shall be permitted if such transfer, assignment or grant would require the Borrowers to file a registration statement with the SEC or to qualify the Loans under the “Blue Sky” laws of any State.</w:t>
      </w:r>
    </w:p>
    <w:p>
      <w:pPr>
        <w:spacing w:after="0" w:line="176" w:lineRule="exact"/>
        <w:rPr>
          <w:rFonts w:ascii="Times New Roman" w:cs="Times New Roman" w:eastAsia="Times New Roman" w:hAnsi="Times New Roman"/>
          <w:sz w:val="18"/>
          <w:szCs w:val="18"/>
          <w:color w:val="auto"/>
        </w:rPr>
      </w:pPr>
    </w:p>
    <w:p>
      <w:pPr>
        <w:ind w:right="60" w:firstLine="464"/>
        <w:spacing w:after="0" w:line="258" w:lineRule="auto"/>
        <w:tabs>
          <w:tab w:leader="none" w:pos="711"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Lenders</w:t>
      </w:r>
      <w:r>
        <w:rPr>
          <w:rFonts w:ascii="Times New Roman" w:cs="Times New Roman" w:eastAsia="Times New Roman" w:hAnsi="Times New Roman"/>
          <w:sz w:val="18"/>
          <w:szCs w:val="18"/>
          <w:color w:val="auto"/>
        </w:rPr>
        <w:t xml:space="preserve">. Each Lender initially party to this Agreement hereby represents, and each Person that becomes a Lender pursuant to an assignment permitted by this Section will, upon its becoming party to this Agreement, represents that it is a commercial lender, other financial institution or other “accredited” investor (as defined in SEC Regulation D) that makes or acquires loans in the ordinary course of its business and that it will make or acquire Loans for its own account in the ordinary course of such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subject to the preceding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disposition of any promissory notes or other evidences of or interests in Indebtedness held by such Lender shall at all times be within its exclusive control.</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the Administrative Agent, Foreign Collateral Agent or any Lender in exercising any right, power or privilege hereunder or under any other Loan Document and no course of dealing between the Borrowers and the Administrative Agent, Foreign Collateral Agent or any Lender shall operate as a waiver thereof; nor shall any single or partial exercise of any right, power or privilege hereunder or under any other Loan Document preclude any other or further exercise thereof or the exercise of any other right, power or</w:t>
      </w:r>
    </w:p>
    <w:p>
      <w:pPr>
        <w:sectPr>
          <w:pgSz w:w="11900" w:h="16838" w:orient="portrait"/>
          <w:cols w:equalWidth="0" w:num="1">
            <w:col w:w="11420"/>
          </w:cols>
          <w:pgMar w:left="240" w:top="270" w:right="239" w:bottom="1440" w:gutter="0" w:footer="0" w:header="0"/>
        </w:sectPr>
      </w:pPr>
    </w:p>
    <w:bookmarkStart w:id="326" w:name="page327"/>
    <w:bookmarkEnd w:id="3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privilege hereunder or thereunder. No notice to or demand on the Borrowers in any case shall entitle the Borrowers to any other or further notice or demand in similar or other circumstances or constitute a waiver of the rights of the Administrative Agent, Foreign Collateral Agent or the Lenders to any other or further action in any circumstances without notice or demand. Without limiting the generality of the foregoing, the making of a Loan or any LC Issuance shall not be construed as a waiver of any Default or Event of Default, regardless of whether the Administrative Agent, Foreign Collateral Agent, any Lender or any LC Issuer may have had notice or knowledge of such Default or Event of Default at the time. The rights and remedies herein expressly provided are cumulative and not exclusive of any rights or remedies that the Administrative Agent, Foreign Collateral Agent or any Lender would otherwise have.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Governing Law; Submission to Jurisdiction;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64"/>
        <w:spacing w:after="0" w:line="273" w:lineRule="auto"/>
        <w:tabs>
          <w:tab w:leader="none" w:pos="701"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EACH OTHER LOAN DOCUMENT (OTHER THAN THE LETTERS OF CREDIT, TO THE EXTENT SPECIFIED BELOW, AND EXCEPT AS OTHERWISE EXPRESSLY SET FORTH IN A LOAN DOCUMENT) AND THE RIGHTS AND OBLIGATIONS OF THE PARTIES HEREUNDER AND THEREUNDER SHALL BE GOVERNED BY, AND CONSTRUED AND INTERPRETED IN ACCORDANCE WITH, THE LAW OF THE STATE OF NEW YORK. EACH LETTER OF CREDIT SHALL BE GOVERNED BY, AND CONSTRUED IN ACCORDANCE WITH, THE LAWS OR RULES DESIGNATED IN SUCH LETTER OF CREDIT OR, IF NO LAWS OR RULES ARE SO DESIGNATED, THE INTERNATIONAL STANDBY PRACTICES (ISP98 — INTERNATIONAL CHAMBER OF COMMERCE PUBLICATION NUMBER 590 (THE “ISP98 RULES”)) AND, AS TO MATTERS NOT GOVERNED BY THE ISP98 RULES, THE LAW OF THE STATE OF NEW YORK.</w:t>
      </w:r>
    </w:p>
    <w:p>
      <w:pPr>
        <w:spacing w:after="0" w:line="172" w:lineRule="exact"/>
        <w:rPr>
          <w:rFonts w:ascii="Times New Roman" w:cs="Times New Roman" w:eastAsia="Times New Roman" w:hAnsi="Times New Roman"/>
          <w:sz w:val="17"/>
          <w:szCs w:val="17"/>
          <w:color w:val="auto"/>
        </w:rPr>
      </w:pPr>
    </w:p>
    <w:p>
      <w:pPr>
        <w:ind w:firstLine="464"/>
        <w:spacing w:after="0" w:line="254" w:lineRule="auto"/>
        <w:tabs>
          <w:tab w:leader="none" w:pos="71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HEREBY IRREVOCABLY CONSENTS TO THE NON-EXCLUSIVE JURISDICTION OF ANY UNITED STATES FEDERAL OR NEW YORK STATE COURT SITTING IN NEW YORK CITY IN ANY LITIGATION OR OTHER PROCEEDING BASED HEREON, OR ARISING OUT OF, UNDER, OR IN CONNECTION WITH, ANY LOAN DOCUMENT, OR ANY COURSE OF CONDUCT, COURSE OF DEALING, STATEMENTS (WHETHER ORAL OR WRITTEN) OR ACTIONS OF THE ADMINISTRATIVE AGENT, THE LENDERS, THE LC ISSUER OR THE CREDIT PARTIES IN CONNECTION HEREWITH OR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SUIT SEEKING ENFORCEMENT AGAINST ANY COLLATERAL OR OTHER PROPERTY MAY BE BROUGHT, AT THE ADMINISTRATIVE AGENT’S OPTION, IN THE COURTS OF ANY JURISDICTION WHERE SUCH COLLATERAL OR OTHER PROPERTY MAY BE FOUND;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HEREIN SHALL LIMIT THE RIGHT OF THE ADMINISTRATIVE AGENT, ANY LENDER OR THE LC ISSUER TO BRING PROCEEDINGS AGAINST ANY CREDIT PARTY IN THE COURTS OF ANY OTHER JURISDICTION.</w:t>
      </w:r>
    </w:p>
    <w:p>
      <w:pPr>
        <w:spacing w:after="0" w:line="189" w:lineRule="exact"/>
        <w:rPr>
          <w:rFonts w:ascii="Times New Roman" w:cs="Times New Roman" w:eastAsia="Times New Roman" w:hAnsi="Times New Roman"/>
          <w:sz w:val="18"/>
          <w:szCs w:val="18"/>
          <w:color w:val="auto"/>
        </w:rPr>
      </w:pPr>
    </w:p>
    <w:p>
      <w:pPr>
        <w:ind w:right="60" w:firstLine="464"/>
        <w:spacing w:after="0" w:line="255" w:lineRule="auto"/>
        <w:tabs>
          <w:tab w:leader="none" w:pos="70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IRREVOCABLY CONSENTS TO THE SERVICE OF PROCESS BY REGISTERED MAIL, POSTAGE PREPAID, OR BY PERSONAL SERVICE WITHIN OR WITHOUT THE STATE OF NEW YORK AT THE ADDRESS FOR NOTICES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EACH CREDIT PARTY HEREBY EXPRESSLY AND IRREVOCABLY WAIVES, TO THE FULLEST EXTENT PERMITTED BY LAW, ANY OBJECTION THAT IT MAY HAVE OR HEREAFTER MAY HAVE TO THE LAYING OF VENUE OF ANY SUCH LITIGATION BROUGHT IN ANY SUCH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ANY CLAIM THAT ANY SUCH LITIGATION HAS BEEN BROUGHT IN AN INCONVENIENT FORUM. TO THE EXTENT THAT ANY CREDIT PARTY HAS OR HEREAFTER MAY ACQUIRE ANY IMMUNITY FROM JURISDICTION OF ANY COURT OR FROM ANY LEGAL PROCESS WHETHER THROUGH SERVICE OR NOTICE, ATTACHMENT PRIOR TO JUDGMENT, ATTACHMENT IN AID OF EXECUTION OR OTHERWISE) WITH RESPECT TO ITSELF OR ITS PROPERTY, SUCH CREDIT</w:t>
      </w:r>
    </w:p>
    <w:p>
      <w:pPr>
        <w:sectPr>
          <w:pgSz w:w="11900" w:h="16838" w:orient="portrait"/>
          <w:cols w:equalWidth="0" w:num="1">
            <w:col w:w="11400"/>
          </w:cols>
          <w:pgMar w:left="240" w:top="270" w:right="259" w:bottom="1440" w:gutter="0" w:footer="0" w:header="0"/>
        </w:sectPr>
      </w:pPr>
    </w:p>
    <w:bookmarkStart w:id="327" w:name="page328"/>
    <w:bookmarkEnd w:id="32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HEREBY IRREVOCABLY WAIVES TO THE FULLEST EXTENT PERMITTED BY LAW SUCH IMMUNITY IN RESPECT OF ITS OBLIGATIONS UNDER THE LOAN DOCUMENTS. EACH CREDIT PARTY HEREBY WAIVES, TO THE MAXIMUM EXTENT NOT PROHIBITED BY LAW, ANY RIGHT THAT IT MAY HAVE TO CLAIM OR RECOVER IN ANY LEGAL ACTION OR PROCEEDING REFERRED TO IN THIS SECTION ANY SPECIAL, EXEMPLARY, PUNITIVE OR CONSEQUENTIAL DAMAGES.</w:t>
      </w:r>
    </w:p>
    <w:p>
      <w:pPr>
        <w:spacing w:after="0" w:line="180" w:lineRule="exact"/>
        <w:rPr>
          <w:sz w:val="20"/>
          <w:szCs w:val="20"/>
          <w:color w:val="auto"/>
        </w:rPr>
      </w:pPr>
    </w:p>
    <w:p>
      <w:pPr>
        <w:ind w:firstLine="464"/>
        <w:spacing w:after="0" w:line="254" w:lineRule="auto"/>
        <w:tabs>
          <w:tab w:leader="none" w:pos="711"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FOREIGN COLLATERAL AGENT, EACH LENDER, THE LC ISSUER AND EACH CREDIT PARTY HEREBY KNOWINGLY, VOLUNTARILY AND INTENTIONALLY WAIVE TO THE FULLEST EXTENT PERMITTED BY LAW ANY RIGHTS IT MAY HAVE TO A TRIAL BY JURY IN RESPECT OF ANY LITIGATION BASED HEREON, OR ARISING OUT OF, UNDER, OR IN CONNECTION WITH, ANY LOAN DOCUMENT, OR ANY COURSE OF CONDUCT, COURSE OF DEALING, STATEMENTS (WHETHER ORAL OR WRITTEN) OR ACTIONS OF THE ADMINISTRATIVE AGENT OR THE FOREIGN COLLATERAL AGENT, SUCH LENDER, THE LC ISSUER OR SUCH CREDIT PARTY IN CONNECTION THEREWITH. EACH CREDIT PARTY ACKNOWLEDGES AND AGREES THAT IT HAS RECEIVED FULL AND SUFFICIENT CONSIDERATION FOR THIS PROVISION (AND EACH OTHER PROVISION OF EACH OTHER LOAN DOCUMENT TO WHICH IT IS A PARTY) AND THAT THIS PROVISION IS A MATERIAL INDUCEMENT FOR THE ADMINISTRATIVE AGENT, THE FOREIGN COLLATERAL AGENT, EACH LENDER AND THE LC ISSUER ENTERING INTO THE LOAN DOCUMENTS.</w:t>
      </w:r>
    </w:p>
    <w:p>
      <w:pPr>
        <w:spacing w:after="0" w:line="189" w:lineRule="exact"/>
        <w:rPr>
          <w:rFonts w:ascii="Times New Roman" w:cs="Times New Roman" w:eastAsia="Times New Roman" w:hAnsi="Times New Roman"/>
          <w:sz w:val="18"/>
          <w:szCs w:val="18"/>
          <w:color w:val="auto"/>
        </w:rPr>
      </w:pPr>
    </w:p>
    <w:p>
      <w:pPr>
        <w:ind w:right="80" w:firstLine="464"/>
        <w:spacing w:after="0" w:line="258" w:lineRule="auto"/>
        <w:tabs>
          <w:tab w:leader="none" w:pos="701"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xml:space="preserve"> Without prejudice to any other mode of service allowed under any relevant law, the Dutch Borrower and each other Credit Party organized outside the U.S. (a) irrevocably appoints CT Corporation located at 111 Eighth Avenue, 13th Floor, New York, New York 10011, as its agent for service of process in relation to any action or proceeding arising out of or relating to any Loan Documents, and (b) agrees that failure by a process agent to notify such Borrower or such Credit Party of any process will not invalidate the proceedings concerned. For purposes of clarity, nothing in this Agreement or any other Loan Document will affect the right of any party to this Agreement to serve process in any other manner permitted by law.</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the different parties hereto on separate counterparts, each of which when so executed and delivered shall be an original, but all of which shall together constitute one and the same agreement. A set of counterparts executed by all the parties hereto shall be lodged with the Borrowers and the Administrative Agent.</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the other Loan Documents and any separate letter agreements with respect to fees payable to the Foreign Collateral Agent, for its own account and the Administrative Agent, for its own account and benefit and/or for the account, benefit of, and distribution to, the Lenders, constitute the entire contract among the parties relating to the subject matter hereof and thereof and supersede any and all previous agreements and understandings, oral or written, relating to the subject matter hereof or thereof. To the extent that there is any conflict between the terms and provisions of this Agreement and the terms and provisions of any other Loan Document (other than the Intercreditor Agreement), the terms and provisions of this Agreement will prevail;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provision of the Security Agreements which imposes additional burdens on the Company or any of its Subsidiaries or further restricts the rights of the Company or any of its Subsidiaries or gives the Administrative Agent, the Foreign Collateral Agent or the Lenders additional rights shall not be deemed to be in conflict or inconsistent with this Agreement and shall be given full force and effect. To the extent that there is any conflict between the terms and provisions of the Intercreditor Agreement and the terms and provisions of this Agreement or any other Loan Document, the Intercreditor Agreement will prevail;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w:t>
      </w:r>
    </w:p>
    <w:p>
      <w:pPr>
        <w:sectPr>
          <w:pgSz w:w="11900" w:h="16838" w:orient="portrait"/>
          <w:cols w:equalWidth="0" w:num="1">
            <w:col w:w="11400"/>
          </w:cols>
          <w:pgMar w:left="240" w:top="269" w:right="259" w:bottom="1440" w:gutter="0" w:footer="0" w:header="0"/>
        </w:sectPr>
      </w:pPr>
    </w:p>
    <w:bookmarkStart w:id="328" w:name="page329"/>
    <w:bookmarkEnd w:id="32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provision of this Agreement or the Loan Documents which imposes additional burdens on the Company or any of its Subsidiaries or further restricts the rights of the Company or any of its Subsidiaries or gives the Administrative Agent or Lenders additional rights (including, without limitation, </w:t>
      </w:r>
      <w:r>
        <w:rPr>
          <w:rFonts w:ascii="Times New Roman" w:cs="Times New Roman" w:eastAsia="Times New Roman" w:hAnsi="Times New Roman"/>
          <w:sz w:val="18"/>
          <w:szCs w:val="18"/>
          <w:u w:val="single" w:color="auto"/>
          <w:color w:val="auto"/>
        </w:rPr>
        <w:t>Section 7.02(k))</w:t>
      </w:r>
      <w:r>
        <w:rPr>
          <w:rFonts w:ascii="Times New Roman" w:cs="Times New Roman" w:eastAsia="Times New Roman" w:hAnsi="Times New Roman"/>
          <w:sz w:val="18"/>
          <w:szCs w:val="18"/>
          <w:color w:val="auto"/>
        </w:rPr>
        <w:t xml:space="preserve"> shall not be deemed to be in conflict or inconsistent with this Agreement or the Intercreditor Agreement and shall be given full force and effect.</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Headings Descriptive</w:t>
      </w:r>
      <w:r>
        <w:rPr>
          <w:rFonts w:ascii="Times New Roman" w:cs="Times New Roman" w:eastAsia="Times New Roman" w:hAnsi="Times New Roman"/>
          <w:sz w:val="18"/>
          <w:szCs w:val="18"/>
          <w:color w:val="auto"/>
        </w:rPr>
        <w:t>. The headings of the several Sections and other portions of this Agreement are inserted for convenience only and shall not in any way affect the meaning or construction of any provision of this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Amendment or Waiver; Acceleration by Required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64"/>
        <w:spacing w:after="0" w:line="266" w:lineRule="auto"/>
        <w:tabs>
          <w:tab w:leader="none" w:pos="701"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Loan Document, nor any terms hereof or thereof, may be amended, changed, waived or otherwise modified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such amendment, change, waiver or other modification is in writing and signed by the Borrowers, the Administrative Agent, and the Required Lenders or by the Administrative Agent acting at the written direction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waiver or other modification shall:</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3"/>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increase the amount of the Revolving Commitment of any Lender hereunder, without the written consent of such Lender or</w:t>
      </w:r>
    </w:p>
    <w:p>
      <w:pPr>
        <w:spacing w:after="0" w:line="2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Total Revolving Commitment (other than increases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without the consent of all the Lenders;</w:t>
      </w:r>
    </w:p>
    <w:p>
      <w:pPr>
        <w:spacing w:after="0" w:line="98" w:lineRule="exact"/>
        <w:rPr>
          <w:rFonts w:ascii="Times New Roman" w:cs="Times New Roman" w:eastAsia="Times New Roman" w:hAnsi="Times New Roman"/>
          <w:sz w:val="18"/>
          <w:szCs w:val="18"/>
          <w:color w:val="auto"/>
        </w:rPr>
      </w:pPr>
    </w:p>
    <w:p>
      <w:pPr>
        <w:ind w:left="920" w:right="80" w:firstLine="421"/>
        <w:spacing w:after="0" w:line="261" w:lineRule="auto"/>
        <w:tabs>
          <w:tab w:leader="none" w:pos="1625"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postpone the Revolving Facility Termination Date or the maturity date provided for herein that is applicable to any Loan of any Lender, extend or postpone the expiration date of any Letter of Credit as to which such Lender is an LC Participant beyond the latest expiration date for a Letter of Credit provided for herein, or extend or postpone any scheduled expiration or termination date provided for herein that is applicable to a Revolving Commitment of any Lender, without the written consent of such Lender;</w:t>
      </w:r>
    </w:p>
    <w:p>
      <w:pPr>
        <w:spacing w:after="0" w:line="71" w:lineRule="exact"/>
        <w:rPr>
          <w:rFonts w:ascii="Times New Roman" w:cs="Times New Roman" w:eastAsia="Times New Roman" w:hAnsi="Times New Roman"/>
          <w:sz w:val="18"/>
          <w:szCs w:val="18"/>
          <w:color w:val="auto"/>
        </w:rPr>
      </w:pPr>
    </w:p>
    <w:p>
      <w:pPr>
        <w:ind w:left="920" w:right="100" w:firstLine="421"/>
        <w:spacing w:after="0" w:line="266" w:lineRule="auto"/>
        <w:tabs>
          <w:tab w:leader="none" w:pos="1625"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Loan made by any Lender, or reduce the rate or extend, defer or delay the time of payment of, or excuse the payment of, principal or interest thereon (other than as a result of (x) waiving the applicability of any post-default increase in interest rates or (y) any amendment or modification of defined terms used in financial covenants), without the written consent of such Lender;</w:t>
      </w:r>
    </w:p>
    <w:p>
      <w:pPr>
        <w:spacing w:after="0" w:line="68" w:lineRule="exact"/>
        <w:rPr>
          <w:rFonts w:ascii="Times New Roman" w:cs="Times New Roman" w:eastAsia="Times New Roman" w:hAnsi="Times New Roman"/>
          <w:sz w:val="18"/>
          <w:szCs w:val="18"/>
          <w:color w:val="auto"/>
        </w:rPr>
      </w:pPr>
    </w:p>
    <w:p>
      <w:pPr>
        <w:ind w:left="920" w:right="140" w:firstLine="421"/>
        <w:spacing w:after="0" w:line="266" w:lineRule="auto"/>
        <w:tabs>
          <w:tab w:leader="none" w:pos="1635"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any Unpaid Drawing as to which any Lender is an LC Participant, or reduce the rate or extend the time of payment of, or excuse the payment of, interest thereon (other than as a result of waiving the applicability of any post-default increase in interest rates), without the written consent of such Lender; or</w:t>
      </w:r>
    </w:p>
    <w:p>
      <w:pPr>
        <w:spacing w:after="0" w:line="68" w:lineRule="exact"/>
        <w:rPr>
          <w:rFonts w:ascii="Times New Roman" w:cs="Times New Roman" w:eastAsia="Times New Roman" w:hAnsi="Times New Roman"/>
          <w:sz w:val="18"/>
          <w:szCs w:val="18"/>
          <w:color w:val="auto"/>
        </w:rPr>
      </w:pPr>
    </w:p>
    <w:p>
      <w:pPr>
        <w:ind w:left="920" w:right="20" w:firstLine="421"/>
        <w:spacing w:after="0" w:line="282" w:lineRule="auto"/>
        <w:tabs>
          <w:tab w:leader="none" w:pos="1615" w:val="left"/>
        </w:tabs>
        <w:numPr>
          <w:ilvl w:val="3"/>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or excuse the payment of, any Fees to which any Lender is entitled hereunder, without the written consent of such Lender; and</w:t>
      </w:r>
    </w:p>
    <w:p>
      <w:pPr>
        <w:sectPr>
          <w:pgSz w:w="11900" w:h="16838" w:orient="portrait"/>
          <w:cols w:equalWidth="0" w:num="1">
            <w:col w:w="11400"/>
          </w:cols>
          <w:pgMar w:left="240" w:top="269" w:right="259" w:bottom="1440" w:gutter="0" w:footer="0" w:header="0"/>
        </w:sectPr>
      </w:pPr>
    </w:p>
    <w:bookmarkStart w:id="329" w:name="page330"/>
    <w:bookmarkEnd w:id="329"/>
    <w:p>
      <w:pPr>
        <w:ind w:left="1160" w:hanging="257"/>
        <w:spacing w:after="0"/>
        <w:tabs>
          <w:tab w:leader="none" w:pos="116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change, waiver or other modification or termination shall, without the written consent of each Lender affected thereby,</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Borrower from any of its obligations hereunder;</w:t>
      </w:r>
    </w:p>
    <w:p>
      <w:pPr>
        <w:spacing w:after="0" w:line="115" w:lineRule="exact"/>
        <w:rPr>
          <w:rFonts w:ascii="Times New Roman" w:cs="Times New Roman" w:eastAsia="Times New Roman" w:hAnsi="Times New Roman"/>
          <w:sz w:val="18"/>
          <w:szCs w:val="18"/>
          <w:color w:val="auto"/>
        </w:rPr>
      </w:pPr>
    </w:p>
    <w:p>
      <w:pPr>
        <w:ind w:left="920" w:right="80" w:firstLine="421"/>
        <w:spacing w:after="0" w:line="284" w:lineRule="auto"/>
        <w:tabs>
          <w:tab w:leader="none" w:pos="162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 Borrower from its guaranty obligations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release any Credit Party from the Guaranty,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in the case of a Subsidiary Guarantor, in accordance with a transaction permitted under this Agreement;</w:t>
      </w:r>
    </w:p>
    <w:p>
      <w:pPr>
        <w:spacing w:after="0" w:line="50" w:lineRule="exact"/>
        <w:rPr>
          <w:rFonts w:ascii="Times New Roman" w:cs="Times New Roman" w:eastAsia="Times New Roman" w:hAnsi="Times New Roman"/>
          <w:sz w:val="18"/>
          <w:szCs w:val="18"/>
          <w:color w:val="auto"/>
        </w:rPr>
      </w:pPr>
    </w:p>
    <w:p>
      <w:pPr>
        <w:ind w:left="1620" w:hanging="279"/>
        <w:spacing w:after="0"/>
        <w:tabs>
          <w:tab w:leader="none" w:pos="162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any substantial portion of the Collateral,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in connection with a transaction permitted under this Agreement;</w:t>
      </w:r>
    </w:p>
    <w:p>
      <w:pPr>
        <w:spacing w:after="0" w:line="119" w:lineRule="exact"/>
        <w:rPr>
          <w:rFonts w:ascii="Times New Roman" w:cs="Times New Roman" w:eastAsia="Times New Roman" w:hAnsi="Times New Roman"/>
          <w:sz w:val="18"/>
          <w:szCs w:val="18"/>
          <w:color w:val="auto"/>
        </w:rPr>
      </w:pPr>
    </w:p>
    <w:p>
      <w:pPr>
        <w:ind w:left="920" w:right="180" w:firstLine="421"/>
        <w:spacing w:after="0" w:line="266" w:lineRule="auto"/>
        <w:tabs>
          <w:tab w:leader="none" w:pos="163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or any other provision of any of the Loan Documents pursuant to which the consent or approval of all Lenders, or a number or specified percentage or other required grouping of Lenders or Lenders having Revolving Commitments, is by the terms of such provision explicitly required;</w:t>
      </w:r>
    </w:p>
    <w:p>
      <w:pPr>
        <w:spacing w:after="0" w:line="68" w:lineRule="exact"/>
        <w:rPr>
          <w:rFonts w:ascii="Times New Roman" w:cs="Times New Roman" w:eastAsia="Times New Roman" w:hAnsi="Times New Roman"/>
          <w:sz w:val="18"/>
          <w:szCs w:val="18"/>
          <w:color w:val="auto"/>
        </w:rPr>
      </w:pPr>
    </w:p>
    <w:p>
      <w:pPr>
        <w:ind w:left="1620" w:hanging="279"/>
        <w:spacing w:after="0"/>
        <w:tabs>
          <w:tab w:leader="none" w:pos="162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or otherwise modify, the definition of Required Lenders;</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 Borrower of any of its rights and obligations under this Agreement;</w:t>
      </w:r>
    </w:p>
    <w:p>
      <w:pPr>
        <w:spacing w:after="0" w:line="117" w:lineRule="exact"/>
        <w:rPr>
          <w:rFonts w:ascii="Times New Roman" w:cs="Times New Roman" w:eastAsia="Times New Roman" w:hAnsi="Times New Roman"/>
          <w:sz w:val="18"/>
          <w:szCs w:val="18"/>
          <w:color w:val="auto"/>
        </w:rPr>
      </w:pPr>
    </w:p>
    <w:p>
      <w:pPr>
        <w:ind w:left="920" w:right="140" w:firstLine="421"/>
        <w:spacing w:after="0" w:line="266" w:lineRule="auto"/>
        <w:tabs>
          <w:tab w:leader="none" w:pos="163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“Borrowing Base,” “Temporary Dutch Borrowing Base”, “Temporary U.S. Borrowing Base”, “Regular Dutch Borrowing Base”, “Regular U.S. Borrowing Base” or “Regular Borrowing Base” (or any of the defined terms referenced in each of the foregoing) where the amendment increases any advance rate or increases the Availability; or</w:t>
      </w:r>
    </w:p>
    <w:p>
      <w:pPr>
        <w:spacing w:after="0" w:line="68"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waiver or consent with respect to this Agreement given or made in accordance with this Section shall be effective only in the specific instance and for the specific purpose for which it was given or made.</w:t>
      </w:r>
    </w:p>
    <w:p>
      <w:pPr>
        <w:spacing w:after="0" w:line="162" w:lineRule="exact"/>
        <w:rPr>
          <w:sz w:val="20"/>
          <w:szCs w:val="20"/>
          <w:color w:val="auto"/>
        </w:rPr>
      </w:pPr>
    </w:p>
    <w:p>
      <w:pPr>
        <w:ind w:right="40" w:firstLine="464"/>
        <w:spacing w:after="0" w:line="282" w:lineRule="auto"/>
        <w:tabs>
          <w:tab w:leader="none" w:pos="71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any other provision in this Agreement specifically relating to Letters of Credit may be amended without the consent of any LC Issuer adversely affected thereby.</w:t>
      </w:r>
    </w:p>
    <w:p>
      <w:pPr>
        <w:spacing w:after="0" w:line="161" w:lineRule="exact"/>
        <w:rPr>
          <w:rFonts w:ascii="Times New Roman" w:cs="Times New Roman" w:eastAsia="Times New Roman" w:hAnsi="Times New Roman"/>
          <w:sz w:val="18"/>
          <w:szCs w:val="18"/>
          <w:color w:val="auto"/>
        </w:rPr>
      </w:pPr>
    </w:p>
    <w:p>
      <w:pPr>
        <w:ind w:right="340" w:firstLine="464"/>
        <w:spacing w:after="0" w:line="282" w:lineRule="auto"/>
        <w:tabs>
          <w:tab w:leader="none" w:pos="70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may be amended without the consent of the Administrative Agent and no provision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may be amended without the consent of the Swing Line Lender.</w:t>
      </w:r>
    </w:p>
    <w:p>
      <w:pPr>
        <w:spacing w:after="0" w:line="161" w:lineRule="exact"/>
        <w:rPr>
          <w:rFonts w:ascii="Times New Roman" w:cs="Times New Roman" w:eastAsia="Times New Roman" w:hAnsi="Times New Roman"/>
          <w:sz w:val="18"/>
          <w:szCs w:val="18"/>
          <w:color w:val="auto"/>
        </w:rPr>
      </w:pPr>
    </w:p>
    <w:p>
      <w:pPr>
        <w:ind w:right="240" w:firstLine="464"/>
        <w:spacing w:after="0" w:line="276" w:lineRule="auto"/>
        <w:tabs>
          <w:tab w:leader="none" w:pos="711" w:val="left"/>
        </w:tabs>
        <w:numPr>
          <w:ilvl w:val="1"/>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the Required Lenders (or all of the Lenders, as applicable, as shall be required by this Section) waive the provisions of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with respect to the sale, transfer or other disposition of any Collateral, or any Collateral is sold, transferred or disposed of as permitted by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w:t>
      </w:r>
    </w:p>
    <w:p>
      <w:pPr>
        <w:ind w:right="100" w:firstLine="8"/>
        <w:spacing w:after="0" w:line="253" w:lineRule="auto"/>
        <w:tabs>
          <w:tab w:leader="none" w:pos="21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Collateral (but not any proceeds thereof) shall be sold, transferred or disposed of free and clear of the Liens created by the respective Security Documents; (ii) if such Collateral includes all of the capital stock of a Subsidiary that is a party to the Guaranty or whose stock is pledged pursuant to the Security Agreement, such capital stock (but not any proceeds thereof) shall be released from the Security Agreement and such Subsidiary shall be released from the Guaranty; and (iii) the Administrative Agent and the Foreign Collateral Agent, as applicable, shall be authorized to take actions deemed appropriate by it in order to effectuate the foregoing.</w:t>
      </w:r>
    </w:p>
    <w:p>
      <w:pPr>
        <w:sectPr>
          <w:pgSz w:w="11900" w:h="16838" w:orient="portrait"/>
          <w:cols w:equalWidth="0" w:num="1">
            <w:col w:w="11420"/>
          </w:cols>
          <w:pgMar w:left="240" w:top="270" w:right="239" w:bottom="1440" w:gutter="0" w:footer="0" w:header="0"/>
        </w:sectPr>
      </w:pPr>
    </w:p>
    <w:bookmarkStart w:id="330" w:name="page331"/>
    <w:bookmarkEnd w:id="330"/>
    <w:p>
      <w:pPr>
        <w:ind w:right="20" w:firstLine="464"/>
        <w:spacing w:after="0" w:line="254" w:lineRule="auto"/>
        <w:tabs>
          <w:tab w:leader="none" w:pos="70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no event shall the Required Lenders, without the prior written consent of each Lender, direct the Administrative Agent to accelerate and demand payment of the Loans held by one Lender without accelerating and demanding payment of all other Loans or to terminate the Revolving Commitments of one or more Lenders without terminating the Revolving Commitments of all Lenders. Each Lender agrees that, except as otherwise provided in any of the Loan Documents and without the prior written consent of the Required Lenders, it will not take any legal action or institute any action or proceeding against any Credit Party with respect to any of the Obligations or Collateral, or accelerate or otherwise enforce its portion of the Obligations. Without limiting the generality of the foregoing, none of Lenders may exercise any right that it might otherwise have under applicable law to credit bid at foreclosure sales, uniform commercial code sales or other similar sales or dispositions of any of the Collateral except as authorized by the Required Lenders. Notwithstanding anything to the contrary set forth in this </w:t>
      </w:r>
      <w:r>
        <w:rPr>
          <w:rFonts w:ascii="Times New Roman" w:cs="Times New Roman" w:eastAsia="Times New Roman" w:hAnsi="Times New Roman"/>
          <w:sz w:val="18"/>
          <w:szCs w:val="18"/>
          <w:u w:val="single" w:color="auto"/>
          <w:color w:val="auto"/>
        </w:rPr>
        <w:t>Section 11.12(e)</w:t>
      </w:r>
      <w:r>
        <w:rPr>
          <w:rFonts w:ascii="Times New Roman" w:cs="Times New Roman" w:eastAsia="Times New Roman" w:hAnsi="Times New Roman"/>
          <w:sz w:val="18"/>
          <w:szCs w:val="18"/>
          <w:color w:val="auto"/>
        </w:rPr>
        <w:t xml:space="preserve"> or elsewhere herein, each Lender shall be authorized to take such action to preserve or enforce its rights against any Credit Party where a deadline or limitation period is otherwise applicable and would, absent the taking of specified action, bar the enforcement of Obligations held by such Lender against such Credit Party, including the filing of proofs of claim in any insolvency proceeding.</w:t>
      </w:r>
    </w:p>
    <w:p>
      <w:pPr>
        <w:spacing w:after="0" w:line="186" w:lineRule="exact"/>
        <w:rPr>
          <w:rFonts w:ascii="Times New Roman" w:cs="Times New Roman" w:eastAsia="Times New Roman" w:hAnsi="Times New Roman"/>
          <w:sz w:val="18"/>
          <w:szCs w:val="18"/>
          <w:color w:val="auto"/>
        </w:rPr>
      </w:pPr>
    </w:p>
    <w:p>
      <w:pPr>
        <w:ind w:firstLine="464"/>
        <w:spacing w:after="0" w:line="254" w:lineRule="auto"/>
        <w:tabs>
          <w:tab w:leader="none" w:pos="68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 Security Documents and related documents executed by Subsidiaries of the Borrowers in connection with this Agreement may be in a form reasonably determined by the Administrative Agent and the Foreign Collateral Agent, as applicable, and may be amended, supplemented and waived with the consent of the Administrative Agent and the Borrowers without the need to obtain the consent of any other Person if such amendment, supplement or waiver is delivered in order (i) to comply with local law or advice of local counsel, (ii) to cure ambiguities, omissions, mistakes or defects or (iii) to cause such Security Document or other document to be consistent with this Agreement and the other Loan Documents and (y) if following the Closing Date, the Administrative Agent or the Foreign Collateral Agent, as applicable, and the Borrowers shall have jointly identified an ambiguity, inconsistency, obvious error or any error or omission of a technical or immaterial nature, in each case, in any provision of the Loan Documents, then the Administrative Agent, the Foreign Collateral Agent and the Credit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8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Survival of Indemnities</w:t>
      </w:r>
      <w:r>
        <w:rPr>
          <w:rFonts w:ascii="Times New Roman" w:cs="Times New Roman" w:eastAsia="Times New Roman" w:hAnsi="Times New Roman"/>
          <w:sz w:val="18"/>
          <w:szCs w:val="18"/>
          <w:color w:val="auto"/>
        </w:rPr>
        <w:t xml:space="preserve">. All indemnities set forth herein including, without limitation,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shall survive the execution and delivery of this Agreement and the making and repayment of the Obligations.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Domicile of Loans</w:t>
      </w:r>
      <w:r>
        <w:rPr>
          <w:rFonts w:ascii="Times New Roman" w:cs="Times New Roman" w:eastAsia="Times New Roman" w:hAnsi="Times New Roman"/>
          <w:sz w:val="18"/>
          <w:szCs w:val="18"/>
          <w:color w:val="auto"/>
        </w:rPr>
        <w:t xml:space="preserve">. Each Lender may transfer and carry its Loans at, to or for the account of any branch office, subsidiary or affiliate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Borrowers shall not be responsible for costs arising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resulting from any such transfer (other than a transfer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to the extent not otherwise applicable to such Lender prior to such transfer.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64"/>
        <w:spacing w:after="0" w:line="267" w:lineRule="auto"/>
        <w:tabs>
          <w:tab w:leader="none" w:pos="70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Administrative Agent, each LC Issuer and the Lenders agrees to maintain the confidentiality of the Confidential Information,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Confidential Information may be disclosed (1) to its and its Affiliates’ directors, officers, employees and agents, including accountants, legal counsel and other advisors (it being understood that the persons to whom such disclosure is made will be</w:t>
      </w:r>
    </w:p>
    <w:p>
      <w:pPr>
        <w:sectPr>
          <w:pgSz w:w="11900" w:h="16838" w:orient="portrait"/>
          <w:cols w:equalWidth="0" w:num="1">
            <w:col w:w="11400"/>
          </w:cols>
          <w:pgMar w:left="240" w:top="270" w:right="259" w:bottom="1440" w:gutter="0" w:footer="0" w:header="0"/>
        </w:sectPr>
      </w:pPr>
    </w:p>
    <w:bookmarkStart w:id="331" w:name="page332"/>
    <w:bookmarkEnd w:id="331"/>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informed of the confidential nature of such Confidential Information and instructed to keep such Confidential Information confidential), (2) to any direct or indirect contractual counterparty in any Hedge Agreement (or to any such contractual counterparty’s professional advisor), so long as such contractual counterparty (or such professional advisor) agrees to be bound by the provisions of this Section, (3) to the extent requested by any regulatory authority, (4) to the extent required by applicable laws or regulations or by any subpoena or similar legal process, (5) to any other party to this Agreement, (6) to any other creditor of any Credit Party that is a direct or intended beneficiary of any of the Loan Documents, (7) in connection with the exercise of any remedies hereunder or under any of the other Loan Documents, or any suit, action or proceeding relating to this Agreement or any of the other Loan Documents or the enforcement of rights hereunder or thereunder, (8) subject to an agreement containing provisions substantially the same as those of this Section, to any assignee of or participant in any of its rights or obligations under this Agreement, or in connection with transactions permitted pursuant to </w:t>
      </w:r>
      <w:r>
        <w:rPr>
          <w:rFonts w:ascii="Times New Roman" w:cs="Times New Roman" w:eastAsia="Times New Roman" w:hAnsi="Times New Roman"/>
          <w:sz w:val="18"/>
          <w:szCs w:val="18"/>
          <w:u w:val="single" w:color="auto"/>
          <w:color w:val="auto"/>
        </w:rPr>
        <w:t>Section 11.06(c)</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(9) with the consent of the Borrowers, or (10) to the extent such Confidential Information (i) becomes publicly available other than as a result of a breach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or (ii) becomes available to the Administrative Agent, any LC Issuer or any Lender on a non-confidential basis from a source other than a Credit Party and not otherwise in violation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120" w:firstLine="464"/>
        <w:spacing w:after="0" w:line="261" w:lineRule="auto"/>
        <w:tabs>
          <w:tab w:leader="none" w:pos="711"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mean all information received from the Borrowers relating to a Borrower or its business, other than any such information that is available to the Administrative Agent, any LC Issuer or any Lender on a non-confidential basis prior to disclosure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 the case of information received from the Borrowers after the Closing Date, such information is clearly identified at the time of delivery as confidential.</w:t>
      </w:r>
    </w:p>
    <w:p>
      <w:pPr>
        <w:spacing w:after="0" w:line="180" w:lineRule="exact"/>
        <w:rPr>
          <w:rFonts w:ascii="Times New Roman" w:cs="Times New Roman" w:eastAsia="Times New Roman" w:hAnsi="Times New Roman"/>
          <w:sz w:val="18"/>
          <w:szCs w:val="18"/>
          <w:color w:val="auto"/>
        </w:rPr>
      </w:pPr>
    </w:p>
    <w:p>
      <w:pPr>
        <w:ind w:right="60" w:firstLine="464"/>
        <w:spacing w:after="0" w:line="258" w:lineRule="auto"/>
        <w:tabs>
          <w:tab w:leader="none" w:pos="701"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required to maintain the confidentiality of Confidential Information as provided in this Section shall be considered to have complied with its obligation to do so if such Person has exercised the same degree of care to maintain the confidentiality of such Confidential Information as such Person would accord to its own confidential information. The Borrowers hereby agree that the failure of the Administrative Agent, any LC Issuer or any Lender to comply with the provisions of this Section shall not relieve the Borrowers, or any other Credit Party, of any of its obligations under this Agreement or any of the other Loan Documents.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Section 11.16 </w:t>
      </w:r>
      <w:r>
        <w:rPr>
          <w:rFonts w:ascii="Times New Roman" w:cs="Times New Roman" w:eastAsia="Times New Roman" w:hAnsi="Times New Roman"/>
          <w:sz w:val="17"/>
          <w:szCs w:val="17"/>
          <w:u w:val="single" w:color="auto"/>
          <w:color w:val="auto"/>
        </w:rPr>
        <w:t>Limitations on Liability of the LC Issuers</w:t>
      </w:r>
      <w:r>
        <w:rPr>
          <w:rFonts w:ascii="Times New Roman" w:cs="Times New Roman" w:eastAsia="Times New Roman" w:hAnsi="Times New Roman"/>
          <w:sz w:val="17"/>
          <w:szCs w:val="17"/>
          <w:color w:val="auto"/>
        </w:rPr>
        <w:t>. The Borrowers assume all risks of the acts or omissions of any beneficiary or transferee of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with respect to its use of such Letters of Credit. Neither any LC Issuer nor any of its officers or directors shall be liable or responsible for:</w:t>
      </w:r>
    </w:p>
    <w:p>
      <w:pPr>
        <w:spacing w:after="0" w:line="9" w:lineRule="exact"/>
        <w:rPr>
          <w:sz w:val="20"/>
          <w:szCs w:val="20"/>
          <w:color w:val="auto"/>
        </w:rPr>
      </w:pPr>
    </w:p>
    <w:p>
      <w:pPr>
        <w:ind w:right="80" w:firstLine="8"/>
        <w:spacing w:after="0" w:line="250" w:lineRule="auto"/>
        <w:tabs>
          <w:tab w:leader="none" w:pos="24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an LC Issuer against presentation of documents that do not comply with the terms of a Letter of Credit, including failure of any documents to bear any reference or adequate reference to such Letter of Credit; or (d) any other circumstances whatsoever in making or failing to make payment under any Letter of Credit,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the LC Obligor shall have a claim against an LC Issuer, and an LC Issuer shall be liable to such LC Obligor, to the extent of any direct, but not consequential, damages suffered by such LC Obligor that such LC Obligor proves were caused by</w:t>
      </w:r>
    </w:p>
    <w:p>
      <w:pPr>
        <w:spacing w:after="0" w:line="2" w:lineRule="exact"/>
        <w:rPr>
          <w:rFonts w:ascii="Times New Roman" w:cs="Times New Roman" w:eastAsia="Times New Roman" w:hAnsi="Times New Roman"/>
          <w:sz w:val="18"/>
          <w:szCs w:val="18"/>
          <w:color w:val="auto"/>
        </w:rPr>
      </w:pPr>
    </w:p>
    <w:p>
      <w:pPr>
        <w:jc w:val="both"/>
        <w:ind w:right="220" w:firstLine="8"/>
        <w:spacing w:after="0" w:line="254" w:lineRule="auto"/>
        <w:tabs>
          <w:tab w:leader="none" w:pos="21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LC Issuer’s willful misconduct or gross negligence in determining whether documents presented under a Letter of Credit comply with the terms of such Letter of Credit or (ii) such LC Issuer’s willful failure to make lawful payment under any Letter of Credit after the presentation to it of documentation strictly complying with the terms and conditions of such Letter of Credit. In furtherance and not in limitation of the foregoing, an LC Issuer may accept documents that appear on their face to be in order, without responsibility for further investigation.</w:t>
      </w:r>
    </w:p>
    <w:p>
      <w:pPr>
        <w:sectPr>
          <w:pgSz w:w="11900" w:h="16838" w:orient="portrait"/>
          <w:cols w:equalWidth="0" w:num="1">
            <w:col w:w="11400"/>
          </w:cols>
          <w:pgMar w:left="240" w:top="270" w:right="259" w:bottom="1440" w:gutter="0" w:footer="0" w:header="0"/>
        </w:sectPr>
      </w:pPr>
    </w:p>
    <w:bookmarkStart w:id="332" w:name="page333"/>
    <w:bookmarkEnd w:id="332"/>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11.17 </w:t>
      </w:r>
      <w:r>
        <w:rPr>
          <w:rFonts w:ascii="Times New Roman" w:cs="Times New Roman" w:eastAsia="Times New Roman" w:hAnsi="Times New Roman"/>
          <w:sz w:val="18"/>
          <w:szCs w:val="18"/>
          <w:u w:val="single" w:color="auto"/>
          <w:color w:val="auto"/>
        </w:rPr>
        <w:t>General Limitation of Liability</w:t>
      </w:r>
      <w:r>
        <w:rPr>
          <w:rFonts w:ascii="Times New Roman" w:cs="Times New Roman" w:eastAsia="Times New Roman" w:hAnsi="Times New Roman"/>
          <w:sz w:val="18"/>
          <w:szCs w:val="18"/>
          <w:color w:val="auto"/>
        </w:rPr>
        <w:t>. No claim may be made by any Credit Party, any Lender, the Administrative Agent, Foreign Collateral Agent, any LC Issuer or any other Person against the Administrative Agent, Foreign Collateral Agent, any LC Issuer, or any other Lender or the Affiliates, directors, officers, employees, attorneys or agents of any of them for any damages other than actual compensatory damages in respect of any claim for breach of contract or any other theory of liability arising out of or related to the transactions contemplated by this Agreement or any of the other Loan Documents, or any act, omission or event occurring in connection therewith; and the Borrowers, each Lender, the Administrative Agent, Foreign Collateral Agent and each LC Issuer hereby, to the fullest extent permitted under applicable law, waive, release and agree not to sue or counterclaim upon any such claim for any special, consequential or punitive damages, whether or not accrued and whether or not known or suspected to exist in their favor.</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No Duty</w:t>
      </w:r>
      <w:r>
        <w:rPr>
          <w:rFonts w:ascii="Times New Roman" w:cs="Times New Roman" w:eastAsia="Times New Roman" w:hAnsi="Times New Roman"/>
          <w:sz w:val="18"/>
          <w:szCs w:val="18"/>
          <w:color w:val="auto"/>
        </w:rPr>
        <w:t>. All attorneys, accountants, appraisers, consultants and other professional persons (including the firms or other entities on behalf of which any such Person may act) retained by the Administrative Agent, Foreign Collateral Agent or any Lender with respect to the transactions contemplated by the Loan Documents shall have the right to act exclusively in the interest of the Administrative Agent, Foreign Collateral Agent or such Lender, as the case may be, and shall have no duty of disclosure, duty of loyalty, duty of care, or other duty or obligation of any type or nature whatsoever to the Borrowers, to any of their Subsidiaries, or to any other Person, with respect to any matters within the scope of such representation or related to their activities in connection with such representation. The Company agrees, on behalf of itself and its Subsidiaries, not to assert any claim or counterclaim against any such persons with regard to such matters, all such claims and counterclaims, now existing or hereafter arising, whether known or unknown, foreseen or unforeseeable, being hereby waived, released and forever discharged.</w:t>
      </w:r>
    </w:p>
    <w:p>
      <w:pPr>
        <w:spacing w:after="0" w:line="18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Lenders and Agent Not Fiduciary to Borrower, etc</w:t>
      </w:r>
      <w:r>
        <w:rPr>
          <w:rFonts w:ascii="Times New Roman" w:cs="Times New Roman" w:eastAsia="Times New Roman" w:hAnsi="Times New Roman"/>
          <w:sz w:val="18"/>
          <w:szCs w:val="18"/>
          <w:color w:val="auto"/>
        </w:rPr>
        <w:t>. The relationship among the Company and its Subsidiaries, on the one hand, and the Administrative Agent, Foreign Collateral Agent, each LC Issuer and the Lenders, on the other hand, is solely that of debtor and creditor, and the Administrative Agent, Foreign Collateral Agent, each LC Issuer and the Lenders have no fiduciary or other special relationship with the Company and its Subsidiaries, and no term or provision of any Loan Document, no course of dealing, no written or oral communication, or other action, shall be construed so as to deem such relationship to be other than that of debtor and creditor.</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herein shall survive the making of Loans and all LC Issuances hereunder, the execution and delivery of this Agreement, the Notes and the other documents the forms of which are attached as Exhibits hereto, the issue and delivery of the Notes, any disposition thereof by any holder thereof, and any investigation made by the Administrative Agent, Foreign Collateral Agent or any Lender or any other holder of any of the Notes or on its behalf. All statements contained in any certificate or other document delivered to the Administrative Agent, Foreign Collateral Agent or any Lender or any holder of any Notes by or on behalf of the Company or any of its Subsidiaries pursuant hereto or otherwise specifically for use in connection with the transactions contemplated hereby shall constitute representations and warranties by the Borrowers hereunder, made as of the respective dates specified therein or, if no date is specified, as of the respective dates furnished to the Administrative Agent, Foreign Collateral Agent or any Lender.</w:t>
      </w:r>
    </w:p>
    <w:p>
      <w:pPr>
        <w:spacing w:after="0" w:line="185"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 xml:space="preserve">Section 11.21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ectPr>
          <w:pgSz w:w="11900" w:h="16838" w:orient="portrait"/>
          <w:cols w:equalWidth="0" w:num="1">
            <w:col w:w="11420"/>
          </w:cols>
          <w:pgMar w:left="240" w:top="269" w:right="239" w:bottom="1440" w:gutter="0" w:footer="0" w:header="0"/>
        </w:sectPr>
      </w:pPr>
    </w:p>
    <w:bookmarkStart w:id="333" w:name="page334"/>
    <w:bookmarkEnd w:id="333"/>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11.22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All covenants hereunder shall be given independent effect so that if a particular action, event, condition or circumstance is not permitted by any of such covenants, the fact that it would be permitted by an exception to, or would otherwise be within the limitations or restrictions of, another covenant, shall not avoid the occurrence of a Default or an Event of Default if such action is taken or event, condition or circumstance exists.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11.23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Base Rate to the date of repayment, shall have been received by such Lender.</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11.24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subject to the USA Patriot Act hereby notifies the Borrowers that pursuant to the requirements of the USA Patriot Act, it is required to obtain, verify and record information that identifies the Borrowers, which information includes the name and address of the Borrowers and other information that will allow such Lender to identify the Borrowers in accordance with the USA Patriot Act.</w:t>
      </w:r>
    </w:p>
    <w:p>
      <w:pPr>
        <w:spacing w:after="0" w:line="17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11.25 </w:t>
      </w:r>
      <w:r>
        <w:rPr>
          <w:rFonts w:ascii="Times New Roman" w:cs="Times New Roman" w:eastAsia="Times New Roman" w:hAnsi="Times New Roman"/>
          <w:sz w:val="18"/>
          <w:szCs w:val="18"/>
          <w:u w:val="single" w:color="auto"/>
          <w:color w:val="auto"/>
        </w:rPr>
        <w:t>Advertising and Publicity</w:t>
      </w:r>
      <w:r>
        <w:rPr>
          <w:rFonts w:ascii="Times New Roman" w:cs="Times New Roman" w:eastAsia="Times New Roman" w:hAnsi="Times New Roman"/>
          <w:sz w:val="18"/>
          <w:szCs w:val="18"/>
          <w:color w:val="auto"/>
        </w:rPr>
        <w:t xml:space="preserve">. No Credit Party shall issue or disseminate to the public (by advertisement, including without limitation any “tombstone” advertisement, press release or otherwise), submit for publication or otherwise cause or seek to publish any information describing the credit or other financial accommodations made available by the Lenders pursuant to this Agreement and the other Loan Documents without the prior written consent of the Administrative Agent. Nothing in the foregoing shall be construed to prohibit any Credit Party from making any submission or filing which it is required to make by applicable law or pursuant to judicial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filing or submission shall contain only such information as is necessary to comply with applicable law or judicial process and (ii) unless specifically prohibited by applicable law or court order, the Borrowers shall promptly notify the Administrative Agent of the requirement to make such submission or filing and provide the Administrative Agent with a copy thereof.</w:t>
      </w:r>
    </w:p>
    <w:p>
      <w:pPr>
        <w:spacing w:after="0" w:line="18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11.26 </w:t>
      </w:r>
      <w:r>
        <w:rPr>
          <w:rFonts w:ascii="Times New Roman" w:cs="Times New Roman" w:eastAsia="Times New Roman" w:hAnsi="Times New Roman"/>
          <w:sz w:val="18"/>
          <w:szCs w:val="18"/>
          <w:u w:val="single" w:color="auto"/>
          <w:color w:val="auto"/>
        </w:rPr>
        <w:t>Release of Guarantees and Liens</w:t>
      </w:r>
      <w:r>
        <w:rPr>
          <w:rFonts w:ascii="Times New Roman" w:cs="Times New Roman" w:eastAsia="Times New Roman" w:hAnsi="Times New Roman"/>
          <w:sz w:val="18"/>
          <w:szCs w:val="18"/>
          <w:color w:val="auto"/>
        </w:rPr>
        <w:t>. Notwithstanding anything to the contrary contained herein or in any other Loan Document, the Administrative Agent or the Foreign Collateral Agent, as applicable, is hereby irrevocably authorized by each Lender (without requirement of notice to or consent of any Lender) to take any action requested by the Borrowers having the effect of releasing any Collateral or guarantee obligations (i) to the extent necessary to permit consummation of any transaction permitted by any Loan Document or that has been consented to in accordance with the terms hereof or</w:t>
      </w:r>
    </w:p>
    <w:p>
      <w:pPr>
        <w:spacing w:after="0" w:line="3" w:lineRule="exact"/>
        <w:rPr>
          <w:sz w:val="20"/>
          <w:szCs w:val="20"/>
          <w:color w:val="auto"/>
        </w:rPr>
      </w:pPr>
    </w:p>
    <w:p>
      <w:pPr>
        <w:ind w:firstLine="8"/>
        <w:spacing w:after="0" w:line="252" w:lineRule="auto"/>
        <w:tabs>
          <w:tab w:leader="none" w:pos="26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circumstances described in the next succeeding sentence. When this Agreement has been terminated and all of the Obligations have been fully and finally discharged (other than obligations in respect of Designated Hedge Agreements, contingent indemnity obligations and obligations in respect of Letters of Credit that have been Cash Collateralized to the Administrative Agent’s or the Foreign Collateral Agent’s, as applicable, sole satisfaction) and the obligations of the Administrative Agent or the Foreign Collateral Agent, as applicable and the Lenders to provide additional credit under the Loan Documents have been terminated irrevocably, and the Credit Parties have delivered to the Administrative Agent or the Foreign Collateral Agent, as applicable, a written release of all claims against the Administrative Agent, the Foreign Collateral Agent and the Lenders, in form and substance satisfactory to</w:t>
      </w:r>
    </w:p>
    <w:p>
      <w:pPr>
        <w:sectPr>
          <w:pgSz w:w="11900" w:h="16838" w:orient="portrait"/>
          <w:cols w:equalWidth="0" w:num="1">
            <w:col w:w="11400"/>
          </w:cols>
          <w:pgMar w:left="240" w:top="269" w:right="259" w:bottom="1440" w:gutter="0" w:footer="0" w:header="0"/>
        </w:sectPr>
      </w:pPr>
    </w:p>
    <w:bookmarkStart w:id="334" w:name="page335"/>
    <w:bookmarkEnd w:id="33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or the Foreign Collateral Agent, as applicable, the Administrative Agent or the Foreign Collateral Agent will, at the Borrowers’ sole expense, execute and deliver any termination statements, lien releases, mortgage releases, re-assignments of intellectual property, discharges of security interests, and other similar discharge or release documents (and, if applicable, in recordable form) as are necessary or advisable to release, as of record, the Administrative Agent’s or the Foreign Collateral Agent’s Liens and all notices of security interests and liens previously filed by the Administrative Agent or the Foreign Collateral Agent with respect to the Obligations.</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11.27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To the extent that any Secured Creditor receives a payment from or on behalf of the Borrowers or any other Credit Party, from the proceeds of any Collateral, from the exercise of its rights of setoff, any enforcement action or otherwise, and such payment is subsequently, in whole or in part, invalidated, declared to be fraudulent or preferential, set aside or required to be repaid to a trustee, receiver or any other party, then to the extent of such recovery, the obligations or part thereof originally intended to be satisfied, and all Liens, rights and remedies therefor, shall be revived and continued in full force and effect as if such payment had not occurred.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11.28 </w:t>
      </w:r>
      <w:r>
        <w:rPr>
          <w:rFonts w:ascii="Times New Roman" w:cs="Times New Roman" w:eastAsia="Times New Roman" w:hAnsi="Times New Roman"/>
          <w:sz w:val="18"/>
          <w:szCs w:val="18"/>
          <w:u w:val="single" w:color="auto"/>
          <w:color w:val="auto"/>
        </w:rPr>
        <w:t>Approved Electronic Communication System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66" w:lineRule="auto"/>
        <w:tabs>
          <w:tab w:leader="none" w:pos="70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identified therein, each posting to an Approved Electronic Communication System shall be deemed to be a representation and warranty by the Borrowers, and the Financial Officer submitting the information to the Approved Electronic Communication System, as of the date of such posting, of the accuracy of the information provided with respect thereto.</w:t>
      </w:r>
    </w:p>
    <w:p>
      <w:pPr>
        <w:spacing w:after="0" w:line="176" w:lineRule="exact"/>
        <w:rPr>
          <w:rFonts w:ascii="Times New Roman" w:cs="Times New Roman" w:eastAsia="Times New Roman" w:hAnsi="Times New Roman"/>
          <w:sz w:val="18"/>
          <w:szCs w:val="18"/>
          <w:color w:val="auto"/>
        </w:rPr>
      </w:pPr>
    </w:p>
    <w:p>
      <w:pPr>
        <w:ind w:right="40" w:firstLine="464"/>
        <w:spacing w:after="0" w:line="256" w:lineRule="auto"/>
        <w:tabs>
          <w:tab w:leader="none" w:pos="71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Communication System is secured with generally-applicable security procedures and policies implemented or modified from time to time, the Borrowers and each other Credit Party acknowledge and agree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are hereby acknowledged, the Borrowers and each other Credit Party hereby approves of the use of the Approved Electronic Communication System and understands and assumes the risks of using such forms of communication.</w:t>
      </w:r>
    </w:p>
    <w:p>
      <w:pPr>
        <w:spacing w:after="0" w:line="187" w:lineRule="exact"/>
        <w:rPr>
          <w:rFonts w:ascii="Times New Roman" w:cs="Times New Roman" w:eastAsia="Times New Roman" w:hAnsi="Times New Roman"/>
          <w:sz w:val="18"/>
          <w:szCs w:val="18"/>
          <w:color w:val="auto"/>
        </w:rPr>
      </w:pPr>
    </w:p>
    <w:p>
      <w:pPr>
        <w:ind w:right="100" w:firstLine="464"/>
        <w:spacing w:after="0" w:line="255" w:lineRule="auto"/>
        <w:tabs>
          <w:tab w:leader="none" w:pos="70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Communication System is provided “as is” and “as available”. None of the Administrative Agent, the Foreign Collateral Agent or any of the Administrative Agent’s or the Foreign Collateral Agent’s affiliates, officers, directors, attorneys, agents or employees warrants the accuracy, adequacy or completeness of the Approved Electronic Communication System and each expressly disclaims any liability for errors or omissions in the Approved Electronic Communication System. No warranty of any kind, express, implied or statutory, including, without limitation, any warranty of merchantability, fitness for a particular purpose, non-infringement of third party rights or freedom from viruses or other code defects, is made by the Administrative Agent or the Foreign Collateral Agent (or any of the Administrative Agent’s or the Foreign Collateral Agent’s affiliates, officers, directors, attorneys, agents or employees) in connection with the Approved Electronic Communication System.</w:t>
      </w:r>
    </w:p>
    <w:p>
      <w:pPr>
        <w:spacing w:after="0" w:line="189" w:lineRule="exact"/>
        <w:rPr>
          <w:rFonts w:ascii="Times New Roman" w:cs="Times New Roman" w:eastAsia="Times New Roman" w:hAnsi="Times New Roman"/>
          <w:sz w:val="18"/>
          <w:szCs w:val="18"/>
          <w:color w:val="auto"/>
        </w:rPr>
      </w:pPr>
    </w:p>
    <w:p>
      <w:pPr>
        <w:jc w:val="both"/>
        <w:ind w:right="40" w:firstLine="464"/>
        <w:spacing w:after="0" w:line="266" w:lineRule="auto"/>
        <w:tabs>
          <w:tab w:leader="none" w:pos="71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each other Credit Party agree that the Administrative Agent and the Foreign Collateral Agent may, but shall not be obligated to, store information provided through the Approved Electronic Communication System in accordance with the Administrative Agent’s or the Foreign Collateral Agent’s generally-applicable document retention procedures and policies in effect from time to time.</w:t>
      </w:r>
    </w:p>
    <w:p>
      <w:pPr>
        <w:sectPr>
          <w:pgSz w:w="11900" w:h="16838" w:orient="portrait"/>
          <w:cols w:equalWidth="0" w:num="1">
            <w:col w:w="11400"/>
          </w:cols>
          <w:pgMar w:left="240" w:top="270" w:right="259" w:bottom="1440" w:gutter="0" w:footer="0" w:header="0"/>
        </w:sectPr>
      </w:pPr>
    </w:p>
    <w:bookmarkStart w:id="335" w:name="page336"/>
    <w:bookmarkEnd w:id="33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11.29 </w:t>
      </w:r>
      <w:r>
        <w:rPr>
          <w:rFonts w:ascii="Times New Roman" w:cs="Times New Roman" w:eastAsia="Times New Roman" w:hAnsi="Times New Roman"/>
          <w:sz w:val="18"/>
          <w:szCs w:val="18"/>
          <w:u w:val="single" w:color="auto"/>
          <w:color w:val="auto"/>
        </w:rPr>
        <w:t>Parallel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61" w:lineRule="auto"/>
        <w:tabs>
          <w:tab w:leader="none" w:pos="70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any Security Document expressed to be governed by Dutch law, each Dutch Credit Party hereby irrevocably and unconditionally undertakes to pay to the Foreign Collateral Agent an amount equal to the aggregate amount due by the Dutch Credit Parties in respect of the Corresponding Obligations as they may exist from time to time. The payment undertaking of each of the Dutch Guarantors under this </w:t>
      </w:r>
      <w:r>
        <w:rPr>
          <w:rFonts w:ascii="Times New Roman" w:cs="Times New Roman" w:eastAsia="Times New Roman" w:hAnsi="Times New Roman"/>
          <w:sz w:val="18"/>
          <w:szCs w:val="18"/>
          <w:u w:val="single" w:color="auto"/>
          <w:color w:val="auto"/>
        </w:rPr>
        <w:t>Section 11.29</w:t>
      </w:r>
      <w:r>
        <w:rPr>
          <w:rFonts w:ascii="Times New Roman" w:cs="Times New Roman" w:eastAsia="Times New Roman" w:hAnsi="Times New Roman"/>
          <w:sz w:val="18"/>
          <w:szCs w:val="18"/>
          <w:color w:val="auto"/>
        </w:rPr>
        <w:t xml:space="preserve"> is to be referred to as its “Parallel Debt”.</w:t>
      </w:r>
    </w:p>
    <w:p>
      <w:pPr>
        <w:spacing w:after="0" w:line="180" w:lineRule="exact"/>
        <w:rPr>
          <w:rFonts w:ascii="Times New Roman" w:cs="Times New Roman" w:eastAsia="Times New Roman" w:hAnsi="Times New Roman"/>
          <w:sz w:val="18"/>
          <w:szCs w:val="18"/>
          <w:color w:val="auto"/>
        </w:rPr>
      </w:pPr>
    </w:p>
    <w:p>
      <w:pPr>
        <w:ind w:right="20" w:firstLine="464"/>
        <w:spacing w:after="0" w:line="261" w:lineRule="auto"/>
        <w:tabs>
          <w:tab w:leader="none" w:pos="71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Parallel Debt of each of the Dutch Credit Parties will be payable in the currency or currencies of its Corresponding Obligations and will become due and payable as and when and to the extent one or more of its Corresponding Obligations become due and payable. An Event of Default in respect of the Corresponding Obligations shall constitute a default (</w:t>
      </w:r>
      <w:r>
        <w:rPr>
          <w:rFonts w:ascii="Times New Roman" w:cs="Times New Roman" w:eastAsia="Times New Roman" w:hAnsi="Times New Roman"/>
          <w:sz w:val="18"/>
          <w:szCs w:val="18"/>
          <w:i w:val="1"/>
          <w:iCs w:val="1"/>
          <w:color w:val="auto"/>
        </w:rPr>
        <w:t>verzuim</w:t>
      </w:r>
      <w:r>
        <w:rPr>
          <w:rFonts w:ascii="Times New Roman" w:cs="Times New Roman" w:eastAsia="Times New Roman" w:hAnsi="Times New Roman"/>
          <w:sz w:val="18"/>
          <w:szCs w:val="18"/>
          <w:color w:val="auto"/>
        </w:rPr>
        <w:t>) within the meaning of section 3:248 of the Dutch Civil Code with respect to the Parallel Debts without any notice being required.</w:t>
      </w:r>
    </w:p>
    <w:p>
      <w:pPr>
        <w:spacing w:after="0" w:line="180"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acknowledges that:</w:t>
      </w:r>
    </w:p>
    <w:p>
      <w:pPr>
        <w:spacing w:after="0" w:line="117"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113"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Parallel Debt constitutes an undertaking, obligation and liability to the Foreign Collateral Agent which is separate and independent from, and without prejudice to, the Corresponding Obligations of the relevant Dutch Credit Party; and</w:t>
      </w:r>
    </w:p>
    <w:p>
      <w:pPr>
        <w:spacing w:after="0" w:line="53" w:lineRule="exact"/>
        <w:rPr>
          <w:rFonts w:ascii="Times New Roman" w:cs="Times New Roman" w:eastAsia="Times New Roman" w:hAnsi="Times New Roman"/>
          <w:sz w:val="18"/>
          <w:szCs w:val="18"/>
          <w:color w:val="auto"/>
        </w:rPr>
      </w:pPr>
    </w:p>
    <w:p>
      <w:pPr>
        <w:ind w:left="460" w:firstLine="443"/>
        <w:spacing w:after="0" w:line="282" w:lineRule="auto"/>
        <w:tabs>
          <w:tab w:leader="none" w:pos="1163"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Parallel Debt represents the Foreign Collateral Agent’s own separate and independent claim to receive payment of the Parallel Debt from the relevant Dutch Credit Party,</w:t>
      </w:r>
    </w:p>
    <w:p>
      <w:pPr>
        <w:spacing w:after="0" w:line="54"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 xml:space="preserve">it being understood, in each case, that pursuant to this </w:t>
      </w:r>
      <w:r>
        <w:rPr>
          <w:rFonts w:ascii="Times New Roman" w:cs="Times New Roman" w:eastAsia="Times New Roman" w:hAnsi="Times New Roman"/>
          <w:sz w:val="18"/>
          <w:szCs w:val="18"/>
          <w:u w:val="single" w:color="auto"/>
          <w:color w:val="auto"/>
        </w:rPr>
        <w:t>Section 11.29</w:t>
      </w:r>
      <w:r>
        <w:rPr>
          <w:rFonts w:ascii="Times New Roman" w:cs="Times New Roman" w:eastAsia="Times New Roman" w:hAnsi="Times New Roman"/>
          <w:sz w:val="18"/>
          <w:szCs w:val="18"/>
          <w:color w:val="auto"/>
        </w:rPr>
        <w:t>(c) the amount which may become payable by each of the Dutch Credit Parties as its Parallel Debt shall never exceed the total of the amounts which are payable under or in connection with its Corresponding Obligations.</w:t>
      </w:r>
    </w:p>
    <w:p>
      <w:pPr>
        <w:spacing w:after="0" w:line="162" w:lineRule="exact"/>
        <w:rPr>
          <w:sz w:val="20"/>
          <w:szCs w:val="20"/>
          <w:color w:val="auto"/>
        </w:rPr>
      </w:pPr>
    </w:p>
    <w:p>
      <w:pPr>
        <w:ind w:right="40" w:firstLine="464"/>
        <w:spacing w:after="0" w:line="255" w:lineRule="auto"/>
        <w:tabs>
          <w:tab w:leader="none" w:pos="71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Collateral Agent hereby confirms and accepts that to the extent the Foreign Collateral Agent irrevocably receives any amount in payment of a Parallel Debt, the Foreign Collateral Agent shall distribute that amount among the Foreign Collateral Agent and the Lenders that are creditors of the relevant Corresponding Obligations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of the Agreement. The Foreign Collateral Agent and each Lender, hereby agrees and confirms that upon irrevocable receipt by the Foreign Collateral Agent of any amount in payment of a Parallel Debt (a “</w:t>
      </w:r>
      <w:r>
        <w:rPr>
          <w:rFonts w:ascii="Times New Roman" w:cs="Times New Roman" w:eastAsia="Times New Roman" w:hAnsi="Times New Roman"/>
          <w:sz w:val="18"/>
          <w:szCs w:val="18"/>
          <w:u w:val="single" w:color="auto"/>
          <w:color w:val="auto"/>
        </w:rPr>
        <w:t>Received Amount</w:t>
      </w:r>
      <w:r>
        <w:rPr>
          <w:rFonts w:ascii="Times New Roman" w:cs="Times New Roman" w:eastAsia="Times New Roman" w:hAnsi="Times New Roman"/>
          <w:sz w:val="18"/>
          <w:szCs w:val="18"/>
          <w:color w:val="auto"/>
        </w:rPr>
        <w:t>”), the Corresponding Obligations of the relevant Dutch Credit Party towards the Foreign Collateral Agent and the Lenders shall be reduced, if necessary pro rata in respect of the Administrative Agent and each Lender individually, by amounts totaling an amount (a “</w:t>
      </w:r>
      <w:r>
        <w:rPr>
          <w:rFonts w:ascii="Times New Roman" w:cs="Times New Roman" w:eastAsia="Times New Roman" w:hAnsi="Times New Roman"/>
          <w:sz w:val="18"/>
          <w:szCs w:val="18"/>
          <w:u w:val="single" w:color="auto"/>
          <w:color w:val="auto"/>
        </w:rPr>
        <w:t>Deductible Amount</w:t>
      </w:r>
      <w:r>
        <w:rPr>
          <w:rFonts w:ascii="Times New Roman" w:cs="Times New Roman" w:eastAsia="Times New Roman" w:hAnsi="Times New Roman"/>
          <w:sz w:val="18"/>
          <w:szCs w:val="18"/>
          <w:color w:val="auto"/>
        </w:rPr>
        <w:t>”) equal to the Received Amount in the manner as if the Deductible Amount were received by the Foreign Collateral Agent and the Lenders as a payment of the Corresponding Obligations owed by the relevant Guarantor on the date of receipt by the Foreign Collateral Agent of the Received Amount.</w:t>
      </w:r>
    </w:p>
    <w:p>
      <w:pPr>
        <w:spacing w:after="0" w:line="185" w:lineRule="exact"/>
        <w:rPr>
          <w:rFonts w:ascii="Times New Roman" w:cs="Times New Roman" w:eastAsia="Times New Roman" w:hAnsi="Times New Roman"/>
          <w:sz w:val="18"/>
          <w:szCs w:val="18"/>
          <w:color w:val="auto"/>
        </w:rPr>
      </w:pPr>
    </w:p>
    <w:p>
      <w:pPr>
        <w:ind w:right="300" w:firstLine="464"/>
        <w:spacing w:after="0" w:line="282" w:lineRule="auto"/>
        <w:tabs>
          <w:tab w:leader="none" w:pos="70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this </w:t>
      </w:r>
      <w:r>
        <w:rPr>
          <w:rFonts w:ascii="Times New Roman" w:cs="Times New Roman" w:eastAsia="Times New Roman" w:hAnsi="Times New Roman"/>
          <w:sz w:val="18"/>
          <w:szCs w:val="18"/>
          <w:u w:val="single" w:color="auto"/>
          <w:color w:val="auto"/>
        </w:rPr>
        <w:t>Section 11.29</w:t>
      </w:r>
      <w:r>
        <w:rPr>
          <w:rFonts w:ascii="Times New Roman" w:cs="Times New Roman" w:eastAsia="Times New Roman" w:hAnsi="Times New Roman"/>
          <w:sz w:val="18"/>
          <w:szCs w:val="18"/>
          <w:color w:val="auto"/>
        </w:rPr>
        <w:t xml:space="preserve"> but subject to paragraph (d) above the Foreign Collateral Agent acts in its own name and on behalf of itself and not as agent, representative or trustee of any other Lender.</w:t>
      </w:r>
    </w:p>
    <w:p>
      <w:pPr>
        <w:spacing w:after="0" w:line="162"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11.30 </w:t>
      </w:r>
      <w:r>
        <w:rPr>
          <w:rFonts w:ascii="Times New Roman" w:cs="Times New Roman" w:eastAsia="Times New Roman" w:hAnsi="Times New Roman"/>
          <w:sz w:val="18"/>
          <w:szCs w:val="18"/>
          <w:u w:val="single" w:color="auto"/>
          <w:color w:val="auto"/>
        </w:rPr>
        <w:t>Dutch Credit Party Representation</w:t>
      </w:r>
      <w:r>
        <w:rPr>
          <w:rFonts w:ascii="Times New Roman" w:cs="Times New Roman" w:eastAsia="Times New Roman" w:hAnsi="Times New Roman"/>
          <w:sz w:val="18"/>
          <w:szCs w:val="18"/>
          <w:color w:val="auto"/>
        </w:rPr>
        <w:t>. If any Dutch Credit Party is incorporated under the laws of the Netherlands is represented by an attorney in connection with the signing and/or execution of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ectPr>
          <w:pgSz w:w="11900" w:h="16838" w:orient="portrait"/>
          <w:cols w:equalWidth="0" w:num="1">
            <w:col w:w="11420"/>
          </w:cols>
          <w:pgMar w:left="240" w:top="270" w:right="23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COLLECTION ALLOCATION MECHANISM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Implementation of CAM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64"/>
        <w:spacing w:after="0" w:line="253" w:lineRule="auto"/>
        <w:tabs>
          <w:tab w:leader="none" w:pos="68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CAM Exchange Date, (i) the Commitments shall automatically and without further act be terminated as provided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Lenders shall automatically and without further act be deemed to have exchanged interests in the Loans, such that in lieu of the interest of each Lender in each Loan, such Lender shall hold an interest in every one of the Loans, whether or not such Lender shall previously have participated therein, equal to such Lender’s CAM Percentage thereof, and simultaneously with the deemed exchange of interests above, the interests in the Loans to be received in such deemed exchange shall, automatically and with no further action required, be converted into the Dollar Equivalent of such amount and on and after such date all amounts accruing and owed to the Lenders in respect of such Obligations shall accrue and be payable in Dollars at the rate otherwise applicable hereunder. Each Lender and each Borrower hereby consents and agrees to the CAM Exchange, and each Lender agrees that the CAM Exchange shall be binding upon its successors and assigns and any person that acquires a participation in its interests in any Loan. Each Borrower and each Lender agrees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evidencing its interests in the Loans so executed and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Borrower to execute or deliver or of any Lender to accept any such promissory note, instrument or document shall not affect the validity or effectiveness of the CAM Exchange.</w:t>
      </w:r>
    </w:p>
    <w:p>
      <w:pPr>
        <w:spacing w:after="0" w:line="188" w:lineRule="exact"/>
        <w:rPr>
          <w:rFonts w:ascii="Times New Roman" w:cs="Times New Roman" w:eastAsia="Times New Roman" w:hAnsi="Times New Roman"/>
          <w:sz w:val="18"/>
          <w:szCs w:val="18"/>
          <w:color w:val="auto"/>
        </w:rPr>
      </w:pPr>
    </w:p>
    <w:p>
      <w:pPr>
        <w:ind w:left="-20" w:right="80" w:firstLine="464"/>
        <w:spacing w:after="0" w:line="256" w:lineRule="auto"/>
        <w:tabs>
          <w:tab w:leader="none" w:pos="69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CAM Exchange, upon and after the CAM Exchange Date, each payment received by the Administrative Agent or the Foreign Collateral Agent pursuant to any Loan Document in respect of the Obligations relating to the Loans, and each distribution made by the Administrative Agent or the Foreign Collateral Agent pursuant to any Loan Document in respect of the Obligations in respect of the Loans, shall be distributed to the Lenders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in accordance with their respective CAM Percentages. Any direct payment received by a Lender on or after the CAM Exchange Date, including by 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set-off, in respect of an Obligation with respect to Loans shall be paid over to the Administrative Agent or the Foreign Collateral Agent, as applicable, for distribution to the Lenders in accordance herewith.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380"/>
          </w:cols>
          <w:pgMar w:left="260" w:top="266" w:right="259" w:bottom="1440" w:gutter="0" w:footer="0" w:header="0"/>
        </w:sectPr>
      </w:pPr>
    </w:p>
    <w:bookmarkStart w:id="337" w:name="page338"/>
    <w:bookmarkEnd w:id="337"/>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hereto has caused a counterpart of this Agreement to be duly executed and delivered as of the date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NN, INC., as the U.S. Borrower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 Dorton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H. Dorton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Corporate Development and</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NN NETHERLANDS B.V., as the Dutch Borrower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 Kelly, Jr.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C. Kelly, Jr.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KEYBANK NATIONAL ASSOCIATION, as the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Administrative Agent, the Domestic Swing Line Lender,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U.S. LC Issuer and a Joint Lead Arranger and a Joint Book</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Runner</w:t>
      </w:r>
    </w:p>
    <w:p>
      <w:pPr>
        <w:spacing w:after="0" w:line="20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A. Taubeneck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Paul A. Taubeneck</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BANK OF AMERICA, N.A., as the Syndication Agent, as 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Joint Lead Arranger and a Joint Book Runner, as the Foreign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Collateral Agent, the Dutch Swing Line Lender and the Dutch</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LC Issuer</w:t>
      </w:r>
    </w:p>
    <w:p>
      <w:pPr>
        <w:spacing w:after="0" w:line="20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J.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Robert J. Walker</w:t>
      </w:r>
    </w:p>
    <w:p>
      <w:pPr>
        <w:spacing w:after="0" w:line="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Senior Vice President</w:t>
      </w:r>
    </w:p>
    <w:p>
      <w:pPr>
        <w:sectPr>
          <w:pgSz w:w="11900" w:h="16838" w:orient="portrait"/>
          <w:cols w:equalWidth="0" w:num="1">
            <w:col w:w="11420"/>
          </w:cols>
          <w:pgMar w:left="240" w:top="269" w:right="239" w:bottom="1440" w:gutter="0" w:footer="0" w:header="0"/>
        </w:sectPr>
      </w:pPr>
    </w:p>
    <w:bookmarkStart w:id="338" w:name="page339"/>
    <w:bookmarkEnd w:id="338"/>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REGIONS BANK, as a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A. Hall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Stuart A. Hall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ectPr>
          <w:pgSz w:w="11900" w:h="16838" w:orient="portrait"/>
          <w:cols w:equalWidth="0" w:num="1">
            <w:col w:w="10220"/>
          </w:cols>
          <w:pgMar w:left="1440" w:top="269" w:right="2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ESCROW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ESCROW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August 29, 2014, by and among (i) NN, Inc., a Delaware corporation (the “</w:t>
      </w: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340" w:firstLine="8"/>
        <w:spacing w:after="0" w:line="273" w:lineRule="auto"/>
        <w:tabs>
          <w:tab w:leader="none" w:pos="265"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C. Kennedy (“</w:t>
      </w:r>
      <w:r>
        <w:rPr>
          <w:rFonts w:ascii="Times New Roman" w:cs="Times New Roman" w:eastAsia="Times New Roman" w:hAnsi="Times New Roman"/>
          <w:sz w:val="17"/>
          <w:szCs w:val="17"/>
          <w:b w:val="1"/>
          <w:bCs w:val="1"/>
          <w:u w:val="single" w:color="auto"/>
          <w:color w:val="auto"/>
        </w:rPr>
        <w:t>Kennedy</w:t>
      </w:r>
      <w:r>
        <w:rPr>
          <w:rFonts w:ascii="Times New Roman" w:cs="Times New Roman" w:eastAsia="Times New Roman" w:hAnsi="Times New Roman"/>
          <w:sz w:val="17"/>
          <w:szCs w:val="17"/>
          <w:color w:val="auto"/>
        </w:rPr>
        <w:t>”), in his capacity as a Shareholder Representative and in his individual capacity, (iii) Newport Global Advisors, L.P., a Delaware limited partnership (“</w:t>
      </w:r>
      <w:r>
        <w:rPr>
          <w:rFonts w:ascii="Times New Roman" w:cs="Times New Roman" w:eastAsia="Times New Roman" w:hAnsi="Times New Roman"/>
          <w:sz w:val="17"/>
          <w:szCs w:val="17"/>
          <w:b w:val="1"/>
          <w:bCs w:val="1"/>
          <w:u w:val="single" w:color="auto"/>
          <w:color w:val="auto"/>
        </w:rPr>
        <w:t>Newport</w:t>
      </w:r>
      <w:r>
        <w:rPr>
          <w:rFonts w:ascii="Times New Roman" w:cs="Times New Roman" w:eastAsia="Times New Roman" w:hAnsi="Times New Roman"/>
          <w:sz w:val="17"/>
          <w:szCs w:val="17"/>
          <w:color w:val="auto"/>
        </w:rPr>
        <w:t>”), solely in its capacity as a Shareholder Representative (together with Kennedy in his capacity as a Shareholder Representative, the “</w:t>
      </w:r>
      <w:r>
        <w:rPr>
          <w:rFonts w:ascii="Times New Roman" w:cs="Times New Roman" w:eastAsia="Times New Roman" w:hAnsi="Times New Roman"/>
          <w:sz w:val="17"/>
          <w:szCs w:val="17"/>
          <w:b w:val="1"/>
          <w:bCs w:val="1"/>
          <w:u w:val="single" w:color="auto"/>
          <w:color w:val="auto"/>
        </w:rPr>
        <w:t>Shareholder Representatives</w:t>
      </w:r>
      <w:r>
        <w:rPr>
          <w:rFonts w:ascii="Times New Roman" w:cs="Times New Roman" w:eastAsia="Times New Roman" w:hAnsi="Times New Roman"/>
          <w:sz w:val="17"/>
          <w:szCs w:val="17"/>
          <w:color w:val="auto"/>
        </w:rPr>
        <w:t>”), and (iv) Computershare Trust Company, N.A., as Escrow Agent hereunder (the “</w:t>
      </w:r>
      <w:r>
        <w:rPr>
          <w:rFonts w:ascii="Times New Roman" w:cs="Times New Roman" w:eastAsia="Times New Roman" w:hAnsi="Times New Roman"/>
          <w:sz w:val="17"/>
          <w:szCs w:val="17"/>
          <w:b w:val="1"/>
          <w:bCs w:val="1"/>
          <w:u w:val="single" w:color="auto"/>
          <w:color w:val="auto"/>
        </w:rPr>
        <w:t>Escrow Agent</w:t>
      </w:r>
      <w:r>
        <w:rPr>
          <w:rFonts w:ascii="Times New Roman" w:cs="Times New Roman" w:eastAsia="Times New Roman" w:hAnsi="Times New Roman"/>
          <w:sz w:val="17"/>
          <w:szCs w:val="17"/>
          <w:color w:val="auto"/>
        </w:rPr>
        <w:t>”). Capitalized terms used but not otherwise defined herein shall have the meanings set forth in the Merger Agreement (as defined below).</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240" w:firstLine="456"/>
        <w:spacing w:after="0" w:line="268" w:lineRule="auto"/>
        <w:rPr>
          <w:sz w:val="20"/>
          <w:szCs w:val="20"/>
          <w:color w:val="auto"/>
        </w:rPr>
      </w:pPr>
      <w:r>
        <w:rPr>
          <w:rFonts w:ascii="Times New Roman" w:cs="Times New Roman" w:eastAsia="Times New Roman" w:hAnsi="Times New Roman"/>
          <w:sz w:val="18"/>
          <w:szCs w:val="18"/>
          <w:color w:val="auto"/>
        </w:rPr>
        <w:t>WHEREAS, Buyer, PMC Global Acquisition Corporation, Autocam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Shareholder Representatives, solely in their capacities as Shareholder Representatives, and Kennedy, solely with respect to Sections 2.10(g), 5.08, 5.14, 8.05(a) and 8.07 thereof, have entered into that certain Agreement and Plan of Merger dated as of July 18, 2014 (as may be amended,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shareholders of the Company existing prior to consummation of the transactions contemplated by the Merger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Shareholders</w:t>
      </w:r>
      <w:r>
        <w:rPr>
          <w:rFonts w:ascii="Times New Roman" w:cs="Times New Roman" w:eastAsia="Times New Roman" w:hAnsi="Times New Roman"/>
          <w:sz w:val="18"/>
          <w:szCs w:val="18"/>
          <w:color w:val="auto"/>
        </w:rPr>
        <w:t>”), have appointed the Shareholder Representatives to jointly act as agents for, and to act on behalf of, the Shareholders, to undertake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as specified in this Agreement and in the Merger Agreement;</w:t>
      </w:r>
    </w:p>
    <w:p>
      <w:pPr>
        <w:spacing w:after="0" w:line="207"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WHEREAS, pursuant to the Merger Agreement, a portion of the Final Merger Consideration (as defined therein) payable to Kennedy shall be in the form of shares of Buyer Common Stock (the “</w:t>
      </w:r>
      <w:r>
        <w:rPr>
          <w:rFonts w:ascii="Times New Roman" w:cs="Times New Roman" w:eastAsia="Times New Roman" w:hAnsi="Times New Roman"/>
          <w:sz w:val="18"/>
          <w:szCs w:val="18"/>
          <w:b w:val="1"/>
          <w:bCs w:val="1"/>
          <w:u w:val="single" w:color="auto"/>
          <w:color w:val="auto"/>
        </w:rPr>
        <w:t>Kennedy Shares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WHEREAS, the transactions contemplated under the Merger Agreement are being consummated on the Closing Date and, consequently, pursuant to Section 8.07(a) of the Merger Agreement, Buyer is depositing a portion of the Kennedy Shares equal to the Escrow Amount (as defined below) into escrow with the Escrow Agent for the Escrow Agent to hold and deliver pursuant to this Agreement.</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2" w:lineRule="exact"/>
        <w:rPr>
          <w:sz w:val="20"/>
          <w:szCs w:val="20"/>
          <w:color w:val="auto"/>
        </w:rPr>
      </w:pPr>
    </w:p>
    <w:p>
      <w:pPr>
        <w:jc w:val="both"/>
        <w:ind w:right="300" w:firstLine="464"/>
        <w:spacing w:after="0" w:line="266" w:lineRule="auto"/>
        <w:tabs>
          <w:tab w:leader="none" w:pos="63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Buyer and the Shareholder Representatives hereby appoint the Escrow Agent to act as the Escrow Agent and to receive, administer and dispose of the Escrow Fund solely in accordance with the express terms and conditions set forth herein (and no implied terms or conditions, except as provided by applicable Law) and the Escrow Agent hereby accepts such appointment.</w:t>
      </w:r>
    </w:p>
    <w:p>
      <w:pPr>
        <w:sectPr>
          <w:pgSz w:w="11900" w:h="16838" w:orient="portrait"/>
          <w:cols w:equalWidth="0" w:num="1">
            <w:col w:w="11420"/>
          </w:cols>
          <w:pgMar w:left="240" w:top="118" w:right="239" w:bottom="1440" w:gutter="0" w:footer="0" w:header="0"/>
        </w:sectPr>
      </w:pPr>
    </w:p>
    <w:bookmarkStart w:id="340" w:name="page341"/>
    <w:bookmarkEnd w:id="340"/>
    <w:p>
      <w:pPr>
        <w:ind w:left="600" w:hanging="176"/>
        <w:spacing w:after="0"/>
        <w:tabs>
          <w:tab w:leader="none" w:pos="6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60" w:firstLine="921"/>
        <w:spacing w:after="0" w:line="261" w:lineRule="auto"/>
        <w:tabs>
          <w:tab w:leader="none" w:pos="1043"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deposit with the Escrow Agent SIX HUNDRED FIFTY TWO THOUSAND ONE HUNDRED SEVENTY FOUR (652,174) Kennedy Shares (the “</w:t>
      </w:r>
      <w:r>
        <w:rPr>
          <w:rFonts w:ascii="Times New Roman" w:cs="Times New Roman" w:eastAsia="Times New Roman" w:hAnsi="Times New Roman"/>
          <w:sz w:val="18"/>
          <w:szCs w:val="18"/>
          <w:b w:val="1"/>
          <w:bCs w:val="1"/>
          <w:u w:val="single" w:color="auto"/>
          <w:color w:val="auto"/>
        </w:rPr>
        <w:t>Escrow Amount</w:t>
      </w:r>
      <w:r>
        <w:rPr>
          <w:rFonts w:ascii="Times New Roman" w:cs="Times New Roman" w:eastAsia="Times New Roman" w:hAnsi="Times New Roman"/>
          <w:sz w:val="18"/>
          <w:szCs w:val="18"/>
          <w:color w:val="auto"/>
        </w:rPr>
        <w:t>”) (plus any Additional Escrow Shares, minus all amounts released from escrow, or as otherwise adjusted, each in accordance with the terms of this Agreement, the “</w:t>
      </w:r>
      <w:r>
        <w:rPr>
          <w:rFonts w:ascii="Times New Roman" w:cs="Times New Roman" w:eastAsia="Times New Roman" w:hAnsi="Times New Roman"/>
          <w:sz w:val="18"/>
          <w:szCs w:val="18"/>
          <w:b w:val="1"/>
          <w:bCs w:val="1"/>
          <w:u w:val="single" w:color="auto"/>
          <w:color w:val="auto"/>
        </w:rPr>
        <w:t>Escrow Fund</w:t>
      </w:r>
      <w:r>
        <w:rPr>
          <w:rFonts w:ascii="Times New Roman" w:cs="Times New Roman" w:eastAsia="Times New Roman" w:hAnsi="Times New Roman"/>
          <w:sz w:val="18"/>
          <w:szCs w:val="18"/>
          <w:color w:val="auto"/>
        </w:rPr>
        <w:t>”). The Escrow Agent shall hold the Escrow Amount as a book-entry position registered in the name of Computershare Trust Company, N.A. as Escrow Agent for the benefit of Kennedy.</w:t>
      </w:r>
    </w:p>
    <w:p>
      <w:pPr>
        <w:spacing w:after="0" w:line="180" w:lineRule="exact"/>
        <w:rPr>
          <w:rFonts w:ascii="Times New Roman" w:cs="Times New Roman" w:eastAsia="Times New Roman" w:hAnsi="Times New Roman"/>
          <w:sz w:val="18"/>
          <w:szCs w:val="18"/>
          <w:color w:val="auto"/>
        </w:rPr>
      </w:pPr>
    </w:p>
    <w:p>
      <w:pPr>
        <w:ind w:left="-40" w:firstLine="921"/>
        <w:spacing w:after="0" w:line="253" w:lineRule="auto"/>
        <w:tabs>
          <w:tab w:leader="none" w:pos="1053"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Closing, there occurs any stock split, stock dividend (in the form of Buyer Common Stock) or recapitalization affecting Buyer Common Stock, then Buyer shall deposit or cause to be deposited with the Escrow Agent such additional shares of Buyer Common Stock as the holder of the Kennedy Shares then in the Escrow Fund would be entitled to receive as a result of such occurrence (collectively, such shares of Buyer Common Stock referred to herein as the “</w:t>
      </w:r>
      <w:r>
        <w:rPr>
          <w:rFonts w:ascii="Times New Roman" w:cs="Times New Roman" w:eastAsia="Times New Roman" w:hAnsi="Times New Roman"/>
          <w:sz w:val="18"/>
          <w:szCs w:val="18"/>
          <w:b w:val="1"/>
          <w:bCs w:val="1"/>
          <w:u w:val="single" w:color="auto"/>
          <w:color w:val="auto"/>
        </w:rPr>
        <w:t>Additional Escrow Shares</w:t>
      </w:r>
      <w:r>
        <w:rPr>
          <w:rFonts w:ascii="Times New Roman" w:cs="Times New Roman" w:eastAsia="Times New Roman" w:hAnsi="Times New Roman"/>
          <w:sz w:val="18"/>
          <w:szCs w:val="18"/>
          <w:color w:val="auto"/>
        </w:rPr>
        <w:t>”), with such Additional Escrow Shares being made part of the Escrow Fund (and included within such definition) and included in the definition of “Kennedy Shares” for purposes of this Agreement and the Merger Agreement. If any stock split, stock dividend (in the form of Buyer Common Stock) or recapitalization is taxable to Kennedy (whether pursuant to Section 305 of the Code or otherwise) (a “</w:t>
      </w:r>
      <w:r>
        <w:rPr>
          <w:rFonts w:ascii="Times New Roman" w:cs="Times New Roman" w:eastAsia="Times New Roman" w:hAnsi="Times New Roman"/>
          <w:sz w:val="18"/>
          <w:szCs w:val="18"/>
          <w:b w:val="1"/>
          <w:bCs w:val="1"/>
          <w:u w:val="single" w:color="auto"/>
          <w:color w:val="auto"/>
        </w:rPr>
        <w:t>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 Dividend</w:t>
      </w:r>
      <w:r>
        <w:rPr>
          <w:rFonts w:ascii="Times New Roman" w:cs="Times New Roman" w:eastAsia="Times New Roman" w:hAnsi="Times New Roman"/>
          <w:sz w:val="18"/>
          <w:szCs w:val="18"/>
          <w:color w:val="auto"/>
        </w:rPr>
        <w:t>”), the Escrow Agent, upon receipt of a Joint Release Notice, shall distribute to Kennedy such portion of the Escrow Fund specified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Release Notice, pursuant to the instructions set forth therein. Buyer and the Shareholder Representatives agree that such Joint Release Notice shall instruct the Escrow Agent to distribute to Kennedy, at least five (5) days before the following date prescribed by the Code for natural persons to pay quarterly installments of estimated tax, a portion of the Kennedy Shares then in the Escrow Fund equal to the product of (i) the taxable income attributable to such Taxable Stock Dividend and (ii) the applicable highest marginal tax rates for an individual resident in Michigan applicable to ordinary income or capital gains, as appropriate, taking into account the holding period of the investments disposed of and the year in which the taxable net income is recognized by Kennedy.</w:t>
      </w:r>
    </w:p>
    <w:p>
      <w:pPr>
        <w:spacing w:after="0" w:line="188" w:lineRule="exact"/>
        <w:rPr>
          <w:rFonts w:ascii="Times New Roman" w:cs="Times New Roman" w:eastAsia="Times New Roman" w:hAnsi="Times New Roman"/>
          <w:sz w:val="18"/>
          <w:szCs w:val="18"/>
          <w:color w:val="auto"/>
        </w:rPr>
      </w:pPr>
    </w:p>
    <w:p>
      <w:pPr>
        <w:ind w:left="-40" w:right="40" w:firstLine="921"/>
        <w:spacing w:after="0" w:line="256" w:lineRule="auto"/>
        <w:tabs>
          <w:tab w:leader="none" w:pos="1043"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Closing, there occurs any dividend or distribution of cash or property (other than shares of Buyer Common Stock) with respect to the Buyer Common Stock (“</w:t>
      </w: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color w:val="auto"/>
        </w:rPr>
        <w:t>”), or any record date is declared therefor, then Buyer shall promptly pay or cause to be paid directly to Kennedy (and not to the Escrow Agent) such Dividends as the holder of the Kennedy Shares then in the Escrow Fund would be entitled to receive as a result of such occurrence (in addition to any Dividends paid to Kennedy, as the holder of any Kennedy Shares that are not part of the Escrow Fund). In connection with the foregoing, if Dividends are to be disbursed by the Transfer Agent (as defined herein), Buyer shall provide the Transfer Agent with specific written instructions with respect to the foregoing. For the avoidance of doubt, the Dividends shall not, in any circumstance, become part of the Escrow Fund.</w:t>
      </w:r>
    </w:p>
    <w:p>
      <w:pPr>
        <w:spacing w:after="0" w:line="187" w:lineRule="exact"/>
        <w:rPr>
          <w:rFonts w:ascii="Times New Roman" w:cs="Times New Roman" w:eastAsia="Times New Roman" w:hAnsi="Times New Roman"/>
          <w:sz w:val="18"/>
          <w:szCs w:val="18"/>
          <w:color w:val="auto"/>
        </w:rPr>
      </w:pPr>
    </w:p>
    <w:p>
      <w:pPr>
        <w:ind w:left="-40" w:right="120" w:firstLine="921"/>
        <w:spacing w:after="0" w:line="266" w:lineRule="auto"/>
        <w:tabs>
          <w:tab w:leader="none" w:pos="1043"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on behalf of and at the written direction of Kennedy, upon receipt of a written proxy from Kennedy reasonably in advance of any vote of Buyer Common Stock, the Escrow Agent shall vote (or cause to be voted) the Kennedy Shares then in the Escrow Fund and shall exercise all voting, consent and similar rights with respect to such Kennedy Shares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80" w:top="270" w:right="259" w:bottom="1440" w:gutter="0" w:footer="0" w:header="0"/>
        </w:sectPr>
      </w:pPr>
    </w:p>
    <w:bookmarkStart w:id="341" w:name="page342"/>
    <w:bookmarkEnd w:id="34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executing and delivering written consents), at every annual, special, adjourned or postponed meeting of the stockholders of Buyer and in every written consent in lieu of such a meeting, in each case in accordance with such written direction received from Kennedy. In the absence of such written direction from Kennedy, the Escrow Agent shall not vote any of the Kennedy Shares or other securities comprising the Escrow Fund. For the avoidance of doubt, from and after the Closing, the Buyer shall deliver or cause to be delivered to Kennedy and not to the Escrow Agent, any notices, solicitations or other documents or information issued to the holders of Buyer Common Stock, including, but not limited to, with respect to any matters relating to voting of Buyer Common Stock.</w:t>
      </w:r>
    </w:p>
    <w:p>
      <w:pPr>
        <w:spacing w:after="0" w:line="188" w:lineRule="exact"/>
        <w:rPr>
          <w:sz w:val="20"/>
          <w:szCs w:val="20"/>
          <w:color w:val="auto"/>
        </w:rPr>
      </w:pPr>
    </w:p>
    <w:p>
      <w:pPr>
        <w:ind w:left="640" w:hanging="176"/>
        <w:spacing w:after="0"/>
        <w:tabs>
          <w:tab w:leader="none" w:pos="6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Duties, and Immunities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1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Acceptance by the Escrow Agent of its duties under this Agreement is subject to the following terms and conditions, which all parties to this Agreement hereby agree shall govern and control the rights, duties, obligations, responsibilities and immunities of the Escrow Agent:</w:t>
      </w:r>
    </w:p>
    <w:p>
      <w:pPr>
        <w:spacing w:after="0" w:line="161" w:lineRule="exact"/>
        <w:rPr>
          <w:rFonts w:ascii="Times New Roman" w:cs="Times New Roman" w:eastAsia="Times New Roman" w:hAnsi="Times New Roman"/>
          <w:sz w:val="18"/>
          <w:szCs w:val="18"/>
          <w:color w:val="auto"/>
        </w:rPr>
      </w:pPr>
    </w:p>
    <w:p>
      <w:pPr>
        <w:ind w:right="220" w:firstLine="1492"/>
        <w:spacing w:after="0" w:line="258" w:lineRule="auto"/>
        <w:tabs>
          <w:tab w:leader="none" w:pos="1624" w:val="left"/>
        </w:tabs>
        <w:numPr>
          <w:ilvl w:val="2"/>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Escrow Agent shall be determined solely by the express provisions of this Agreement, and no other duties or obligations shall be inferred or implied, other than as set forth under applicable Law. The Escrow Agent shall not be liable under this Agreement, except for the performance of such duties and obligations as are specifically and expressly set out in this Agreement to be performed by it (subject to the further limitations on the Escrow Agent’s liability set forth herein), each of which is ministerial in nature, and no implied duties or obligations of any kind shall be read into this Agreement against or on the part of the Escrow Agent, other than as set forth under applicable Law.</w:t>
      </w:r>
    </w:p>
    <w:p>
      <w:pPr>
        <w:spacing w:after="0" w:line="183" w:lineRule="exact"/>
        <w:rPr>
          <w:rFonts w:ascii="Times New Roman" w:cs="Times New Roman" w:eastAsia="Times New Roman" w:hAnsi="Times New Roman"/>
          <w:sz w:val="18"/>
          <w:szCs w:val="18"/>
          <w:color w:val="auto"/>
        </w:rPr>
      </w:pPr>
    </w:p>
    <w:p>
      <w:pPr>
        <w:ind w:right="20" w:firstLine="1492"/>
        <w:spacing w:after="0" w:line="255" w:lineRule="auto"/>
        <w:tabs>
          <w:tab w:leader="none" w:pos="1674" w:val="left"/>
        </w:tabs>
        <w:numPr>
          <w:ilvl w:val="2"/>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responsible for, nor chargeable with, knowledge of, nor have any requirements to comply with, the terms or conditions of any other agreement, instrument or document between any of the parties hereto, even if such agreements, instruments or documents are referred to or described herein (including, without limitation, the Merger Agreement and the other agreements and arrangements referenced therein), or for determining if any person or entity has complied therewith, or complied with any notice, instruction, direction, request or other communication, paper or document other than as expressly set forth in this Agreement, or compel compliance thereunder, and shall not otherwise be bound thereby in any way. The Escrow Agent shall not be responsible in any manner whatsoever for any failure or inability of Buyer, the Shareholder Representatives, Kennedy or of anyone else to deliver moneys or other property to the Escrow Agent or otherwise to honor any of the provisions of this Agreement.</w:t>
      </w:r>
    </w:p>
    <w:p>
      <w:pPr>
        <w:spacing w:after="0" w:line="189" w:lineRule="exact"/>
        <w:rPr>
          <w:rFonts w:ascii="Times New Roman" w:cs="Times New Roman" w:eastAsia="Times New Roman" w:hAnsi="Times New Roman"/>
          <w:sz w:val="18"/>
          <w:szCs w:val="18"/>
          <w:color w:val="auto"/>
        </w:rPr>
      </w:pPr>
    </w:p>
    <w:p>
      <w:pPr>
        <w:ind w:firstLine="1492"/>
        <w:spacing w:after="0" w:line="261" w:lineRule="auto"/>
        <w:tabs>
          <w:tab w:leader="none" w:pos="1723" w:val="left"/>
        </w:tabs>
        <w:numPr>
          <w:ilvl w:val="2"/>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Buyer, on the one hand, and the Shareholder Representatives (on behalf of the Shareholders), on the other hand, jointly and severally, will reimburse and indemnify the Escrow Agent (and its stockholders, members, managers, directors, officers, employees and agents, collectively “</w:t>
      </w:r>
      <w:r>
        <w:rPr>
          <w:rFonts w:ascii="Times New Roman" w:cs="Times New Roman" w:eastAsia="Times New Roman" w:hAnsi="Times New Roman"/>
          <w:sz w:val="18"/>
          <w:szCs w:val="18"/>
          <w:b w:val="1"/>
          <w:bCs w:val="1"/>
          <w:u w:val="single" w:color="auto"/>
          <w:color w:val="auto"/>
        </w:rPr>
        <w:t>Indemnitees</w:t>
      </w:r>
      <w:r>
        <w:rPr>
          <w:rFonts w:ascii="Times New Roman" w:cs="Times New Roman" w:eastAsia="Times New Roman" w:hAnsi="Times New Roman"/>
          <w:sz w:val="18"/>
          <w:szCs w:val="18"/>
          <w:color w:val="auto"/>
        </w:rPr>
        <w:t>”) for, and hold it (including each of them) harmless from and against, any losses, liabilities, damages, claims, penalties, judgments, settlements, actions, suits, proceedings, litigations, investigations, costs or expenses (including,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342" w:name="page343"/>
    <w:bookmarkEnd w:id="34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limitation, the reasonable fees and expenses of counsel) (the “</w:t>
      </w:r>
      <w:r>
        <w:rPr>
          <w:rFonts w:ascii="Times New Roman" w:cs="Times New Roman" w:eastAsia="Times New Roman" w:hAnsi="Times New Roman"/>
          <w:sz w:val="18"/>
          <w:szCs w:val="18"/>
          <w:b w:val="1"/>
          <w:bCs w:val="1"/>
          <w:u w:val="single" w:color="auto"/>
          <w:color w:val="auto"/>
        </w:rPr>
        <w:t>Escrow Agent Damages</w:t>
      </w:r>
      <w:r>
        <w:rPr>
          <w:rFonts w:ascii="Times New Roman" w:cs="Times New Roman" w:eastAsia="Times New Roman" w:hAnsi="Times New Roman"/>
          <w:sz w:val="18"/>
          <w:szCs w:val="18"/>
          <w:color w:val="auto"/>
        </w:rPr>
        <w:t>”) that may be imposed on, incurred by, or asserted against any Indemnitee, at any time, and in any way related to or arising out of or in connection with the execution, delivery or performance of this Agreement (including the Escrow Agent’s duties and obligations hereunder), or the enforcement of any rights or remedies under or in connection with this Agreement, or the establishment of the escrow account, or as may arise by reason of any act, omission or error of an Indemnitee, except for Escrow Agent Damages caused by an Indemnitee’s own fraud, bad faith, gross negligence or willful misconduct (each as determined by a final judgment of a court of competent jurisdiction). The provisions of this Section 3 and Sections 6 and 14 below shall survive any termination of this Agreement or the resignation, replacement or removal of the Escrow Agent. It is expressly acknowledged and agreed between Buyer and the Shareholder Representatives that any Escrow Agent Damages shall be borne fifty percent (50%) by each of Buyer, on the one hand, and the Shareholder Representatives (on behalf of the Shareholders based on each Shareholder’s Pro-Rata Share), on the other hand, and Buyer, on the one hand, and the Shareholder Representatives (on behalf of the Shareholders based on each Shareholder’s Pro-Rata Share), on the other hand, hereby grant each other a right of contribution to effect the same. Notwithstanding anything to the contrary contained herein, (i) the Escrow Agent shall not be liable for any action taken, suffered or omitted to be taken by it in good faith hereunder except to the extent that a final adjudication of a court of competent jurisdiction determines that the Escrow Agent’s own fraud, bad faith, gross negligence or willful misconduct was the cause of any loss to either Party or their Affiliates, (ii) in no event shall the Escrow Agent be liable for special, incidental, punitive, indirect or consequential loss or damage of any kind whatsoever (including but not limited to lost profits), even if the Escrow Agent has been advised of the likelihood of such loss or damage and regardless of the form of action, and (iii) any liability of the Escrow Agent shall be limited to the Escrow Amount (valued at the Agreed Stock Value for each Kennedy Share held therein as of the date hereof).</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iv. The Escrow Agent may execute any of its powers and perform any of its duties hereunder either directly or through affiliates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w:t>
      </w:r>
    </w:p>
    <w:p>
      <w:pPr>
        <w:spacing w:after="0" w:line="207" w:lineRule="exact"/>
        <w:rPr>
          <w:sz w:val="20"/>
          <w:szCs w:val="20"/>
          <w:color w:val="auto"/>
        </w:rPr>
      </w:pPr>
    </w:p>
    <w:p>
      <w:pPr>
        <w:ind w:right="60" w:firstLine="1484"/>
        <w:spacing w:after="0" w:line="255" w:lineRule="auto"/>
        <w:rPr>
          <w:sz w:val="20"/>
          <w:szCs w:val="20"/>
          <w:color w:val="auto"/>
        </w:rPr>
      </w:pPr>
      <w:r>
        <w:rPr>
          <w:rFonts w:ascii="Times New Roman" w:cs="Times New Roman" w:eastAsia="Times New Roman" w:hAnsi="Times New Roman"/>
          <w:sz w:val="18"/>
          <w:szCs w:val="18"/>
          <w:color w:val="auto"/>
        </w:rPr>
        <w:t>v. The Escrow Agent shall be fully protected in acting on and relying upon any written notice, direction, request, waiver, consent, receipt or other paper or document delivered pursuant to this Agreement that the Escrow Agent, in good faith, believes to have been signed or presented by the proper party or parties, without inquiry and without requiring substantiating evidence of any kind. The Escrow Agent shall not be liable to any person or entity, any beneficiary or other person or entity for refraining from acting upon any instruction setting forth, claiming, containing, objecting to, or related to the transfer or distribution of the Escrow Fund, or any portion thereof, unless such instruction shall have been delivered to the Escrow Agent in accordance with Section 4 below. The Escrow Agent shall be under no duty to inquire into or investigate the validity, accuracy or content of any such document, notice, instruction or request. The Escrow Agent shall have no duty to solicit any payments that may be due it or the Escrow Fund, including, without limitation, the Escrow Amount.</w:t>
      </w:r>
    </w:p>
    <w:p>
      <w:pPr>
        <w:spacing w:after="0" w:line="185" w:lineRule="exact"/>
        <w:rPr>
          <w:sz w:val="20"/>
          <w:szCs w:val="20"/>
          <w:color w:val="auto"/>
        </w:rPr>
      </w:pPr>
    </w:p>
    <w:p>
      <w:pPr>
        <w:ind w:right="500" w:firstLine="1492"/>
        <w:spacing w:after="0" w:line="282" w:lineRule="auto"/>
        <w:tabs>
          <w:tab w:leader="none" w:pos="171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Agent shall act hereunder as an escrow agent only and shall not be responsible or liable in any manner whatever for the accuracy, sufficiency, collection, correctness, genuineness or validity of any securities, documents, instruments or other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65" w:right="259" w:bottom="1440" w:gutter="0" w:footer="0" w:header="0"/>
        </w:sectPr>
      </w:pPr>
    </w:p>
    <w:bookmarkStart w:id="343" w:name="page344"/>
    <w:bookmarkEnd w:id="343"/>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deposited with, delivered to or held by it or for the identity, authority or rights of any person or entity executing and delivering or purporting to execute or deliver any thereof to Escrow Agent.</w:t>
      </w:r>
    </w:p>
    <w:p>
      <w:pPr>
        <w:spacing w:after="0" w:line="162" w:lineRule="exact"/>
        <w:rPr>
          <w:sz w:val="20"/>
          <w:szCs w:val="20"/>
          <w:color w:val="auto"/>
        </w:rPr>
      </w:pPr>
    </w:p>
    <w:p>
      <w:pPr>
        <w:ind w:right="200" w:firstLine="1492"/>
        <w:spacing w:after="0" w:line="266" w:lineRule="auto"/>
        <w:tabs>
          <w:tab w:leader="none" w:pos="176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obligated to take any legal or other action hereunder, or be required to expend or risk any of its own funds, which might in its judgment involve or cause it to incur any expense or liability, unless it shall have been furnished with acceptable indemnification reasonably satisfactory to it.</w:t>
      </w:r>
    </w:p>
    <w:p>
      <w:pPr>
        <w:spacing w:after="0" w:line="176" w:lineRule="exact"/>
        <w:rPr>
          <w:rFonts w:ascii="Times New Roman" w:cs="Times New Roman" w:eastAsia="Times New Roman" w:hAnsi="Times New Roman"/>
          <w:sz w:val="18"/>
          <w:szCs w:val="18"/>
          <w:color w:val="auto"/>
        </w:rPr>
      </w:pPr>
    </w:p>
    <w:p>
      <w:pPr>
        <w:ind w:firstLine="1492"/>
        <w:spacing w:after="0" w:line="261" w:lineRule="auto"/>
        <w:tabs>
          <w:tab w:leader="none" w:pos="181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may consult legal counsel (who may be an employee of the Escrow Agent) in the event of any dispute or question as to the construction of any provisions hereof or its duties hereunder, and it shall incur no liability and shall be fully protected in acting in accordance with the opinion or instructions of such counsel, except to the extent that such loss results, in whole or in part, from the Escrow Agent’s own fraud, bad faith, willful misconduct or gross negligence (each as determined by a final judgment of a court of competent jurisdiction).</w:t>
      </w:r>
    </w:p>
    <w:p>
      <w:pPr>
        <w:spacing w:after="0" w:line="180" w:lineRule="exact"/>
        <w:rPr>
          <w:rFonts w:ascii="Times New Roman" w:cs="Times New Roman" w:eastAsia="Times New Roman" w:hAnsi="Times New Roman"/>
          <w:sz w:val="18"/>
          <w:szCs w:val="18"/>
          <w:color w:val="auto"/>
        </w:rPr>
      </w:pPr>
    </w:p>
    <w:p>
      <w:pPr>
        <w:ind w:right="100" w:firstLine="1492"/>
        <w:spacing w:after="0" w:line="256" w:lineRule="auto"/>
        <w:tabs>
          <w:tab w:leader="none" w:pos="171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shall be uncertain or believe there is some ambiguity as to its duties or rights hereunder or shall receive instructions, claims, or demands from any party hereto which, in its opinion, conflict with any of the provisions of this Agreement, it shall be entitled to refrain from taking any action and its sole obligation shall be to keep safely all property held in escrow until it shall be given a direction in writing by Buyer and the Shareholder Representatives, or a final and non-appealable order or judgment of a court of competent jurisdiction, which eliminates such ambiguity or uncertainty to the satisfaction of Escrow Agent. The Parties agree to pursue any redress or recourse in connection with any dispute without making the Escrow Agent a party to the same.</w:t>
      </w:r>
    </w:p>
    <w:p>
      <w:pPr>
        <w:spacing w:after="0" w:line="187" w:lineRule="exact"/>
        <w:rPr>
          <w:rFonts w:ascii="Times New Roman" w:cs="Times New Roman" w:eastAsia="Times New Roman" w:hAnsi="Times New Roman"/>
          <w:sz w:val="18"/>
          <w:szCs w:val="18"/>
          <w:color w:val="auto"/>
        </w:rPr>
      </w:pPr>
    </w:p>
    <w:p>
      <w:pPr>
        <w:ind w:right="280" w:firstLine="1492"/>
        <w:spacing w:after="0" w:line="266" w:lineRule="auto"/>
        <w:tabs>
          <w:tab w:leader="none" w:pos="166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any amount to be released pursuant to this Agreement at any time or under any circumstances exceeds the balance of the Escrow Fund held by the Escrow Agent at such time, the Escrow Agent shall release such remaining balance and shall have no liability or responsibility to Buyer, the Shareholder Representatives or any other person or entity for any deficiency.</w:t>
      </w:r>
    </w:p>
    <w:p>
      <w:pPr>
        <w:spacing w:after="0" w:line="176" w:lineRule="exact"/>
        <w:rPr>
          <w:rFonts w:ascii="Times New Roman" w:cs="Times New Roman" w:eastAsia="Times New Roman" w:hAnsi="Times New Roman"/>
          <w:sz w:val="18"/>
          <w:szCs w:val="18"/>
          <w:color w:val="auto"/>
        </w:rPr>
      </w:pPr>
    </w:p>
    <w:p>
      <w:pPr>
        <w:ind w:right="220" w:firstLine="1492"/>
        <w:spacing w:after="0" w:line="266" w:lineRule="auto"/>
        <w:tabs>
          <w:tab w:leader="none" w:pos="171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 of applicable Law, the Escrow Agent may engage or be interested in any financial or other transaction with any party hereto or affiliate thereof, and may act on, or as depositary, trustee or agent for, any committee or body of holders of obligations of such party or affiliate, as freely as if it were not Escrow Agent hereunder.</w:t>
      </w:r>
    </w:p>
    <w:p>
      <w:pPr>
        <w:spacing w:after="0" w:line="176" w:lineRule="exact"/>
        <w:rPr>
          <w:rFonts w:ascii="Times New Roman" w:cs="Times New Roman" w:eastAsia="Times New Roman" w:hAnsi="Times New Roman"/>
          <w:sz w:val="18"/>
          <w:szCs w:val="18"/>
          <w:color w:val="auto"/>
        </w:rPr>
      </w:pPr>
    </w:p>
    <w:p>
      <w:pPr>
        <w:ind w:left="1780" w:hanging="288"/>
        <w:spacing w:after="0"/>
        <w:tabs>
          <w:tab w:leader="none" w:pos="17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take instructions or directions except those given in accordance with this Agreement.</w:t>
      </w:r>
    </w:p>
    <w:p>
      <w:pPr>
        <w:spacing w:after="0" w:line="225" w:lineRule="exact"/>
        <w:rPr>
          <w:rFonts w:ascii="Times New Roman" w:cs="Times New Roman" w:eastAsia="Times New Roman" w:hAnsi="Times New Roman"/>
          <w:sz w:val="18"/>
          <w:szCs w:val="18"/>
          <w:color w:val="auto"/>
        </w:rPr>
      </w:pPr>
    </w:p>
    <w:p>
      <w:pPr>
        <w:ind w:right="200" w:firstLine="1492"/>
        <w:spacing w:after="0" w:line="266" w:lineRule="auto"/>
        <w:tabs>
          <w:tab w:leader="none" w:pos="181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incur any liability for not performing any act, duty, obligation or responsibility by reason of any occurrence beyond the reasonable control of the Escrow Agent, including, without limitation, any act or provision of any present or future law or regulation then in force or action of any governmental authority, any act of God, war, civil disorder or failure of any means of communication.</w:t>
      </w:r>
    </w:p>
    <w:p>
      <w:pPr>
        <w:spacing w:after="0" w:line="176" w:lineRule="exact"/>
        <w:rPr>
          <w:rFonts w:ascii="Times New Roman" w:cs="Times New Roman" w:eastAsia="Times New Roman" w:hAnsi="Times New Roman"/>
          <w:sz w:val="18"/>
          <w:szCs w:val="18"/>
          <w:color w:val="auto"/>
        </w:rPr>
      </w:pPr>
    </w:p>
    <w:p>
      <w:pPr>
        <w:ind w:right="40" w:firstLine="1492"/>
        <w:spacing w:after="0" w:line="282" w:lineRule="auto"/>
        <w:tabs>
          <w:tab w:leader="none" w:pos="179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called upon to advise any person or entity as to any investments with respect to any security, property or funds held in escrow hereunder or the dividends, distributions, income, interest or earnings thereon.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9" w:right="239" w:bottom="1440" w:gutter="0" w:footer="0" w:header="0"/>
        </w:sectPr>
      </w:pPr>
    </w:p>
    <w:bookmarkStart w:id="344" w:name="page345"/>
    <w:bookmarkEnd w:id="344"/>
    <w:p>
      <w:pPr>
        <w:ind w:left="600" w:hanging="176"/>
        <w:spacing w:after="0"/>
        <w:tabs>
          <w:tab w:leader="none" w:pos="60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of Escrow Fund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0" w:right="20" w:firstLine="921"/>
        <w:spacing w:after="0" w:line="253" w:lineRule="auto"/>
        <w:tabs>
          <w:tab w:leader="none" w:pos="1043"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Joint Written Instructions</w:t>
      </w:r>
      <w:r>
        <w:rPr>
          <w:rFonts w:ascii="Times New Roman" w:cs="Times New Roman" w:eastAsia="Times New Roman" w:hAnsi="Times New Roman"/>
          <w:sz w:val="18"/>
          <w:szCs w:val="18"/>
          <w:color w:val="auto"/>
        </w:rPr>
        <w:t>. At any time prior to the termination of this Agreement, the Escrow Agent shall disburse the Escrow Fund,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thereof, in accordance with any joint written instructions of Buyer and the Shareholder Representatives, received by the Escrow Agent, which shall specifically set forth the exact number of Kennedy Shares to be disbursed and the identity of and delivery instructions for the person or entity to which such disbursement is to be made (a “</w:t>
      </w:r>
      <w:r>
        <w:rPr>
          <w:rFonts w:ascii="Times New Roman" w:cs="Times New Roman" w:eastAsia="Times New Roman" w:hAnsi="Times New Roman"/>
          <w:sz w:val="18"/>
          <w:szCs w:val="18"/>
          <w:b w:val="1"/>
          <w:bCs w:val="1"/>
          <w:u w:val="single" w:color="auto"/>
          <w:color w:val="auto"/>
        </w:rPr>
        <w:t>Joint Release Notice</w:t>
      </w:r>
      <w:r>
        <w:rPr>
          <w:rFonts w:ascii="Times New Roman" w:cs="Times New Roman" w:eastAsia="Times New Roman" w:hAnsi="Times New Roman"/>
          <w:sz w:val="18"/>
          <w:szCs w:val="18"/>
          <w:color w:val="auto"/>
        </w:rPr>
        <w:t xml:space="preserve">”). Buyer and the Shareholder Representatives agree that when a Joint Release Notice is to be delivered to the Escrow Agent, it shall be substantially in the form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Within five (5) Business Days after the date on which the Escrow Agent receives an executed Joint Release Notice, the Escrow Agent shall disburse the portion of the Escrow Fund set forth in the Joint Release Notice to the persons or entities designated in such Joint Release Notice (it being understood that the Escrow Agent shall have no duty or obligation to determine whether any such instructions are in compliance with, or contradict, any of the other terms of this Agreement). The Escrow Agent shall not be responsible for or have any duty to make any calculations under this Agreement, or to determine when any calculation required under the provisions of this Agreement should be made, how it should be made or what it should be, or to confirm or verify any such calculation. Notwithstanding anything herein to the contrary, the Escrow Agent shall have no duty or obligation to confirm or verify the accuracy or sufficiency of any amounts set forth in any written instruction delivered pursuant to this Agreement. Buyer and the Shareholder Representatives acknowledge that the Escrow Agent does not have any interest in the assets held by it pursuant to this Agreement, and is serving only as escrow holder hereunder.</w:t>
      </w:r>
    </w:p>
    <w:p>
      <w:pPr>
        <w:spacing w:after="0" w:line="188" w:lineRule="exact"/>
        <w:rPr>
          <w:rFonts w:ascii="Times New Roman" w:cs="Times New Roman" w:eastAsia="Times New Roman" w:hAnsi="Times New Roman"/>
          <w:sz w:val="18"/>
          <w:szCs w:val="18"/>
          <w:color w:val="auto"/>
        </w:rPr>
      </w:pPr>
    </w:p>
    <w:p>
      <w:pPr>
        <w:ind w:left="-40" w:right="20" w:firstLine="921"/>
        <w:spacing w:after="0" w:line="254" w:lineRule="auto"/>
        <w:tabs>
          <w:tab w:leader="none" w:pos="1053"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Disbursement of Escrow Fund – Final Merger Consideration</w:t>
      </w:r>
      <w:r>
        <w:rPr>
          <w:rFonts w:ascii="Times New Roman" w:cs="Times New Roman" w:eastAsia="Times New Roman" w:hAnsi="Times New Roman"/>
          <w:sz w:val="18"/>
          <w:szCs w:val="18"/>
          <w:color w:val="auto"/>
        </w:rPr>
        <w:t>. If the Final Merger Consideration is less than the Initial Merger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pursuant to Section 2.10(g) of the Merger Agreement, Kennedy shall either (i) pay such deficit to Buyer by wire transfer of immediately available funds to the account or accounts designated by Buyer (a “</w:t>
      </w:r>
      <w:r>
        <w:rPr>
          <w:rFonts w:ascii="Times New Roman" w:cs="Times New Roman" w:eastAsia="Times New Roman" w:hAnsi="Times New Roman"/>
          <w:sz w:val="18"/>
          <w:szCs w:val="18"/>
          <w:b w:val="1"/>
          <w:bCs w:val="1"/>
          <w:u w:val="single" w:color="auto"/>
          <w:color w:val="auto"/>
        </w:rPr>
        <w:t>Cash Payment</w:t>
      </w:r>
      <w:r>
        <w:rPr>
          <w:rFonts w:ascii="Times New Roman" w:cs="Times New Roman" w:eastAsia="Times New Roman" w:hAnsi="Times New Roman"/>
          <w:sz w:val="18"/>
          <w:szCs w:val="18"/>
          <w:color w:val="auto"/>
        </w:rPr>
        <w:t>”) in an amount equal to such deficit, or (ii) forfeit that number of Kennedy Shares held in the Escrow Fund (valued at the Agreed Stock Value for each Kennedy Share and rounded up to the nearest whole number of Kennedy Shares) (a “</w:t>
      </w:r>
      <w:r>
        <w:rPr>
          <w:rFonts w:ascii="Times New Roman" w:cs="Times New Roman" w:eastAsia="Times New Roman" w:hAnsi="Times New Roman"/>
          <w:sz w:val="18"/>
          <w:szCs w:val="18"/>
          <w:b w:val="1"/>
          <w:bCs w:val="1"/>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equal to the amount of such deficit. Within two (2) Business Days of the final agreement or determination of the Final Merger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2.10 of the Merger Agreement, Kennedy shall deliver a written notice (an “</w:t>
      </w:r>
      <w:r>
        <w:rPr>
          <w:rFonts w:ascii="Times New Roman" w:cs="Times New Roman" w:eastAsia="Times New Roman" w:hAnsi="Times New Roman"/>
          <w:sz w:val="18"/>
          <w:szCs w:val="18"/>
          <w:b w:val="1"/>
          <w:bCs w:val="1"/>
          <w:u w:val="single" w:color="auto"/>
          <w:color w:val="auto"/>
        </w:rPr>
        <w:t>Election Notice</w:t>
      </w:r>
      <w:r>
        <w:rPr>
          <w:rFonts w:ascii="Times New Roman" w:cs="Times New Roman" w:eastAsia="Times New Roman" w:hAnsi="Times New Roman"/>
          <w:sz w:val="18"/>
          <w:szCs w:val="18"/>
          <w:color w:val="auto"/>
        </w:rPr>
        <w:t>”) to Buyer, the Shareholder Representatives and the Escrow Agent of his election to pay such deficit by either a Cash Payment (which notice shall indicate the date on which Kennedy will deliver such payment, which shall be no later than five (5) Business Days from the final agreement or determination of the Final Merger Consideration) or a Share Payment. After delivery of such Election Notice:</w:t>
      </w:r>
    </w:p>
    <w:p>
      <w:pPr>
        <w:spacing w:after="0" w:line="191" w:lineRule="exact"/>
        <w:rPr>
          <w:rFonts w:ascii="Times New Roman" w:cs="Times New Roman" w:eastAsia="Times New Roman" w:hAnsi="Times New Roman"/>
          <w:sz w:val="18"/>
          <w:szCs w:val="18"/>
          <w:color w:val="auto"/>
        </w:rPr>
      </w:pPr>
    </w:p>
    <w:p>
      <w:pPr>
        <w:ind w:left="-40" w:firstLine="1492"/>
        <w:spacing w:after="0" w:line="282" w:lineRule="auto"/>
        <w:tabs>
          <w:tab w:leader="none" w:pos="1584"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Kennedy elects to pay such deficit by a Cash Payment, then (x) he shall pay such Cash Payment as indicated in such Election Notice, and (y) the Shareholder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80" w:top="270" w:right="279" w:bottom="1440" w:gutter="0" w:footer="0" w:header="0"/>
        </w:sectPr>
      </w:pPr>
    </w:p>
    <w:bookmarkStart w:id="345" w:name="page346"/>
    <w:bookmarkEnd w:id="345"/>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and Buyer shall promptly (but in any event within one (1) Business Day) following confirmation by Buyer that the corresponding wire transfer has been received by Buyer, deliver a Joint Release Notice to the Escrow Agent instructing the Escrow Agent to disburse the portion of the Escrow Fund set forth in such Joint Release Notice in accordance with the instructions set forth in such Joint Release Notice. Buyer and the Shareholder Representatives agree that such Joint Release Notice shall instruct the Escrow Agent to disburse to Kennedy that number of Kennedy Shares held in the Escrow Fund (valued at the Agreed Stock Value for each Kennedy Share and rounded up to the nearest whole number of Kennedy Shares) corresponding to the amount so paid by Kennedy in such Cash Payment; or</w:t>
      </w:r>
    </w:p>
    <w:p>
      <w:pPr>
        <w:spacing w:after="0" w:line="188" w:lineRule="exact"/>
        <w:rPr>
          <w:sz w:val="20"/>
          <w:szCs w:val="20"/>
          <w:color w:val="auto"/>
        </w:rPr>
      </w:pPr>
    </w:p>
    <w:p>
      <w:pPr>
        <w:ind w:right="20" w:firstLine="1492"/>
        <w:spacing w:after="0" w:line="258" w:lineRule="auto"/>
        <w:tabs>
          <w:tab w:leader="none" w:pos="1674"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Kennedy elects to pay such deficit by a Share Payment, then the Shareholder Representatives and Buyer shall deliver a Joint Release Notice, within two (2) Business Days of receipt of such Election Notice, to the Escrow Agent instructing the Escrow Agent to disburse the portion of the Kennedy Shares then in the Escrow Fund set forth in such Joint Release Notice in accordance with the instructions set forth in such Joint Release Notice within five (5) Business Days of receipt of such Joint Release Notice. Buyer and the Shareholder Representatives agree that such Joint Release Notice shall instruct the Escrow Agent to disburse such portion of the Escrow Fund representing the Share Payment to Buyer.</w:t>
      </w:r>
    </w:p>
    <w:p>
      <w:pPr>
        <w:spacing w:after="0" w:line="181" w:lineRule="exact"/>
        <w:rPr>
          <w:rFonts w:ascii="Times New Roman" w:cs="Times New Roman" w:eastAsia="Times New Roman" w:hAnsi="Times New Roman"/>
          <w:sz w:val="18"/>
          <w:szCs w:val="18"/>
          <w:color w:val="auto"/>
        </w:rPr>
      </w:pPr>
    </w:p>
    <w:p>
      <w:pPr>
        <w:ind w:right="280" w:firstLine="921"/>
        <w:spacing w:after="0" w:line="284" w:lineRule="auto"/>
        <w:tabs>
          <w:tab w:leader="none" w:pos="1083"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Disbursement of Escrow Fund – Indemnity Claims</w:t>
      </w:r>
      <w:r>
        <w:rPr>
          <w:rFonts w:ascii="Times New Roman" w:cs="Times New Roman" w:eastAsia="Times New Roman" w:hAnsi="Times New Roman"/>
          <w:sz w:val="18"/>
          <w:szCs w:val="18"/>
          <w:color w:val="auto"/>
        </w:rPr>
        <w:t>. The Escrow Fund shall secure the obligations of the Shareholders with respect to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Claims pursuant to Article VIII of the Merger Agreement.</w:t>
      </w:r>
    </w:p>
    <w:p>
      <w:pPr>
        <w:spacing w:after="0" w:line="160" w:lineRule="exact"/>
        <w:rPr>
          <w:rFonts w:ascii="Times New Roman" w:cs="Times New Roman" w:eastAsia="Times New Roman" w:hAnsi="Times New Roman"/>
          <w:sz w:val="18"/>
          <w:szCs w:val="18"/>
          <w:color w:val="auto"/>
        </w:rPr>
      </w:pPr>
    </w:p>
    <w:p>
      <w:pPr>
        <w:ind w:right="140" w:firstLine="1492"/>
        <w:spacing w:after="0" w:line="282" w:lineRule="auto"/>
        <w:tabs>
          <w:tab w:leader="none" w:pos="1624"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Buyer Indemnified Party desires to make a Buyer Indemnification Claim that does not involve a Third Party Claim, such Buyer Indemnified Party shall follow the procedures set forth in Section 8.05(b) of the Merger Agreement.</w:t>
      </w:r>
    </w:p>
    <w:p>
      <w:pPr>
        <w:spacing w:after="0" w:line="162" w:lineRule="exact"/>
        <w:rPr>
          <w:sz w:val="20"/>
          <w:szCs w:val="20"/>
          <w:color w:val="auto"/>
        </w:rPr>
      </w:pPr>
    </w:p>
    <w:p>
      <w:pPr>
        <w:ind w:right="300" w:firstLine="1492"/>
        <w:spacing w:after="0" w:line="282" w:lineRule="auto"/>
        <w:tabs>
          <w:tab w:leader="none" w:pos="1674"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Buyer Indemnified Party desires to make a Buyer Indemnification Claim that involves a Third Party Claim, such Buyer Indemnified Party shall follow the procedures set forth in Section 8.06 of the Merger Agreement.</w:t>
      </w:r>
    </w:p>
    <w:p>
      <w:pPr>
        <w:spacing w:after="0" w:line="161" w:lineRule="exact"/>
        <w:rPr>
          <w:rFonts w:ascii="Times New Roman" w:cs="Times New Roman" w:eastAsia="Times New Roman" w:hAnsi="Times New Roman"/>
          <w:sz w:val="18"/>
          <w:szCs w:val="18"/>
          <w:color w:val="auto"/>
        </w:rPr>
      </w:pPr>
    </w:p>
    <w:p>
      <w:pPr>
        <w:ind w:right="80" w:firstLine="1492"/>
        <w:spacing w:after="0" w:line="258" w:lineRule="auto"/>
        <w:tabs>
          <w:tab w:leader="none" w:pos="1724"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Shareholder Representatives shall negotiate in good faith to reach an agreement upon the amount on deposit in the Escrow Fund (valued at the Agreed Stock Value for each Kennedy Share held therein) that should be reserved in respect of a Claims Notice (a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Amount</w:t>
      </w:r>
      <w:r>
        <w:rPr>
          <w:rFonts w:ascii="Times New Roman" w:cs="Times New Roman" w:eastAsia="Times New Roman" w:hAnsi="Times New Roman"/>
          <w:sz w:val="18"/>
          <w:szCs w:val="18"/>
          <w:color w:val="auto"/>
        </w:rPr>
        <w:t>”). If such Persons are unable to reach agreement as to the Reserved Amount by the Final Release Date (as defined below), then the Reserved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with respect to such Claims Notice shall be the amount in good faith specified by Buyer in the Claims Notice based on Buyer’s reasonable judgment (but in all cases valuing each Kennedy Share at the Agreed Stock Value).</w:t>
      </w:r>
    </w:p>
    <w:p>
      <w:pPr>
        <w:spacing w:after="0" w:line="183" w:lineRule="exact"/>
        <w:rPr>
          <w:rFonts w:ascii="Times New Roman" w:cs="Times New Roman" w:eastAsia="Times New Roman" w:hAnsi="Times New Roman"/>
          <w:sz w:val="18"/>
          <w:szCs w:val="18"/>
          <w:color w:val="auto"/>
        </w:rPr>
      </w:pPr>
    </w:p>
    <w:p>
      <w:pPr>
        <w:ind w:firstLine="1492"/>
        <w:spacing w:after="0" w:line="261" w:lineRule="auto"/>
        <w:tabs>
          <w:tab w:leader="none" w:pos="1702"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of the earlier of (x) an agreement by the Shareholder Representatives and the Buyer Indemnified Party, or (y) as finally determined by a court of competent jurisdiction (a “</w:t>
      </w:r>
      <w:r>
        <w:rPr>
          <w:rFonts w:ascii="Times New Roman" w:cs="Times New Roman" w:eastAsia="Times New Roman" w:hAnsi="Times New Roman"/>
          <w:sz w:val="18"/>
          <w:szCs w:val="18"/>
          <w:b w:val="1"/>
          <w:bCs w:val="1"/>
          <w:u w:val="single" w:color="auto"/>
          <w:color w:val="auto"/>
        </w:rPr>
        <w:t>Judgment</w:t>
      </w:r>
      <w:r>
        <w:rPr>
          <w:rFonts w:ascii="Times New Roman" w:cs="Times New Roman" w:eastAsia="Times New Roman" w:hAnsi="Times New Roman"/>
          <w:sz w:val="18"/>
          <w:szCs w:val="18"/>
          <w:color w:val="auto"/>
        </w:rPr>
        <w:t>”), in each case in respect of any Losses set forth in a Claims Notice, Kennedy shall deliver an Election Notice to Buyer, the Shareholder Representatives and the Escrow Agent of his election to pay such Losses by either a Cash Payment (which notice shall indicate the date on which Kennedy will deliver such payment,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346" w:name="page347"/>
    <w:bookmarkEnd w:id="346"/>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shall be no later than five (5) Business Days from such agreement or Judgment) or a Share Payment, pursuant to Section 8.05(a) of the Merger Agreement. After delivery of such Election Notice:</w:t>
      </w:r>
    </w:p>
    <w:p>
      <w:pPr>
        <w:spacing w:after="0" w:line="162" w:lineRule="exact"/>
        <w:rPr>
          <w:sz w:val="20"/>
          <w:szCs w:val="20"/>
          <w:color w:val="auto"/>
        </w:rPr>
      </w:pPr>
    </w:p>
    <w:p>
      <w:pPr>
        <w:ind w:right="20" w:firstLine="1948"/>
        <w:spacing w:after="0" w:line="255" w:lineRule="auto"/>
        <w:tabs>
          <w:tab w:leader="none" w:pos="212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Kennedy elects to pay such Losses by a Cash Payment, then (x) he shall pay such Cash Payment as indicated in such Election Notice, and (y) the Shareholder Representatives and Buyer shall promptly, (but in any event within one (1) Business Day) following confirmation by Buyer that the corresponding wire transfer has been received by Buyer, deliver a Joint Release Notice to the Escrow Agent instructing the Escrow Agent to disburse the portion of the Escrow Fund set forth in such Joint Release Notice in accordance with the instructions set forth in such Joint Release Notice. Buyer and the Shareholder Representatives agree that such Joint Release Notice shall instruct the Escrow Agent to disburse to Kennedy that number of Kennedy Shares held in the Escrow Fund (valued at the Agreed Stock Value for each Kennedy Share and rounded up to the nearest whole number of Kennedy Shares) corresponding to the amount so paid by Kennedy in such Cash Payment, and any Reserved Amount in respect of the corresponding Claims Notice shall thereafter no longer be a Reserved Amount; or</w:t>
      </w:r>
    </w:p>
    <w:p>
      <w:pPr>
        <w:spacing w:after="0" w:line="185" w:lineRule="exact"/>
        <w:rPr>
          <w:rFonts w:ascii="Times New Roman" w:cs="Times New Roman" w:eastAsia="Times New Roman" w:hAnsi="Times New Roman"/>
          <w:sz w:val="18"/>
          <w:szCs w:val="18"/>
          <w:color w:val="auto"/>
        </w:rPr>
      </w:pPr>
    </w:p>
    <w:p>
      <w:pPr>
        <w:ind w:right="60" w:firstLine="1948"/>
        <w:spacing w:after="0" w:line="258" w:lineRule="auto"/>
        <w:tabs>
          <w:tab w:leader="none" w:pos="212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Kennedy elects to pay such Losses by a Share Payment, then the Shareholder Representatives and Buyer shall deliver a Joint Release Notice, within two (2) Business Days of receipt of such Election Notice, to the Escrow Agent instructing the Escrow Agent to disburse the portion of the Kennedy Shares then in the Escrow Fund set forth in such Joint Release Notice in accordance with such Joint Release Notice within five (5) Business Days of receipt of such Joint Release Notice. Buyer and the Shareholder Representatives agree that such Joint Release Notice shall instruct the Escrow Agent to disburse such portion of the Kennedy Shares then in the Escrow Fund representing the Share Payment to Buyer.</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Buyer and the Shareholder Representatives agree that if such Losses payable under such Joint Release Notice or as awarded by such Judgment exceed the balance then remaining in the Escrow Fund (based on the Agreed Stock Value for each Kennedy Share held therein), then, (A) if Kennedy elects to pay by a Share Payment, only the balance then remaining in the Escrow Fund shall be forfeited and released to Buyer, or (B) if Kennedy elects to pay by a Cash Payment, only the amount of cash equal to the balance then remaining in the Escrow Fund shall be paid to Buyer by Kennedy (and the balance of Kennedy Shares then remaining in the Escrow Fund shall be released to Kennedy);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cases (A) and (B), Buyer shall be entitled to payment of the shortfall pursuant to the Indemnity Agreement. If any Kennedy Shares not released to Buyer pursuant hereto would have, but for being held in connection with a Reserved Amount, previously been distributed to Kennedy, then Buyer and the Shareholder Representatives agree to promptly deliver a Joint Release Notice to the Escrow Agent instructing the Escrow Agent to disburse such portion of the Escrow Fund representing such Kennedy Shares to Kennedy.</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Scheduled Disbursement of Escrow Fund.</w:t>
      </w:r>
    </w:p>
    <w:p>
      <w:pPr>
        <w:spacing w:after="0" w:line="227" w:lineRule="exact"/>
        <w:rPr>
          <w:sz w:val="20"/>
          <w:szCs w:val="20"/>
          <w:color w:val="auto"/>
        </w:rPr>
      </w:pPr>
    </w:p>
    <w:p>
      <w:pPr>
        <w:ind w:right="320" w:firstLine="1484"/>
        <w:spacing w:after="0" w:line="282" w:lineRule="auto"/>
        <w:rPr>
          <w:sz w:val="20"/>
          <w:szCs w:val="20"/>
          <w:color w:val="auto"/>
        </w:rPr>
      </w:pPr>
      <w:r>
        <w:rPr>
          <w:rFonts w:ascii="Times New Roman" w:cs="Times New Roman" w:eastAsia="Times New Roman" w:hAnsi="Times New Roman"/>
          <w:sz w:val="18"/>
          <w:szCs w:val="18"/>
          <w:color w:val="auto"/>
        </w:rPr>
        <w:t>i. Five (5) Business Days prior to the expiration of the earlier of (a) the date that is three (3) months after delivery to Buyer of audited financial statements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347" w:name="page348"/>
    <w:bookmarkEnd w:id="34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for the year ended December 31, 2014 and (b) June 30, 2015 (the “</w:t>
      </w:r>
      <w:r>
        <w:rPr>
          <w:rFonts w:ascii="Times New Roman" w:cs="Times New Roman" w:eastAsia="Times New Roman" w:hAnsi="Times New Roman"/>
          <w:sz w:val="18"/>
          <w:szCs w:val="18"/>
          <w:b w:val="1"/>
          <w:bCs w:val="1"/>
          <w:u w:val="single" w:color="auto"/>
          <w:color w:val="auto"/>
        </w:rPr>
        <w:t>Initial Release Date</w:t>
      </w:r>
      <w:r>
        <w:rPr>
          <w:rFonts w:ascii="Times New Roman" w:cs="Times New Roman" w:eastAsia="Times New Roman" w:hAnsi="Times New Roman"/>
          <w:sz w:val="18"/>
          <w:szCs w:val="18"/>
          <w:color w:val="auto"/>
        </w:rPr>
        <w:t>”), the Shareholder Representatives and Buyer shall deliver a Joint Release Notice to the Escrow Agent instructing the Escrow Agent to distribute on the Initial Release Date the Initial Escrow Release to Kennedy. Such Joint Release Notice shall specify the amount of the Initial Escrow Release, and the Escrow Agent may rely conclusively on the amounts and any calculations contained in such Joint Release Notice (with no duty or obligation to calculate or confirm the same). Buyer and the Shareholder Representatives agree that the “</w:t>
      </w:r>
      <w:r>
        <w:rPr>
          <w:rFonts w:ascii="Times New Roman" w:cs="Times New Roman" w:eastAsia="Times New Roman" w:hAnsi="Times New Roman"/>
          <w:sz w:val="18"/>
          <w:szCs w:val="18"/>
          <w:b w:val="1"/>
          <w:bCs w:val="1"/>
          <w:u w:val="single" w:color="auto"/>
          <w:color w:val="auto"/>
        </w:rPr>
        <w:t>Initial Escrow Release</w:t>
      </w:r>
      <w:r>
        <w:rPr>
          <w:rFonts w:ascii="Times New Roman" w:cs="Times New Roman" w:eastAsia="Times New Roman" w:hAnsi="Times New Roman"/>
          <w:sz w:val="18"/>
          <w:szCs w:val="18"/>
          <w:color w:val="auto"/>
        </w:rPr>
        <w:t>” shall be that number of Kennedy Shares such that the value of all Kennedy Shares, valued at the Agreed Stock Value, remaining in the Escrow Fund after the release on the Initial Release Date equals SEVEN MILLION FIVE HUNDRED THOUSAND DOLLARS ($7,500,000), plus an amount equal to the aggregate Reserved Amounts in respect of Buyer Indemnification Claims pending but not paid, rounded up to the nearest whole number of Kennedy Shares.</w:t>
      </w:r>
    </w:p>
    <w:p>
      <w:pPr>
        <w:spacing w:after="0" w:line="185" w:lineRule="exact"/>
        <w:rPr>
          <w:sz w:val="20"/>
          <w:szCs w:val="20"/>
          <w:color w:val="auto"/>
        </w:rPr>
      </w:pPr>
    </w:p>
    <w:p>
      <w:pPr>
        <w:ind w:firstLine="1492"/>
        <w:spacing w:after="0" w:line="259" w:lineRule="auto"/>
        <w:tabs>
          <w:tab w:leader="none" w:pos="1674"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Business Days prior to the date that is twenty-four (24) months after the Closing Date (the “</w:t>
      </w:r>
      <w:r>
        <w:rPr>
          <w:rFonts w:ascii="Times New Roman" w:cs="Times New Roman" w:eastAsia="Times New Roman" w:hAnsi="Times New Roman"/>
          <w:sz w:val="18"/>
          <w:szCs w:val="18"/>
          <w:b w:val="1"/>
          <w:bCs w:val="1"/>
          <w:u w:val="single" w:color="auto"/>
          <w:color w:val="auto"/>
        </w:rPr>
        <w:t>Final Release Date</w:t>
      </w:r>
      <w:r>
        <w:rPr>
          <w:rFonts w:ascii="Times New Roman" w:cs="Times New Roman" w:eastAsia="Times New Roman" w:hAnsi="Times New Roman"/>
          <w:sz w:val="18"/>
          <w:szCs w:val="18"/>
          <w:color w:val="auto"/>
        </w:rPr>
        <w:t>”), the Shareholder Representatives and Buyer shall deliver a Joint Release Notice to the Escrow Agent instructing the Escrow Agent to distribute to Kennedy on the Final Release Date such portion of the Escrow Fund as set forth in such Joint Release Notice. Buyer and the Shareholder Representatives agree that such Joint Release Notice shall instruct the Escrow Agent to distribute the remaining portion of the Escrow Fund which exceeds any Reserved Amounts in respect of Buyer Indemnification Claims pending, but not yet paid.</w:t>
      </w:r>
    </w:p>
    <w:p>
      <w:pPr>
        <w:spacing w:after="0" w:line="183" w:lineRule="exact"/>
        <w:rPr>
          <w:rFonts w:ascii="Times New Roman" w:cs="Times New Roman" w:eastAsia="Times New Roman" w:hAnsi="Times New Roman"/>
          <w:sz w:val="18"/>
          <w:szCs w:val="18"/>
          <w:color w:val="auto"/>
        </w:rPr>
      </w:pPr>
    </w:p>
    <w:p>
      <w:pPr>
        <w:ind w:right="60" w:firstLine="1492"/>
        <w:spacing w:after="0" w:line="255" w:lineRule="auto"/>
        <w:tabs>
          <w:tab w:leader="none" w:pos="1724"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Final Release Date, from time to time, upon resolution of any Claims Notice in respect of any Buyer Indemnification Claim and the appropriate amount, if any, from the Escrow Fund (or by immediately available funds pursuant to a Cash Payment) having been paid to the Buyer Indemnified Party (or released to Kennedy in the event Kennedy has paid such amount pursuant to a Cash Payment) in respect of such Claims Notice, the Shareholder Representatives and Buyer shall deliver a Joint Release Notice to the Escrow Agent instructing the Escrow Agent to disburse such portion of the Escrow Fund specified in such Joint Release Notice in accordance with such Joint Release Notice. Buyer and the Shareholder Representatives agree that such Joint Release Notices shall instruct the Escrow Agent to disburse to Kennedy the excess of the then-current balance in the Escrow Fund (valued at the Agreed Stock Value for each Kennedy Share held therein) over the aggregate Reserved Amounts in respect of all remaining unresolved Buyer Indemnification Claims made prior to the Final Release Date.</w:t>
      </w:r>
    </w:p>
    <w:p>
      <w:pPr>
        <w:spacing w:after="0" w:line="185" w:lineRule="exact"/>
        <w:rPr>
          <w:rFonts w:ascii="Times New Roman" w:cs="Times New Roman" w:eastAsia="Times New Roman" w:hAnsi="Times New Roman"/>
          <w:sz w:val="18"/>
          <w:szCs w:val="18"/>
          <w:color w:val="auto"/>
        </w:rPr>
      </w:pPr>
    </w:p>
    <w:p>
      <w:pPr>
        <w:ind w:firstLine="1492"/>
        <w:spacing w:after="0" w:line="266" w:lineRule="auto"/>
        <w:tabs>
          <w:tab w:leader="none" w:pos="1702"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provisions herein that expressly survive the termination of this Agreement and the resignation, removal or replacement of the Escrow Agent, this Agreement, the duties of the Escrow Agent and the Escrow Fund shall automatically terminate on the date on which all of the Escrow Fund has been disbursed or otherwise transferred pursuant to the terms of this Agreement.</w:t>
      </w:r>
    </w:p>
    <w:p>
      <w:pPr>
        <w:spacing w:after="0" w:line="176" w:lineRule="exact"/>
        <w:rPr>
          <w:sz w:val="20"/>
          <w:szCs w:val="20"/>
          <w:color w:val="auto"/>
        </w:rPr>
      </w:pPr>
    </w:p>
    <w:p>
      <w:pPr>
        <w:ind w:right="240" w:firstLine="464"/>
        <w:spacing w:after="0" w:line="282" w:lineRule="auto"/>
        <w:tabs>
          <w:tab w:leader="none" w:pos="6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Whenever this Agreement requires the Escrow Agent to make a disbursement or transfer of any portion of the Escrow Fund in accordance with a Joint Release Notice or a final judgment of a court of competent jurisdiction, the Escrow Agent shall submit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5" w:right="259" w:bottom="1440" w:gutter="0" w:footer="0" w:header="0"/>
        </w:sectPr>
      </w:pPr>
    </w:p>
    <w:bookmarkStart w:id="348" w:name="page349"/>
    <w:bookmarkEnd w:id="348"/>
    <w:p>
      <w:pPr>
        <w:ind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to the transfer agent(s) for the Buyer Common Stock (the “</w:t>
      </w:r>
      <w:r>
        <w:rPr>
          <w:rFonts w:ascii="Times New Roman" w:cs="Times New Roman" w:eastAsia="Times New Roman" w:hAnsi="Times New Roman"/>
          <w:sz w:val="18"/>
          <w:szCs w:val="18"/>
          <w:b w:val="1"/>
          <w:bCs w:val="1"/>
          <w:u w:val="single" w:color="auto"/>
          <w:color w:val="auto"/>
        </w:rPr>
        <w:t>Transfer Agent</w:t>
      </w:r>
      <w:r>
        <w:rPr>
          <w:rFonts w:ascii="Times New Roman" w:cs="Times New Roman" w:eastAsia="Times New Roman" w:hAnsi="Times New Roman"/>
          <w:sz w:val="18"/>
          <w:szCs w:val="18"/>
          <w:color w:val="auto"/>
        </w:rPr>
        <w:t xml:space="preserve">”), in substantially the form of the Transfer Agent Notice attached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 “</w:t>
      </w:r>
      <w:r>
        <w:rPr>
          <w:rFonts w:ascii="Times New Roman" w:cs="Times New Roman" w:eastAsia="Times New Roman" w:hAnsi="Times New Roman"/>
          <w:sz w:val="18"/>
          <w:szCs w:val="18"/>
          <w:b w:val="1"/>
          <w:bCs w:val="1"/>
          <w:u w:val="single" w:color="auto"/>
          <w:color w:val="auto"/>
        </w:rPr>
        <w:t>Transfer Agent Notice</w:t>
      </w:r>
      <w:r>
        <w:rPr>
          <w:rFonts w:ascii="Times New Roman" w:cs="Times New Roman" w:eastAsia="Times New Roman" w:hAnsi="Times New Roman"/>
          <w:sz w:val="18"/>
          <w:szCs w:val="18"/>
          <w:color w:val="auto"/>
        </w:rPr>
        <w:t>”), which shall instruct the Transfer Agent to evidence such released Kennedy Shares by issuing new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(or issue Buyer Common Stock in book-entry form) in the name of the persons or entities identified in such Joint Release Notice or judgment as the recipients of such disbursements or transfers, and deliver such new stock certificates (or book entry transfers) to such persons or entities, which shall bear a legend in substantially the following form:</w:t>
      </w:r>
    </w:p>
    <w:p>
      <w:pPr>
        <w:spacing w:after="0" w:line="76" w:lineRule="exact"/>
        <w:rPr>
          <w:sz w:val="20"/>
          <w:szCs w:val="20"/>
          <w:color w:val="auto"/>
        </w:rPr>
      </w:pPr>
    </w:p>
    <w:p>
      <w:pPr>
        <w:ind w:left="920" w:right="22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OR CONFIRMATION HAVE NOT BEEN REGISTERED UNDER THE SECURITIES ACT OF 1933, AS AMENDED (THE “ACT”), AND MAY NOT BE OFFERED, SOLD, ASSIGNED, TRANSFERRED, PLEDGED, HYPOTHECATED OR OTHERWISE DISPOSED OF (“TRANSFERRED”) EXCEPT PURSUANT TO AN EFFECTIVE REGISTRATION STATEMENT UNDER THE ACT OR AN EXEMPTION FROM REGISTRATION THEREUNDER. THE SECURITIES REPRESENTED BY THIS CERTIFICATE ARE SUBJECT TO THE TERMS OF A STOCKHOLDERS AGREEMENT BETWEEN THE COMPANY AND THE STOCKHOLDER, A COPY OF WHICH IS ON FILE WITH THE SECRETARY OF THE COMPANY AND IS AVAILABLE WITHOUT CHARGE UPON WRITTEN REQUEST THEREFOR. THE STOCKHOLDERS AGREEMENT CONTAINS RESTRICTIONS ON THE SALE OR TRANSFER OF SUCH SECURITIES. THE HOLDER OF THESE SHARES, BY ACCEPTANCE OF THIS CERTIFICATE OR CONFIRMATION, AGREES TO BE BOUND BY ALL OF THE PROVISIONS OF THE AFORESAID AGREEMENT.</w:t>
      </w:r>
    </w:p>
    <w:p>
      <w:pPr>
        <w:spacing w:after="0" w:line="1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Buyer hereby directs each Transfer Agent to comply with all such instructions given by the Escrow Agent and Buyer hereby agrees to cooperate with the Escrow Agent and the Transfer Agent in respect thereof.</w:t>
      </w:r>
    </w:p>
    <w:p>
      <w:pPr>
        <w:spacing w:after="0" w:line="162" w:lineRule="exact"/>
        <w:rPr>
          <w:sz w:val="20"/>
          <w:szCs w:val="20"/>
          <w:color w:val="auto"/>
        </w:rPr>
      </w:pPr>
    </w:p>
    <w:p>
      <w:pPr>
        <w:ind w:firstLine="464"/>
        <w:spacing w:after="0" w:line="255" w:lineRule="auto"/>
        <w:tabs>
          <w:tab w:leader="none" w:pos="6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Buyer and the Shareholder Representatives (on behalf of the Shareholders) jointly and severally agree to pay to the Escrow Agent, upon execution of this Agreement and from time to time thereafter, all reasonable fees and expenses of the Escrow Agent, including the reasonable fees and expenses of counsel, which the Escrow Agent may incur, and its normal fees for all services rendered, in each case in connection with the performance, modification and termination of this Agreement, the discharge of its duties hereunder, and the exercise or enforcement of the rights of the parties hereunder, which unless otherwise agreed to in writing, shall be as described in </w:t>
      </w:r>
      <w:r>
        <w:rPr>
          <w:rFonts w:ascii="Times New Roman" w:cs="Times New Roman" w:eastAsia="Times New Roman" w:hAnsi="Times New Roman"/>
          <w:sz w:val="18"/>
          <w:szCs w:val="18"/>
          <w:b w:val="1"/>
          <w:bCs w:val="1"/>
          <w:u w:val="single" w:color="auto"/>
          <w:color w:val="auto"/>
        </w:rPr>
        <w:t>Schedule I</w:t>
      </w:r>
      <w:r>
        <w:rPr>
          <w:rFonts w:ascii="Times New Roman" w:cs="Times New Roman" w:eastAsia="Times New Roman" w:hAnsi="Times New Roman"/>
          <w:sz w:val="18"/>
          <w:szCs w:val="18"/>
          <w:color w:val="auto"/>
        </w:rPr>
        <w:t xml:space="preserve"> attached hereto. Buyer, on one hand, and the Shareholder Representatives (on behalf of the Shareholders based on each Shareholder’s Pro-Rata Share), on the other hand, between themselves, each agree to pay, when due, to the Escrow Agent fifty percent (50%) of all such amounts.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66" w:right="279" w:bottom="1440" w:gutter="0" w:footer="0" w:header="0"/>
        </w:sectPr>
      </w:pPr>
    </w:p>
    <w:bookmarkStart w:id="349" w:name="page350"/>
    <w:bookmarkEnd w:id="349"/>
    <w:p>
      <w:pPr>
        <w:ind w:left="-8" w:right="100" w:firstLine="464"/>
        <w:spacing w:after="0" w:line="254" w:lineRule="auto"/>
        <w:tabs>
          <w:tab w:leader="none" w:pos="628"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Tax Matters</w:t>
      </w:r>
      <w:r>
        <w:rPr>
          <w:rFonts w:ascii="Times New Roman" w:cs="Times New Roman" w:eastAsia="Times New Roman" w:hAnsi="Times New Roman"/>
          <w:sz w:val="18"/>
          <w:szCs w:val="18"/>
          <w:color w:val="auto"/>
        </w:rPr>
        <w:t xml:space="preserve">. Any payments of income pursuant to this Agreement shall be subject to withholding regulations then in force in the United States or any other jurisdiction, as applicable. A properly completed and duly executed W-9 (or a substitute thereof reasonably acceptable to the Escrow Agent), for Buyer and Kennedy, and all other required documentation, will be provided to the Escrow Agent at the Closing, which shall include their Tax Identification Numbers as assigned by the Internal Revenue Service. The Escrow Agent shall not have any obligation to file or prepare any tax returns or to prepare any other reports for any taxing authorities concerning the matter covered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each tax year in which income is earned on the Escrow Fund, the Escrow Agent shall timely prepare and promptly deliver a form 1099 for Kennedy. The Parties hereby represent and warrant to the Escrow Agent that (i) there is no sale or transfer of an United States Real Property Interest as defined under IRC Section 897(c) in the underlying transaction giving rise to this Agreement; and (ii) such underlying transaction does not constitute an installment sale requiring any tax reporting or withholding of imputed interest or original issue discount to the Internal Revenue Service or other taxing authority.</w:t>
      </w:r>
    </w:p>
    <w:p>
      <w:pPr>
        <w:spacing w:after="0" w:line="189" w:lineRule="exact"/>
        <w:rPr>
          <w:rFonts w:ascii="Times New Roman" w:cs="Times New Roman" w:eastAsia="Times New Roman" w:hAnsi="Times New Roman"/>
          <w:sz w:val="18"/>
          <w:szCs w:val="18"/>
          <w:color w:val="auto"/>
        </w:rPr>
      </w:pPr>
    </w:p>
    <w:p>
      <w:pPr>
        <w:ind w:left="632" w:hanging="176"/>
        <w:spacing w:after="0"/>
        <w:tabs>
          <w:tab w:leader="none" w:pos="632"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Succession</w:t>
      </w:r>
      <w:r>
        <w:rPr>
          <w:rFonts w:ascii="Times New Roman" w:cs="Times New Roman" w:eastAsia="Times New Roman" w:hAnsi="Times New Roman"/>
          <w:sz w:val="18"/>
          <w:szCs w:val="18"/>
          <w:color w:val="auto"/>
        </w:rPr>
        <w:t>. The Escrow Agent may resign and be discharged from its duties or obligations hereunder by giving thirty</w:t>
      </w:r>
    </w:p>
    <w:p>
      <w:pPr>
        <w:spacing w:after="0" w:line="27" w:lineRule="exact"/>
        <w:rPr>
          <w:rFonts w:ascii="Times New Roman" w:cs="Times New Roman" w:eastAsia="Times New Roman" w:hAnsi="Times New Roman"/>
          <w:sz w:val="18"/>
          <w:szCs w:val="18"/>
          <w:color w:val="auto"/>
        </w:rPr>
      </w:pPr>
    </w:p>
    <w:p>
      <w:pPr>
        <w:jc w:val="both"/>
        <w:ind w:left="-8" w:right="140" w:firstLine="8"/>
        <w:spacing w:after="0" w:line="265" w:lineRule="auto"/>
        <w:tabs>
          <w:tab w:leader="none" w:pos="337"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advance notice in writing of such resignation to Buyer and the Shareholder Representatives specifying a date when such resignation shall take effect. Buyer and the Shareholder Representatives may remove the Escrow Agent at any time, with or without cause, by giving the Escrow Agent thirty</w:t>
      </w:r>
    </w:p>
    <w:p>
      <w:pPr>
        <w:ind w:left="352" w:hanging="352"/>
        <w:spacing w:after="0"/>
        <w:tabs>
          <w:tab w:leader="none" w:pos="352"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advance notice in writing signed by Buyer and the Shareholder Representatives. The Escrow Agent’s sole responsibility after such thirty</w:t>
      </w:r>
    </w:p>
    <w:p>
      <w:pPr>
        <w:spacing w:after="0" w:line="9" w:lineRule="exact"/>
        <w:rPr>
          <w:rFonts w:ascii="Times New Roman" w:cs="Times New Roman" w:eastAsia="Times New Roman" w:hAnsi="Times New Roman"/>
          <w:sz w:val="18"/>
          <w:szCs w:val="18"/>
          <w:color w:val="auto"/>
        </w:rPr>
      </w:pPr>
    </w:p>
    <w:p>
      <w:pPr>
        <w:ind w:left="-8" w:firstLine="8"/>
        <w:spacing w:after="0" w:line="251" w:lineRule="auto"/>
        <w:tabs>
          <w:tab w:leader="none" w:pos="33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 notice period expires shall be to hold the Escrow Fund (without any obligation to reinvest the same) and to deliver the same to a designated substitute escrow agent, if any, appointed by the parties, or such other person or entity designated in writing by the parties, or in accordance with the directions of a final court order, at which time of delivery, the Escrow Agent’s obligations hereunder shall cease and terminate (but, for the avoidance of doubt, the Escrow Agent shall retain its rights hereunder that survive the termination of this Agreement or the resignation or replacement of the Escrow Agent). If, prior to the effective resignation or removal date, the parties have failed to appoint a successor escrow agent, or to instruct the Escrow Agent in writing to deliver the Escrow Fund to another person or entity as provided above, at any time on or after the effective resignation or removal date, the Escrow Agent may interplead the Escrow Fund with any court of competent jurisdiction. Any appointment of a successor escrow agent shall be binding upon the parties and no appointed successor escrow agent shall be deemed to be an agent of the Escrow Agent. The Escrow Agent shall deliver the Escrow Fund to any appointed successor escrow agent, at which time the Escrow Agent’s obligations under this Agreement shall cease and terminate. 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93" w:lineRule="exact"/>
        <w:rPr>
          <w:rFonts w:ascii="Times New Roman" w:cs="Times New Roman" w:eastAsia="Times New Roman" w:hAnsi="Times New Roman"/>
          <w:sz w:val="18"/>
          <w:szCs w:val="18"/>
          <w:color w:val="auto"/>
        </w:rPr>
      </w:pPr>
    </w:p>
    <w:p>
      <w:pPr>
        <w:ind w:left="-8" w:right="360" w:firstLine="464"/>
        <w:spacing w:after="0" w:line="266" w:lineRule="auto"/>
        <w:tabs>
          <w:tab w:leader="none" w:pos="62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each of the parties hereto shall cooperate and use their commercially reasonable efforts to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92"/>
          </w:cols>
          <w:pgMar w:left="248" w:top="270" w:right="259" w:bottom="1440" w:gutter="0" w:footer="0" w:header="0"/>
        </w:sectPr>
      </w:pPr>
    </w:p>
    <w:bookmarkStart w:id="350" w:name="page351"/>
    <w:bookmarkEnd w:id="350"/>
    <w:p>
      <w:pPr>
        <w:ind w:left="-80" w:right="20" w:firstLine="464"/>
        <w:spacing w:after="0" w:line="256" w:lineRule="auto"/>
        <w:tabs>
          <w:tab w:leader="none" w:pos="64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If any term, provision, agreement, covenant or restriction of this Agreement is held by a court of competent jurisdiction to be invalid, void or unenforceable, the remainder of the terms, provisions, agreements,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 reasonably acceptable manner in order that the transactions contemplated hereby be consummated as originally contemplated to the greatest extent possible.</w:t>
      </w:r>
    </w:p>
    <w:p>
      <w:pPr>
        <w:spacing w:after="0" w:line="187" w:lineRule="exact"/>
        <w:rPr>
          <w:rFonts w:ascii="Times New Roman" w:cs="Times New Roman" w:eastAsia="Times New Roman" w:hAnsi="Times New Roman"/>
          <w:sz w:val="18"/>
          <w:szCs w:val="18"/>
          <w:color w:val="auto"/>
        </w:rPr>
      </w:pPr>
    </w:p>
    <w:p>
      <w:pPr>
        <w:ind w:left="-80" w:firstLine="464"/>
        <w:spacing w:after="0" w:line="256" w:lineRule="auto"/>
        <w:tabs>
          <w:tab w:leader="none" w:pos="6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mail of a PDF document (with confirmation of transmission)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11):</w:t>
      </w:r>
    </w:p>
    <w:p>
      <w:pPr>
        <w:spacing w:after="0" w:line="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Buyer: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2000 Waters Edge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James H. Dorton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(423) 743-7670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james.dorton@nninc.com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Husch Blackwell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4801 Main St., Suite 1000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Kansas City, MO 64112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John D. Moore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(816) 983-8000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john.moore@huschblackwell.com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80"/>
          </w:cols>
          <w:pgMar w:left="320" w:top="270" w:right="299" w:bottom="1440" w:gutter="0" w:footer="0" w:header="0"/>
        </w:sectPr>
      </w:pPr>
    </w:p>
    <w:bookmarkStart w:id="351" w:name="page352"/>
    <w:bookmarkEnd w:id="351"/>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Shareholder Representatives or Kennedy:</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Kennedy:</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4162 East Paris Ave. SE</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Kentwood, MI 49512</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John C. Kennedy</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Facsimile: (616) 698-6876</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Email: jkennedy@autocam.com</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Law Weathers, PC</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333 Bridge Street, Suite 800</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Anthony Barnes, Esq.</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Facsimile: (616) 913-1222</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Email: tbarnes@lawweathers.com</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Newport:</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Newport Global Advisors, L.P.</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21 Waterway Ave, Suite 150</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Woodlands, TX 77380</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Roger May</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Facsimile: (713) 559-7499</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Email: rmay@ngalp.com</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New York, NY 10019-6064</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Jeffrey D. Marell, Esq.</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Facsimile: (212) 757-3990</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Email: jmarell@paulweiss.com</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350 Indiana Street, Suite 750</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Golden, CO 80401</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John Wahl / Rose Stroud</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Facsimile: (303) 262-0608</w:t>
      </w:r>
    </w:p>
    <w:p>
      <w:pPr>
        <w:spacing w:after="0" w:line="207" w:lineRule="exact"/>
        <w:rPr>
          <w:sz w:val="20"/>
          <w:szCs w:val="20"/>
          <w:color w:val="auto"/>
        </w:rPr>
      </w:pPr>
    </w:p>
    <w:p>
      <w:pPr>
        <w:ind w:left="-40" w:firstLine="464"/>
        <w:spacing w:after="0" w:line="261" w:lineRule="auto"/>
        <w:tabs>
          <w:tab w:leader="none" w:pos="68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solely with respect to Buyer, the Shareholder Representatives and Kennedy (in his individual capacity), the Merger Agreement and the other documents contemplated thereunder, contains the entire agreement among the parties with respect to the subject matter contained herein and therein, and supersedes all prior and contemporaneous understandings and agreements, both written and oral, with respect to such subject matter.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40"/>
          </w:cols>
          <w:pgMar w:left="280" w:top="270" w:right="279" w:bottom="1440" w:gutter="0" w:footer="0" w:header="0"/>
        </w:sectPr>
      </w:pPr>
    </w:p>
    <w:bookmarkStart w:id="352" w:name="page353"/>
    <w:bookmarkEnd w:id="352"/>
    <w:p>
      <w:pPr>
        <w:ind w:left="-20" w:right="80" w:firstLine="464"/>
        <w:spacing w:after="0" w:line="255" w:lineRule="auto"/>
        <w:tabs>
          <w:tab w:leader="none" w:pos="70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Waivers and Amendments; Non-Contractual Remedies</w:t>
      </w:r>
      <w:r>
        <w:rPr>
          <w:rFonts w:ascii="Times New Roman" w:cs="Times New Roman" w:eastAsia="Times New Roman" w:hAnsi="Times New Roman"/>
          <w:sz w:val="18"/>
          <w:szCs w:val="18"/>
          <w:color w:val="auto"/>
        </w:rPr>
        <w:t>. This Agreement may only be amended, modified, or supplemented by an agreement in writing signed by each party hereto, including the Escrow Agent, or, in the case of a waiver, by the party waiving compliance.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9" w:lineRule="exact"/>
        <w:rPr>
          <w:rFonts w:ascii="Times New Roman" w:cs="Times New Roman" w:eastAsia="Times New Roman" w:hAnsi="Times New Roman"/>
          <w:sz w:val="18"/>
          <w:szCs w:val="18"/>
          <w:color w:val="auto"/>
        </w:rPr>
      </w:pPr>
    </w:p>
    <w:p>
      <w:pPr>
        <w:ind w:left="-20" w:firstLine="464"/>
        <w:spacing w:after="0" w:line="252" w:lineRule="auto"/>
        <w:tabs>
          <w:tab w:leader="none" w:pos="70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Except as otherwise provided in this Section 14, this Agreement shall be governed by and construed in accordance with the internal laws of the State of Delaware without giving effect to any choice or conflict of law provision or rule (whether of the State of Delaware or any other jurisdiction); provided, however, that all provisions regarding the Escrow Agent’s rights, immunities, liabilities, duties, responsibilities or obligations hereunder shall be governed by and construed in accordance with the laws of the State of New York applicable to contracts made and wholly performed within such state. EACH OF THE PARTIES TO THIS AGREEMENT HEREBY IRREVOCABLY WAIVES ALL RIGHT TO TRIAL BY JURY IN ANY ACTION, PROCEEDING OR COUNTERCLAIM ARISING OUT OF OR RELATING TO THIS AGREEMENT OR THE TRANSACTIONS CONTEMPLATED HEREBY. The parties hereto agree that any suit, action or proceeding brought by the Escrow Agent against any party hereto or by any party hereto against the Escrow Agent (each an “</w:t>
      </w:r>
      <w:r>
        <w:rPr>
          <w:rFonts w:ascii="Times New Roman" w:cs="Times New Roman" w:eastAsia="Times New Roman" w:hAnsi="Times New Roman"/>
          <w:sz w:val="18"/>
          <w:szCs w:val="18"/>
          <w:u w:val="single" w:color="auto"/>
          <w:color w:val="auto"/>
        </w:rPr>
        <w:t>Escrow Agent Action</w:t>
      </w:r>
      <w:r>
        <w:rPr>
          <w:rFonts w:ascii="Times New Roman" w:cs="Times New Roman" w:eastAsia="Times New Roman" w:hAnsi="Times New Roman"/>
          <w:sz w:val="18"/>
          <w:szCs w:val="18"/>
          <w:color w:val="auto"/>
        </w:rPr>
        <w:t>”) to enforce any provision of, or based on any matter arising out of or in connection with, this Agreement or the transactions contemplated hereby may be brought in any federal or state court located in New York County in the State of New York. With respect to an Escrow Agent Action, each of the parties hereto submits to the non-exclusive jurisdiction of any federal or state court located in New York County in the State of New York in any suit, action or proceeding seeking to enforce any provision of, or based on any matter arising out of, or in connection with, this Agreement or the transactions contemplated hereby and thereby irrevocably waives the benefit of jurisdiction derived from present or future domicile or otherwise in such action or proceeding. With respect to an Escrow Agent Action,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w:t>
      </w:r>
    </w:p>
    <w:p>
      <w:pPr>
        <w:spacing w:after="0" w:line="197" w:lineRule="exact"/>
        <w:rPr>
          <w:rFonts w:ascii="Times New Roman" w:cs="Times New Roman" w:eastAsia="Times New Roman" w:hAnsi="Times New Roman"/>
          <w:sz w:val="18"/>
          <w:szCs w:val="18"/>
          <w:color w:val="auto"/>
        </w:rPr>
      </w:pPr>
    </w:p>
    <w:p>
      <w:pPr>
        <w:ind w:left="-20" w:right="40" w:firstLine="464"/>
        <w:spacing w:after="0" w:line="266" w:lineRule="auto"/>
        <w:tabs>
          <w:tab w:leader="none" w:pos="70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Except as set forth in the final sentence of Section 8 hereto, neither this Agreement nor any of the rights or obligations hereunder may be assigned (including by operation of law) by any party without the prior written consent of the other parties. This Agreement shall be binding upon and inure to the benefit of the parties hereto and their respective successors and permitted assigns.</w:t>
      </w:r>
    </w:p>
    <w:p>
      <w:pPr>
        <w:spacing w:after="0" w:line="176" w:lineRule="exact"/>
        <w:rPr>
          <w:rFonts w:ascii="Times New Roman" w:cs="Times New Roman" w:eastAsia="Times New Roman" w:hAnsi="Times New Roman"/>
          <w:sz w:val="18"/>
          <w:szCs w:val="18"/>
          <w:color w:val="auto"/>
        </w:rPr>
      </w:pPr>
    </w:p>
    <w:p>
      <w:pPr>
        <w:ind w:left="-20" w:right="20" w:firstLine="464"/>
        <w:spacing w:after="0" w:line="266" w:lineRule="auto"/>
        <w:tabs>
          <w:tab w:leader="none" w:pos="70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 of Agreement</w:t>
      </w:r>
      <w:r>
        <w:rPr>
          <w:rFonts w:ascii="Times New Roman" w:cs="Times New Roman" w:eastAsia="Times New Roman" w:hAnsi="Times New Roman"/>
          <w:sz w:val="18"/>
          <w:szCs w:val="18"/>
          <w:color w:val="auto"/>
        </w:rPr>
        <w:t>. Other than the Indemnitees’ rights to indemnification hereunder, the covenants, agreements, and promises expressed in this Agreement are for the sole benefit of the parties hereto and are not intended to benefit, and may not be relied upon or enforced by, any other party as a third party beneficiary or otherwise.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60" w:top="269" w:right="259" w:bottom="1440" w:gutter="0" w:footer="0" w:header="0"/>
        </w:sectPr>
      </w:pPr>
    </w:p>
    <w:bookmarkStart w:id="353" w:name="page354"/>
    <w:bookmarkEnd w:id="353"/>
    <w:p>
      <w:pPr>
        <w:ind w:left="-60" w:right="120" w:firstLine="464"/>
        <w:spacing w:after="0" w:line="266" w:lineRule="auto"/>
        <w:tabs>
          <w:tab w:leader="none" w:pos="6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 Facsimile Signatures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facsimile,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mail or other means of electronic transmission shall be deemed to have the same legal effect as delivery of an original signed copy of this Agreement.</w:t>
      </w:r>
    </w:p>
    <w:p>
      <w:pPr>
        <w:spacing w:after="0" w:line="176" w:lineRule="exact"/>
        <w:rPr>
          <w:rFonts w:ascii="Times New Roman" w:cs="Times New Roman" w:eastAsia="Times New Roman" w:hAnsi="Times New Roman"/>
          <w:sz w:val="18"/>
          <w:szCs w:val="18"/>
          <w:color w:val="auto"/>
        </w:rPr>
      </w:pPr>
    </w:p>
    <w:p>
      <w:pPr>
        <w:ind w:left="-60" w:right="640" w:firstLine="464"/>
        <w:spacing w:after="0" w:line="282" w:lineRule="auto"/>
        <w:tabs>
          <w:tab w:leader="none" w:pos="6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All references herein to Sections, subsections, clauses, Exhibits and Schedules shall be deemed references to such parts of this Agreement, unless the context shall otherwise require.</w:t>
      </w:r>
    </w:p>
    <w:p>
      <w:pPr>
        <w:spacing w:after="0" w:line="161" w:lineRule="exact"/>
        <w:rPr>
          <w:rFonts w:ascii="Times New Roman" w:cs="Times New Roman" w:eastAsia="Times New Roman" w:hAnsi="Times New Roman"/>
          <w:sz w:val="18"/>
          <w:szCs w:val="18"/>
          <w:color w:val="auto"/>
        </w:rPr>
      </w:pPr>
    </w:p>
    <w:p>
      <w:pPr>
        <w:ind w:left="680" w:hanging="276"/>
        <w:spacing w:after="0"/>
        <w:tabs>
          <w:tab w:leader="none" w:pos="6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only and shall not affect the meaning or interpretation of this Agreement.</w:t>
      </w:r>
    </w:p>
    <w:p>
      <w:pPr>
        <w:spacing w:after="0" w:line="225" w:lineRule="exact"/>
        <w:rPr>
          <w:rFonts w:ascii="Times New Roman" w:cs="Times New Roman" w:eastAsia="Times New Roman" w:hAnsi="Times New Roman"/>
          <w:sz w:val="18"/>
          <w:szCs w:val="18"/>
          <w:color w:val="auto"/>
        </w:rPr>
      </w:pPr>
    </w:p>
    <w:p>
      <w:pPr>
        <w:ind w:left="-60" w:right="120" w:firstLine="464"/>
        <w:spacing w:after="0" w:line="274" w:lineRule="auto"/>
        <w:tabs>
          <w:tab w:leader="none" w:pos="666"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Court Orders</w:t>
      </w:r>
      <w:r>
        <w:rPr>
          <w:rFonts w:ascii="Times New Roman" w:cs="Times New Roman" w:eastAsia="Times New Roman" w:hAnsi="Times New Roman"/>
          <w:sz w:val="17"/>
          <w:szCs w:val="17"/>
          <w:color w:val="auto"/>
        </w:rPr>
        <w:t>. If any escrow property shall be attached, garnished or levied upon by any court order, or the delivery thereof shall be stayed or enjoined by an order of a court, or any order, judgment or decree shall be made or entered by any court order affecting the property deposited under this Agreement, then the Escrow Agent is hereby expressly authorized, in its sole discretion, to obey and comply with all writs, orders or decrees so entered or issued, which it is advised by legal counsel of its own choosing is binding upon it, whether with or without jurisdiction, and in the event that the Escrow Agent obeys or complies with any such writ, order or decree it shall not be liable to any of the parties hereto or to any other person, firm or corporation, by reason of such compliance notwithstanding such writ, order, or decree be subsequently reversed, modified, annulled, set aside or vacated.</w:t>
      </w:r>
    </w:p>
    <w:p>
      <w:pPr>
        <w:spacing w:after="0" w:line="173" w:lineRule="exact"/>
        <w:rPr>
          <w:rFonts w:ascii="Times New Roman" w:cs="Times New Roman" w:eastAsia="Times New Roman" w:hAnsi="Times New Roman"/>
          <w:sz w:val="17"/>
          <w:szCs w:val="17"/>
          <w:color w:val="auto"/>
        </w:rPr>
      </w:pPr>
    </w:p>
    <w:p>
      <w:pPr>
        <w:ind w:left="-60" w:firstLine="464"/>
        <w:spacing w:after="0" w:line="255" w:lineRule="auto"/>
        <w:tabs>
          <w:tab w:leader="none" w:pos="6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Disclosure</w:t>
      </w:r>
      <w:r>
        <w:rPr>
          <w:rFonts w:ascii="Times New Roman" w:cs="Times New Roman" w:eastAsia="Times New Roman" w:hAnsi="Times New Roman"/>
          <w:sz w:val="18"/>
          <w:szCs w:val="18"/>
          <w:color w:val="auto"/>
        </w:rPr>
        <w:t>. Section 326 of the Uniting and Strengthening America by Providing Appropriate Tools Required to Intercept and Obstruct Terrorism Act of 2001 (“</w:t>
      </w:r>
      <w:r>
        <w:rPr>
          <w:rFonts w:ascii="Times New Roman" w:cs="Times New Roman" w:eastAsia="Times New Roman" w:hAnsi="Times New Roman"/>
          <w:sz w:val="18"/>
          <w:szCs w:val="18"/>
          <w:b w:val="1"/>
          <w:bCs w:val="1"/>
          <w:u w:val="single" w:color="auto"/>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or entity that opens a new account with it. Accordingly, the parties hereto acknowledge that Section 326 of the USA PATRIOT Act and the Escrow Agent’s identity verification procedures require the Escrow Agent to obtain information which may be used to confirm such parties’ identity including without limitation name, address and organizational documents (“</w:t>
      </w:r>
      <w:r>
        <w:rPr>
          <w:rFonts w:ascii="Times New Roman" w:cs="Times New Roman" w:eastAsia="Times New Roman" w:hAnsi="Times New Roman"/>
          <w:sz w:val="18"/>
          <w:szCs w:val="18"/>
          <w:b w:val="1"/>
          <w:bCs w:val="1"/>
          <w:u w:val="single" w:color="auto"/>
          <w:color w:val="auto"/>
        </w:rPr>
        <w:t>Identifying Information</w:t>
      </w:r>
      <w:r>
        <w:rPr>
          <w:rFonts w:ascii="Times New Roman" w:cs="Times New Roman" w:eastAsia="Times New Roman" w:hAnsi="Times New Roman"/>
          <w:sz w:val="18"/>
          <w:szCs w:val="18"/>
          <w:color w:val="auto"/>
        </w:rPr>
        <w:t>”). The parties hereto agree to provide the Escrow Agent with and consent to the Escrow Agent obtaining from third parties any such Identifying Information required as a condition of opening an account with or using any service provided by the Escrow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00"/>
          </w:cols>
          <w:pgMar w:left="300" w:top="270" w:right="29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undersigned have caused this Agreement to be duly executed and delivered as of the date first set forth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James H. Dorton</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SVP and CFO</w:t>
      </w:r>
    </w:p>
    <w:p>
      <w:pPr>
        <w:spacing w:after="0" w:line="20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SOLELY IN ITS CAPACITY AS A SHAREHOLDER</w:t>
      </w:r>
    </w:p>
    <w:p>
      <w:pPr>
        <w:spacing w:after="0" w:line="3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NEWPORT GLOBAL ADVISORS,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Langdon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Ryan Langdon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9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IN HIS CAPACITY AS A SHAREHOLDER</w:t>
      </w:r>
    </w:p>
    <w:p>
      <w:pPr>
        <w:spacing w:after="0" w:line="3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REPRESENTATIVE AND IN HIS INDIVIDUAL</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CAPACITY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JOHN C. KENNEDY</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Wahl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M. Wahl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Corporate Trust Officer</w:t>
            </w:r>
          </w:p>
        </w:tc>
      </w:tr>
    </w:tbl>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 Page to Escrow Agreement</w:t>
      </w:r>
    </w:p>
    <w:p>
      <w:pPr>
        <w:sectPr>
          <w:pgSz w:w="11900" w:h="16838" w:orient="portrait"/>
          <w:cols w:equalWidth="0" w:num="1">
            <w:col w:w="10960"/>
          </w:cols>
          <w:pgMar w:left="700" w:top="266" w:right="23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Schedule I</w:t>
            </w:r>
          </w:p>
        </w:tc>
        <w:tc>
          <w:tcPr>
            <w:tcW w:w="3020" w:type="dxa"/>
            <w:vAlign w:val="bottom"/>
            <w:gridSpan w:val="2"/>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6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color w:val="auto"/>
                <w:w w:val="99"/>
              </w:rPr>
              <w:t>Schedule of Escrow Agent Fees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Escrow Agent Fee Schedule</w:t>
            </w:r>
          </w:p>
        </w:tc>
        <w:tc>
          <w:tcPr>
            <w:tcW w:w="2300" w:type="dxa"/>
            <w:vAlign w:val="bottom"/>
            <w:tcBorders>
              <w:top w:val="single" w:sz="8" w:color="auto"/>
            </w:tcBorders>
            <w:gridSpan w:val="3"/>
          </w:tcPr>
          <w:p>
            <w:pPr>
              <w:spacing w:after="0"/>
              <w:rPr>
                <w:sz w:val="24"/>
                <w:szCs w:val="24"/>
                <w:color w:val="auto"/>
              </w:rPr>
            </w:pPr>
          </w:p>
        </w:tc>
        <w:tc>
          <w:tcPr>
            <w:tcW w:w="2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2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Set Up Fee</w:t>
            </w:r>
          </w:p>
        </w:tc>
        <w:tc>
          <w:tcPr>
            <w:tcW w:w="23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$ 2,500.00*</w:t>
            </w:r>
          </w:p>
        </w:tc>
        <w:tc>
          <w:tcPr>
            <w:tcW w:w="0" w:type="dxa"/>
            <w:vAlign w:val="bottom"/>
          </w:tcPr>
          <w:p>
            <w:pPr>
              <w:spacing w:after="0"/>
              <w:rPr>
                <w:sz w:val="1"/>
                <w:szCs w:val="1"/>
                <w:color w:val="auto"/>
              </w:rPr>
            </w:pPr>
          </w:p>
        </w:tc>
      </w:tr>
      <w:tr>
        <w:trPr>
          <w:trHeight w:val="432"/>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Excludes fees and costs of external legal</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Administration Fee (per year or part thereof, payable in advance – for up to 15 holders and releases)</w:t>
            </w:r>
          </w:p>
        </w:tc>
        <w:tc>
          <w:tcPr>
            <w:tcW w:w="23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$ 3,500.00</w:t>
            </w:r>
          </w:p>
        </w:tc>
        <w:tc>
          <w:tcPr>
            <w:tcW w:w="0" w:type="dxa"/>
            <w:vAlign w:val="bottom"/>
          </w:tcPr>
          <w:p>
            <w:pPr>
              <w:spacing w:after="0"/>
              <w:rPr>
                <w:sz w:val="1"/>
                <w:szCs w:val="1"/>
                <w:color w:val="auto"/>
              </w:rPr>
            </w:pPr>
          </w:p>
        </w:tc>
      </w:tr>
      <w:tr>
        <w:trPr>
          <w:trHeight w:val="324"/>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Investment Fee (Money Market Fund Investments)</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 and Out-of-Pockets (including postage, stationery, etc.)</w:t>
            </w:r>
          </w:p>
        </w:tc>
        <w:tc>
          <w:tcPr>
            <w:tcW w:w="2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At cost</w:t>
            </w:r>
          </w:p>
        </w:tc>
        <w:tc>
          <w:tcPr>
            <w:tcW w:w="0" w:type="dxa"/>
            <w:vAlign w:val="bottom"/>
          </w:tcPr>
          <w:p>
            <w:pPr>
              <w:spacing w:after="0"/>
              <w:rPr>
                <w:sz w:val="1"/>
                <w:szCs w:val="1"/>
                <w:color w:val="auto"/>
              </w:rPr>
            </w:pPr>
          </w:p>
        </w:tc>
      </w:tr>
      <w:tr>
        <w:trPr>
          <w:trHeight w:val="324"/>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Wires</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 each</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Overnight Delivery Charges</w:t>
            </w:r>
          </w:p>
        </w:tc>
        <w:tc>
          <w:tcPr>
            <w:tcW w:w="2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At cost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6" w:name="page357"/>
    <w:bookmarkEnd w:id="35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JOINT RELEASE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Escrow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Indiana Street, Suite 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CO 80401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Wahl / Rose Stroud</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Joint Release Notice is issued as of the day of , [ ], pursuant to Section of that certain Escrow Agreement dated as of [ ], 2014 (the “</w:t>
      </w:r>
      <w:r>
        <w:rPr>
          <w:rFonts w:ascii="Times New Roman" w:cs="Times New Roman" w:eastAsia="Times New Roman" w:hAnsi="Times New Roman"/>
          <w:sz w:val="18"/>
          <w:szCs w:val="18"/>
          <w:b w:val="1"/>
          <w:bCs w:val="1"/>
          <w:u w:val="single" w:color="auto"/>
          <w:color w:val="auto"/>
        </w:rPr>
        <w:t>Escrow Agreement</w:t>
      </w:r>
      <w:r>
        <w:rPr>
          <w:rFonts w:ascii="Times New Roman" w:cs="Times New Roman" w:eastAsia="Times New Roman" w:hAnsi="Times New Roman"/>
          <w:sz w:val="18"/>
          <w:szCs w:val="18"/>
          <w:color w:val="auto"/>
        </w:rPr>
        <w:t>”), by and among (i) NN, Inc., a Delaware corporation (the “</w:t>
      </w: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color w:val="auto"/>
        </w:rPr>
        <w:t>”), (ii) John C. Kennedy (“</w:t>
      </w:r>
      <w:r>
        <w:rPr>
          <w:rFonts w:ascii="Times New Roman" w:cs="Times New Roman" w:eastAsia="Times New Roman" w:hAnsi="Times New Roman"/>
          <w:sz w:val="18"/>
          <w:szCs w:val="18"/>
          <w:b w:val="1"/>
          <w:bCs w:val="1"/>
          <w:u w:val="single" w:color="auto"/>
          <w:color w:val="auto"/>
        </w:rPr>
        <w:t>Kennedy</w:t>
      </w:r>
      <w:r>
        <w:rPr>
          <w:rFonts w:ascii="Times New Roman" w:cs="Times New Roman" w:eastAsia="Times New Roman" w:hAnsi="Times New Roman"/>
          <w:sz w:val="18"/>
          <w:szCs w:val="18"/>
          <w:color w:val="auto"/>
        </w:rPr>
        <w:t>”), in his capacity as a Shareholder Representative and in his individual capacity, (iii) Newport Global Advisors, L.P., a Delaware limited partnership (“</w:t>
      </w:r>
      <w:r>
        <w:rPr>
          <w:rFonts w:ascii="Times New Roman" w:cs="Times New Roman" w:eastAsia="Times New Roman" w:hAnsi="Times New Roman"/>
          <w:sz w:val="18"/>
          <w:szCs w:val="18"/>
          <w:b w:val="1"/>
          <w:bCs w:val="1"/>
          <w:u w:val="single" w:color="auto"/>
          <w:color w:val="auto"/>
        </w:rPr>
        <w:t>Newport</w:t>
      </w:r>
      <w:r>
        <w:rPr>
          <w:rFonts w:ascii="Times New Roman" w:cs="Times New Roman" w:eastAsia="Times New Roman" w:hAnsi="Times New Roman"/>
          <w:sz w:val="18"/>
          <w:szCs w:val="18"/>
          <w:color w:val="auto"/>
        </w:rPr>
        <w:t>”), solely in its capacity as a Shareholder Representative (together with Kennedy in his capacity as a Shareholder Representative, the “</w:t>
      </w:r>
      <w:r>
        <w:rPr>
          <w:rFonts w:ascii="Times New Roman" w:cs="Times New Roman" w:eastAsia="Times New Roman" w:hAnsi="Times New Roman"/>
          <w:sz w:val="18"/>
          <w:szCs w:val="18"/>
          <w:b w:val="1"/>
          <w:bCs w:val="1"/>
          <w:u w:val="single" w:color="auto"/>
          <w:color w:val="auto"/>
        </w:rPr>
        <w:t>Shareholder Representatives</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right="160" w:firstLine="8"/>
        <w:spacing w:after="0" w:line="261" w:lineRule="auto"/>
        <w:tabs>
          <w:tab w:leader="none" w:pos="30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Trust Company, N.A., as Escrow Agent thereunder (the “</w:t>
      </w: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color w:val="auto"/>
        </w:rPr>
        <w:t>”). Capitalized terms herein shall have the meaning ascribed to them in the Escrow Agreement.</w:t>
      </w:r>
    </w:p>
    <w:p>
      <w:pPr>
        <w:spacing w:after="0" w:line="18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 xml:space="preserve">[The parties to this Joint Release Notice hereby jointly instruct the Escrow Agent to direct the Transfer Agent to disburse to Kennedy [ ] shares of Buyer Common Stock from the Escrow Fund, issued in the form of [stock certificates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book-entry transfer] in the name of Kennedy, to the following address: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18"/>
          <w:szCs w:val="18"/>
          <w:color w:val="auto"/>
        </w:rPr>
        <w:t>[The parties to this Joint Release Notice hereby jointly instruct the Escrow Agent to direct the Transfer Agent to disburse to Buyer [</w:t>
      </w:r>
      <w:r>
        <w:rPr>
          <w:sz w:val="20"/>
          <w:szCs w:val="20"/>
          <w:color w:val="auto"/>
        </w:rPr>
        <w:tab/>
      </w:r>
      <w:r>
        <w:rPr>
          <w:rFonts w:ascii="Times New Roman" w:cs="Times New Roman" w:eastAsia="Times New Roman" w:hAnsi="Times New Roman"/>
          <w:sz w:val="17"/>
          <w:szCs w:val="17"/>
          <w:color w:val="auto"/>
        </w:rPr>
        <w:t>] shares of</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Buyer Common Stock from the Escrow Fund, issued in the form of [stock certificates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book-entry transfer] issued in the name of Buyer, to the following address: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certificates or book entry transfers issued pursuant to the foregoing instructions shall bear a legend in substantially the following form:</w:t>
      </w:r>
    </w:p>
    <w:p>
      <w:pPr>
        <w:spacing w:after="0" w:line="117"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OR CONFIRMATION HAVE NOT BEEN REGISTERED UNDER THE SECURITIES ACT OF 1933, AS AMENDED (THE “ACT”), AND MAY NOT BE OFFERED, SOLD, ASSIGNED, TRANSFERRED, PLEDGED, HYPOTHECATED OR OTHERWISE DISPOSED OF (“TRANSFERRED”) EXCEPT PURSUANT TO AN EFFECTIVE REGISTRATION STATEMENT UNDER THE ACT OR AN EXEMPTION FROM REGISTRATION THEREUNDER. THE</w:t>
      </w:r>
    </w:p>
    <w:p>
      <w:pPr>
        <w:sectPr>
          <w:pgSz w:w="11900" w:h="16838" w:orient="portrait"/>
          <w:cols w:equalWidth="0" w:num="1">
            <w:col w:w="11320"/>
          </w:cols>
          <w:pgMar w:left="240" w:top="266" w:right="339" w:bottom="1440" w:gutter="0" w:footer="0" w:header="0"/>
        </w:sectPr>
      </w:pPr>
    </w:p>
    <w:bookmarkStart w:id="357" w:name="page358"/>
    <w:bookmarkEnd w:id="357"/>
    <w:p>
      <w:pPr>
        <w:ind w:left="4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REPRESENTED BY THIS CERTIFICATE ARE SUBJECT TO THE TERMS OF A STOCKHOLDERS AGREEMENT BETWEEN THE COMPANY AND THE STOCKHOLDER, A COPY OF WHICH IS ON FILE WITH THE SECRETARY OF THE COMPANY AND IS AVAILABLE WITHOUT CHARGE UPON WRITTEN REQUEST THEREFOR. THE STOCKHOLDERS AGREEMENT CONTAINS RESTRICTIONS ON THE SALE OR TRANSFER OF SUCH SECURITIES. THE HOLDER OF THESE SHARES, BY ACCEPTANCE OF THIS CERTIFICATE OR CONFIRMATION, AGREES TO BE BOUND BY ALL OF THE PROVISIONS OF THEAFORESAID AGREEMENT.</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of the undersigned hereby represents and warrants that it has been authorized to execute this Joint Release Notice. This Joint Release Notice may be signed in counterparts.</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240" w:top="270" w:right="479" w:bottom="1440" w:gutter="0" w:footer="0" w:header="0"/>
        </w:sectPr>
      </w:pPr>
    </w:p>
    <w:bookmarkStart w:id="358" w:name="page359"/>
    <w:bookmarkEnd w:id="358"/>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u w:val="single" w:color="auto"/>
          <w:color w:val="auto"/>
        </w:rPr>
        <w:t>SHAREHOLDER REPRESENTATIVES</w:t>
      </w:r>
      <w:r>
        <w:rPr>
          <w:rFonts w:ascii="Times New Roman" w:cs="Times New Roman" w:eastAsia="Times New Roman" w:hAnsi="Times New Roman"/>
          <w:sz w:val="17"/>
          <w:szCs w:val="17"/>
          <w:b w:val="1"/>
          <w:bCs w:val="1"/>
          <w:color w:val="auto"/>
        </w:rPr>
        <w:t>:</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NEWPORT GLOBAL ADVISORS, L.P.</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294640</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59" w:name="page360"/>
    <w:bookmarkEnd w:id="35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OF TRANSFER AGENT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b w:val="1"/>
          <w:bCs w:val="1"/>
          <w:color w:val="auto"/>
        </w:rPr>
        <w:t>Computershare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Transfer Agent</w:t>
      </w:r>
    </w:p>
    <w:p>
      <w:pPr>
        <w:spacing w:after="0" w:line="9" w:lineRule="exact"/>
        <w:rPr>
          <w:sz w:val="20"/>
          <w:szCs w:val="20"/>
          <w:color w:val="auto"/>
        </w:rPr>
      </w:pPr>
    </w:p>
    <w:p>
      <w:pPr>
        <w:ind w:left="960" w:hanging="952"/>
        <w:spacing w:after="0"/>
        <w:tabs>
          <w:tab w:leader="none" w:pos="9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Transfer Agent Notice is issued as of the day of , [ ], pursuant to Section of that certain Escrow Agreement dated as of [ ], 2014 (the “</w:t>
      </w:r>
      <w:r>
        <w:rPr>
          <w:rFonts w:ascii="Times New Roman" w:cs="Times New Roman" w:eastAsia="Times New Roman" w:hAnsi="Times New Roman"/>
          <w:sz w:val="18"/>
          <w:szCs w:val="18"/>
          <w:b w:val="1"/>
          <w:bCs w:val="1"/>
          <w:u w:val="single" w:color="auto"/>
          <w:color w:val="auto"/>
        </w:rPr>
        <w:t>Escrow Agreement</w:t>
      </w:r>
      <w:r>
        <w:rPr>
          <w:rFonts w:ascii="Times New Roman" w:cs="Times New Roman" w:eastAsia="Times New Roman" w:hAnsi="Times New Roman"/>
          <w:sz w:val="18"/>
          <w:szCs w:val="18"/>
          <w:color w:val="auto"/>
        </w:rPr>
        <w:t>”), by and among (i) NN, Inc., a Delaware corporation (the “</w:t>
      </w: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color w:val="auto"/>
        </w:rPr>
        <w:t>”), (ii) John C. Kennedy (“</w:t>
      </w:r>
      <w:r>
        <w:rPr>
          <w:rFonts w:ascii="Times New Roman" w:cs="Times New Roman" w:eastAsia="Times New Roman" w:hAnsi="Times New Roman"/>
          <w:sz w:val="18"/>
          <w:szCs w:val="18"/>
          <w:b w:val="1"/>
          <w:bCs w:val="1"/>
          <w:u w:val="single" w:color="auto"/>
          <w:color w:val="auto"/>
        </w:rPr>
        <w:t>Kennedy</w:t>
      </w:r>
      <w:r>
        <w:rPr>
          <w:rFonts w:ascii="Times New Roman" w:cs="Times New Roman" w:eastAsia="Times New Roman" w:hAnsi="Times New Roman"/>
          <w:sz w:val="18"/>
          <w:szCs w:val="18"/>
          <w:color w:val="auto"/>
        </w:rPr>
        <w:t>”), in his capacity as a Shareholder Representative and in his individual capacity, (iii) Newport Global Advisors, L.P., a Delaware limited partnership (“</w:t>
      </w:r>
      <w:r>
        <w:rPr>
          <w:rFonts w:ascii="Times New Roman" w:cs="Times New Roman" w:eastAsia="Times New Roman" w:hAnsi="Times New Roman"/>
          <w:sz w:val="18"/>
          <w:szCs w:val="18"/>
          <w:b w:val="1"/>
          <w:bCs w:val="1"/>
          <w:u w:val="single" w:color="auto"/>
          <w:color w:val="auto"/>
        </w:rPr>
        <w:t>Newport</w:t>
      </w:r>
      <w:r>
        <w:rPr>
          <w:rFonts w:ascii="Times New Roman" w:cs="Times New Roman" w:eastAsia="Times New Roman" w:hAnsi="Times New Roman"/>
          <w:sz w:val="18"/>
          <w:szCs w:val="18"/>
          <w:color w:val="auto"/>
        </w:rPr>
        <w:t>”), solely in its capacity as a Shareholder Representative (together with Kennedy in his capacity as a Shareholder Representative, the “</w:t>
      </w:r>
      <w:r>
        <w:rPr>
          <w:rFonts w:ascii="Times New Roman" w:cs="Times New Roman" w:eastAsia="Times New Roman" w:hAnsi="Times New Roman"/>
          <w:sz w:val="18"/>
          <w:szCs w:val="18"/>
          <w:b w:val="1"/>
          <w:bCs w:val="1"/>
          <w:u w:val="single" w:color="auto"/>
          <w:color w:val="auto"/>
        </w:rPr>
        <w:t>Shareholder Representatives</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right="160" w:firstLine="8"/>
        <w:spacing w:after="0" w:line="261" w:lineRule="auto"/>
        <w:tabs>
          <w:tab w:leader="none" w:pos="30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Trust Company, N.A., as Escrow Agent thereunder (the “</w:t>
      </w: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color w:val="auto"/>
        </w:rPr>
        <w:t>”). Capitalized terms herein shall have the meaning ascribed to them in the Escrow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 Escrow Agent hereby instructs the Transfer Agent to issue to Kennedy [</w:t>
            </w:r>
          </w:p>
        </w:tc>
        <w:tc>
          <w:tcPr>
            <w:tcW w:w="5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shares of Buyer Common Stock, in the form of [stock certificates</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OR </w:t>
            </w:r>
            <w:r>
              <w:rPr>
                <w:rFonts w:ascii="Times New Roman" w:cs="Times New Roman" w:eastAsia="Times New Roman" w:hAnsi="Times New Roman"/>
                <w:sz w:val="18"/>
                <w:szCs w:val="18"/>
                <w:color w:val="auto"/>
              </w:rPr>
              <w:t>book-entry transfer] in the name of Kennedy, to the following address:</w:t>
            </w:r>
          </w:p>
        </w:tc>
        <w:tc>
          <w:tcPr>
            <w:tcW w:w="5380" w:type="dxa"/>
            <w:vAlign w:val="bottom"/>
          </w:tcPr>
          <w:p>
            <w:pPr>
              <w:spacing w:after="0"/>
              <w:rPr>
                <w:sz w:val="20"/>
                <w:szCs w:val="20"/>
                <w:color w:val="auto"/>
              </w:rPr>
            </w:pP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[Insert address] ]</w:t>
            </w:r>
          </w:p>
        </w:tc>
        <w:tc>
          <w:tcPr>
            <w:tcW w:w="5380" w:type="dxa"/>
            <w:vAlign w:val="bottom"/>
          </w:tcPr>
          <w:p>
            <w:pPr>
              <w:spacing w:after="0"/>
              <w:rPr>
                <w:sz w:val="24"/>
                <w:szCs w:val="24"/>
                <w:color w:val="auto"/>
              </w:rPr>
            </w:pP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5380" w:type="dxa"/>
            <w:vAlign w:val="bottom"/>
          </w:tcPr>
          <w:p>
            <w:pPr>
              <w:spacing w:after="0"/>
              <w:rPr>
                <w:sz w:val="24"/>
                <w:szCs w:val="24"/>
                <w:color w:val="auto"/>
              </w:rPr>
            </w:pPr>
          </w:p>
        </w:tc>
      </w:tr>
      <w:tr>
        <w:trPr>
          <w:trHeight w:val="41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 Escrow Agent hereby instructs the Transfer Agent to issue to Buyer [</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 xml:space="preserve">] shares of Buyer Common Stock, in the form of [stock certificates </w:t>
            </w:r>
            <w:r>
              <w:rPr>
                <w:rFonts w:ascii="Times New Roman" w:cs="Times New Roman" w:eastAsia="Times New Roman" w:hAnsi="Times New Roman"/>
                <w:sz w:val="18"/>
                <w:szCs w:val="18"/>
                <w:b w:val="1"/>
                <w:bCs w:val="1"/>
                <w:color w:val="auto"/>
                <w:w w:val="99"/>
              </w:rPr>
              <w:t>OR</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book-entry transfer] in the name of Buyer, to the following address:</w:t>
            </w:r>
          </w:p>
        </w:tc>
        <w:tc>
          <w:tcPr>
            <w:tcW w:w="5380" w:type="dxa"/>
            <w:vAlign w:val="bottom"/>
          </w:tcPr>
          <w:p>
            <w:pPr>
              <w:spacing w:after="0"/>
              <w:rPr>
                <w:sz w:val="20"/>
                <w:szCs w:val="20"/>
                <w:color w:val="auto"/>
              </w:rPr>
            </w:pP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[Insert address] ]</w:t>
            </w:r>
          </w:p>
        </w:tc>
        <w:tc>
          <w:tcPr>
            <w:tcW w:w="53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certificates or book entry transfers issued pursuant to the foregoing instructions shall bear a legend in substantially the following form:</w:t>
      </w:r>
    </w:p>
    <w:p>
      <w:pPr>
        <w:spacing w:after="0" w:line="117"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OR CONFIRMATION HAVE NOT BEEN REGISTERED UNDER THE SECURITIES ACT OF 1933, AS AMENDED (THE “ACT”), AND MAY NOT BE OFFERED, SOLD, ASSIGNED, TRANSFERRED, PLEDGED, HYPOTHECATED OR OTHERWISE DISPOSED OF (“TRANSFERRED”) EXCEPT PURSUANT TO AN EFFECTIVE REGISTRATION STATEMENT UNDER THE ACT OR AN EXEMPTION FROM REGISTRATION THEREUNDER. THE SECURITIES REPRESENTED BY THIS CERTIFICATE ARE SUBJECT TO THE TERMS OF A STOCKHOLDERS AGREEMENT BETWEEN THE COMPANY AND THE</w:t>
      </w:r>
    </w:p>
    <w:p>
      <w:pPr>
        <w:sectPr>
          <w:pgSz w:w="11900" w:h="16838" w:orient="portrait"/>
          <w:cols w:equalWidth="0" w:num="1">
            <w:col w:w="11320"/>
          </w:cols>
          <w:pgMar w:left="240" w:top="266" w:right="339" w:bottom="1440" w:gutter="0" w:footer="0" w:header="0"/>
        </w:sectPr>
      </w:pPr>
    </w:p>
    <w:bookmarkStart w:id="360" w:name="page361"/>
    <w:bookmarkEnd w:id="360"/>
    <w:p>
      <w:pPr>
        <w:ind w:lef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A COPY OF WHICH IS ON FILE WITH THE SECRETARY OF THE COMPANY AND IS AVAILABLE WITHOUT CHARGE UPON WRITTEN REQUEST THEREFOR. THE STOCKHOLDERS AGREEMENT CONTAINS RESTRICTIONS ON THE SALE OR TRANSFER OF SUCH SECURITIES. THE HOLDER OF THESE SHARES, BY ACCEPTANCE OF THIS CERTIFICATE OR CONFIRMATION, AGREES TO BE BOUND BY ALL OF THE PROVISIONS OF THE AFORESAID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represents and warrants that it has been authorized to execute this Transfer Agent Notice.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69" w:right="259" w:bottom="1440" w:gutter="0" w:footer="0" w:header="0"/>
        </w:sectPr>
      </w:pPr>
    </w:p>
    <w:bookmarkStart w:id="361" w:name="page362"/>
    <w:bookmarkEnd w:id="361"/>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COMPUTERSHARE TRUST COMPANY, N.A.</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180"/>
          </w:cols>
          <w:pgMar w:left="1440" w:top="266" w:right="127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ind w:right="120" w:firstLine="913"/>
        <w:spacing w:after="0" w:line="268"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August 29, 2014, by and among NN, Inc., a Delaware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and all of the shareholders as set forth on the signature page hereto (the “</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 of Autocam Corporation, Inc., a Michigan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Buyer and the Shareholders are each referred to herein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Shareholders own 100% of the capital stock of the Company;</w:t>
      </w:r>
    </w:p>
    <w:p>
      <w:pPr>
        <w:spacing w:after="0" w:line="225"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WHEREAS, Company and Buyer are parties to that certain Merger Agreement, dated as of July 18, 2014, pursuant to which Company has agreed to merge with a wholly owned subsidiary of the Buyer; and</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it is a condition precedent to Closing under the Merger Agreement that the Parties enter into this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representations, warranties, covenants and agreements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for other good and valuable consideration, the receipt and sufficiency of which are hereby acknowledged, the Parties agree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DEFINED TERMS</w:t>
      </w:r>
    </w:p>
    <w:p>
      <w:pPr>
        <w:spacing w:after="0" w:line="203"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1.1. Effective Date. </w:t>
      </w:r>
      <w:r>
        <w:rPr>
          <w:rFonts w:ascii="Times New Roman" w:cs="Times New Roman" w:eastAsia="Times New Roman" w:hAnsi="Times New Roman"/>
          <w:sz w:val="18"/>
          <w:szCs w:val="18"/>
          <w:color w:val="auto"/>
        </w:rPr>
        <w:t>Notwithstanding anything in this Agreement to the contrary, the Parties acknowledge and agree that all of the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Party hereunder shall not be effective or otherwise binding on such Party unless and until the Closing under the Merger Agreement occurs. In the event that the Merger Agreement is terminated prior to the Closing, this Agreement shall immediately terminate and be of no further force or effect upon the termination of the Merger Agreement, without further action by any Party.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Section 1.2. Defined Terms. </w:t>
      </w:r>
      <w:r>
        <w:rPr>
          <w:rFonts w:ascii="Times New Roman" w:cs="Times New Roman" w:eastAsia="Times New Roman" w:hAnsi="Times New Roman"/>
          <w:sz w:val="18"/>
          <w:szCs w:val="18"/>
          <w:color w:val="auto"/>
        </w:rPr>
        <w:t>Capitalized terms not otherwise defined herein shall have the meanings ascribed to them in the Merger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WAIVER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2.1. Indemnification.</w:t>
      </w:r>
    </w:p>
    <w:p>
      <w:pPr>
        <w:spacing w:after="0" w:line="229" w:lineRule="exact"/>
        <w:rPr>
          <w:sz w:val="20"/>
          <w:szCs w:val="20"/>
          <w:color w:val="auto"/>
        </w:rPr>
      </w:pPr>
    </w:p>
    <w:p>
      <w:pPr>
        <w:ind w:right="400" w:firstLine="921"/>
        <w:spacing w:after="0" w:line="261" w:lineRule="auto"/>
        <w:tabs>
          <w:tab w:leader="none" w:pos="1158"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if Losses indemnifiable by the Shareholders pursuant to Article VIII of the Merger Agreement exceed the then-current balance of the Escrow Fund (valued at the Agreed Stock Value for each Kennedy Share held therein), each Shareholder, severally, and not jointly, in proportion to their Pro-Rata Share, agrees to indemnify and hold harmless the Buyer Indemnified Parties for such excess Losses in accordance with Section 8.05(a) of the Merger Agreement and subject to the limitations set forth in Article VIII of the Merger Agreement.</w:t>
      </w:r>
    </w:p>
    <w:p>
      <w:pPr>
        <w:sectPr>
          <w:pgSz w:w="11900" w:h="16838" w:orient="portrait"/>
          <w:cols w:equalWidth="0" w:num="1">
            <w:col w:w="11420"/>
          </w:cols>
          <w:pgMar w:left="240" w:top="117" w:right="239" w:bottom="1440" w:gutter="0" w:footer="0" w:header="0"/>
        </w:sectPr>
      </w:pPr>
    </w:p>
    <w:bookmarkStart w:id="363" w:name="page364"/>
    <w:bookmarkEnd w:id="363"/>
    <w:p>
      <w:pPr>
        <w:ind w:left="-8" w:right="40" w:firstLine="921"/>
        <w:spacing w:after="0" w:line="269" w:lineRule="auto"/>
        <w:tabs>
          <w:tab w:leader="none" w:pos="1160" w:val="left"/>
        </w:tabs>
        <w:numPr>
          <w:ilvl w:val="1"/>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Losses indemnifiable by the Shareholders pursuant to Article VIII of the Merger Agreement exceed the then-current balance of the Escrow Fund (valued at the Agreed Stock Value for each Kennedy Share held therein), the Buyer Indemnified Party will deliver a Claims Notice to the Shareholder Representatives, on behalf of the Shareholders, promptly upon its discovery of any matter for which the Shareholders may be liable to the Buyer Indemnified Party under the Merger Agreement that does not involve a Third Party Claim, which Claims Notice shall (i) describe such claim in reasonable detail and state the amount or estimated amount of Losses, (ii) state that the Buyer Indemnified Party has paid or properly accrued Losses or anticipates in good faith that it will incur liability for Losses for which such Buyer Indemnified Party is entitled to indemnification pursuant to the Merger Agreement and</w:t>
      </w:r>
    </w:p>
    <w:p>
      <w:pPr>
        <w:ind w:left="-8" w:firstLine="8"/>
        <w:spacing w:after="0" w:line="253" w:lineRule="auto"/>
        <w:tabs>
          <w:tab w:leader="none" w:pos="307"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paid or accrued, state the date such item was paid or accrued. The Buyer Indemnified Party shall reasonably cooperate and assist the Shareholders in determining the validity of any claim for indemnity by the Buyer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The Party requesting assistance shall pay the reasonable, out-of-pocket expenses of all Persons providing such assistance.</w:t>
      </w:r>
    </w:p>
    <w:p>
      <w:pPr>
        <w:spacing w:after="0" w:line="187" w:lineRule="exact"/>
        <w:rPr>
          <w:rFonts w:ascii="Times New Roman" w:cs="Times New Roman" w:eastAsia="Times New Roman" w:hAnsi="Times New Roman"/>
          <w:sz w:val="18"/>
          <w:szCs w:val="18"/>
          <w:color w:val="auto"/>
        </w:rPr>
      </w:pPr>
    </w:p>
    <w:p>
      <w:pPr>
        <w:ind w:left="-8" w:right="20" w:firstLine="921"/>
        <w:spacing w:after="0" w:line="256" w:lineRule="auto"/>
        <w:tabs>
          <w:tab w:leader="none" w:pos="115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agreement by the Shareholder Representatives and the Buyer Indemnified Party or as finally determined by a court of competent jurisdiction (a “</w:t>
      </w:r>
      <w:r>
        <w:rPr>
          <w:rFonts w:ascii="Times New Roman" w:cs="Times New Roman" w:eastAsia="Times New Roman" w:hAnsi="Times New Roman"/>
          <w:sz w:val="18"/>
          <w:szCs w:val="18"/>
          <w:b w:val="1"/>
          <w:bCs w:val="1"/>
          <w:i w:val="1"/>
          <w:iCs w:val="1"/>
          <w:color w:val="auto"/>
        </w:rPr>
        <w:t>Judgment</w:t>
      </w:r>
      <w:r>
        <w:rPr>
          <w:rFonts w:ascii="Times New Roman" w:cs="Times New Roman" w:eastAsia="Times New Roman" w:hAnsi="Times New Roman"/>
          <w:sz w:val="18"/>
          <w:szCs w:val="18"/>
          <w:color w:val="auto"/>
        </w:rPr>
        <w:t>”) in respect of any Claims Notice, if Losses indemnifiable by the Shareholders pursuant to the Merger Agreement exceed the then-current balance of the Escrow Fund (valued at the Agreed Stock Value for each Kennedy Share held therein), each Shareholder shall pay to Buyer his or its Pro Rata Share of such excess Losses payable in accordance with such agreement or such Judgment, subject to the limitations set forth in Article VIII of the Merger Agreement, and pursuant to Section 8.08 of the Merger Agreement. Nothing in the Agreement shall require the Buyer to provide a Claims Notice or request indemnification from any specific Shareholder or all Shareholders with respect to a specific Claims Notice.</w:t>
      </w:r>
    </w:p>
    <w:p>
      <w:pPr>
        <w:spacing w:after="0" w:line="187" w:lineRule="exact"/>
        <w:rPr>
          <w:rFonts w:ascii="Times New Roman" w:cs="Times New Roman" w:eastAsia="Times New Roman" w:hAnsi="Times New Roman"/>
          <w:sz w:val="18"/>
          <w:szCs w:val="18"/>
          <w:color w:val="auto"/>
        </w:rPr>
      </w:pPr>
    </w:p>
    <w:p>
      <w:pPr>
        <w:ind w:left="-8" w:right="140" w:firstLine="921"/>
        <w:spacing w:after="0" w:line="282" w:lineRule="auto"/>
        <w:tabs>
          <w:tab w:leader="none" w:pos="116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Buyer claims indemnification under the Merger Agreement and this Section 2.1 relating to a Third Party Claim, the Parties shall apply the procedures set forth in Section 8.06 of the Merger Agreement.</w:t>
      </w:r>
    </w:p>
    <w:p>
      <w:pPr>
        <w:spacing w:after="0" w:line="161" w:lineRule="exact"/>
        <w:rPr>
          <w:rFonts w:ascii="Times New Roman" w:cs="Times New Roman" w:eastAsia="Times New Roman" w:hAnsi="Times New Roman"/>
          <w:sz w:val="18"/>
          <w:szCs w:val="18"/>
          <w:color w:val="auto"/>
        </w:rPr>
      </w:pPr>
    </w:p>
    <w:p>
      <w:pPr>
        <w:ind w:left="-8" w:right="80" w:firstLine="921"/>
        <w:spacing w:after="0" w:line="256" w:lineRule="auto"/>
        <w:tabs>
          <w:tab w:leader="none" w:pos="115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the Merger Agreement, in the event any Losses payable to a Buyer Indemnified Party pursuant to Article VIII of the Merger Agreement exceed the then-current balance of the Escrow Fund (valued at the Agreed Stock Value for each Kennedy Share held therein), Kennedy shall have the right, in his sole discretion, to satisfy his Pro-Rata Share of any such Losses by transferring to the Buyer Indemnified Party ownership of such portion of the Kennedy Shares (valued at the Agreed Stock Value for each Kennedy Share) equal in value to his Pro-Rata Share of any such Losses. Kennedy and the Buyer will promptly provide the necessary instructions to the Buyer’s transfer agent for the transfer of such Kennedy Shares.</w:t>
      </w:r>
    </w:p>
    <w:p>
      <w:pPr>
        <w:spacing w:after="0" w:line="12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52"/>
          </w:cols>
          <w:pgMar w:left="248" w:top="270" w:right="299" w:bottom="1440" w:gutter="0" w:footer="0" w:header="0"/>
        </w:sectPr>
      </w:pPr>
    </w:p>
    <w:bookmarkStart w:id="364" w:name="page365"/>
    <w:bookmarkEnd w:id="364"/>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 Waiver and Existing Shareholder Agreement. </w:t>
      </w:r>
      <w:r>
        <w:rPr>
          <w:rFonts w:ascii="Times New Roman" w:cs="Times New Roman" w:eastAsia="Times New Roman" w:hAnsi="Times New Roman"/>
          <w:sz w:val="18"/>
          <w:szCs w:val="18"/>
          <w:color w:val="auto"/>
        </w:rPr>
        <w:t>The undersigned Shareholders each hereby waive all rights under and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Shareholder Agreement and agree that as of the Closing Date, the Existing Shareholder Agreement shall be terminated and be of no further force and effect.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SHAREHOLDERS AND BUYER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Shareholder hereby represents and warrants to Buyer, and Buyer hereby represents and warrants to each Shareholder, as follows:</w:t>
      </w:r>
    </w:p>
    <w:p>
      <w:pPr>
        <w:spacing w:after="0" w:line="221"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Section 3.1. Organization and Authority; Binding Obligations</w:t>
      </w:r>
      <w:r>
        <w:rPr>
          <w:rFonts w:ascii="Times New Roman" w:cs="Times New Roman" w:eastAsia="Times New Roman" w:hAnsi="Times New Roman"/>
          <w:sz w:val="18"/>
          <w:szCs w:val="18"/>
          <w:color w:val="auto"/>
        </w:rPr>
        <w:t>. Such Party, if an entity, is a company duly organized and validly existing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 of its jurisdiction of formation. Such Party has all necessary power and authority to execute and deliver this Agreement, to perform its obligations hereunder and to consummate the transactions contemplated hereby. This Agreement has been duly authorized, executed and delivered by such Party and, assuming this Agreement constitutes the valid and binding obligations of the other Parties hereto, constitutes its valid and binding obligation, enforceable against it in accordance with its terms, subject, as to enforceability of remedies, to limitations imposed by bankruptcy, insolvency, reorganization, moratorium or other similar laws relating to or affecting the enforcement of creditors’ rights generally and to general principles of equity.</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Section 3.2. Non-Contravention; Consents</w:t>
      </w:r>
      <w:r>
        <w:rPr>
          <w:rFonts w:ascii="Times New Roman" w:cs="Times New Roman" w:eastAsia="Times New Roman" w:hAnsi="Times New Roman"/>
          <w:sz w:val="18"/>
          <w:szCs w:val="18"/>
          <w:color w:val="auto"/>
        </w:rPr>
        <w:t>. Neither the execution and delivery by such Party of this Agreement, nor the performance by such Party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obligations hereunder conflicts with or will result in a breach of the organizational documents of such Party, if an entity, or of any applicable law or regulation, or any order, writ, injunction or decree of any court or governmental authority or agency, or any agreement or instrument to which it is a party or by which it is bound or to which it is subject, or constitute a default under any such agreement or instrument. All corporate or similar company action required to authorize the execution, delivery and performance of this Agreement by such Party have been duly obtained and are in full force and effect.</w:t>
      </w:r>
    </w:p>
    <w:p>
      <w:pPr>
        <w:spacing w:after="0" w:line="180"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Section 3.3. Certain Actions and Proceedings</w:t>
      </w:r>
      <w:r>
        <w:rPr>
          <w:rFonts w:ascii="Times New Roman" w:cs="Times New Roman" w:eastAsia="Times New Roman" w:hAnsi="Times New Roman"/>
          <w:sz w:val="18"/>
          <w:szCs w:val="18"/>
          <w:color w:val="auto"/>
        </w:rPr>
        <w:t>. There are no pending or, to such Party’s knowledge, threatened actions, suits or proceedings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Party or affecting it or its properties before or by any court or administrative agency which, if adversely determined, would adversely affect its ability to perform its obligations under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Section 4.1. Entire Agreement</w:t>
      </w:r>
      <w:r>
        <w:rPr>
          <w:rFonts w:ascii="Times New Roman" w:cs="Times New Roman" w:eastAsia="Times New Roman" w:hAnsi="Times New Roman"/>
          <w:sz w:val="18"/>
          <w:szCs w:val="18"/>
          <w:color w:val="auto"/>
        </w:rPr>
        <w:t>. Except for the provisions of the Merger Agreement and the Escrow Agreement, this Agreement constitutes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understanding between the Parties with respect to the subject matter hereof. Nothing herein shall be deemed to supersede, amend or modify the Merger Agreement or Escrow Agreement.</w:t>
      </w:r>
    </w:p>
    <w:p>
      <w:pPr>
        <w:spacing w:after="0" w:line="171"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Section 4.2. 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Party.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365" w:name="page366"/>
    <w:bookmarkEnd w:id="365"/>
    <w:p>
      <w:pPr>
        <w:jc w:val="both"/>
        <w:ind w:right="3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4.3. Assignment; Successors and Assigns</w:t>
      </w:r>
      <w:r>
        <w:rPr>
          <w:rFonts w:ascii="Times New Roman" w:cs="Times New Roman" w:eastAsia="Times New Roman" w:hAnsi="Times New Roman"/>
          <w:sz w:val="18"/>
          <w:szCs w:val="18"/>
          <w:color w:val="auto"/>
        </w:rPr>
        <w:t>. This Agreement may not be assigned by any Party without the prior written consent of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Party, and any attempt to do so will be void. This Agreement is binding upon, inures to the benefit of and is enforceable by the Parties and their respective successors and assigns.</w:t>
      </w:r>
    </w:p>
    <w:p>
      <w:pPr>
        <w:spacing w:after="0" w:line="171" w:lineRule="exact"/>
        <w:rPr>
          <w:sz w:val="20"/>
          <w:szCs w:val="20"/>
          <w:color w:val="auto"/>
        </w:rPr>
      </w:pPr>
    </w:p>
    <w:p>
      <w:pPr>
        <w:ind w:right="5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Section 4.4. Headings</w:t>
      </w:r>
      <w:r>
        <w:rPr>
          <w:rFonts w:ascii="Times New Roman" w:cs="Times New Roman" w:eastAsia="Times New Roman" w:hAnsi="Times New Roman"/>
          <w:sz w:val="18"/>
          <w:szCs w:val="18"/>
          <w:color w:val="auto"/>
        </w:rPr>
        <w:t>. The headings used in this Agreement have been inserted for convenience of reference only and do not define or limit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hereof.</w:t>
      </w:r>
    </w:p>
    <w:p>
      <w:pPr>
        <w:spacing w:after="0" w:line="15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Section 4.5. Invalid Provisions</w:t>
      </w:r>
      <w:r>
        <w:rPr>
          <w:rFonts w:ascii="Times New Roman" w:cs="Times New Roman" w:eastAsia="Times New Roman" w:hAnsi="Times New Roman"/>
          <w:sz w:val="18"/>
          <w:szCs w:val="18"/>
          <w:color w:val="auto"/>
        </w:rPr>
        <w:t>. If any provision of this Agreement other than Section 1.1 is held to be illegal, invalid or unenforceable under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 or future Law, and if the rights or obligations of any Party under this Agreement will not be materially and adversely affected thereby and such provision will be fully severable, this Agreement will be construed and enforced as if such illegal, invalid or unenforceable provision had never comprised a part hereof, and the remaining provisions of this Agreement will remain in full force and effect and will not be affected by the illegal, invalid or unenforceable provision or by its severance herefrom and in lieu of such illegal, invalid or unenforceable provision, there will be added automatically as a part of this Agreement a legal, valid and enforceable provision as similar in terms to such illegal, invalid or unenforceable provision as may be possible.</w:t>
      </w:r>
    </w:p>
    <w:p>
      <w:pPr>
        <w:spacing w:after="0" w:line="183"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Section 4.6. Counterparts; Facsimile/PDF</w:t>
      </w:r>
      <w:r>
        <w:rPr>
          <w:rFonts w:ascii="Times New Roman" w:cs="Times New Roman" w:eastAsia="Times New Roman" w:hAnsi="Times New Roman"/>
          <w:sz w:val="18"/>
          <w:szCs w:val="18"/>
          <w:color w:val="auto"/>
        </w:rPr>
        <w:t>. This Agreement may be executed in any number of counterparts, each of which will be deemed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but all of which together will constitute one and the same instrument. This Agreement, and any amendments hereto or, to the extent signed and delivered by means of a facsimile machine or electronic transmission in portable document format (pdf), shall be treated in all manner and respects as an original and shall be considered to have the same binding legal effects as if it were the original signed version thereof delivered in person. At the request of any Party, each other Party shall re-execute original forms thereof and deliver them to the other Party.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4.7. Governing Law; Venue and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21"/>
        <w:spacing w:after="0" w:line="282" w:lineRule="auto"/>
        <w:tabs>
          <w:tab w:leader="none" w:pos="115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61" w:lineRule="exact"/>
        <w:rPr>
          <w:rFonts w:ascii="Times New Roman" w:cs="Times New Roman" w:eastAsia="Times New Roman" w:hAnsi="Times New Roman"/>
          <w:sz w:val="18"/>
          <w:szCs w:val="18"/>
          <w:color w:val="auto"/>
        </w:rPr>
      </w:pPr>
    </w:p>
    <w:p>
      <w:pPr>
        <w:ind w:right="20" w:firstLine="921"/>
        <w:spacing w:after="0" w:line="255" w:lineRule="auto"/>
        <w:tabs>
          <w:tab w:leader="none" w:pos="116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or proceedings arising in connection with this Agreement shall be tried and litigated exclusively the Court of Chancery of the state of Delaware (unless the Court of Chancery of the state of Delaware declines to accept jurisdiction over a particular matter, in which case any state or federal court in the state of Delaware). The aforementioned choice of venue is intended by the Parties to be mandatory and not permissive in nature, thereby precluding the possibility of litigation between the Parties with respect to or arising out of this Agreement in any jurisdiction other than that specified in this paragraph. Each Party hereby waives any right it may have to assert the doctrine of forum non conveniens or similar doctrine or to object to venue with respect to any proceeding brought in accordance with this paragraph, and stipulates that the Court of Chancery of the state of Delaware (unless the Court of Chancery of the state of Delaware declines to accept jurisdiction over a particular matter, in which case any state or federal court in the state of Delaware) shall have in personam jurisdiction over each of them for the purpose of litigating any such dispute, controversy or proceeding. Each Party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5" w:right="239" w:bottom="1440" w:gutter="0" w:footer="0" w:header="0"/>
        </w:sectPr>
      </w:pPr>
    </w:p>
    <w:bookmarkStart w:id="366" w:name="page367"/>
    <w:bookmarkEnd w:id="36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irrevocably waives all right to trial by jury in any action, proceeding or counterclaim (whether based on contract, tort or otherwise) arising out of or relating to this Agreement or the actions of such Party in the negotiation, administration, performance and enforcement hereof.</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240" w:top="269" w:right="499" w:bottom="1440" w:gutter="0" w:footer="0" w:header="0"/>
        </w:sectPr>
      </w:pPr>
    </w:p>
    <w:bookmarkStart w:id="367" w:name="page368"/>
    <w:bookmarkEnd w:id="367"/>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executed and delivered by the duly authorized officer of each Party as of the date first written above.</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James H. Dorton</w:t>
      </w:r>
    </w:p>
    <w:p>
      <w:pPr>
        <w:spacing w:after="0" w:line="27" w:lineRule="exact"/>
        <w:rPr>
          <w:sz w:val="20"/>
          <w:szCs w:val="20"/>
          <w:color w:val="auto"/>
        </w:rPr>
      </w:pPr>
    </w:p>
    <w:p>
      <w:pPr>
        <w:jc w:val="both"/>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Senior Vice President of Corporate Development and</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of NN, Inc. to Indemnity Agreement</w:t>
      </w:r>
    </w:p>
    <w:p>
      <w:pPr>
        <w:sectPr>
          <w:pgSz w:w="11900" w:h="16838" w:orient="portrait"/>
          <w:cols w:equalWidth="0" w:num="1">
            <w:col w:w="11280"/>
          </w:cols>
          <w:pgMar w:left="240" w:top="270" w:right="379" w:bottom="1440" w:gutter="0" w:footer="0" w:header="0"/>
        </w:sectPr>
      </w:pPr>
    </w:p>
    <w:bookmarkStart w:id="368" w:name="page369"/>
    <w:bookmarkEnd w:id="368"/>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C. Kennedy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Signature Page of John C. Kennedy to Indemnity Agreement</w:t>
      </w:r>
    </w:p>
    <w:p>
      <w:pPr>
        <w:sectPr>
          <w:pgSz w:w="11900" w:h="16838" w:orient="portrait"/>
          <w:cols w:equalWidth="0" w:num="1">
            <w:col w:w="10219"/>
          </w:cols>
          <w:pgMar w:left="240" w:top="270" w:right="1440" w:bottom="1440" w:gutter="0" w:footer="0" w:header="0"/>
        </w:sectPr>
      </w:pPr>
    </w:p>
    <w:bookmarkStart w:id="369" w:name="page370"/>
    <w:bookmarkEnd w:id="36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NEWPORT GLOBAL OPPORTUNITIES FUND, L.P.</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NEWPORT GLOBAL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Ryan Langdon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17145</wp:posOffset>
            </wp:positionV>
            <wp:extent cx="27012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Ryan Langdon</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Its: Sr.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Signature Page of Newport Global to Indemnity Agreement</w:t>
      </w:r>
    </w:p>
    <w:p>
      <w:pPr>
        <w:sectPr>
          <w:pgSz w:w="11900" w:h="16838" w:orient="portrait"/>
          <w:cols w:equalWidth="0" w:num="1">
            <w:col w:w="10820"/>
          </w:cols>
          <w:pgMar w:left="240" w:top="270" w:right="839" w:bottom="1440" w:gutter="0" w:footer="0" w:header="0"/>
        </w:sectPr>
      </w:pPr>
    </w:p>
    <w:bookmarkStart w:id="370" w:name="page371"/>
    <w:bookmarkEnd w:id="370"/>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R. Buchan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R. Buchan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of John R. Buchan to Indemnity Agreement</w:t>
      </w:r>
    </w:p>
    <w:p>
      <w:pPr>
        <w:sectPr>
          <w:pgSz w:w="11900" w:h="16838" w:orient="portrait"/>
          <w:cols w:equalWidth="0" w:num="1">
            <w:col w:w="10219"/>
          </w:cols>
          <w:pgMar w:left="240" w:top="269" w:right="1440" w:bottom="1440" w:gutter="0" w:footer="0" w:header="0"/>
        </w:sectPr>
      </w:pPr>
    </w:p>
    <w:bookmarkStart w:id="371" w:name="page372"/>
    <w:bookmarkEnd w:id="371"/>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Eduardo Renner de Castilho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Eduardo Renner de Castilho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of Eduardo Renner de Castilho to Indemnity Agreement</w:t>
      </w:r>
    </w:p>
    <w:p>
      <w:pPr>
        <w:sectPr>
          <w:pgSz w:w="11900" w:h="16838" w:orient="portrait"/>
          <w:cols w:equalWidth="0" w:num="1">
            <w:col w:w="10219"/>
          </w:cols>
          <w:pgMar w:left="240" w:top="269" w:right="1440" w:bottom="1440" w:gutter="0" w:footer="0" w:header="0"/>
        </w:sectPr>
      </w:pPr>
    </w:p>
    <w:bookmarkStart w:id="372" w:name="page373"/>
    <w:bookmarkEnd w:id="372"/>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Clay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Clay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of Michael J. Clay to Indemnity Agreement</w:t>
      </w:r>
    </w:p>
    <w:p>
      <w:pPr>
        <w:sectPr>
          <w:pgSz w:w="11900" w:h="16838" w:orient="portrait"/>
          <w:cols w:equalWidth="0" w:num="1">
            <w:col w:w="10219"/>
          </w:cols>
          <w:pgMar w:left="240" w:top="270" w:right="1440" w:bottom="1440" w:gutter="0" w:footer="0" w:header="0"/>
        </w:sectPr>
      </w:pPr>
    </w:p>
    <w:bookmarkStart w:id="373" w:name="page374"/>
    <w:bookmarkEnd w:id="373"/>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Karl P.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Karl P. Cooper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of Karl P. Cooper to Indemnity Agreement</w:t>
      </w:r>
    </w:p>
    <w:p>
      <w:pPr>
        <w:sectPr>
          <w:pgSz w:w="11900" w:h="16838" w:orient="portrait"/>
          <w:cols w:equalWidth="0" w:num="1">
            <w:col w:w="10219"/>
          </w:cols>
          <w:pgMar w:left="240" w:top="270" w:right="1440" w:bottom="1440" w:gutter="0" w:footer="0" w:header="0"/>
        </w:sectPr>
      </w:pPr>
    </w:p>
    <w:bookmarkStart w:id="374" w:name="page375"/>
    <w:bookmarkEnd w:id="374"/>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Robert W.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Robert W. Fraser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 of Robert W. Fraser to Indemnity Agreement</w:t>
      </w:r>
    </w:p>
    <w:p>
      <w:pPr>
        <w:sectPr>
          <w:pgSz w:w="11900" w:h="16838" w:orient="portrait"/>
          <w:cols w:equalWidth="0" w:num="1">
            <w:col w:w="10219"/>
          </w:cols>
          <w:pgMar w:left="240" w:top="270" w:right="1440" w:bottom="1440" w:gutter="0" w:footer="0" w:header="0"/>
        </w:sectPr>
      </w:pPr>
    </w:p>
    <w:bookmarkStart w:id="375" w:name="page376"/>
    <w:bookmarkEnd w:id="375"/>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Edward W. Hekman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Edward W. Hekman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Signature Page of Edward W. Hekman to Indemnity Agreement</w:t>
      </w:r>
    </w:p>
    <w:p>
      <w:pPr>
        <w:sectPr>
          <w:pgSz w:w="11900" w:h="16838" w:orient="portrait"/>
          <w:cols w:equalWidth="0" w:num="1">
            <w:col w:w="10219"/>
          </w:cols>
          <w:pgMar w:left="240" w:top="269" w:right="1440" w:bottom="1440" w:gutter="0" w:footer="0" w:header="0"/>
        </w:sectPr>
      </w:pPr>
    </w:p>
    <w:bookmarkStart w:id="376" w:name="page377"/>
    <w:bookmarkEnd w:id="376"/>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Thomas K. O’Mara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K. O’Mara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of Thomas K. O’Mara to Indemnity Agreement</w:t>
      </w:r>
    </w:p>
    <w:p>
      <w:pPr>
        <w:sectPr>
          <w:pgSz w:w="11900" w:h="16838" w:orient="portrait"/>
          <w:cols w:equalWidth="0" w:num="1">
            <w:col w:w="10219"/>
          </w:cols>
          <w:pgMar w:left="240" w:top="270" w:right="1440" w:bottom="1440" w:gutter="0" w:footer="0" w:header="0"/>
        </w:sectPr>
      </w:pPr>
    </w:p>
    <w:bookmarkStart w:id="377" w:name="page378"/>
    <w:bookmarkEnd w:id="377"/>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Gregory L.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Gregory L. Parker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Signature Page of Gregory L. Parker to Indemnity Agreement</w:t>
      </w:r>
    </w:p>
    <w:p>
      <w:pPr>
        <w:sectPr>
          <w:pgSz w:w="11900" w:h="16838" w:orient="portrait"/>
          <w:cols w:equalWidth="0" w:num="1">
            <w:col w:w="10219"/>
          </w:cols>
          <w:pgMar w:left="240" w:top="269" w:right="1440" w:bottom="1440" w:gutter="0" w:footer="0" w:header="0"/>
        </w:sectPr>
      </w:pPr>
    </w:p>
    <w:bookmarkStart w:id="378" w:name="page379"/>
    <w:bookmarkEnd w:id="378"/>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 Qualters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 Qualters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of Chris Qualters to Indemnity Agreement</w:t>
      </w:r>
    </w:p>
    <w:p>
      <w:pPr>
        <w:sectPr>
          <w:pgSz w:w="11900" w:h="16838" w:orient="portrait"/>
          <w:cols w:equalWidth="0" w:num="1">
            <w:col w:w="10219"/>
          </w:cols>
          <w:pgMar w:left="240" w:top="270" w:right="1440" w:bottom="1440" w:gutter="0" w:footer="0" w:header="0"/>
        </w:sectPr>
      </w:pPr>
    </w:p>
    <w:bookmarkStart w:id="379" w:name="page380"/>
    <w:bookmarkEnd w:id="379"/>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R.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R. Scott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of Mark R. Scott to Indemnity Agreement</w:t>
      </w:r>
    </w:p>
    <w:p>
      <w:pPr>
        <w:sectPr>
          <w:pgSz w:w="11900" w:h="16838" w:orient="portrait"/>
          <w:cols w:equalWidth="0" w:num="1">
            <w:col w:w="10219"/>
          </w:cols>
          <w:pgMar w:left="240" w:top="270" w:right="1440" w:bottom="1440" w:gutter="0" w:footer="0" w:header="0"/>
        </w:sectPr>
      </w:pPr>
    </w:p>
    <w:bookmarkStart w:id="380" w:name="page381"/>
    <w:bookmarkEnd w:id="380"/>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Brian L. Simon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of Brian L. Simon to Indemnity Agreement</w:t>
      </w:r>
    </w:p>
    <w:p>
      <w:pPr>
        <w:sectPr>
          <w:pgSz w:w="11900" w:h="16838" w:orient="portrait"/>
          <w:cols w:equalWidth="0" w:num="1">
            <w:col w:w="10219"/>
          </w:cols>
          <w:pgMar w:left="240" w:top="269" w:right="1440" w:bottom="1440" w:gutter="0" w:footer="0" w:header="0"/>
        </w:sectPr>
      </w:pPr>
    </w:p>
    <w:bookmarkStart w:id="381" w:name="page382"/>
    <w:bookmarkEnd w:id="381"/>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Fabien Trincat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Fabien Trincat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of Fabien Trincat to Indemnity Agreement</w:t>
      </w:r>
    </w:p>
    <w:p>
      <w:pPr>
        <w:sectPr>
          <w:pgSz w:w="11900" w:h="16838" w:orient="portrait"/>
          <w:cols w:equalWidth="0" w:num="1">
            <w:col w:w="10219"/>
          </w:cols>
          <w:pgMar w:left="240" w:top="270" w:right="1440" w:bottom="1440" w:gutter="0" w:footer="0" w:header="0"/>
        </w:sectPr>
      </w:pPr>
    </w:p>
    <w:bookmarkStart w:id="382" w:name="page383"/>
    <w:bookmarkEnd w:id="382"/>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Mike VandeVusse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Mike VandeVusse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Signature Page of Mike VandeVusse to Indemnity Agreement</w:t>
      </w:r>
    </w:p>
    <w:p>
      <w:pPr>
        <w:sectPr>
          <w:pgSz w:w="11900" w:h="16838" w:orient="portrait"/>
          <w:cols w:equalWidth="0" w:num="1">
            <w:col w:w="10219"/>
          </w:cols>
          <w:pgMar w:left="240" w:top="269" w:right="1440" w:bottom="1440" w:gutter="0" w:footer="0" w:header="0"/>
        </w:sectPr>
      </w:pPr>
    </w:p>
    <w:bookmarkStart w:id="383" w:name="page384"/>
    <w:bookmarkEnd w:id="383"/>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Warren A. Veltman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of Warren A. Veltman to Indemnity Agreement</w:t>
      </w:r>
    </w:p>
    <w:p>
      <w:pPr>
        <w:sectPr>
          <w:pgSz w:w="11900" w:h="16838" w:orient="portrait"/>
          <w:cols w:equalWidth="0" w:num="1">
            <w:col w:w="10219"/>
          </w:cols>
          <w:pgMar w:left="240" w:top="270" w:right="1440" w:bottom="1440" w:gutter="0" w:footer="0" w:header="0"/>
        </w:sectPr>
      </w:pPr>
    </w:p>
    <w:bookmarkStart w:id="384" w:name="page385"/>
    <w:bookmarkEnd w:id="384"/>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Slagh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Rising Tide Capital, LLC</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By: Paul Slagh</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Sole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Signature Page of Paul Slagh to Indemnity Agreement</w:t>
      </w:r>
    </w:p>
    <w:p>
      <w:pPr>
        <w:sectPr>
          <w:pgSz w:w="11900" w:h="16838" w:orient="portrait"/>
          <w:cols w:equalWidth="0" w:num="1">
            <w:col w:w="10219"/>
          </w:cols>
          <w:pgMar w:left="240" w:top="270" w:right="1440" w:bottom="1440" w:gutter="0" w:footer="0" w:header="0"/>
        </w:sectPr>
      </w:pPr>
    </w:p>
    <w:bookmarkStart w:id="385" w:name="page386"/>
    <w:bookmarkEnd w:id="385"/>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P. Tomick Revocable Trust</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By: David P. Tomick</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Sole Trustee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 of David P. Tomick to Indemnity Agreement</w:t>
      </w:r>
    </w:p>
    <w:p>
      <w:pPr>
        <w:sectPr>
          <w:pgSz w:w="11900" w:h="16838" w:orient="portrait"/>
          <w:cols w:equalWidth="0" w:num="1">
            <w:col w:w="10219"/>
          </w:cols>
          <w:pgMar w:left="240" w:top="269" w:right="1440" w:bottom="1440" w:gutter="0" w:footer="0" w:header="0"/>
        </w:sectPr>
      </w:pPr>
    </w:p>
    <w:bookmarkStart w:id="386" w:name="page387"/>
    <w:bookmarkEnd w:id="386"/>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Agreement as a “Shareholder” as of the date first written above.</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Mainelli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Mainelli Revocable Trust</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By: Michael Mainelli</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Sole Trustee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23755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7322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Signature Page of Michael Mainelli to Indemnity Agreement</w:t>
      </w:r>
    </w:p>
    <w:p>
      <w:pPr>
        <w:sectPr>
          <w:pgSz w:w="11900" w:h="16838" w:orient="portrait"/>
          <w:cols w:equalWidth="0" w:num="1">
            <w:col w:w="10219"/>
          </w:cols>
          <w:pgMar w:left="240" w:top="270" w:right="1440"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NONCOMPETITION AND NONDISCLOSURE AGREEMENT</w:t>
      </w:r>
    </w:p>
    <w:p>
      <w:pPr>
        <w:spacing w:after="0" w:line="22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THIS NONCOMPETITION AND NONDISCLOSURE AGREEMENT (this “Agreement”) is entered into and effective as of July 18, 2014 between NN, Inc., a Delaware corporation (“Company”), and John C. Kennedy, an individual (“Kennedy”).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WHEREAS, Company and Autocam Corporation, a Michigan Corporation (“Autocam”), have entered into that certain Agreement and Plan of Merger dated as of the date hereof (the “Merger Agreement”), under which PMC Global Acquisition Corporation, a Michigan corporation and a wholly owned subsidiary of the Company, will merge with and into Autocam, and Autocam will continue as a wholly owned subsidiary of the Company (the “Merger”);</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WHEREAS, Kennedy owns a majority of shares of Autocam before the Merger, received consideration from the Company in connection with the Merger, and is a stockholder of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Autocam engages in the precision metal components business for the transportation industry (the “Autocam Business”);</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WHEREAS, the Company engages in the precision metal components business for the automotive industry, aerospace industry, industrial machinery, precision shafts, small tool components, and other industrial and consumer products using precision metal components and assemblies (the “Company Business”) throughout the world;</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WHEREAS, Kennedy has had access to knowledge of Autocam’s trade secrets and other confidential and proprietary information and will have access to knowledge of the Company’s trade secrets and other confidential and proprietary information and that it is of vital importance to the success of the Company for Kennedy (i) not to compete against the Company and its business and activities for a specified period of time after the Merger and (ii) not to disclose Company’s trade secrets and other proprietary information; and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capitalized terms not defined herein shall have the meaning ascribed to them in the Merger Agreement.</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58" w:lineRule="exact"/>
        <w:rPr>
          <w:sz w:val="20"/>
          <w:szCs w:val="20"/>
          <w:color w:val="auto"/>
        </w:rPr>
      </w:pPr>
    </w:p>
    <w:p>
      <w:pPr>
        <w:ind w:left="640" w:hanging="176"/>
        <w:spacing w:after="0"/>
        <w:tabs>
          <w:tab w:leader="none" w:pos="6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 Covenants</w:t>
      </w:r>
      <w:r>
        <w:rPr>
          <w:rFonts w:ascii="Times New Roman" w:cs="Times New Roman" w:eastAsia="Times New Roman" w:hAnsi="Times New Roman"/>
          <w:sz w:val="18"/>
          <w:szCs w:val="18"/>
          <w:color w:val="auto"/>
        </w:rPr>
        <w:t>. Kennedy covenants and agrees:</w:t>
      </w:r>
    </w:p>
    <w:p>
      <w:pPr>
        <w:spacing w:after="0" w:line="229" w:lineRule="exact"/>
        <w:rPr>
          <w:rFonts w:ascii="Times New Roman" w:cs="Times New Roman" w:eastAsia="Times New Roman" w:hAnsi="Times New Roman"/>
          <w:sz w:val="18"/>
          <w:szCs w:val="18"/>
          <w:color w:val="auto"/>
        </w:rPr>
      </w:pPr>
    </w:p>
    <w:p>
      <w:pPr>
        <w:ind w:right="100" w:firstLine="921"/>
        <w:spacing w:after="0" w:line="255" w:lineRule="auto"/>
        <w:tabs>
          <w:tab w:leader="none" w:pos="1158"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(3) years commencing on the Closing Date (the “Restricted Period”), Kennedy shall not, nor shall Kennedy permit any of his Affiliates, directly or indirectly, (i) engage in or assist others in engaging in the Autocam Business; (ii) have an interest in any Person that engages directly or indirectly in the Autocam Business in any capacity, including as a partner, shareholder, member, employee, principal, agent, trustee, or consultant; or (iii) intentionally interfere in any material respect with the business relationships (whether formed before or after the date of this Agreement) between the Company and customers or suppliers of the Company. Notwithstanding the foregoing, Kennedy may own, directly, or indirectly, solely as an investment, securities of any Person traded on any national securities exchange if Kennedy is not a controlling Person of, or a member of a group which controls, such Person and does not, directly or indirectly, own five percent (5%) or more of any class of securities of such Person.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388" w:name="page389"/>
    <w:bookmarkEnd w:id="388"/>
    <w:p>
      <w:pPr>
        <w:ind w:left="-8" w:right="40" w:firstLine="921"/>
        <w:spacing w:after="0" w:line="255" w:lineRule="auto"/>
        <w:tabs>
          <w:tab w:leader="none" w:pos="1160"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During the Restricted Period, Kennedy shall not permit any of its Affiliates to, directly or indirectly, hire or solicit any employee of the Company or encourage any such employee to leave such employment or hire any such employee who has left such employment, except pursuant to a general solicitation which is not directed specifically to any such employees;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nothing in this Section 1 shall prevent Kennedy or any of his Affiliates from hiring (i) any employee whose employment has been terminated by the Company before the Merger, (ii) any employee whose employment has been terminated by the Company after the Merger one-hundred eighty (180) days from the date of termination of employment; or (iii) Jesse Miramontes (a current employee of the Company) and any Kennedy family member (including, without limitation, Nancy Kennedy (wife) or John C. Kennedy, IV (son) who are currently employed by the Company).</w:t>
      </w:r>
    </w:p>
    <w:p>
      <w:pPr>
        <w:spacing w:after="0" w:line="189" w:lineRule="exact"/>
        <w:rPr>
          <w:rFonts w:ascii="Times New Roman" w:cs="Times New Roman" w:eastAsia="Times New Roman" w:hAnsi="Times New Roman"/>
          <w:sz w:val="18"/>
          <w:szCs w:val="18"/>
          <w:color w:val="auto"/>
        </w:rPr>
      </w:pPr>
    </w:p>
    <w:p>
      <w:pPr>
        <w:ind w:left="-8" w:firstLine="921"/>
        <w:spacing w:after="0" w:line="266" w:lineRule="auto"/>
        <w:tabs>
          <w:tab w:leader="none" w:pos="1150"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Kennedy shall not permit any of his Affiliates to, directly or indirectly, solicit or entice, or attempt to solicit or entice, any clients or customers of the Company or potential clients or customers of the Company for purposes of diverting their business or services from the Company.</w:t>
      </w:r>
    </w:p>
    <w:p>
      <w:pPr>
        <w:spacing w:after="0" w:line="176" w:lineRule="exact"/>
        <w:rPr>
          <w:rFonts w:ascii="Times New Roman" w:cs="Times New Roman" w:eastAsia="Times New Roman" w:hAnsi="Times New Roman"/>
          <w:sz w:val="18"/>
          <w:szCs w:val="18"/>
          <w:color w:val="auto"/>
        </w:rPr>
      </w:pPr>
    </w:p>
    <w:p>
      <w:pPr>
        <w:ind w:left="-8" w:right="40" w:firstLine="921"/>
        <w:spacing w:after="0" w:line="261" w:lineRule="auto"/>
        <w:tabs>
          <w:tab w:leader="none" w:pos="1160"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Kennedy shall provide written notice as soon as reasonably possible (it being agreed that ninety (90) days prior written notice is acceptable) before (i) Kennedy or any of his Affiliates begin to engage in the Company Business excluding the medical device business or</w:t>
      </w:r>
    </w:p>
    <w:p>
      <w:pPr>
        <w:ind w:left="-8" w:right="180" w:firstLine="8"/>
        <w:spacing w:after="0" w:line="261" w:lineRule="auto"/>
        <w:tabs>
          <w:tab w:leader="none" w:pos="257"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Kennedy or any of his Affiliates enter into a transaction to acquire the stock or substantially all of the assets of any Person that engages in the Company Business excluding the medical device business.</w:t>
      </w:r>
    </w:p>
    <w:p>
      <w:pPr>
        <w:spacing w:after="0" w:line="179" w:lineRule="exact"/>
        <w:rPr>
          <w:rFonts w:ascii="Times New Roman" w:cs="Times New Roman" w:eastAsia="Times New Roman" w:hAnsi="Times New Roman"/>
          <w:sz w:val="18"/>
          <w:szCs w:val="18"/>
          <w:color w:val="auto"/>
        </w:rPr>
      </w:pPr>
    </w:p>
    <w:p>
      <w:pPr>
        <w:ind w:left="-8" w:right="120" w:firstLine="921"/>
        <w:spacing w:after="0" w:line="255" w:lineRule="auto"/>
        <w:tabs>
          <w:tab w:leader="none" w:pos="1150" w:val="left"/>
        </w:tabs>
        <w:numPr>
          <w:ilvl w:val="2"/>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Kennedy acknowledges that the restrictions contained in this Section are reasonable and necessary to protect the legitimate interests of the Company. In the event that any covenant contained in this Section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Section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89" w:lineRule="exact"/>
        <w:rPr>
          <w:rFonts w:ascii="Times New Roman" w:cs="Times New Roman" w:eastAsia="Times New Roman" w:hAnsi="Times New Roman"/>
          <w:sz w:val="18"/>
          <w:szCs w:val="18"/>
          <w:color w:val="auto"/>
        </w:rPr>
      </w:pPr>
    </w:p>
    <w:p>
      <w:pPr>
        <w:jc w:val="both"/>
        <w:ind w:left="-8" w:right="80" w:firstLine="921"/>
        <w:spacing w:after="0" w:line="266" w:lineRule="auto"/>
        <w:tabs>
          <w:tab w:leader="none" w:pos="1130" w:val="left"/>
        </w:tabs>
        <w:numPr>
          <w:ilvl w:val="2"/>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Kennedy violates any of the provisions of this Section 1, the computation of the time period provided in this Section 1 shall be tolled from the first date of the breach until (i) the date judicial relief is obtained by the Company, (ii) the Company states in writing that it will seek no judicial relief for said violation, or (iii) Kennedy provides satisfactory evidence to the Company that such breach has been terminated.</w:t>
      </w:r>
    </w:p>
    <w:p>
      <w:pPr>
        <w:spacing w:after="0" w:line="172" w:lineRule="exact"/>
        <w:rPr>
          <w:rFonts w:ascii="Times New Roman" w:cs="Times New Roman" w:eastAsia="Times New Roman" w:hAnsi="Times New Roman"/>
          <w:sz w:val="18"/>
          <w:szCs w:val="18"/>
          <w:color w:val="auto"/>
        </w:rPr>
      </w:pPr>
    </w:p>
    <w:p>
      <w:pPr>
        <w:ind w:left="632" w:hanging="176"/>
        <w:spacing w:after="0"/>
        <w:tabs>
          <w:tab w:leader="none" w:pos="632"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 Covenants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8" w:right="60" w:firstLine="921"/>
        <w:spacing w:after="0" w:line="258" w:lineRule="auto"/>
        <w:tabs>
          <w:tab w:leader="none" w:pos="1150"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Kennedy covenants and represents that Kennedy has no interest in or claim to any information, whether or not in writing, of a private, secret, or confidential nature concerning the Company or Autocam (collectively, the “Proprietary Information”). Except as may otherwise be required by law, Kennedy agrees not to, without the Company’s prior written consent, (i) disclose or transfer any Proprietary Information to any Person other than the Company or (ii) use any Proprietary Information for any unauthorized purpose, either during the term of this Agreement or the Restricted Period, unless and until such Proprietary Information has become available to the public generally without fault by Kennedy.</w:t>
      </w:r>
    </w:p>
    <w:p>
      <w:pPr>
        <w:spacing w:after="0" w:line="11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72"/>
          </w:cols>
          <w:pgMar w:left="248" w:top="270" w:right="279" w:bottom="1440" w:gutter="0" w:footer="0" w:header="0"/>
        </w:sectPr>
      </w:pPr>
    </w:p>
    <w:bookmarkStart w:id="389" w:name="page390"/>
    <w:bookmarkEnd w:id="389"/>
    <w:p>
      <w:pPr>
        <w:ind w:right="20" w:firstLine="921"/>
        <w:spacing w:after="0" w:line="256" w:lineRule="auto"/>
        <w:tabs>
          <w:tab w:leader="none" w:pos="1168"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Kennedy agrees that the portions of all files, letters, memoranda, reports, records, data, disks, electronic storage media, sketches, drawings, notebooks, program listings, or other written, photographic, or tangible material containing Proprietary Information (collectively, “Records”), whether created by Kennedy or others, which shall come into Kennedy’s custody or possession during the Restricted Period shall be and are the exclusive property of Company to be used by Kennedy only in the performance of his or her duties for the Company. All such Records or copies thereof in Kennedy’s custody or possession shall be delivered to the Company (i) upon any request by the Company and, in any event, (ii) upon the termination of the Restricted Period. After any such delivery, Employee shall not retain any such Records, copies thereof, or any other tangible property of Company.</w:t>
      </w:r>
    </w:p>
    <w:p>
      <w:pPr>
        <w:spacing w:after="0" w:line="187" w:lineRule="exact"/>
        <w:rPr>
          <w:rFonts w:ascii="Times New Roman" w:cs="Times New Roman" w:eastAsia="Times New Roman" w:hAnsi="Times New Roman"/>
          <w:sz w:val="18"/>
          <w:szCs w:val="18"/>
          <w:color w:val="auto"/>
        </w:rPr>
      </w:pPr>
    </w:p>
    <w:p>
      <w:pPr>
        <w:ind w:right="20" w:firstLine="921"/>
        <w:spacing w:after="0" w:line="266" w:lineRule="auto"/>
        <w:tabs>
          <w:tab w:leader="none" w:pos="1158"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Kennedy agrees that his obligations under Sections 2(a) and 2(b) above also extend to such types of information, know-how, records, and other tangible property of the Company’s customers, suppliers, or other third parties which may have disclosed or entrusted the same to Company or Kennedy in the course of Company’s business.</w:t>
      </w:r>
    </w:p>
    <w:p>
      <w:pPr>
        <w:spacing w:after="0" w:line="172" w:lineRule="exact"/>
        <w:rPr>
          <w:rFonts w:ascii="Times New Roman" w:cs="Times New Roman" w:eastAsia="Times New Roman" w:hAnsi="Times New Roman"/>
          <w:sz w:val="18"/>
          <w:szCs w:val="18"/>
          <w:color w:val="auto"/>
        </w:rPr>
      </w:pPr>
    </w:p>
    <w:p>
      <w:pPr>
        <w:jc w:val="both"/>
        <w:ind w:right="120" w:firstLine="464"/>
        <w:spacing w:after="0" w:line="274" w:lineRule="auto"/>
        <w:tabs>
          <w:tab w:leader="none" w:pos="636"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Other Agreements; Indemnification</w:t>
      </w:r>
      <w:r>
        <w:rPr>
          <w:rFonts w:ascii="Times New Roman" w:cs="Times New Roman" w:eastAsia="Times New Roman" w:hAnsi="Times New Roman"/>
          <w:sz w:val="17"/>
          <w:szCs w:val="17"/>
          <w:color w:val="auto"/>
        </w:rPr>
        <w:t>. Kennedy hereby represents that, except as he has disclosed in writing to Company, Kennedy is not bound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of any agreement with any previous employer or other party to refrain from (i) competing, directly or indirectly, with the business of such previous employer or any other party or (ii) using or disclosing any trade secret or confidential or proprietary information in the course of the Restricted Period.</w:t>
      </w:r>
    </w:p>
    <w:p>
      <w:pPr>
        <w:spacing w:after="0" w:line="1" w:lineRule="exact"/>
        <w:rPr>
          <w:rFonts w:ascii="Times New Roman" w:cs="Times New Roman" w:eastAsia="Times New Roman" w:hAnsi="Times New Roman"/>
          <w:sz w:val="17"/>
          <w:szCs w:val="17"/>
          <w:color w:val="auto"/>
        </w:rPr>
      </w:pPr>
    </w:p>
    <w:p>
      <w:pPr>
        <w:ind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Kennedy further represents that his performance of all the terms of this Agreement does not and will not breach any agreement to keep in confidence proprietary information, knowledge, or data acquired by Kennedy in confidence or in trust prior to the date of the Restricted Period, and Kennedy will not disclose to the Company or induce the Company to use any confidential or proprietary information or material belonging to any previous employer or others. Kennedy hereby indemnifies and agrees to defend and hold the Company harmless from and against any and all damages, liabilities, losses, costs, and expenses (including, without limitation, attorneys’ fees and the costs of investigation) resulting or arising directly or indirectly from any breach of the foregoing representations.</w:t>
      </w:r>
    </w:p>
    <w:p>
      <w:pPr>
        <w:spacing w:after="0" w:line="186" w:lineRule="exact"/>
        <w:rPr>
          <w:rFonts w:ascii="Times New Roman" w:cs="Times New Roman" w:eastAsia="Times New Roman" w:hAnsi="Times New Roman"/>
          <w:sz w:val="17"/>
          <w:szCs w:val="17"/>
          <w:color w:val="auto"/>
        </w:rPr>
      </w:pPr>
    </w:p>
    <w:p>
      <w:pPr>
        <w:ind w:right="200" w:firstLine="464"/>
        <w:spacing w:after="0" w:line="259" w:lineRule="auto"/>
        <w:tabs>
          <w:tab w:leader="none" w:pos="63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Necessity of Covenants; Injunctive Relief</w:t>
      </w:r>
      <w:r>
        <w:rPr>
          <w:rFonts w:ascii="Times New Roman" w:cs="Times New Roman" w:eastAsia="Times New Roman" w:hAnsi="Times New Roman"/>
          <w:sz w:val="18"/>
          <w:szCs w:val="18"/>
          <w:color w:val="auto"/>
        </w:rPr>
        <w:t>. Kennedy acknowledges that a breach or threatened breach of this Agreement would give rise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irreparable harm to the Company, for which monetary damages would not be an adequate remedy, and hereby agrees that in the event of a breach or a threatened breach by Kennedy of any such obligations, the Company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w:t>
      </w:r>
    </w:p>
    <w:p>
      <w:pPr>
        <w:spacing w:after="0" w:line="17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Contract</w:t>
      </w:r>
      <w:r>
        <w:rPr>
          <w:rFonts w:ascii="Times New Roman" w:cs="Times New Roman" w:eastAsia="Times New Roman" w:hAnsi="Times New Roman"/>
          <w:sz w:val="18"/>
          <w:szCs w:val="18"/>
          <w:color w:val="auto"/>
        </w:rPr>
        <w:t>. Employee understands that this Agreement does not constitute a contract of employment by the Company.</w:t>
      </w:r>
    </w:p>
    <w:p>
      <w:pPr>
        <w:spacing w:after="0" w:line="225" w:lineRule="exact"/>
        <w:rPr>
          <w:rFonts w:ascii="Times New Roman" w:cs="Times New Roman" w:eastAsia="Times New Roman" w:hAnsi="Times New Roman"/>
          <w:sz w:val="18"/>
          <w:szCs w:val="18"/>
          <w:color w:val="auto"/>
        </w:rPr>
      </w:pPr>
    </w:p>
    <w:p>
      <w:pPr>
        <w:ind w:firstLine="464"/>
        <w:spacing w:after="0" w:line="259" w:lineRule="auto"/>
        <w:tabs>
          <w:tab w:leader="none" w:pos="63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Acknowledgement of Kennedy’s Conduct of Medical Device Business</w:t>
      </w:r>
      <w:r>
        <w:rPr>
          <w:rFonts w:ascii="Times New Roman" w:cs="Times New Roman" w:eastAsia="Times New Roman" w:hAnsi="Times New Roman"/>
          <w:sz w:val="18"/>
          <w:szCs w:val="18"/>
          <w:color w:val="auto"/>
        </w:rPr>
        <w:t>. The Company acknowledges that Kennedy is engaged,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engage, in the manufacture and sale of medical devices (the “Medical Device Business”) utilizing processes, know-how and precision machining substantially similar to those utilized by the Company in connection with the Autocam Business. The Company agrees that nothing contained herein shall in any way limit Kennedy’s ability to engage in the Medical Device Business or to utilize such processes, know-how and precision machining in connection with such Medical Device Business.</w:t>
      </w:r>
    </w:p>
    <w:p>
      <w:pPr>
        <w:spacing w:after="0" w:line="17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380" w:firstLine="921"/>
        <w:spacing w:after="0" w:line="282" w:lineRule="auto"/>
        <w:tabs>
          <w:tab w:leader="none" w:pos="1158"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covenants and representations set forth in Sections 1, 2, and 3 of this Agreement, the “Company” shall include (i) any corporation, partnership, limited liability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390" w:name="page391"/>
    <w:bookmarkEnd w:id="390"/>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business entity of which an aggregate of 50% or more of the outstanding voting stock, membership interests, or other ownership interests are at any time directly or indirectly owned by the Company, (ii) Autocam, and (iii) the Subsidiaries.</w:t>
      </w:r>
    </w:p>
    <w:p>
      <w:pPr>
        <w:spacing w:after="0" w:line="162" w:lineRule="exact"/>
        <w:rPr>
          <w:sz w:val="20"/>
          <w:szCs w:val="20"/>
          <w:color w:val="auto"/>
        </w:rPr>
      </w:pPr>
    </w:p>
    <w:p>
      <w:pPr>
        <w:ind w:firstLine="921"/>
        <w:spacing w:after="0" w:line="282" w:lineRule="auto"/>
        <w:tabs>
          <w:tab w:leader="none" w:pos="116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interpreted in accordance with the substantive laws of the state of Delaware, without regard to the choice or conflict of law rules of such state.</w:t>
      </w:r>
    </w:p>
    <w:p>
      <w:pPr>
        <w:spacing w:after="0" w:line="161" w:lineRule="exact"/>
        <w:rPr>
          <w:rFonts w:ascii="Times New Roman" w:cs="Times New Roman" w:eastAsia="Times New Roman" w:hAnsi="Times New Roman"/>
          <w:sz w:val="18"/>
          <w:szCs w:val="18"/>
          <w:color w:val="auto"/>
        </w:rPr>
      </w:pPr>
    </w:p>
    <w:p>
      <w:pPr>
        <w:ind w:firstLine="921"/>
        <w:spacing w:after="0" w:line="261" w:lineRule="auto"/>
        <w:tabs>
          <w:tab w:leader="none" w:pos="115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suit or proceeding against Kennedy to enforce any of the provisions of this Agreement or on account of any damages sustained (or alleged to have been sustained) is brought by the Company by reason of Kennedy’s violation or alleged violation of any of the provisions of this Agreement, the parties agree that, in addition to other costs and damages, all reasonable costs and attorneys’ fees incurred by the party prevailing in such action shall be paid by the other party.</w:t>
      </w:r>
    </w:p>
    <w:p>
      <w:pPr>
        <w:spacing w:after="0" w:line="180" w:lineRule="exact"/>
        <w:rPr>
          <w:rFonts w:ascii="Times New Roman" w:cs="Times New Roman" w:eastAsia="Times New Roman" w:hAnsi="Times New Roman"/>
          <w:sz w:val="18"/>
          <w:szCs w:val="18"/>
          <w:color w:val="auto"/>
        </w:rPr>
      </w:pPr>
    </w:p>
    <w:p>
      <w:pPr>
        <w:ind w:right="40" w:firstLine="921"/>
        <w:spacing w:after="0" w:line="261" w:lineRule="auto"/>
        <w:tabs>
          <w:tab w:leader="none" w:pos="116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effective as of the Closing Date of the Merger. If the Closing does not occur, this Agreement shall be void and of no further force and effect and there shall be no liability on the part of any party hereto, except that the provisions of Section 2 shall survive. The duties and obligations of Kennedy, with respect to any rights accruing to Company under this Agreement during the term of the Restricted Period and thereafter, shall survive any termination of the Restricted Period.</w:t>
      </w:r>
    </w:p>
    <w:p>
      <w:pPr>
        <w:spacing w:after="0" w:line="180" w:lineRule="exact"/>
        <w:rPr>
          <w:rFonts w:ascii="Times New Roman" w:cs="Times New Roman" w:eastAsia="Times New Roman" w:hAnsi="Times New Roman"/>
          <w:sz w:val="18"/>
          <w:szCs w:val="18"/>
          <w:color w:val="auto"/>
        </w:rPr>
      </w:pPr>
    </w:p>
    <w:p>
      <w:pPr>
        <w:ind w:firstLine="921"/>
        <w:spacing w:after="0" w:line="256" w:lineRule="auto"/>
        <w:tabs>
          <w:tab w:leader="none" w:pos="115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rFonts w:ascii="Times New Roman" w:cs="Times New Roman" w:eastAsia="Times New Roman" w:hAnsi="Times New Roman"/>
          <w:sz w:val="18"/>
          <w:szCs w:val="18"/>
          <w:color w:val="auto"/>
        </w:rPr>
      </w:pPr>
    </w:p>
    <w:p>
      <w:pPr>
        <w:ind w:firstLine="921"/>
        <w:spacing w:after="0" w:line="256" w:lineRule="auto"/>
        <w:tabs>
          <w:tab w:leader="none" w:pos="113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of a PDF document (with confirmation of transmission) if sent during normal business hours of the recipient, and on the next Business Day if sent after normal business hours of the recipient or (iv) on the third (3rd) day after the date mailed, by certified or registered mail, return receipt requested, postage prepaid. Such communications must be sent to the respective parties at the following addresses</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Company,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2000 Waters Edge Drive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James H. Dorton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423-743-7670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james.dorton@nninc.com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0" w:right="299" w:bottom="1440" w:gutter="0" w:footer="0" w:header="0"/>
        </w:sectPr>
      </w:pPr>
    </w:p>
    <w:bookmarkStart w:id="391" w:name="page392"/>
    <w:bookmarkEnd w:id="391"/>
    <w:p>
      <w:pPr>
        <w:ind w:left="12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 (which shall not constitute notice):</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Husch Blackwell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4801 Main St., Suite 1000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Kansas City, MO 64112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John D. Moore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Facsimile: 816 983-8000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john.moore@huschblackwell.com</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If to Kennedy, to:</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John C. Kennedy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4162 East Paris Avenue, 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Kentwood, MI 49512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Facsimile No.: 616-698-6876</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JKENNEDY@Autocam.com</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Weathers, PC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333 Bridge Street, Suite 800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Tony Barnes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Facsimile: 616-913-1222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tbarnes@lawweathers.com</w:t>
      </w:r>
    </w:p>
    <w:p>
      <w:pPr>
        <w:spacing w:after="0" w:line="207" w:lineRule="exact"/>
        <w:rPr>
          <w:sz w:val="20"/>
          <w:szCs w:val="20"/>
          <w:color w:val="auto"/>
        </w:rPr>
      </w:pPr>
    </w:p>
    <w:p>
      <w:pPr>
        <w:ind w:left="-240" w:right="80" w:firstLine="921"/>
        <w:spacing w:after="0" w:line="282" w:lineRule="auto"/>
        <w:tabs>
          <w:tab w:leader="none" w:pos="92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embodies the entire agreement among the parties hereto with respect to the subject matter hereof and supersedes all prior agreements and understandings relating to such subject matter.</w:t>
      </w:r>
    </w:p>
    <w:p>
      <w:pPr>
        <w:spacing w:after="0" w:line="161" w:lineRule="exact"/>
        <w:rPr>
          <w:rFonts w:ascii="Times New Roman" w:cs="Times New Roman" w:eastAsia="Times New Roman" w:hAnsi="Times New Roman"/>
          <w:sz w:val="18"/>
          <w:szCs w:val="18"/>
          <w:color w:val="auto"/>
        </w:rPr>
      </w:pPr>
    </w:p>
    <w:p>
      <w:pPr>
        <w:ind w:left="-240" w:right="780" w:firstLine="921"/>
        <w:spacing w:after="0" w:line="282" w:lineRule="auto"/>
        <w:tabs>
          <w:tab w:leader="none" w:pos="92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each of the parties hereto and their respective successors, legal representatives, and permitted assigns.</w:t>
      </w:r>
    </w:p>
    <w:p>
      <w:pPr>
        <w:spacing w:after="0" w:line="161" w:lineRule="exact"/>
        <w:rPr>
          <w:rFonts w:ascii="Times New Roman" w:cs="Times New Roman" w:eastAsia="Times New Roman" w:hAnsi="Times New Roman"/>
          <w:sz w:val="18"/>
          <w:szCs w:val="18"/>
          <w:color w:val="auto"/>
        </w:rPr>
      </w:pPr>
    </w:p>
    <w:p>
      <w:pPr>
        <w:ind w:left="-240" w:firstLine="921"/>
        <w:spacing w:after="0" w:line="282" w:lineRule="auto"/>
        <w:tabs>
          <w:tab w:leader="none" w:pos="88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used in this Agreement are for convenience only, do not constitute a part of this Agreement, and shall not be used as an aid to the interpretation of this Agreement.</w:t>
      </w:r>
    </w:p>
    <w:p>
      <w:pPr>
        <w:spacing w:after="0" w:line="161" w:lineRule="exact"/>
        <w:rPr>
          <w:rFonts w:ascii="Times New Roman" w:cs="Times New Roman" w:eastAsia="Times New Roman" w:hAnsi="Times New Roman"/>
          <w:sz w:val="18"/>
          <w:szCs w:val="18"/>
          <w:color w:val="auto"/>
        </w:rPr>
      </w:pPr>
    </w:p>
    <w:p>
      <w:pPr>
        <w:ind w:left="-240" w:firstLine="921"/>
        <w:spacing w:after="0" w:line="282" w:lineRule="auto"/>
        <w:tabs>
          <w:tab w:leader="none" w:pos="88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do all acts and things and execute all documents and instruments which the other party reasonably requests in order to carry out or give further effect to the provisions of this Agreement.</w:t>
      </w:r>
    </w:p>
    <w:p>
      <w:pPr>
        <w:spacing w:after="0" w:line="161" w:lineRule="exact"/>
        <w:rPr>
          <w:rFonts w:ascii="Times New Roman" w:cs="Times New Roman" w:eastAsia="Times New Roman" w:hAnsi="Times New Roman"/>
          <w:sz w:val="18"/>
          <w:szCs w:val="18"/>
          <w:color w:val="auto"/>
        </w:rPr>
      </w:pPr>
    </w:p>
    <w:p>
      <w:pPr>
        <w:ind w:left="-240" w:right="180" w:firstLine="921"/>
        <w:spacing w:after="0" w:line="282" w:lineRule="auto"/>
        <w:tabs>
          <w:tab w:leader="none" w:pos="92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shall be deemed an original, but all of which together shall constitute but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70" w:right="47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Holder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D. Holder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9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JOHN C. KENNEDY</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Kennedy Noncompete</w:t>
      </w:r>
      <w:r>
        <w:rPr>
          <w:rFonts w:ascii="Times New Roman" w:cs="Times New Roman" w:eastAsia="Times New Roman" w:hAnsi="Times New Roman"/>
          <w:sz w:val="18"/>
          <w:szCs w:val="18"/>
          <w:color w:val="auto"/>
        </w:rPr>
        <w:t>]</w:t>
      </w:r>
    </w:p>
    <w:p>
      <w:pPr>
        <w:sectPr>
          <w:pgSz w:w="11900" w:h="16838" w:orient="portrait"/>
          <w:cols w:equalWidth="0" w:num="1">
            <w:col w:w="10960"/>
          </w:cols>
          <w:pgMar w:left="700" w:top="265" w:right="2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This TRANSITION SERVICES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Autocam Corporation, a Michigan corporation (“</w:t>
      </w:r>
      <w:r>
        <w:rPr>
          <w:rFonts w:ascii="Times New Roman" w:cs="Times New Roman" w:eastAsia="Times New Roman" w:hAnsi="Times New Roman"/>
          <w:sz w:val="18"/>
          <w:szCs w:val="18"/>
          <w:u w:val="single" w:color="auto"/>
          <w:color w:val="auto"/>
        </w:rPr>
        <w:t>Autocam</w:t>
      </w:r>
      <w:r>
        <w:rPr>
          <w:rFonts w:ascii="Times New Roman" w:cs="Times New Roman" w:eastAsia="Times New Roman" w:hAnsi="Times New Roman"/>
          <w:sz w:val="18"/>
          <w:szCs w:val="18"/>
          <w:color w:val="auto"/>
        </w:rPr>
        <w:t>”) and Autocam Medical Devices, LLC, a Michigan limited liability company (“</w:t>
      </w:r>
      <w:r>
        <w:rPr>
          <w:rFonts w:ascii="Times New Roman" w:cs="Times New Roman" w:eastAsia="Times New Roman" w:hAnsi="Times New Roman"/>
          <w:sz w:val="18"/>
          <w:szCs w:val="18"/>
          <w:u w:val="single" w:color="auto"/>
          <w:color w:val="auto"/>
        </w:rPr>
        <w:t>Medical</w:t>
      </w:r>
      <w:r>
        <w:rPr>
          <w:rFonts w:ascii="Times New Roman" w:cs="Times New Roman" w:eastAsia="Times New Roman" w:hAnsi="Times New Roman"/>
          <w:sz w:val="18"/>
          <w:szCs w:val="18"/>
          <w:color w:val="auto"/>
        </w:rPr>
        <w:t>”) is effective as of the Closing (as such term is defined in the Merger Agreement (as defined below)). Autocam and Medical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Agreement, Autocam and Medical were Affiliates of each other and Autocam has provided certain sales and marketing, information technology, accounting, finance, corporate management, human resources and other related support services to Medical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WHEREAS, Autocam has entered into an Agreement and Plan of Merger dated July 18, 2014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 subsidiary of NN, Inc. will merge with and into Autocam and Autocam will become a wholly-owned subsidiary of NN, Inc. and will no longer be an Affiliate of Medical;</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WHEREAS, the Parties have agreed to enter into this Agreement for Autocam to, during the Transition Period (as hereinafter defined), continue to provide the Services to Medical, subject to the terms and conditions set forth herein;</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WHEREAS, this Agreement is being entered into pursuant to the terms of the Merger Agreement, and the execution of this Agreement by the Parties is a condition precedent to the Closing of the transactions contemplated by the Merger Agreement; and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capitalized terms used but not otherwise defined herein shall have the meaning ascribed to them in the Merger Agreement.</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set forth herein and for other good and valuable consideration, the receipt and sufficiency of which are hereby acknowledged, the Parties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TRANSITION SERVICES</w:t>
      </w:r>
    </w:p>
    <w:p>
      <w:pPr>
        <w:spacing w:after="0" w:line="229"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Transition Services</w:t>
      </w:r>
      <w:r>
        <w:rPr>
          <w:rFonts w:ascii="Times New Roman" w:cs="Times New Roman" w:eastAsia="Times New Roman" w:hAnsi="Times New Roman"/>
          <w:sz w:val="18"/>
          <w:szCs w:val="18"/>
          <w:color w:val="auto"/>
        </w:rPr>
        <w:t>. Subject to the terms and conditions set forth in this Agreement, during the Transition Period (as defined in Section 1.2 below) and for any month for which Medical exercises its option to extend, Autocam shall continue to provide each of the Services that it has provided to Medical prior to the Closing Date in each case consistent with past practice (the “</w:t>
      </w:r>
      <w:r>
        <w:rPr>
          <w:rFonts w:ascii="Times New Roman" w:cs="Times New Roman" w:eastAsia="Times New Roman" w:hAnsi="Times New Roman"/>
          <w:sz w:val="18"/>
          <w:szCs w:val="18"/>
          <w:u w:val="single" w:color="auto"/>
          <w:color w:val="auto"/>
        </w:rPr>
        <w:t>Transition Services</w:t>
      </w:r>
      <w:r>
        <w:rPr>
          <w:rFonts w:ascii="Times New Roman" w:cs="Times New Roman" w:eastAsia="Times New Roman" w:hAnsi="Times New Roman"/>
          <w:sz w:val="18"/>
          <w:szCs w:val="18"/>
          <w:color w:val="auto"/>
        </w:rPr>
        <w:t>”). Autocam shall provide the Transition Services with at least the same degree of care, skill, prudence, quality, level and efficiency as was provided by Autocam to Medical for the Services immediately prior to the Closing consistent with past practice. Autocam shall not retain any third-party service providers to provide the Transition Services without the prior written consent of Medical. The Parties agree to reasonably cooperate</w:t>
      </w:r>
    </w:p>
    <w:p>
      <w:pPr>
        <w:sectPr>
          <w:pgSz w:w="11900" w:h="16838" w:orient="portrait"/>
          <w:cols w:equalWidth="0" w:num="1">
            <w:col w:w="11420"/>
          </w:cols>
          <w:pgMar w:left="240" w:top="117" w:right="239" w:bottom="1440" w:gutter="0" w:footer="0" w:header="0"/>
        </w:sectPr>
      </w:pPr>
    </w:p>
    <w:bookmarkStart w:id="394" w:name="page395"/>
    <w:bookmarkEnd w:id="394"/>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each other in all matters relating to the provision and receipt of the Transition Services. Medical shall provide to Autocam, in a timely manner, all information, access to facilities, personnel, assets and other assistance reasonably requested by Autocam to provide the Transition Services. The Transition Services shall be provided in compliance with applicable Laws.</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 and Termination of Transition Services</w:t>
      </w:r>
      <w:r>
        <w:rPr>
          <w:rFonts w:ascii="Times New Roman" w:cs="Times New Roman" w:eastAsia="Times New Roman" w:hAnsi="Times New Roman"/>
          <w:sz w:val="18"/>
          <w:szCs w:val="18"/>
          <w:color w:val="auto"/>
        </w:rPr>
        <w:t>. Subject to earlier termination as provided in Article V hereto or as otherwise extended pursuant to this Section 1.2, the term of this Agreement shall commence as of the Closing and shall terminate upon the date which is twelve (12) months after the Closing Date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Notwithstanding anything contained herein to the contrary, Medical shall have the option, upon prior written notice to Autocam, to extend this Agreement with respect to the Transition Services for an additional number of months (not to exceed twelve (12) additional months after the end of the Transition Period) as requested by Medical at the rate of the Transition Service Fee (as defined below).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 FOR TRANSITION SERVICES</w:t>
      </w:r>
    </w:p>
    <w:p>
      <w:pPr>
        <w:spacing w:after="0" w:line="229"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2.1 Subject to Section 1.2 and Article V, Medical shall pay Autocam a fee of $62,500.00 per month for the Transition Services, payable in arrears within thirty (30) days after the end of each month (the “</w:t>
      </w:r>
      <w:r>
        <w:rPr>
          <w:rFonts w:ascii="Times New Roman" w:cs="Times New Roman" w:eastAsia="Times New Roman" w:hAnsi="Times New Roman"/>
          <w:sz w:val="18"/>
          <w:szCs w:val="18"/>
          <w:u w:val="single" w:color="auto"/>
          <w:color w:val="auto"/>
        </w:rPr>
        <w:t>Transition Service Fee</w:t>
      </w:r>
      <w:r>
        <w:rPr>
          <w:rFonts w:ascii="Times New Roman" w:cs="Times New Roman" w:eastAsia="Times New Roman" w:hAnsi="Times New Roman"/>
          <w:sz w:val="18"/>
          <w:szCs w:val="18"/>
          <w:color w:val="auto"/>
        </w:rPr>
        <w:t>”, as may be reduced pursuant to Section 5.3) during the Transition Period and for any month for which Medical exercises its option to extend. For the avoidance of doubt, the Transition Service Fee shall compensate Autocam for paying all salary, benefits, income tax, social security taxes, unemployment compensation, workers’ compensation and other employment-related expenses incurred with respect to employees or contractors of Autocam used to provide the Transition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3.1 Each Party has and will have access to certain oral and written information concerning the other Party and its business, products, services and records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provided, that, “Confidential Information” will not include such information that can be shown to have been (a) in the public domain through no fault of such Party or its Affiliates or (b) later lawfully acquired by such Party from sources other than those related to it being a party to this Agreement or providing or receiving the Transition Services. Each Party agrees, both during the term of this Agreement and thereafter, to hold the other Party’s Confidential Information in confidence and to exercise diligence in protecting and safeguarding such information, unless compelled to disclose such Confidential Information by Law. Without limiting the generality of the foregoing, neither Party will use any of the Confidential Information for any purpose other than carrying out its obligations under this Agreement. Notwithstanding the foregoing, the Parties acknowledge and agree that nothing in this Agreement shall limit John C. Kennedy’s ability to use any Confidential Information in accordance with Section 6 of the Noncompetition and Nondisclosure Agreement, dated as of July 18, 2014, by and between John C. Kennedy and NN, Inc.</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395" w:name="page396"/>
    <w:bookmarkEnd w:id="395"/>
    <w:p>
      <w:pPr>
        <w:ind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 Autocam shall, and shall cause its Representatives to, protect the Confidential Information of Medical by using the same degree of care to prevent the unauthorized disclosure of such as Autocam uses to protect its own confidential information of a like nature, and shall be liable for any breach by any of its Representatives of this Section 3.2.</w:t>
      </w:r>
    </w:p>
    <w:p>
      <w:pPr>
        <w:spacing w:after="0" w:line="176"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3.3 Each Party shall comply with all applicable state, federal and foreign privacy and data protection Laws that are or that may in the future be applicable to the provision of Transition Services hereunder.</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4.1 All work product that is created or developed by Autocam or its Affiliates during the course of or as part of the Transition Services and all Intellectual Property rights therein that primarily relate to the Transition Services provided hereunder (the “</w:t>
      </w:r>
      <w:r>
        <w:rPr>
          <w:rFonts w:ascii="Times New Roman" w:cs="Times New Roman" w:eastAsia="Times New Roman" w:hAnsi="Times New Roman"/>
          <w:sz w:val="18"/>
          <w:szCs w:val="18"/>
          <w:u w:val="single" w:color="auto"/>
          <w:color w:val="auto"/>
        </w:rPr>
        <w:t>Works</w:t>
      </w:r>
      <w:r>
        <w:rPr>
          <w:rFonts w:ascii="Times New Roman" w:cs="Times New Roman" w:eastAsia="Times New Roman" w:hAnsi="Times New Roman"/>
          <w:sz w:val="18"/>
          <w:szCs w:val="18"/>
          <w:color w:val="auto"/>
        </w:rPr>
        <w:t>”) shall be owned by and shall be the exclusive property of Medical. Autocam acknowledges and agrees that, to the fullest extent allowed by Law, all of the Works are “works made for hire,” as that phrase is defined in the Copyright Revision Act of 1976 (17 U.S.C. § 101), for Medical. Autocam shall retain ownership of all other work product.</w:t>
      </w:r>
    </w:p>
    <w:p>
      <w:pPr>
        <w:spacing w:after="0" w:line="180"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4.2 To the extent that any such Works do not qualify for any reason as works made for hire, Autocam hereby irrevocably assigns to Medical any and all of its right, title and interest in and to the Works.</w:t>
      </w:r>
    </w:p>
    <w:p>
      <w:pPr>
        <w:spacing w:after="0" w:line="162"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color w:val="auto"/>
        </w:rPr>
        <w:t>4.3 Medical hereby grants Autocam a limited nontransferable, revocable license, without the right to sublicense, to use the Intellectual Property owned by Medical solely to the extent necessary for Autocam to perform its obligations hereunder during the Term. All right, title and interest in and to the Intellectual Property owned by Medical not expressly granted herein are reserved by Medical.</w:t>
      </w:r>
    </w:p>
    <w:p>
      <w:pPr>
        <w:spacing w:after="0" w:line="176"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4.4 Autocam hereby grants to Medical a royalty-free, non-exclusive, irrevocable, perpetual and sublicensable right and license worldwide to use all information developed or used during the course of or as part of the Transition Services provided hereunder.</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 upon Material Breach</w:t>
      </w:r>
      <w:r>
        <w:rPr>
          <w:rFonts w:ascii="Times New Roman" w:cs="Times New Roman" w:eastAsia="Times New Roman" w:hAnsi="Times New Roman"/>
          <w:sz w:val="18"/>
          <w:szCs w:val="18"/>
          <w:color w:val="auto"/>
        </w:rPr>
        <w:t>. In the event of any material breach of any provision of this Agreement, the non-defaulting Party shall give the defaulting Party written notice, and such defaulting Party shall have fifteen (15) calendar days after receiving such notice to cure the breach to the satisfaction of the non-defaulting Party within. If such defaulting Party does not cure such breach within such time frame, the other Party may, in addition to its other rights and remedies hereunder, elect to terminate this Agreement by giving written notice of such election to the defaulting Party.</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0" w:right="339" w:bottom="1440" w:gutter="0" w:footer="0" w:header="0"/>
        </w:sectPr>
      </w:pPr>
    </w:p>
    <w:bookmarkStart w:id="396" w:name="page397"/>
    <w:bookmarkEnd w:id="396"/>
    <w:p>
      <w:pPr>
        <w:ind w:right="180" w:firstLine="913"/>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Bankruptcy Termination</w:t>
      </w:r>
      <w:r>
        <w:rPr>
          <w:rFonts w:ascii="Times New Roman" w:cs="Times New Roman" w:eastAsia="Times New Roman" w:hAnsi="Times New Roman"/>
          <w:sz w:val="18"/>
          <w:szCs w:val="18"/>
          <w:color w:val="auto"/>
        </w:rPr>
        <w:t>. Either Party shall have the right to terminate this Agreement immediately upon written notice to the other Party if the other Party: (a) makes an assignment for the benefit of creditors; (b) has an order for relief under Titles 7 or 11 of the United States Bankruptcy Code entered against it; (c) has a trustee or receiver appointed by any court for all or substantially all of its assets; (d) files a voluntary petition in bankruptcy;</w:t>
      </w:r>
    </w:p>
    <w:p>
      <w:pPr>
        <w:spacing w:after="0" w:line="2" w:lineRule="exact"/>
        <w:rPr>
          <w:sz w:val="20"/>
          <w:szCs w:val="20"/>
          <w:color w:val="auto"/>
        </w:rPr>
      </w:pPr>
    </w:p>
    <w:p>
      <w:pPr>
        <w:ind w:right="140" w:firstLine="8"/>
        <w:spacing w:after="0" w:line="261" w:lineRule="auto"/>
        <w:tabs>
          <w:tab w:leader="none" w:pos="24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an involuntary petition in bankruptcy; or (f) fails to vacate an involuntary petition in bankruptcy within sixty (60) days from the date of entry thereof.</w:t>
      </w:r>
    </w:p>
    <w:p>
      <w:pPr>
        <w:spacing w:after="0" w:line="18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General Termination</w:t>
      </w:r>
      <w:r>
        <w:rPr>
          <w:rFonts w:ascii="Times New Roman" w:cs="Times New Roman" w:eastAsia="Times New Roman" w:hAnsi="Times New Roman"/>
          <w:sz w:val="18"/>
          <w:szCs w:val="18"/>
          <w:color w:val="auto"/>
        </w:rPr>
        <w:t>. Medical shall have the right, for any reason or for no reason, upon prior written notice to Autocam, to direct that any or all of the Transition Services be terminated effective on a date established by Medical that is prior to the end of the Transition Period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The exercise of the Termination Right shall not (a) relieve Autocam of its obligations to provide, nor cause the termination of, the remaining Transition Services in accordance with the terms of this Agreement or (b) cause a termination of this Agreement or relieve Medical of its obligation to pay the full amount of the Transition Service Fee, subject to the following sentence, during the Transition Period and for any month for which Medical exercises its option to extend. In the event that a proposed termination of a Transition Service will, as reasonably agreed by Autocam, result in a corresponding reduction in Autocam’s expenses, the Transition Service Fee shall be reduced by an amount to be agreed between the Parties.</w:t>
      </w:r>
    </w:p>
    <w:p>
      <w:pPr>
        <w:spacing w:after="0" w:line="18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Payment for Transition Services Before Termination</w:t>
      </w:r>
      <w:r>
        <w:rPr>
          <w:rFonts w:ascii="Times New Roman" w:cs="Times New Roman" w:eastAsia="Times New Roman" w:hAnsi="Times New Roman"/>
          <w:sz w:val="18"/>
          <w:szCs w:val="18"/>
          <w:color w:val="auto"/>
        </w:rPr>
        <w:t>. In the event of a termination of this Agreement, Autocam shall be entitled to receive payment, within thirty (30) days after the effective date of such termination, of all accrued and unpaid Transition Service Fees through the date of termination, prorated for partial months.</w:t>
      </w:r>
    </w:p>
    <w:p>
      <w:pPr>
        <w:spacing w:after="0" w:line="176"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Article III and Article VI of this Agreement shall survive any termination of this Agreement. Termination of this Agreement shall not relieve either Party of any liability to the other Party for any breach or nonfulfillment of any covenant or agreement contained in this Agreement occurring prior to such termination.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80" w:firstLine="913"/>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Party shall indemnify, defend and hold harmless the other Party and its successors, officers, directors, agents, and employees from and against any and all damages, liabilities, losses, claims, actions and expenses arising from the first Party’s (a) fraud, gross negligence or willful misconduct or (b) action or inaction which causes material breach of this Agreement.</w:t>
      </w:r>
    </w:p>
    <w:p>
      <w:pPr>
        <w:spacing w:after="0" w:line="176"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If any Party receives notice of the assertion of any third-party claim with respect to which a Party is or may be obligated under this Agreement to provide indemnification, such Party shall give the other Party notice thereof promptly after becoming aware of such third-party claim; provided, however, that the failure to give notice as provided in this Section 6.2 shall not relieve any Party of its obligations under this Section 6.2, except to the extent that such Party is actually prejudiced by such failure to give notice. Such notice shall describe such third-party claim in reasonable detail.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397" w:name="page398"/>
    <w:bookmarkEnd w:id="39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Representations and Warranties of Autocam</w:t>
      </w:r>
      <w:r>
        <w:rPr>
          <w:rFonts w:ascii="Times New Roman" w:cs="Times New Roman" w:eastAsia="Times New Roman" w:hAnsi="Times New Roman"/>
          <w:sz w:val="18"/>
          <w:szCs w:val="18"/>
          <w:color w:val="auto"/>
        </w:rPr>
        <w:t>. Autocam represents and warrants to Medical as follows:</w:t>
      </w:r>
    </w:p>
    <w:p>
      <w:pPr>
        <w:spacing w:after="0" w:line="225" w:lineRule="exact"/>
        <w:rPr>
          <w:sz w:val="20"/>
          <w:szCs w:val="20"/>
          <w:color w:val="auto"/>
        </w:rPr>
      </w:pPr>
    </w:p>
    <w:p>
      <w:pPr>
        <w:ind w:left="-8" w:right="60" w:firstLine="1492"/>
        <w:spacing w:after="0" w:line="282" w:lineRule="auto"/>
        <w:tabs>
          <w:tab w:leader="none" w:pos="172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Autocam is a corporation duly incorporated, validly existing and in good standing under the laws of the State of Michigan and has all requisite corporate power and authority to enter into this Agreement and to perform its obligations hereunder.</w:t>
      </w:r>
    </w:p>
    <w:p>
      <w:pPr>
        <w:spacing w:after="0" w:line="161" w:lineRule="exact"/>
        <w:rPr>
          <w:rFonts w:ascii="Times New Roman" w:cs="Times New Roman" w:eastAsia="Times New Roman" w:hAnsi="Times New Roman"/>
          <w:sz w:val="18"/>
          <w:szCs w:val="18"/>
          <w:color w:val="auto"/>
        </w:rPr>
      </w:pPr>
    </w:p>
    <w:p>
      <w:pPr>
        <w:ind w:left="-8" w:right="100" w:firstLine="1492"/>
        <w:spacing w:after="0" w:line="282" w:lineRule="auto"/>
        <w:tabs>
          <w:tab w:leader="none" w:pos="173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Autocam and no additional proceedings on the part of Autocam are necessary to authorize the consummation of this Agreement or the transactions contemplated hereby.</w:t>
      </w:r>
    </w:p>
    <w:p>
      <w:pPr>
        <w:spacing w:after="0" w:line="161" w:lineRule="exact"/>
        <w:rPr>
          <w:rFonts w:ascii="Times New Roman" w:cs="Times New Roman" w:eastAsia="Times New Roman" w:hAnsi="Times New Roman"/>
          <w:sz w:val="18"/>
          <w:szCs w:val="18"/>
          <w:color w:val="auto"/>
        </w:rPr>
      </w:pPr>
    </w:p>
    <w:p>
      <w:pPr>
        <w:jc w:val="both"/>
        <w:ind w:left="-8" w:right="480" w:firstLine="1492"/>
        <w:spacing w:after="0" w:line="266" w:lineRule="auto"/>
        <w:tabs>
          <w:tab w:leader="none" w:pos="172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this Agreement constitutes a valid and binding agreement of Medical, this Agreement constitutes a valid and binding agreement of Autocam, enforceable in accordance with its terms, subject to bankruptcy, insolvency, fraudulent transfer, reorganization, moratorium and similar Laws of general applicability relating to or affecting creditors’ rights and to general equity principles.</w:t>
      </w:r>
    </w:p>
    <w:p>
      <w:pPr>
        <w:spacing w:after="0" w:line="176" w:lineRule="exact"/>
        <w:rPr>
          <w:rFonts w:ascii="Times New Roman" w:cs="Times New Roman" w:eastAsia="Times New Roman" w:hAnsi="Times New Roman"/>
          <w:sz w:val="18"/>
          <w:szCs w:val="18"/>
          <w:color w:val="auto"/>
        </w:rPr>
      </w:pPr>
    </w:p>
    <w:p>
      <w:pPr>
        <w:ind w:left="-8" w:firstLine="1492"/>
        <w:spacing w:after="0" w:line="257" w:lineRule="auto"/>
        <w:tabs>
          <w:tab w:leader="none" w:pos="173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Autocam of this Agreement and the consummation of the transactions contemplated hereby do not and will not (i) violate or conflict with the organizational documents of Autocam, (ii) violate, conflict with or result in a default under, or constitute an event that, whether after the giving of notice or lapse of time or both, would result in a violation, conflict or default under, any applicable Law or</w:t>
      </w:r>
    </w:p>
    <w:p>
      <w:pPr>
        <w:spacing w:after="0" w:line="1"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contravene any Order to which Autocam is a party or by which it is bound.</w:t>
      </w:r>
    </w:p>
    <w:p>
      <w:pPr>
        <w:spacing w:after="0" w:line="20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Representations and Warranties of Medical</w:t>
      </w:r>
      <w:r>
        <w:rPr>
          <w:rFonts w:ascii="Times New Roman" w:cs="Times New Roman" w:eastAsia="Times New Roman" w:hAnsi="Times New Roman"/>
          <w:sz w:val="18"/>
          <w:szCs w:val="18"/>
          <w:color w:val="auto"/>
        </w:rPr>
        <w:t>. Medical represents and warrants to Autocam as follows:</w:t>
      </w:r>
    </w:p>
    <w:p>
      <w:pPr>
        <w:spacing w:after="0" w:line="225" w:lineRule="exact"/>
        <w:rPr>
          <w:sz w:val="20"/>
          <w:szCs w:val="20"/>
          <w:color w:val="auto"/>
        </w:rPr>
      </w:pPr>
    </w:p>
    <w:p>
      <w:pPr>
        <w:ind w:left="-8" w:right="40" w:firstLine="1492"/>
        <w:spacing w:after="0" w:line="282" w:lineRule="auto"/>
        <w:tabs>
          <w:tab w:leader="none" w:pos="172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is a limited liability company duly formed, validly existing and in good standing under the laws of the State of Michigan and has all requisite limited liability company power and authority to enter into this Agreement and to perform its obligations hereunder.</w:t>
      </w:r>
    </w:p>
    <w:p>
      <w:pPr>
        <w:spacing w:after="0" w:line="161" w:lineRule="exact"/>
        <w:rPr>
          <w:rFonts w:ascii="Times New Roman" w:cs="Times New Roman" w:eastAsia="Times New Roman" w:hAnsi="Times New Roman"/>
          <w:sz w:val="18"/>
          <w:szCs w:val="18"/>
          <w:color w:val="auto"/>
        </w:rPr>
      </w:pPr>
    </w:p>
    <w:p>
      <w:pPr>
        <w:ind w:left="-8" w:right="160" w:firstLine="1492"/>
        <w:spacing w:after="0" w:line="282" w:lineRule="auto"/>
        <w:tabs>
          <w:tab w:leader="none" w:pos="1727"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Medical and no additional proceedings on the part of Medical are necessary to authorize the consummation of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left="-8" w:firstLine="1492"/>
        <w:spacing w:after="0" w:line="266" w:lineRule="auto"/>
        <w:tabs>
          <w:tab w:leader="none" w:pos="172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this Agreement constitutes a valid and binding agreement of Autocam, this Agreement constitutes a valid and binding agreement of Medical, enforceable in accordance with its terms, subject to bankruptcy, insolvency, fraudulent transfer, reorganization, moratorium and similar Laws of general applicability relating to or affecting creditors’ rights and to general equity principles.</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92"/>
          </w:cols>
          <w:pgMar w:left="248" w:top="265" w:right="259" w:bottom="1440" w:gutter="0" w:footer="0" w:header="0"/>
        </w:sectPr>
      </w:pPr>
    </w:p>
    <w:bookmarkStart w:id="398" w:name="page399"/>
    <w:bookmarkEnd w:id="398"/>
    <w:p>
      <w:pPr>
        <w:ind w:firstLine="1492"/>
        <w:spacing w:after="0" w:line="257" w:lineRule="auto"/>
        <w:tabs>
          <w:tab w:leader="none" w:pos="1738"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delivery and performance by Medical of this Agreement and the consummation of the transactions contemplated hereby do not and will not (i) violate or conflict with the organizational documents of Medical, (ii) violate, conflict with or result in a default under, or constitute an event that, whether after the giving of notice or lapse of time or both, would result in a violation, conflict or default under, any applicable Law or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contravene any Order to which Medical is a party or by which it is bound.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Autocam agrees that it will identify and obtain, at Autocam’s cost and expense, all third-party licenses or consents required to perform the Transition Services as provided for hereunder.</w:t>
      </w:r>
    </w:p>
    <w:p>
      <w:pPr>
        <w:spacing w:after="0" w:line="162" w:lineRule="exact"/>
        <w:rPr>
          <w:sz w:val="20"/>
          <w:szCs w:val="20"/>
          <w:color w:val="auto"/>
        </w:rPr>
      </w:pPr>
    </w:p>
    <w:p>
      <w:pPr>
        <w:ind w:right="8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Party shall comply, at its own expense, with the provisions of all Laws that may be applicable to the performance of this Agreement.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 Each Party shall:</w:t>
      </w:r>
    </w:p>
    <w:p>
      <w:pPr>
        <w:spacing w:after="0" w:line="225" w:lineRule="exact"/>
        <w:rPr>
          <w:sz w:val="20"/>
          <w:szCs w:val="20"/>
          <w:color w:val="auto"/>
        </w:rPr>
      </w:pPr>
    </w:p>
    <w:p>
      <w:pPr>
        <w:ind w:firstLine="1492"/>
        <w:spacing w:after="0" w:line="282" w:lineRule="auto"/>
        <w:tabs>
          <w:tab w:leader="none" w:pos="1728"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or attempt to access or interfere with, any communications systems, information technology systems or data used by the other Party, unless expressly authorized to do so under this Agreement;</w:t>
      </w:r>
    </w:p>
    <w:p>
      <w:pPr>
        <w:spacing w:after="0" w:line="161" w:lineRule="exact"/>
        <w:rPr>
          <w:rFonts w:ascii="Times New Roman" w:cs="Times New Roman" w:eastAsia="Times New Roman" w:hAnsi="Times New Roman"/>
          <w:sz w:val="18"/>
          <w:szCs w:val="18"/>
          <w:color w:val="auto"/>
        </w:rPr>
      </w:pPr>
    </w:p>
    <w:p>
      <w:pPr>
        <w:ind w:right="760" w:firstLine="1492"/>
        <w:spacing w:after="0" w:line="282" w:lineRule="auto"/>
        <w:tabs>
          <w:tab w:leader="none" w:pos="1738"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in any security arrangements which the other Party reasonably deems necessary to prevent or redress unauthorized access to systems and data; and</w:t>
      </w:r>
    </w:p>
    <w:p>
      <w:pPr>
        <w:spacing w:after="0" w:line="161" w:lineRule="exact"/>
        <w:rPr>
          <w:rFonts w:ascii="Times New Roman" w:cs="Times New Roman" w:eastAsia="Times New Roman" w:hAnsi="Times New Roman"/>
          <w:sz w:val="18"/>
          <w:szCs w:val="18"/>
          <w:color w:val="auto"/>
        </w:rPr>
      </w:pPr>
    </w:p>
    <w:p>
      <w:pPr>
        <w:ind w:right="200" w:firstLine="1492"/>
        <w:spacing w:after="0" w:line="282" w:lineRule="auto"/>
        <w:tabs>
          <w:tab w:leader="none" w:pos="1728"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the other Party in the event of a security breach, to determine the timing and manner of (i) notification to affected customers, employees and/or agents, as applicable, and (ii) disclosures to Governmental Authorities, if appropriate.</w:t>
      </w:r>
    </w:p>
    <w:p>
      <w:pPr>
        <w:spacing w:after="0" w:line="162" w:lineRule="exact"/>
        <w:rPr>
          <w:sz w:val="20"/>
          <w:szCs w:val="20"/>
          <w:color w:val="auto"/>
        </w:rPr>
      </w:pPr>
    </w:p>
    <w:p>
      <w:pPr>
        <w:ind w:right="480" w:firstLine="913"/>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Book and Records</w:t>
      </w:r>
      <w:r>
        <w:rPr>
          <w:rFonts w:ascii="Times New Roman" w:cs="Times New Roman" w:eastAsia="Times New Roman" w:hAnsi="Times New Roman"/>
          <w:sz w:val="18"/>
          <w:szCs w:val="18"/>
          <w:color w:val="auto"/>
        </w:rPr>
        <w:t>. Autocam agrees to maintain accurate records arising from or related to any Transition Services provided hereunder, including, without limitation, documentation produced in connection with the rendering of any Transition Service.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9" w:right="259" w:bottom="1440" w:gutter="0" w:footer="0" w:header="0"/>
        </w:sectPr>
      </w:pPr>
    </w:p>
    <w:bookmarkStart w:id="399" w:name="page400"/>
    <w:bookmarkEnd w:id="3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2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hereunder shall be in writing and shall be delivered personally, sent by facsimile transmission, sent by a nationally recognized overnight-delivery service, or sent by certified or registered mail, postage prepaid, return receipt requested. Any such notice shall be deemed given when so delivered personally or sent by facsimile transmission (with request of assurance of receipt in a manner customary for communication of such type) or, if mailed, on the date of actual receipt thereof or if sent by overnight delivery, on the next business day after deposit, as follows: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if to Medical:</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Autocam Medical Devices, LLC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4162 East Paris Ave. SE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Kentwood, MI 49512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John C. Kennedy</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(616) 698-6876</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jkennedy@autocam-medical.com</w:t>
      </w:r>
    </w:p>
    <w:p>
      <w:pPr>
        <w:spacing w:after="0" w:line="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and a copy to (which shall not constitute notice):</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Law Weathers, PC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333 Bridge Street, Suite 800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Anthony Barnes, Esq.</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(616) 913-1222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tbarnes@lawweathers.com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 if to Autocam:</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Autocam Corporation</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4180 40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SE</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Kentwood, MI 49512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Warren A. Veltman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(616) 698-6876</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wveltman@autocam.com</w:t>
      </w:r>
    </w:p>
    <w:p>
      <w:pPr>
        <w:spacing w:after="0" w:line="207"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Contact List</w:t>
      </w:r>
      <w:r>
        <w:rPr>
          <w:rFonts w:ascii="Times New Roman" w:cs="Times New Roman" w:eastAsia="Times New Roman" w:hAnsi="Times New Roman"/>
          <w:sz w:val="18"/>
          <w:szCs w:val="18"/>
          <w:color w:val="auto"/>
        </w:rPr>
        <w:t>. Each Party shall designate an individual (the “</w:t>
      </w:r>
      <w:r>
        <w:rPr>
          <w:rFonts w:ascii="Times New Roman" w:cs="Times New Roman" w:eastAsia="Times New Roman" w:hAnsi="Times New Roman"/>
          <w:sz w:val="18"/>
          <w:szCs w:val="18"/>
          <w:u w:val="single" w:color="auto"/>
          <w:color w:val="auto"/>
        </w:rPr>
        <w:t>Contract Representative</w:t>
      </w:r>
      <w:r>
        <w:rPr>
          <w:rFonts w:ascii="Times New Roman" w:cs="Times New Roman" w:eastAsia="Times New Roman" w:hAnsi="Times New Roman"/>
          <w:sz w:val="18"/>
          <w:szCs w:val="18"/>
          <w:color w:val="auto"/>
        </w:rPr>
        <w:t xml:space="preserve">”) who shall be responsible for representing such Party in business dealings with the other Party regarding the Agreement in general and each category of Transition Services, and who shall be listed on Exhibit A. Each Party agrees to notify the other Party in writing (pursuant to the notice procedures set forth in Section 9.1 above) within two (2) weeks of a change of any of such Party’s Contract Representative(s) and the Parties agree to amend and restate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accordingly.</w:t>
      </w:r>
    </w:p>
    <w:p>
      <w:pPr>
        <w:spacing w:after="0" w:line="180"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Internal Dispute Resolution</w:t>
      </w:r>
      <w:r>
        <w:rPr>
          <w:rFonts w:ascii="Times New Roman" w:cs="Times New Roman" w:eastAsia="Times New Roman" w:hAnsi="Times New Roman"/>
          <w:sz w:val="18"/>
          <w:szCs w:val="18"/>
          <w:color w:val="auto"/>
        </w:rPr>
        <w:t xml:space="preserve">. The Parties agree that, in the event of a dispute regarding this Agreement, they will work together in good faith to resolve the matter internally, including, but not limited to, escalating the dispute to the Contract Representatives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if the Contract Representatives are unable to resolve such matters within thirty (30) days thereafter, to the respective chief executive officers of each Party.</w:t>
      </w:r>
    </w:p>
    <w:p>
      <w:pPr>
        <w:spacing w:after="0" w:line="176"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Except as specifically provided herein, no Party shall, with respect to the subject matter of this Agreement (a) act or represent or hold itself out as having authority to act as an agent or partner of the other Party; or (b) in any way bind or commit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266" w:right="299" w:bottom="1440" w:gutter="0" w:footer="0" w:header="0"/>
        </w:sectPr>
      </w:pPr>
    </w:p>
    <w:bookmarkStart w:id="400" w:name="page401"/>
    <w:bookmarkEnd w:id="40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Party to any obligations or agreement. Nothing contained in this Agreement shall be construed as creating a partnership, joint venture, agency, trust, fiduciary relationship or other association of any kind, each Party being individually responsible only for its obligations as set forth in this Agreement, including for the supervision of its own employees. The Parties’ respective rights and obligations hereunder shall be limited to the contractual rights and obligations expressly set forth herein on the terms and conditions set forth herein.</w:t>
      </w:r>
    </w:p>
    <w:p>
      <w:pPr>
        <w:spacing w:after="0" w:line="180"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Merger Agreement contain the entire agreement between the Parties with respect to the subject matter hereof and supersede all prior discussions and agreements, written or oral, with respect hereto.</w:t>
      </w:r>
    </w:p>
    <w:p>
      <w:pPr>
        <w:spacing w:after="0" w:line="162"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amended, superseded, cancelled, renewed or extended, and the terms and conditions hereof may be waived, only by a written instrument signed by both Parties or, in the case of a waiver, by the Party waiving compliance. No delay on the part of any Party in exercising any right, power or privilege hereunder shall operate as a waiver thereof. No waiver on the part of any Party of any right, power or privilege hereunder, or any single or partial exercise of any right, power or privilege hereunder shall preclude any other or further exercise thereof or the exercise of any other right, power or privilege hereunder.</w:t>
      </w:r>
    </w:p>
    <w:p>
      <w:pPr>
        <w:spacing w:after="0" w:line="184"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Michigan without giving effect to any choice or conflict of law provision or rule (whether of the State of Michigan or any other jurisdiction). ANY LEGAL SUIT, ACTION, OR PROCEEDING ARISING OUT OF OR BASED UPON THIS AGREEMENT, THE OTHER ANCILLARY AGREEMENTS OR THE TRANSACTIONS CONTEMPLATED HEREBY MAY BE INSTITUTED IN THE COURTS OF THE STATE OF MICHIGAN IN EACH CASE LOCATED IN THE COUNTY OF KENT,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93"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permitted assigns, as the case may be; provided, however, that neither Party shall assign or delegate this Agreement or any of the rights or obligations created hereunder without the prior written consent of the other Party.</w:t>
      </w:r>
    </w:p>
    <w:p>
      <w:pPr>
        <w:spacing w:after="0" w:line="176"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when so executed and delivered shall be deemed an original, but all of which together shall constitute one and the same instrument.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401" w:name="page402"/>
    <w:bookmarkEnd w:id="401"/>
    <w:p>
      <w:pPr>
        <w:ind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shall not in any way affect the meaning or interpretation of this Agreement.</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shall not affect the validity or enforceability of this Agreement or of any other term or provision hereof.</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240" w:top="270"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above written.</w:t>
      </w:r>
    </w:p>
    <w:p>
      <w:pPr>
        <w:spacing w:after="0" w:line="2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AUTOCAM CORPORATION</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Warren A. Veltman</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20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b w:val="1"/>
          <w:bCs w:val="1"/>
          <w:color w:val="auto"/>
        </w:rPr>
        <w:t>AUTOCAM MEDICAL DEVICES, LLC</w:t>
      </w:r>
    </w:p>
    <w:p>
      <w:pPr>
        <w:spacing w:after="0" w:line="241"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2158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John C. Kennedy</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[Signature Page to Transition Services Agreement]</w:t>
      </w:r>
    </w:p>
    <w:p>
      <w:pPr>
        <w:sectPr>
          <w:pgSz w:w="11900" w:h="16838" w:orient="portrait"/>
          <w:cols w:equalWidth="0" w:num="1">
            <w:col w:w="9759"/>
          </w:cols>
          <w:pgMar w:left="700" w:top="269" w:right="1440" w:bottom="1440" w:gutter="0" w:footer="0" w:header="0"/>
        </w:sectPr>
      </w:pPr>
    </w:p>
    <w:bookmarkStart w:id="403" w:name="page404"/>
    <w:bookmarkEnd w:id="4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REPRESENTATIVES</w:t>
      </w:r>
    </w:p>
    <w:p>
      <w:pPr>
        <w:spacing w:after="0" w:line="25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Medical Contract Representative</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John C. Kennedy</w:t>
      </w:r>
    </w:p>
    <w:p>
      <w:pPr>
        <w:spacing w:after="0" w:line="2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Autocam Contract Representative</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Warren A. Veltman</w:t>
      </w:r>
    </w:p>
    <w:p>
      <w:pPr>
        <w:sectPr>
          <w:pgSz w:w="11900" w:h="16838" w:orient="portrait"/>
          <w:cols w:equalWidth="0" w:num="1">
            <w:col w:w="9019"/>
          </w:cols>
          <w:pgMar w:left="1440" w:top="265" w:right="1440"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251460</wp:posOffset>
            </wp:positionV>
            <wp:extent cx="6003290" cy="11061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032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2000 Waters Edge Drive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Kelly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Chief Administrative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743-9151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FINANCIAL RELATIONS BOARD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Marilynn Meek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212-827-3773</w:t>
      </w:r>
    </w:p>
    <w:p>
      <w:pPr>
        <w:spacing w:after="0" w:line="200" w:lineRule="exact"/>
        <w:rPr>
          <w:sz w:val="20"/>
          <w:szCs w:val="20"/>
          <w:color w:val="auto"/>
        </w:rPr>
      </w:pPr>
    </w:p>
    <w:p>
      <w:pPr>
        <w:sectPr>
          <w:pgSz w:w="11900" w:h="16838" w:orient="portrait"/>
          <w:cols w:equalWidth="0" w:num="2">
            <w:col w:w="5800" w:space="720"/>
            <w:col w:w="4900"/>
          </w:cols>
          <w:pgMar w:left="240" w:top="118"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2014</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COMPLETES ACQUISITION OF AUTOCAM CORPORATION</w:t>
      </w:r>
    </w:p>
    <w:p>
      <w:pPr>
        <w:spacing w:after="0" w:line="131" w:lineRule="exact"/>
        <w:rPr>
          <w:sz w:val="20"/>
          <w:szCs w:val="20"/>
          <w:color w:val="auto"/>
        </w:rPr>
      </w:pPr>
    </w:p>
    <w:p>
      <w:pPr>
        <w:ind w:left="900" w:right="140" w:hanging="446"/>
        <w:spacing w:after="0" w:line="268" w:lineRule="auto"/>
        <w:tabs>
          <w:tab w:leader="none" w:pos="90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Closes $350 million term loan facility underwritten by Bank of America, N.A. Merrill Lynch, Pierce, Fenner &amp; Smith Incorporated and KeyBank National Association and a $100 million asset backed revolver underwritten by KeyBank National Association and Bank of America, N.A.</w:t>
      </w:r>
    </w:p>
    <w:p>
      <w:pPr>
        <w:spacing w:after="0" w:line="76"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Becomes a top three global manufacturer of metal bearing and precision metal components</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John Kennedy Appointed to NN, Inc.’s Board of Directors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Johnson City, Tenn, September 2, 2014 </w:t>
      </w:r>
      <w:r>
        <w:rPr>
          <w:rFonts w:ascii="Times New Roman" w:cs="Times New Roman" w:eastAsia="Times New Roman" w:hAnsi="Times New Roman"/>
          <w:sz w:val="18"/>
          <w:szCs w:val="18"/>
          <w:color w:val="auto"/>
        </w:rPr>
        <w:t>– NN, Inc. (Nasdaq: NNBR) today announced that it has completed its previously announced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Autocam Corporation for approximately $245.2 million in cash, $29.8 million in assumed debt and $25 million in stock. Autocam is a global leader in the engineering, manufacture and assembly of highly complex, system critical components for fuel systems, engines and transmission, power steering and electric motors. NN was advised on the transaction by KeyBanc Capital Markets, Inc.</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closing, NN obtained a new $350 million term loan facility underwritten by Bank of America, N.A. Merrill Lynch, Pierce, Fenner &amp; Smith Incorporated and KeyBank National Association and a $100 million asset backed revolver that was underwritten by KeyBank National Association and Bank of America, N.A. The proceeds will be used to pay the cash portion of the purchase price, to repay existing indebtedness and to pay fees and expenses in connection with the transaction.</w:t>
      </w:r>
    </w:p>
    <w:p>
      <w:pPr>
        <w:sectPr>
          <w:pgSz w:w="11900" w:h="16838" w:orient="portrait"/>
          <w:cols w:equalWidth="0" w:num="1">
            <w:col w:w="11420"/>
          </w:cols>
          <w:pgMar w:left="240" w:top="118" w:right="239" w:bottom="1440" w:gutter="0" w:footer="0" w:header="0"/>
          <w:type w:val="continuous"/>
        </w:sectPr>
      </w:pPr>
    </w:p>
    <w:bookmarkStart w:id="405" w:name="page406"/>
    <w:bookmarkEnd w:id="405"/>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Additionally, NN announced that John Kennedy, founder and former Chief Executive Officer of Autocam has been appointed to serve on NN’s board of directors.</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With the completion of the transaction, NN becomes one of the top three global manufacturers of metal bearing and precision metal components with expected pro forma 2014 sales of over $675 million, more than 4,200 employees and 25 operations in the United States, Western Europe, Eastern Europe, South America and China. The anticipated 2014 sales do not include approximately $42 million in expected sales from a 49% Chinese joint venture accounted for under the equity method. Autocam will join NN’s Precision Metal Components Segment forming a new, dedicated Autocam Precision Metal Components segment. The Autocam brand name will continue to be used to leverage its strength and reputation in the marketplace.</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Richard Holder, President and Chief Executive Officer of NN, Inc. commented, “The sum of the combined strength of NN and Autocam creates a division that is much stronger than the individual parts and provides us with expanded opportunities to drive future growth and bring increased value to our shareholders. We will move forward with a clear focus to achieve a seamless integration that maximizes the many synergies that we have identified between these two great companies.”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Holder continued, “Although this transaction is transformative to NN, it does not signal the end of our ongoing strategy to aggressively grow our business through strategic, profitable acquisitions that provide complementary resources and lines of business.”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w:t>
      </w:r>
    </w:p>
    <w:p>
      <w:pPr>
        <w:sectPr>
          <w:pgSz w:w="11900" w:h="16838" w:orient="portrait"/>
          <w:cols w:equalWidth="0" w:num="1">
            <w:col w:w="11400"/>
          </w:cols>
          <w:pgMar w:left="240" w:top="270" w:right="259" w:bottom="1440" w:gutter="0" w:footer="0" w:header="0"/>
        </w:sectPr>
      </w:pPr>
    </w:p>
    <w:bookmarkStart w:id="406" w:name="page407"/>
    <w:bookmarkEnd w:id="406"/>
    <w:p>
      <w:pPr>
        <w:ind w:right="420"/>
        <w:spacing w:after="0" w:line="315"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200"/>
      </w:cols>
      <w:pgMar w:left="240"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B52783"/>
    <w:multiLevelType w:val="hybridMultilevel"/>
    <w:lvl w:ilvl="0">
      <w:lvlJc w:val="left"/>
      <w:lvlText w:val="☐"/>
      <w:numFmt w:val="bullet"/>
      <w:start w:val="1"/>
    </w:lvl>
  </w:abstractNum>
  <w:abstractNum w:abstractNumId="1">
    <w:nsid w:val="57CE66B4"/>
    <w:multiLevelType w:val="hybridMultilevel"/>
    <w:lvl w:ilvl="0">
      <w:lvlJc w:val="left"/>
      <w:lvlText w:val="(%1)"/>
      <w:numFmt w:val="lowerRoman"/>
      <w:start w:val="2"/>
    </w:lvl>
  </w:abstractNum>
  <w:abstractNum w:abstractNumId="2">
    <w:nsid w:val="67A70B69"/>
    <w:multiLevelType w:val="hybridMultilevel"/>
    <w:lvl w:ilvl="0">
      <w:lvlJc w:val="left"/>
      <w:lvlText w:val="%1"/>
      <w:numFmt w:val="upperLetter"/>
      <w:start w:val="40"/>
    </w:lvl>
  </w:abstractNum>
  <w:abstractNum w:abstractNumId="3">
    <w:nsid w:val="5953172F"/>
    <w:multiLevelType w:val="hybridMultilevel"/>
    <w:lvl w:ilvl="0">
      <w:lvlJc w:val="left"/>
      <w:lvlText w:val="%1"/>
      <w:numFmt w:val="upperLetter"/>
      <w:start w:val="40"/>
    </w:lvl>
  </w:abstractNum>
  <w:abstractNum w:abstractNumId="4">
    <w:nsid w:val="27EDFE3A"/>
    <w:multiLevelType w:val="hybridMultilevel"/>
    <w:lvl w:ilvl="0">
      <w:lvlJc w:val="left"/>
      <w:lvlText w:val="%1."/>
      <w:numFmt w:val="upperLetter"/>
      <w:start w:val="40"/>
    </w:lvl>
  </w:abstractNum>
  <w:abstractNum w:abstractNumId="5">
    <w:nsid w:val="52AC7DFF"/>
    <w:multiLevelType w:val="hybridMultilevel"/>
    <w:lvl w:ilvl="0">
      <w:lvlJc w:val="left"/>
      <w:lvlText w:val="%1."/>
      <w:numFmt w:val="decimal"/>
      <w:start w:val="1"/>
    </w:lvl>
  </w:abstractNum>
  <w:abstractNum w:abstractNumId="6">
    <w:nsid w:val="C4C3AF"/>
    <w:multiLevelType w:val="hybridMultilevel"/>
    <w:lvl w:ilvl="0">
      <w:lvlJc w:val="left"/>
      <w:lvlText w:val="%1."/>
      <w:numFmt w:val="decimal"/>
      <w:start w:val="2"/>
    </w:lvl>
    <w:lvl w:ilvl="1">
      <w:lvlJc w:val="left"/>
      <w:lvlText w:val="(%2)"/>
      <w:numFmt w:val="lowerLetter"/>
      <w:start w:val="1"/>
    </w:lvl>
  </w:abstractNum>
  <w:abstractNum w:abstractNumId="7">
    <w:nsid w:val="44380727"/>
    <w:multiLevelType w:val="hybridMultilevel"/>
    <w:lvl w:ilvl="0">
      <w:lvlJc w:val="left"/>
      <w:lvlText w:val="%1"/>
      <w:numFmt w:val="decimal"/>
      <w:start w:val="1"/>
    </w:lvl>
    <w:lvl w:ilvl="1">
      <w:lvlJc w:val="left"/>
      <w:lvlText w:val="(%2)"/>
      <w:numFmt w:val="lowerLetter"/>
      <w:start w:val="2"/>
    </w:lvl>
  </w:abstractNum>
  <w:abstractNum w:abstractNumId="8">
    <w:nsid w:val="6C053B16"/>
    <w:multiLevelType w:val="hybridMultilevel"/>
    <w:lvl w:ilvl="0">
      <w:lvlJc w:val="left"/>
      <w:lvlText w:val="(%1)"/>
      <w:numFmt w:val="decimal"/>
      <w:start w:val="3"/>
    </w:lvl>
    <w:lvl w:ilvl="1">
      <w:lvlJc w:val="left"/>
      <w:lvlText w:val="(%2)"/>
      <w:numFmt w:val="lowerLetter"/>
      <w:start w:val="3"/>
    </w:lvl>
  </w:abstractNum>
  <w:abstractNum w:abstractNumId="9">
    <w:nsid w:val="4F294393"/>
    <w:multiLevelType w:val="hybridMultilevel"/>
    <w:lvl w:ilvl="0">
      <w:lvlJc w:val="left"/>
      <w:lvlText w:val="%1."/>
      <w:numFmt w:val="decimal"/>
      <w:start w:val="3"/>
    </w:lvl>
    <w:lvl w:ilvl="1">
      <w:lvlJc w:val="left"/>
      <w:lvlText w:val="(%2)"/>
      <w:numFmt w:val="lowerLetter"/>
      <w:start w:val="1"/>
    </w:lvl>
  </w:abstractNum>
  <w:abstractNum w:abstractNumId="10">
    <w:nsid w:val="5243BFAC"/>
    <w:multiLevelType w:val="hybridMultilevel"/>
    <w:lvl w:ilvl="0">
      <w:lvlJc w:val="left"/>
      <w:lvlText w:val="(%1)"/>
      <w:numFmt w:val="lowerLetter"/>
      <w:start w:val="2"/>
    </w:lvl>
  </w:abstractNum>
  <w:abstractNum w:abstractNumId="11">
    <w:nsid w:val="425EB207"/>
    <w:multiLevelType w:val="hybridMultilevel"/>
    <w:lvl w:ilvl="0">
      <w:lvlJc w:val="left"/>
      <w:lvlText w:val="(%1)"/>
      <w:numFmt w:val="lowerLetter"/>
      <w:start w:val="1"/>
    </w:lvl>
    <w:lvl w:ilvl="1">
      <w:lvlJc w:val="left"/>
      <w:lvlText w:val="(%2)"/>
      <w:numFmt w:val="lowerRoman"/>
      <w:start w:val="1"/>
    </w:lvl>
  </w:abstractNum>
  <w:abstractNum w:abstractNumId="12">
    <w:nsid w:val="334A6F1F"/>
    <w:multiLevelType w:val="hybridMultilevel"/>
    <w:lvl w:ilvl="0">
      <w:lvlJc w:val="left"/>
      <w:lvlText w:val="%1"/>
      <w:numFmt w:val="lowerLetter"/>
      <w:start w:val="1"/>
    </w:lvl>
    <w:lvl w:ilvl="1">
      <w:lvlJc w:val="left"/>
      <w:lvlText w:val="(%2)"/>
      <w:numFmt w:val="lowerLetter"/>
      <w:start w:val="1"/>
    </w:lvl>
  </w:abstractNum>
  <w:abstractNum w:abstractNumId="13">
    <w:nsid w:val="2E5B12B8"/>
    <w:multiLevelType w:val="hybridMultilevel"/>
    <w:lvl w:ilvl="0">
      <w:lvlJc w:val="left"/>
      <w:lvlText w:val="(%1)"/>
      <w:numFmt w:val="lowerLetter"/>
      <w:start w:val="9"/>
    </w:lvl>
    <w:lvl w:ilvl="1">
      <w:lvlJc w:val="left"/>
      <w:lvlText w:val="(%2)"/>
      <w:numFmt w:val="lowerLetter"/>
      <w:start w:val="2"/>
    </w:lvl>
  </w:abstractNum>
  <w:abstractNum w:abstractNumId="14">
    <w:nsid w:val="5C03D76D"/>
    <w:multiLevelType w:val="hybridMultilevel"/>
    <w:lvl w:ilvl="0">
      <w:lvlJc w:val="left"/>
      <w:lvlText w:val="(%1)"/>
      <w:numFmt w:val="lowerLetter"/>
      <w:start w:val="9"/>
    </w:lvl>
  </w:abstractNum>
  <w:abstractNum w:abstractNumId="15">
    <w:nsid w:val="66A48D11"/>
    <w:multiLevelType w:val="hybridMultilevel"/>
    <w:lvl w:ilvl="0">
      <w:lvlJc w:val="left"/>
      <w:lvlText w:val="(%1)"/>
      <w:numFmt w:val="lowerLetter"/>
      <w:start w:val="1"/>
    </w:lvl>
  </w:abstractNum>
  <w:abstractNum w:abstractNumId="16">
    <w:nsid w:val="56C28E34"/>
    <w:multiLevelType w:val="hybridMultilevel"/>
    <w:lvl w:ilvl="0">
      <w:lvlJc w:val="left"/>
      <w:lvlText w:val="(%1)"/>
      <w:numFmt w:val="lowerLetter"/>
      <w:start w:val="3"/>
    </w:lvl>
  </w:abstractNum>
  <w:abstractNum w:abstractNumId="17">
    <w:nsid w:val="13916F2D"/>
    <w:multiLevelType w:val="hybridMultilevel"/>
    <w:lvl w:ilvl="0">
      <w:lvlJc w:val="left"/>
      <w:lvlText w:val="(%1)"/>
      <w:numFmt w:val="lowerLetter"/>
      <w:start w:val="25"/>
    </w:lvl>
    <w:lvl w:ilvl="1">
      <w:lvlJc w:val="left"/>
      <w:lvlText w:val="(%2)"/>
      <w:numFmt w:val="lowerLetter"/>
      <w:start w:val="5"/>
    </w:lvl>
  </w:abstractNum>
  <w:abstractNum w:abstractNumId="18">
    <w:nsid w:val="435D38D"/>
    <w:multiLevelType w:val="hybridMultilevel"/>
    <w:lvl w:ilvl="0">
      <w:lvlJc w:val="left"/>
      <w:lvlText w:val="(%1)"/>
      <w:numFmt w:val="lowerLetter"/>
      <w:start w:val="1"/>
    </w:lvl>
  </w:abstractNum>
  <w:abstractNum w:abstractNumId="19">
    <w:nsid w:val="822C0EF"/>
    <w:multiLevelType w:val="hybridMultilevel"/>
    <w:lvl w:ilvl="0">
      <w:lvlJc w:val="left"/>
      <w:lvlText w:val="%1."/>
      <w:numFmt w:val="decimal"/>
      <w:start w:val="4"/>
    </w:lvl>
  </w:abstractNum>
  <w:abstractNum w:abstractNumId="20">
    <w:nsid w:val="57C5BB4F"/>
    <w:multiLevelType w:val="hybridMultilevel"/>
    <w:lvl w:ilvl="0">
      <w:lvlJc w:val="left"/>
      <w:lvlText w:val="%1."/>
      <w:numFmt w:val="decimal"/>
      <w:start w:val="5"/>
    </w:lvl>
    <w:lvl w:ilvl="1">
      <w:lvlJc w:val="left"/>
      <w:lvlText w:val="(%2)"/>
      <w:numFmt w:val="decimal"/>
      <w:start w:val="8"/>
    </w:lvl>
  </w:abstractNum>
  <w:abstractNum w:abstractNumId="21">
    <w:nsid w:val="1803D089"/>
    <w:multiLevelType w:val="hybridMultilevel"/>
    <w:lvl w:ilvl="0">
      <w:lvlJc w:val="left"/>
      <w:lvlText w:val="%1."/>
      <w:numFmt w:val="decimal"/>
      <w:start w:val="6"/>
    </w:lvl>
  </w:abstractNum>
  <w:abstractNum w:abstractNumId="22">
    <w:nsid w:val="4F3A06D4"/>
    <w:multiLevelType w:val="hybridMultilevel"/>
    <w:lvl w:ilvl="0">
      <w:lvlJc w:val="left"/>
      <w:lvlText w:val="(%1)"/>
      <w:numFmt w:val="lowerLetter"/>
      <w:start w:val="1"/>
    </w:lvl>
  </w:abstractNum>
  <w:abstractNum w:abstractNumId="23">
    <w:nsid w:val="59A377B6"/>
    <w:multiLevelType w:val="hybridMultilevel"/>
    <w:lvl w:ilvl="0">
      <w:lvlJc w:val="left"/>
      <w:lvlText w:val="A"/>
      <w:numFmt w:val="bullet"/>
      <w:start w:val="1"/>
    </w:lvl>
  </w:abstractNum>
  <w:abstractNum w:abstractNumId="24">
    <w:nsid w:val="48AEB063"/>
    <w:multiLevelType w:val="hybridMultilevel"/>
    <w:lvl w:ilvl="0">
      <w:lvlJc w:val="left"/>
      <w:lvlText w:val="B"/>
      <w:numFmt w:val="bullet"/>
      <w:start w:val="1"/>
    </w:lvl>
  </w:abstractNum>
  <w:abstractNum w:abstractNumId="25">
    <w:nsid w:val="24E135"/>
    <w:multiLevelType w:val="hybridMultilevel"/>
    <w:lvl w:ilvl="0">
      <w:lvlJc w:val="left"/>
      <w:lvlText w:val="C"/>
      <w:numFmt w:val="bullet"/>
      <w:start w:val="1"/>
    </w:lvl>
  </w:abstractNum>
  <w:abstractNum w:abstractNumId="26">
    <w:nsid w:val="BB13C1"/>
    <w:multiLevelType w:val="hybridMultilevel"/>
    <w:lvl w:ilvl="0">
      <w:lvlJc w:val="left"/>
      <w:lvlText w:val="(%1)"/>
      <w:numFmt w:val="lowerLetter"/>
      <w:start w:val="1"/>
    </w:lvl>
  </w:abstractNum>
  <w:abstractNum w:abstractNumId="27">
    <w:nsid w:val="271210C7"/>
    <w:multiLevelType w:val="hybridMultilevel"/>
    <w:lvl w:ilvl="0">
      <w:lvlJc w:val="left"/>
      <w:lvlText w:val="(%1)"/>
      <w:numFmt w:val="lowerRoman"/>
      <w:start w:val="1"/>
    </w:lvl>
  </w:abstractNum>
  <w:abstractNum w:abstractNumId="28">
    <w:nsid w:val="217B22E4"/>
    <w:multiLevelType w:val="hybridMultilevel"/>
    <w:lvl w:ilvl="0">
      <w:lvlJc w:val="left"/>
      <w:lvlText w:val="(%1)"/>
      <w:numFmt w:val="upperLetter"/>
      <w:start w:val="2"/>
    </w:lvl>
  </w:abstractNum>
  <w:abstractNum w:abstractNumId="29">
    <w:nsid w:val="53E31A24"/>
    <w:multiLevelType w:val="hybridMultilevel"/>
    <w:lvl w:ilvl="0">
      <w:lvlJc w:val="left"/>
      <w:lvlText w:val="(%1)"/>
      <w:numFmt w:val="lowerLetter"/>
      <w:start w:val="1"/>
    </w:lvl>
  </w:abstractNum>
  <w:abstractNum w:abstractNumId="30">
    <w:nsid w:val="6DC45E83"/>
    <w:multiLevelType w:val="hybridMultilevel"/>
    <w:lvl w:ilvl="0">
      <w:lvlJc w:val="left"/>
      <w:lvlText w:val="(%1)"/>
      <w:numFmt w:val="lowerLetter"/>
      <w:start w:val="3"/>
    </w:lvl>
  </w:abstractNum>
  <w:abstractNum w:abstractNumId="31">
    <w:nsid w:val="17304A67"/>
    <w:multiLevelType w:val="hybridMultilevel"/>
    <w:lvl w:ilvl="0">
      <w:lvlJc w:val="left"/>
      <w:lvlText w:val="(%1)"/>
      <w:numFmt w:val="lowerLetter"/>
      <w:start w:val="1"/>
    </w:lvl>
  </w:abstractNum>
  <w:abstractNum w:abstractNumId="32">
    <w:nsid w:val="2BB180D8"/>
    <w:multiLevelType w:val="hybridMultilevel"/>
    <w:lvl w:ilvl="0">
      <w:lvlJc w:val="left"/>
      <w:lvlText w:val="(%1)"/>
      <w:numFmt w:val="lowerRoman"/>
      <w:start w:val="1"/>
    </w:lvl>
  </w:abstractNum>
  <w:abstractNum w:abstractNumId="33">
    <w:nsid w:val="556B69ED"/>
    <w:multiLevelType w:val="hybridMultilevel"/>
    <w:lvl w:ilvl="0">
      <w:lvlJc w:val="left"/>
      <w:lvlText w:val="(%1)"/>
      <w:numFmt w:val="lowerLetter"/>
      <w:start w:val="2"/>
    </w:lvl>
  </w:abstractNum>
  <w:abstractNum w:abstractNumId="34">
    <w:nsid w:val="70836196"/>
    <w:multiLevelType w:val="hybridMultilevel"/>
    <w:lvl w:ilvl="0">
      <w:lvlJc w:val="left"/>
      <w:lvlText w:val="(%1)"/>
      <w:numFmt w:val="lowerLetter"/>
      <w:start w:val="1"/>
    </w:lvl>
  </w:abstractNum>
  <w:abstractNum w:abstractNumId="35">
    <w:nsid w:val="539F7F12"/>
    <w:multiLevelType w:val="hybridMultilevel"/>
    <w:lvl w:ilvl="0">
      <w:lvlJc w:val="left"/>
      <w:lvlText w:val="(%1)"/>
      <w:numFmt w:val="lowerLetter"/>
      <w:start w:val="8"/>
    </w:lvl>
  </w:abstractNum>
  <w:abstractNum w:abstractNumId="36">
    <w:nsid w:val="2817E7EC"/>
    <w:multiLevelType w:val="hybridMultilevel"/>
    <w:lvl w:ilvl="0">
      <w:lvlJc w:val="left"/>
      <w:lvlText w:val="(%1)"/>
      <w:numFmt w:val="lowerRoman"/>
      <w:start w:val="1"/>
    </w:lvl>
  </w:abstractNum>
  <w:abstractNum w:abstractNumId="37">
    <w:nsid w:val="71482545"/>
    <w:multiLevelType w:val="hybridMultilevel"/>
    <w:lvl w:ilvl="0">
      <w:lvlJc w:val="left"/>
      <w:lvlText w:val="(%1)"/>
      <w:numFmt w:val="lowerRoman"/>
      <w:start w:val="2"/>
    </w:lvl>
  </w:abstractNum>
  <w:abstractNum w:abstractNumId="38">
    <w:nsid w:val="17D78639"/>
    <w:multiLevelType w:val="hybridMultilevel"/>
    <w:lvl w:ilvl="0">
      <w:lvlJc w:val="left"/>
      <w:lvlText w:val="(%1)"/>
      <w:numFmt w:val="lowerLetter"/>
      <w:start w:val="1"/>
    </w:lvl>
  </w:abstractNum>
  <w:abstractNum w:abstractNumId="39">
    <w:nsid w:val="141D2302"/>
    <w:multiLevelType w:val="hybridMultilevel"/>
    <w:lvl w:ilvl="0">
      <w:lvlJc w:val="left"/>
      <w:lvlText w:val="(%1)"/>
      <w:numFmt w:val="lowerLetter"/>
      <w:start w:val="2"/>
    </w:lvl>
  </w:abstractNum>
  <w:abstractNum w:abstractNumId="40">
    <w:nsid w:val="407168D8"/>
    <w:multiLevelType w:val="hybridMultilevel"/>
    <w:lvl w:ilvl="0">
      <w:lvlJc w:val="left"/>
      <w:lvlText w:val="(%1)"/>
      <w:numFmt w:val="lowerLetter"/>
      <w:start w:val="1"/>
    </w:lvl>
  </w:abstractNum>
  <w:abstractNum w:abstractNumId="41">
    <w:nsid w:val="6A1B45E5"/>
    <w:multiLevelType w:val="hybridMultilevel"/>
    <w:lvl w:ilvl="0">
      <w:lvlJc w:val="left"/>
      <w:lvlText w:val="(%1)"/>
      <w:numFmt w:val="lowerLetter"/>
      <w:start w:val="2"/>
    </w:lvl>
  </w:abstractNum>
  <w:abstractNum w:abstractNumId="42">
    <w:nsid w:val="567BD50A"/>
    <w:multiLevelType w:val="hybridMultilevel"/>
    <w:lvl w:ilvl="0">
      <w:lvlJc w:val="left"/>
      <w:lvlText w:val="(%1)"/>
      <w:numFmt w:val="decimal"/>
      <w:start w:val="6"/>
    </w:lvl>
  </w:abstractNum>
  <w:abstractNum w:abstractNumId="43">
    <w:nsid w:val="73BBD7F8"/>
    <w:multiLevelType w:val="hybridMultilevel"/>
    <w:lvl w:ilvl="0">
      <w:lvlJc w:val="left"/>
      <w:lvlText w:val="(%1)"/>
      <w:numFmt w:val="lowerLetter"/>
      <w:start w:val="1"/>
    </w:lvl>
  </w:abstractNum>
  <w:abstractNum w:abstractNumId="44">
    <w:nsid w:val="1876589D"/>
    <w:multiLevelType w:val="hybridMultilevel"/>
    <w:lvl w:ilvl="0">
      <w:lvlJc w:val="left"/>
      <w:lvlText w:val="(%1)"/>
      <w:numFmt w:val="lowerLetter"/>
      <w:start w:val="2"/>
    </w:lvl>
  </w:abstractNum>
  <w:abstractNum w:abstractNumId="45">
    <w:nsid w:val="327FAC77"/>
    <w:multiLevelType w:val="hybridMultilevel"/>
    <w:lvl w:ilvl="0">
      <w:lvlJc w:val="left"/>
      <w:lvlText w:val="(%1)"/>
      <w:numFmt w:val="lowerLetter"/>
      <w:start w:val="1"/>
    </w:lvl>
  </w:abstractNum>
  <w:abstractNum w:abstractNumId="46">
    <w:nsid w:val="5A606509"/>
    <w:multiLevelType w:val="hybridMultilevel"/>
    <w:lvl w:ilvl="0">
      <w:lvlJc w:val="left"/>
      <w:lvlText w:val="(%1)"/>
      <w:numFmt w:val="lowerLetter"/>
      <w:start w:val="3"/>
    </w:lvl>
  </w:abstractNum>
  <w:abstractNum w:abstractNumId="47">
    <w:nsid w:val="6F38E6D1"/>
    <w:multiLevelType w:val="hybridMultilevel"/>
    <w:lvl w:ilvl="0">
      <w:lvlJc w:val="left"/>
      <w:lvlText w:val="%1"/>
      <w:numFmt w:val="lowerLetter"/>
      <w:start w:val="1"/>
    </w:lvl>
    <w:lvl w:ilvl="1">
      <w:lvlJc w:val="left"/>
      <w:lvlText w:val="(%2)"/>
      <w:numFmt w:val="lowerLetter"/>
      <w:start w:val="1"/>
    </w:lvl>
  </w:abstractNum>
  <w:abstractNum w:abstractNumId="48">
    <w:nsid w:val="46111BA5"/>
    <w:multiLevelType w:val="hybridMultilevel"/>
    <w:lvl w:ilvl="0">
      <w:lvlJc w:val="left"/>
      <w:lvlText w:val="(%1)"/>
      <w:numFmt w:val="lowerLetter"/>
      <w:start w:val="35"/>
    </w:lvl>
    <w:lvl w:ilvl="1">
      <w:lvlJc w:val="left"/>
      <w:lvlText w:val="%2"/>
      <w:numFmt w:val="lowerLetter"/>
      <w:start w:val="1"/>
    </w:lvl>
  </w:abstractNum>
  <w:abstractNum w:abstractNumId="49">
    <w:nsid w:val="5E963896"/>
    <w:multiLevelType w:val="hybridMultilevel"/>
    <w:lvl w:ilvl="0">
      <w:lvlJc w:val="left"/>
      <w:lvlText w:val="(%1)"/>
      <w:numFmt w:val="lowerLetter"/>
      <w:start w:val="9"/>
    </w:lvl>
    <w:lvl w:ilvl="1">
      <w:lvlJc w:val="left"/>
      <w:lvlText w:val="%2"/>
      <w:numFmt w:val="lowerLetter"/>
      <w:start w:val="1"/>
    </w:lvl>
  </w:abstractNum>
  <w:abstractNum w:abstractNumId="50">
    <w:nsid w:val="775BA7C1"/>
    <w:multiLevelType w:val="hybridMultilevel"/>
    <w:lvl w:ilvl="0">
      <w:lvlJc w:val="left"/>
      <w:lvlText w:val="(%1)"/>
      <w:numFmt w:val="lowerLetter"/>
      <w:start w:val="35"/>
    </w:lvl>
    <w:lvl w:ilvl="1">
      <w:lvlJc w:val="left"/>
      <w:lvlText w:val="(%2)"/>
      <w:numFmt w:val="lowerLetter"/>
      <w:start w:val="2"/>
    </w:lvl>
  </w:abstractNum>
  <w:abstractNum w:abstractNumId="51">
    <w:nsid w:val="1DD6D6F4"/>
    <w:multiLevelType w:val="hybridMultilevel"/>
    <w:lvl w:ilvl="0">
      <w:lvlJc w:val="left"/>
      <w:lvlText w:val="(%1)"/>
      <w:numFmt w:val="lowerLetter"/>
      <w:start w:val="3"/>
    </w:lvl>
  </w:abstractNum>
  <w:abstractNum w:abstractNumId="52">
    <w:nsid w:val="769A091F"/>
    <w:multiLevelType w:val="hybridMultilevel"/>
    <w:lvl w:ilvl="0">
      <w:lvlJc w:val="left"/>
      <w:lvlText w:val="%1"/>
      <w:numFmt w:val="upperLetter"/>
      <w:start w:val="1"/>
    </w:lvl>
    <w:lvl w:ilvl="1">
      <w:lvlJc w:val="left"/>
      <w:lvlText w:val="(%2)"/>
      <w:numFmt w:val="lowerLetter"/>
      <w:start w:val="1"/>
    </w:lvl>
  </w:abstractNum>
  <w:abstractNum w:abstractNumId="53">
    <w:nsid w:val="4695AE95"/>
    <w:multiLevelType w:val="hybridMultilevel"/>
    <w:lvl w:ilvl="0">
      <w:lvlJc w:val="left"/>
      <w:lvlText w:val="(%1)"/>
      <w:numFmt w:val="upperLetter"/>
      <w:start w:val="1"/>
    </w:lvl>
    <w:lvl w:ilvl="1">
      <w:lvlJc w:val="left"/>
      <w:lvlText w:val="%2"/>
      <w:numFmt w:val="lowerLetter"/>
      <w:start w:val="1"/>
    </w:lvl>
  </w:abstractNum>
  <w:abstractNum w:abstractNumId="54">
    <w:nsid w:val="777A4EAA"/>
    <w:multiLevelType w:val="hybridMultilevel"/>
    <w:lvl w:ilvl="0">
      <w:lvlJc w:val="left"/>
      <w:lvlText w:val="(%1)"/>
      <w:numFmt w:val="lowerLetter"/>
      <w:start w:val="2"/>
    </w:lvl>
    <w:lvl w:ilvl="1">
      <w:lvlJc w:val="left"/>
      <w:lvlText w:val="(%2)"/>
      <w:numFmt w:val="lowerRoman"/>
      <w:start w:val="1"/>
    </w:lvl>
  </w:abstractNum>
  <w:abstractNum w:abstractNumId="55">
    <w:nsid w:val="3F48B982"/>
    <w:multiLevelType w:val="hybridMultilevel"/>
    <w:lvl w:ilvl="0">
      <w:lvlJc w:val="left"/>
      <w:lvlText w:val="(%1)"/>
      <w:numFmt w:val="lowerRoman"/>
      <w:start w:val="3"/>
    </w:lvl>
  </w:abstractNum>
  <w:abstractNum w:abstractNumId="56">
    <w:nsid w:val="46BA8FCA"/>
    <w:multiLevelType w:val="hybridMultilevel"/>
    <w:lvl w:ilvl="0">
      <w:lvlJc w:val="left"/>
      <w:lvlText w:val="%1"/>
      <w:numFmt w:val="lowerLetter"/>
      <w:start w:val="1"/>
    </w:lvl>
    <w:lvl w:ilvl="1">
      <w:lvlJc w:val="left"/>
      <w:lvlText w:val="(%2)"/>
      <w:numFmt w:val="lowerRoman"/>
      <w:start w:val="5"/>
    </w:lvl>
  </w:abstractNum>
  <w:abstractNum w:abstractNumId="57">
    <w:nsid w:val="7835626C"/>
    <w:multiLevelType w:val="hybridMultilevel"/>
    <w:lvl w:ilvl="0">
      <w:lvlJc w:val="left"/>
      <w:lvlText w:val="(%1)"/>
      <w:numFmt w:val="lowerLetter"/>
      <w:start w:val="3"/>
    </w:lvl>
    <w:lvl w:ilvl="1">
      <w:lvlJc w:val="left"/>
      <w:lvlText w:val="%2"/>
      <w:numFmt w:val="lowerRoman"/>
      <w:start w:val="1"/>
    </w:lvl>
  </w:abstractNum>
  <w:abstractNum w:abstractNumId="58">
    <w:nsid w:val="665ACA4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59">
    <w:nsid w:val="6835B2AE"/>
    <w:multiLevelType w:val="hybridMultilevel"/>
    <w:lvl w:ilvl="0">
      <w:lvlJc w:val="left"/>
      <w:lvlText w:val="(%1)"/>
      <w:numFmt w:val="lowerLetter"/>
      <w:start w:val="3"/>
    </w:lvl>
  </w:abstractNum>
  <w:abstractNum w:abstractNumId="60">
    <w:nsid w:val="4C187C90"/>
    <w:multiLevelType w:val="hybridMultilevel"/>
    <w:lvl w:ilvl="0">
      <w:lvlJc w:val="left"/>
      <w:lvlText w:val="(%1)"/>
      <w:numFmt w:val="lowerLetter"/>
      <w:start w:val="1"/>
    </w:lvl>
  </w:abstractNum>
  <w:abstractNum w:abstractNumId="61">
    <w:nsid w:val="541F28CD"/>
    <w:multiLevelType w:val="hybridMultilevel"/>
    <w:lvl w:ilvl="0">
      <w:lvlJc w:val="left"/>
      <w:lvlText w:val="(%1)"/>
      <w:numFmt w:val="lowerLetter"/>
      <w:start w:val="1"/>
    </w:lvl>
    <w:lvl w:ilvl="1">
      <w:lvlJc w:val="left"/>
      <w:lvlText w:val="(%2)"/>
      <w:numFmt w:val="lowerLetter"/>
      <w:start w:val="2"/>
    </w:lvl>
  </w:abstractNum>
  <w:abstractNum w:abstractNumId="62">
    <w:nsid w:val="7F65FD16"/>
    <w:multiLevelType w:val="hybridMultilevel"/>
    <w:lvl w:ilvl="0">
      <w:lvlJc w:val="left"/>
      <w:lvlText w:val="(%1)"/>
      <w:numFmt w:val="lowerRoman"/>
      <w:start w:val="2"/>
    </w:lvl>
  </w:abstractNum>
  <w:abstractNum w:abstractNumId="63">
    <w:nsid w:val="77C9FD68"/>
    <w:multiLevelType w:val="hybridMultilevel"/>
    <w:lvl w:ilvl="0">
      <w:lvlJc w:val="left"/>
      <w:lvlText w:val="(%1)"/>
      <w:numFmt w:val="lowerLetter"/>
      <w:start w:val="3"/>
    </w:lvl>
  </w:abstractNum>
  <w:abstractNum w:abstractNumId="64">
    <w:nsid w:val="298A92B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65">
    <w:nsid w:val="6FE95EAC"/>
    <w:multiLevelType w:val="hybridMultilevel"/>
    <w:lvl w:ilvl="0">
      <w:lvlJc w:val="left"/>
      <w:lvlText w:val="(%1)"/>
      <w:numFmt w:val="lowerLetter"/>
      <w:start w:val="1"/>
    </w:lvl>
  </w:abstractNum>
  <w:abstractNum w:abstractNumId="66">
    <w:nsid w:val="4B697C7A"/>
    <w:multiLevelType w:val="hybridMultilevel"/>
    <w:lvl w:ilvl="0">
      <w:lvlJc w:val="left"/>
      <w:lvlText w:val="(%1)"/>
      <w:numFmt w:val="lowerLetter"/>
      <w:start w:val="2"/>
    </w:lvl>
    <w:lvl w:ilvl="1">
      <w:lvlJc w:val="left"/>
      <w:lvlText w:val="(%2)"/>
      <w:numFmt w:val="lowerRoman"/>
      <w:start w:val="1"/>
    </w:lvl>
  </w:abstractNum>
  <w:abstractNum w:abstractNumId="67">
    <w:nsid w:val="51A27AA6"/>
    <w:multiLevelType w:val="hybridMultilevel"/>
    <w:lvl w:ilvl="0">
      <w:lvlJc w:val="left"/>
      <w:lvlText w:val="(%1)"/>
      <w:numFmt w:val="lowerLetter"/>
      <w:start w:val="3"/>
    </w:lvl>
    <w:lvl w:ilvl="1">
      <w:lvlJc w:val="left"/>
      <w:lvlText w:val="(%2)"/>
      <w:numFmt w:val="lowerRoman"/>
      <w:start w:val="9"/>
    </w:lvl>
    <w:lvl w:ilvl="2">
      <w:lvlJc w:val="left"/>
      <w:lvlText w:val="(%3)"/>
      <w:numFmt w:val="lowerRoman"/>
      <w:start w:val="1"/>
    </w:lvl>
  </w:abstractNum>
  <w:abstractNum w:abstractNumId="68">
    <w:nsid w:val="613183F2"/>
    <w:multiLevelType w:val="hybridMultilevel"/>
    <w:lvl w:ilvl="0">
      <w:lvlJc w:val="left"/>
      <w:lvlText w:val="(%1)"/>
      <w:numFmt w:val="lowerLetter"/>
      <w:start w:val="4"/>
    </w:lvl>
  </w:abstractNum>
  <w:abstractNum w:abstractNumId="69">
    <w:nsid w:val="634102B4"/>
    <w:multiLevelType w:val="hybridMultilevel"/>
    <w:lvl w:ilvl="0">
      <w:lvlJc w:val="left"/>
      <w:lvlText w:val="(%1)"/>
      <w:numFmt w:val="lowerLetter"/>
      <w:start w:val="1"/>
    </w:lvl>
    <w:lvl w:ilvl="1">
      <w:lvlJc w:val="left"/>
      <w:lvlText w:val="(%2)"/>
      <w:numFmt w:val="lowerLetter"/>
      <w:start w:val="9"/>
    </w:lvl>
  </w:abstractNum>
  <w:abstractNum w:abstractNumId="70">
    <w:nsid w:val="65BF9DA8"/>
    <w:multiLevelType w:val="hybridMultilevel"/>
    <w:lvl w:ilvl="0">
      <w:lvlJc w:val="left"/>
      <w:lvlText w:val="%1"/>
      <w:numFmt w:val="lowerLetter"/>
      <w:start w:val="1"/>
    </w:lvl>
    <w:lvl w:ilvl="1">
      <w:lvlJc w:val="left"/>
      <w:lvlText w:val="(%2)"/>
      <w:numFmt w:val="lowerLetter"/>
      <w:start w:val="35"/>
    </w:lvl>
  </w:abstractNum>
  <w:abstractNum w:abstractNumId="71">
    <w:nsid w:val="21A2ECCA"/>
    <w:multiLevelType w:val="hybridMultilevel"/>
    <w:lvl w:ilvl="0">
      <w:lvlJc w:val="left"/>
      <w:lvlText w:val="(%1)"/>
      <w:numFmt w:val="lowerLetter"/>
      <w:start w:val="2"/>
    </w:lvl>
    <w:lvl w:ilvl="1">
      <w:lvlJc w:val="left"/>
      <w:lvlText w:val="%2"/>
      <w:numFmt w:val="lowerLetter"/>
      <w:start w:val="1"/>
    </w:lvl>
  </w:abstractNum>
  <w:abstractNum w:abstractNumId="72">
    <w:nsid w:val="4D5C4899"/>
    <w:multiLevelType w:val="hybridMultilevel"/>
    <w:lvl w:ilvl="0">
      <w:lvlJc w:val="left"/>
      <w:lvlText w:val="%1"/>
      <w:numFmt w:val="upperLetter"/>
      <w:start w:val="1"/>
    </w:lvl>
    <w:lvl w:ilvl="1">
      <w:lvlJc w:val="left"/>
      <w:lvlText w:val="(%2)"/>
      <w:numFmt w:val="lowerRoman"/>
      <w:start w:val="1"/>
    </w:lvl>
  </w:abstractNum>
  <w:abstractNum w:abstractNumId="73">
    <w:nsid w:val="3C3B72B2"/>
    <w:multiLevelType w:val="hybridMultilevel"/>
    <w:lvl w:ilvl="0">
      <w:lvlJc w:val="left"/>
      <w:lvlText w:val="(%1)"/>
      <w:numFmt w:val="upperLetter"/>
      <w:start w:val="2"/>
    </w:lvl>
    <w:lvl w:ilvl="1">
      <w:lvlJc w:val="left"/>
      <w:lvlText w:val="%2"/>
      <w:numFmt w:val="lowerRoman"/>
      <w:start w:val="1"/>
    </w:lvl>
  </w:abstractNum>
  <w:abstractNum w:abstractNumId="74">
    <w:nsid w:val="155EC4C2"/>
    <w:multiLevelType w:val="hybridMultilevel"/>
    <w:lvl w:ilvl="0">
      <w:lvlJc w:val="left"/>
      <w:lvlText w:val="(%1)"/>
      <w:numFmt w:val="lowerLetter"/>
      <w:start w:val="2"/>
    </w:lvl>
    <w:lvl w:ilvl="1">
      <w:lvlJc w:val="left"/>
      <w:lvlText w:val="(%2)"/>
      <w:numFmt w:val="lowerLetter"/>
      <w:start w:val="35"/>
    </w:lvl>
  </w:abstractNum>
  <w:abstractNum w:abstractNumId="75">
    <w:nsid w:val="65D2A13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6">
    <w:nsid w:val="6EBB1F2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77">
    <w:nsid w:val="6FBF29CB"/>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4"/>
    </w:lvl>
  </w:abstractNum>
  <w:abstractNum w:abstractNumId="78">
    <w:nsid w:val="550B8808"/>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79">
    <w:nsid w:val="34CC3ACF"/>
    <w:multiLevelType w:val="hybridMultilevel"/>
    <w:lvl w:ilvl="0">
      <w:lvlJc w:val="left"/>
      <w:lvlText w:val="%1"/>
      <w:numFmt w:val="lowerLetter"/>
      <w:start w:val="1"/>
    </w:lvl>
    <w:lvl w:ilvl="1">
      <w:lvlJc w:val="left"/>
      <w:lvlText w:val="(%2)"/>
      <w:numFmt w:val="lowerLetter"/>
      <w:start w:val="61"/>
    </w:lvl>
  </w:abstractNum>
  <w:abstractNum w:abstractNumId="80">
    <w:nsid w:val="4E556261"/>
    <w:multiLevelType w:val="hybridMultilevel"/>
    <w:lvl w:ilvl="0">
      <w:lvlJc w:val="left"/>
      <w:lvlText w:val="(%1)"/>
      <w:numFmt w:val="lowerLetter"/>
      <w:start w:val="6"/>
    </w:lvl>
    <w:lvl w:ilvl="1">
      <w:lvlJc w:val="left"/>
      <w:lvlText w:val="%2"/>
      <w:numFmt w:val="lowerLetter"/>
      <w:start w:val="1"/>
    </w:lvl>
  </w:abstractNum>
  <w:abstractNum w:abstractNumId="81">
    <w:nsid w:val="4C672FC9"/>
    <w:multiLevelType w:val="hybridMultilevel"/>
    <w:lvl w:ilvl="0">
      <w:lvlJc w:val="left"/>
      <w:lvlText w:val="(%1)"/>
      <w:numFmt w:val="lowerRoman"/>
      <w:start w:val="10"/>
    </w:lvl>
  </w:abstractNum>
  <w:abstractNum w:abstractNumId="82">
    <w:nsid w:val="52A311C3"/>
    <w:multiLevelType w:val="hybridMultilevel"/>
    <w:lvl w:ilvl="0">
      <w:lvlJc w:val="left"/>
      <w:lvlText w:val="(%1)"/>
      <w:numFmt w:val="lowerLetter"/>
      <w:start w:val="1"/>
    </w:lvl>
  </w:abstractNum>
  <w:abstractNum w:abstractNumId="83">
    <w:nsid w:val="44EF6B80"/>
    <w:multiLevelType w:val="hybridMultilevel"/>
    <w:lvl w:ilvl="0">
      <w:lvlJc w:val="left"/>
      <w:lvlText w:val="(%1)"/>
      <w:numFmt w:val="lowerRoman"/>
      <w:start w:val="1"/>
    </w:lvl>
  </w:abstractNum>
  <w:abstractNum w:abstractNumId="84">
    <w:nsid w:val="12FCDE5E"/>
    <w:multiLevelType w:val="hybridMultilevel"/>
    <w:lvl w:ilvl="0">
      <w:lvlJc w:val="left"/>
      <w:lvlText w:val="(%1)"/>
      <w:numFmt w:val="lowerLetter"/>
      <w:start w:val="2"/>
    </w:lvl>
  </w:abstractNum>
  <w:abstractNum w:abstractNumId="85">
    <w:nsid w:val="4A1D606E"/>
    <w:multiLevelType w:val="hybridMultilevel"/>
    <w:lvl w:ilvl="0">
      <w:lvlJc w:val="left"/>
      <w:lvlText w:val="(%1)"/>
      <w:numFmt w:val="lowerLetter"/>
      <w:start w:val="5"/>
    </w:lvl>
  </w:abstractNum>
  <w:abstractNum w:abstractNumId="86">
    <w:nsid w:val="4382503"/>
    <w:multiLevelType w:val="hybridMultilevel"/>
    <w:lvl w:ilvl="0">
      <w:lvlJc w:val="left"/>
      <w:lvlText w:val="(%1)"/>
      <w:numFmt w:val="lowerLetter"/>
      <w:start w:val="1"/>
    </w:lvl>
  </w:abstractNum>
  <w:abstractNum w:abstractNumId="87">
    <w:nsid w:val="59B76E28"/>
    <w:multiLevelType w:val="hybridMultilevel"/>
    <w:lvl w:ilvl="0">
      <w:lvlJc w:val="left"/>
      <w:lvlText w:val="(%1)"/>
      <w:numFmt w:val="lowerLetter"/>
      <w:start w:val="1"/>
    </w:lvl>
  </w:abstractNum>
  <w:abstractNum w:abstractNumId="88">
    <w:nsid w:val="4252C2D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
    <w:nsid w:val="6A92EF4C"/>
    <w:multiLevelType w:val="hybridMultilevel"/>
    <w:lvl w:ilvl="0">
      <w:lvlJc w:val="left"/>
      <w:lvlText w:val="%1"/>
      <w:numFmt w:val="lowerRoman"/>
      <w:start w:val="1"/>
    </w:lvl>
    <w:lvl w:ilvl="1">
      <w:lvlJc w:val="left"/>
      <w:lvlText w:val="(%2)"/>
      <w:numFmt w:val="upperLetter"/>
      <w:start w:val="4"/>
    </w:lvl>
  </w:abstractNum>
  <w:abstractNum w:abstractNumId="90">
    <w:nsid w:val="41ED20D7"/>
    <w:multiLevelType w:val="hybridMultilevel"/>
    <w:lvl w:ilvl="0">
      <w:lvlJc w:val="left"/>
      <w:lvlText w:val="(%1)"/>
      <w:numFmt w:val="lowerRoman"/>
      <w:start w:val="4"/>
    </w:lvl>
    <w:lvl w:ilvl="1">
      <w:lvlJc w:val="left"/>
      <w:lvlText w:val="%2"/>
      <w:numFmt w:val="upperLetter"/>
      <w:start w:val="1"/>
    </w:lvl>
  </w:abstractNum>
  <w:abstractNum w:abstractNumId="91">
    <w:nsid w:val="E6B3F6A"/>
    <w:multiLevelType w:val="hybridMultilevel"/>
    <w:lvl w:ilvl="0">
      <w:lvlJc w:val="left"/>
      <w:lvlText w:val="%1"/>
      <w:numFmt w:val="decimal"/>
      <w:start w:val="1"/>
    </w:lvl>
    <w:lvl w:ilvl="1">
      <w:lvlJc w:val="left"/>
      <w:lvlText w:val="(%2)"/>
      <w:numFmt w:val="lowerRoman"/>
      <w:start w:val="8"/>
    </w:lvl>
  </w:abstractNum>
  <w:abstractNum w:abstractNumId="92">
    <w:nsid w:val="3EB21819"/>
    <w:multiLevelType w:val="hybridMultilevel"/>
    <w:lvl w:ilvl="0">
      <w:lvlJc w:val="left"/>
      <w:lvlText w:val="(%1)"/>
      <w:numFmt w:val="decimal"/>
      <w:start w:val="2"/>
    </w:lvl>
    <w:lvl w:ilvl="1">
      <w:lvlJc w:val="left"/>
      <w:lvlText w:val="%2"/>
      <w:numFmt w:val="lowerRoman"/>
      <w:start w:val="1"/>
    </w:lvl>
  </w:abstractNum>
  <w:abstractNum w:abstractNumId="93">
    <w:nsid w:val="41531DED"/>
    <w:multiLevelType w:val="hybridMultilevel"/>
    <w:lvl w:ilvl="0">
      <w:lvlJc w:val="left"/>
      <w:lvlText w:val="(%1)"/>
      <w:numFmt w:val="decimal"/>
      <w:start w:val="2"/>
    </w:lvl>
    <w:lvl w:ilvl="1">
      <w:lvlJc w:val="left"/>
      <w:lvlText w:val="(%2)"/>
      <w:numFmt w:val="lowerRoman"/>
      <w:start w:val="9"/>
    </w:lvl>
  </w:abstractNum>
  <w:abstractNum w:abstractNumId="94">
    <w:nsid w:val="6353CD2"/>
    <w:multiLevelType w:val="hybridMultilevel"/>
    <w:lvl w:ilvl="0">
      <w:lvlJc w:val="left"/>
      <w:lvlText w:val="(%1)"/>
      <w:numFmt w:val="lowerRoman"/>
      <w:start w:val="10"/>
    </w:lvl>
  </w:abstractNum>
  <w:abstractNum w:abstractNumId="95">
    <w:nsid w:val="683CAAD3"/>
    <w:multiLevelType w:val="hybridMultilevel"/>
    <w:lvl w:ilvl="0">
      <w:lvlJc w:val="left"/>
      <w:lvlText w:val="(%1)"/>
      <w:numFmt w:val="lowerRoman"/>
      <w:start w:val="11"/>
    </w:lvl>
  </w:abstractNum>
  <w:abstractNum w:abstractNumId="96">
    <w:nsid w:val="313C7C99"/>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35"/>
    </w:lvl>
  </w:abstractNum>
  <w:abstractNum w:abstractNumId="97">
    <w:nsid w:val="519EB94C"/>
    <w:multiLevelType w:val="hybridMultilevel"/>
    <w:lvl w:ilvl="0">
      <w:lvlJc w:val="left"/>
      <w:lvlText w:val="(%1)"/>
      <w:numFmt w:val="lowerLetter"/>
      <w:start w:val="5"/>
    </w:lvl>
  </w:abstractNum>
  <w:abstractNum w:abstractNumId="98">
    <w:nsid w:val="39DF2579"/>
    <w:multiLevelType w:val="hybridMultilevel"/>
    <w:lvl w:ilvl="0">
      <w:lvlJc w:val="left"/>
      <w:lvlText w:val="(%1)"/>
      <w:numFmt w:val="lowerLetter"/>
      <w:start w:val="7"/>
    </w:lvl>
  </w:abstractNum>
  <w:abstractNum w:abstractNumId="99">
    <w:nsid w:val="126E008B"/>
    <w:multiLevelType w:val="hybridMultilevel"/>
    <w:lvl w:ilvl="0">
      <w:lvlJc w:val="left"/>
      <w:lvlText w:val="(%1)"/>
      <w:numFmt w:val="lowerLetter"/>
      <w:start w:val="3"/>
    </w:lvl>
  </w:abstractNum>
  <w:abstractNum w:abstractNumId="100">
    <w:nsid w:val="34DFBC00"/>
    <w:multiLevelType w:val="hybridMultilevel"/>
    <w:lvl w:ilvl="0">
      <w:lvlJc w:val="left"/>
      <w:lvlText w:val="(%1)"/>
      <w:numFmt w:val="lowerLetter"/>
      <w:start w:val="1"/>
    </w:lvl>
  </w:abstractNum>
  <w:abstractNum w:abstractNumId="101">
    <w:nsid w:val="1F9EC322"/>
    <w:multiLevelType w:val="hybridMultilevel"/>
    <w:lvl w:ilvl="0">
      <w:lvlJc w:val="left"/>
      <w:lvlText w:val="(%1)"/>
      <w:numFmt w:val="lowerLetter"/>
      <w:start w:val="1"/>
    </w:lvl>
  </w:abstractNum>
  <w:abstractNum w:abstractNumId="102">
    <w:nsid w:val="3410ED56"/>
    <w:multiLevelType w:val="hybridMultilevel"/>
    <w:lvl w:ilvl="0">
      <w:lvlJc w:val="left"/>
      <w:lvlText w:val="(%1)"/>
      <w:numFmt w:val="lowerLetter"/>
      <w:start w:val="2"/>
    </w:lvl>
  </w:abstractNum>
  <w:abstractNum w:abstractNumId="103">
    <w:nsid w:val="23C049A"/>
    <w:multiLevelType w:val="hybridMultilevel"/>
    <w:lvl w:ilvl="0">
      <w:lvlJc w:val="left"/>
      <w:lvlText w:val="(%1)"/>
      <w:numFmt w:val="lowerLetter"/>
      <w:start w:val="1"/>
    </w:lvl>
  </w:abstractNum>
  <w:abstractNum w:abstractNumId="104">
    <w:nsid w:val="5BDA35D4"/>
    <w:multiLevelType w:val="hybridMultilevel"/>
    <w:lvl w:ilvl="0">
      <w:lvlJc w:val="left"/>
      <w:lvlText w:val="(%1)"/>
      <w:numFmt w:val="lowerLetter"/>
      <w:start w:val="1"/>
    </w:lvl>
  </w:abstractNum>
  <w:abstractNum w:abstractNumId="105">
    <w:nsid w:val="496FB218"/>
    <w:multiLevelType w:val="hybridMultilevel"/>
    <w:lvl w:ilvl="0">
      <w:lvlJc w:val="left"/>
      <w:lvlText w:val="(%1)"/>
      <w:numFmt w:val="lowerLetter"/>
      <w:start w:val="1"/>
    </w:lvl>
  </w:abstractNum>
  <w:abstractNum w:abstractNumId="106">
    <w:nsid w:val="680EA5D1"/>
    <w:multiLevelType w:val="hybridMultilevel"/>
    <w:lvl w:ilvl="0">
      <w:lvlJc w:val="left"/>
      <w:lvlText w:val="(%1)"/>
      <w:numFmt w:val="lowerLetter"/>
      <w:start w:val="3"/>
    </w:lvl>
  </w:abstractNum>
  <w:abstractNum w:abstractNumId="107">
    <w:nsid w:val="4A9554FE"/>
    <w:multiLevelType w:val="hybridMultilevel"/>
    <w:lvl w:ilvl="0">
      <w:lvlJc w:val="left"/>
      <w:lvlText w:val="(%1)"/>
      <w:numFmt w:val="lowerLetter"/>
      <w:start w:val="9"/>
    </w:lvl>
  </w:abstractNum>
  <w:abstractNum w:abstractNumId="108">
    <w:nsid w:val="392EDBE4"/>
    <w:multiLevelType w:val="hybridMultilevel"/>
    <w:lvl w:ilvl="0">
      <w:lvlJc w:val="left"/>
      <w:lvlText w:val="(%1)"/>
      <w:numFmt w:val="lowerLetter"/>
      <w:start w:val="11"/>
    </w:lvl>
  </w:abstractNum>
  <w:abstractNum w:abstractNumId="109">
    <w:nsid w:val="3D1A2DD9"/>
    <w:multiLevelType w:val="hybridMultilevel"/>
    <w:lvl w:ilvl="0">
      <w:lvlJc w:val="left"/>
      <w:lvlText w:val="(%1)"/>
      <w:numFmt w:val="lowerRoman"/>
      <w:start w:val="2"/>
    </w:lvl>
  </w:abstractNum>
  <w:abstractNum w:abstractNumId="110">
    <w:nsid w:val="7F618FCD"/>
    <w:multiLevelType w:val="hybridMultilevel"/>
    <w:lvl w:ilvl="0">
      <w:lvlJc w:val="left"/>
      <w:lvlText w:val="(%1)"/>
      <w:numFmt w:val="lowerLetter"/>
      <w:start w:val="1"/>
    </w:lvl>
  </w:abstractNum>
  <w:abstractNum w:abstractNumId="111">
    <w:nsid w:val="7843E45"/>
    <w:multiLevelType w:val="hybridMultilevel"/>
    <w:lvl w:ilvl="0">
      <w:lvlJc w:val="left"/>
      <w:lvlText w:val="(%1)"/>
      <w:numFmt w:val="lowerLetter"/>
      <w:start w:val="1"/>
    </w:lvl>
  </w:abstractNum>
  <w:abstractNum w:abstractNumId="112">
    <w:nsid w:val="9815DA3"/>
    <w:multiLevelType w:val="hybridMultilevel"/>
    <w:lvl w:ilvl="0">
      <w:lvlJc w:val="left"/>
      <w:lvlText w:val="(%1)"/>
      <w:numFmt w:val="lowerLetter"/>
      <w:start w:val="2"/>
    </w:lvl>
  </w:abstractNum>
  <w:abstractNum w:abstractNumId="113">
    <w:nsid w:val="5204A191"/>
    <w:multiLevelType w:val="hybridMultilevel"/>
    <w:lvl w:ilvl="0">
      <w:lvlJc w:val="left"/>
      <w:lvlText w:val="(%1)"/>
      <w:numFmt w:val="lowerLetter"/>
      <w:start w:val="1"/>
    </w:lvl>
  </w:abstractNum>
  <w:abstractNum w:abstractNumId="114">
    <w:nsid w:val="4C73A9C6"/>
    <w:multiLevelType w:val="hybridMultilevel"/>
    <w:lvl w:ilvl="0">
      <w:lvlJc w:val="left"/>
      <w:lvlText w:val="(%1)"/>
      <w:numFmt w:val="lowerLetter"/>
      <w:start w:val="2"/>
    </w:lvl>
  </w:abstractNum>
  <w:abstractNum w:abstractNumId="115">
    <w:nsid w:val="1C7E3C01"/>
    <w:multiLevelType w:val="hybridMultilevel"/>
    <w:lvl w:ilvl="0">
      <w:lvlJc w:val="left"/>
      <w:lvlText w:val="(%1)"/>
      <w:numFmt w:val="lowerLetter"/>
      <w:start w:val="1"/>
    </w:lvl>
  </w:abstractNum>
  <w:abstractNum w:abstractNumId="116">
    <w:nsid w:val="1C2201FF"/>
    <w:multiLevelType w:val="hybridMultilevel"/>
    <w:lvl w:ilvl="0">
      <w:lvlJc w:val="left"/>
      <w:lvlText w:val="(%1)"/>
      <w:numFmt w:val="lowerLetter"/>
      <w:start w:val="4"/>
    </w:lvl>
    <w:lvl w:ilvl="1">
      <w:lvlJc w:val="left"/>
      <w:lvlText w:val="(%2)"/>
      <w:numFmt w:val="lowerRoman"/>
      <w:start w:val="1"/>
    </w:lvl>
  </w:abstractNum>
  <w:abstractNum w:abstractNumId="117">
    <w:nsid w:val="50ABCEC9"/>
    <w:multiLevelType w:val="hybridMultilevel"/>
    <w:lvl w:ilvl="0">
      <w:lvlJc w:val="left"/>
      <w:lvlText w:val="(%1)"/>
      <w:numFmt w:val="lowerRoman"/>
      <w:start w:val="6"/>
    </w:lvl>
  </w:abstractNum>
  <w:abstractNum w:abstractNumId="118">
    <w:nsid w:val="7635AA2A"/>
    <w:multiLevelType w:val="hybridMultilevel"/>
    <w:lvl w:ilvl="0">
      <w:lvlJc w:val="left"/>
      <w:lvlText w:val="(%1)"/>
      <w:numFmt w:val="lowerLetter"/>
      <w:start w:val="6"/>
    </w:lvl>
  </w:abstractNum>
  <w:abstractNum w:abstractNumId="119">
    <w:nsid w:val="5E74C4D9"/>
    <w:multiLevelType w:val="hybridMultilevel"/>
    <w:lvl w:ilvl="0">
      <w:lvlJc w:val="left"/>
      <w:lvlText w:val="%1"/>
      <w:numFmt w:val="lowerLetter"/>
      <w:start w:val="1"/>
    </w:lvl>
    <w:lvl w:ilvl="1">
      <w:lvlJc w:val="left"/>
      <w:lvlText w:val="(%2)"/>
      <w:numFmt w:val="lowerLetter"/>
      <w:start w:val="7"/>
    </w:lvl>
  </w:abstractNum>
  <w:abstractNum w:abstractNumId="120">
    <w:nsid w:val="3B3EBE15"/>
    <w:multiLevelType w:val="hybridMultilevel"/>
    <w:lvl w:ilvl="0">
      <w:lvlJc w:val="left"/>
      <w:lvlText w:val="(%1)"/>
      <w:numFmt w:val="lowerLetter"/>
      <w:start w:val="9"/>
    </w:lvl>
    <w:lvl w:ilvl="1">
      <w:lvlJc w:val="left"/>
      <w:lvlText w:val="(%2)"/>
      <w:numFmt w:val="lowerLetter"/>
      <w:start w:val="8"/>
    </w:lvl>
  </w:abstractNum>
  <w:abstractNum w:abstractNumId="121">
    <w:nsid w:val="3822CB01"/>
    <w:multiLevelType w:val="hybridMultilevel"/>
    <w:lvl w:ilvl="0">
      <w:lvlJc w:val="left"/>
      <w:lvlText w:val="(%1)"/>
      <w:numFmt w:val="lowerLetter"/>
      <w:start w:val="1"/>
    </w:lvl>
  </w:abstractNum>
  <w:abstractNum w:abstractNumId="122">
    <w:nsid w:val="6CE00443"/>
    <w:multiLevelType w:val="hybridMultilevel"/>
    <w:lvl w:ilvl="0">
      <w:lvlJc w:val="left"/>
      <w:lvlText w:val="(%1)"/>
      <w:numFmt w:val="lowerLetter"/>
      <w:start w:val="1"/>
    </w:lvl>
  </w:abstractNum>
  <w:abstractNum w:abstractNumId="123">
    <w:nsid w:val="79F0D62F"/>
    <w:multiLevelType w:val="hybridMultilevel"/>
    <w:lvl w:ilvl="0">
      <w:lvlJc w:val="left"/>
      <w:lvlText w:val="%1"/>
      <w:numFmt w:val="lowerLetter"/>
      <w:start w:val="1"/>
    </w:lvl>
    <w:lvl w:ilvl="1">
      <w:lvlJc w:val="left"/>
      <w:lvlText w:val="(%2)"/>
      <w:numFmt w:val="lowerLetter"/>
      <w:start w:val="7"/>
    </w:lvl>
  </w:abstractNum>
  <w:abstractNum w:abstractNumId="124">
    <w:nsid w:val="7975E8EE"/>
    <w:multiLevelType w:val="hybridMultilevel"/>
    <w:lvl w:ilvl="0">
      <w:lvlJc w:val="left"/>
      <w:lvlText w:val="(%1)"/>
      <w:numFmt w:val="lowerLetter"/>
      <w:start w:val="12"/>
    </w:lvl>
    <w:lvl w:ilvl="1">
      <w:lvlJc w:val="left"/>
      <w:lvlText w:val="%2"/>
      <w:numFmt w:val="lowerLetter"/>
      <w:start w:val="1"/>
    </w:lvl>
  </w:abstractNum>
  <w:abstractNum w:abstractNumId="125">
    <w:nsid w:val="73154115"/>
    <w:multiLevelType w:val="hybridMultilevel"/>
    <w:lvl w:ilvl="0">
      <w:lvlJc w:val="left"/>
      <w:lvlText w:val="(%1)"/>
      <w:numFmt w:val="lowerLetter"/>
      <w:start w:val="1"/>
    </w:lvl>
  </w:abstractNum>
  <w:abstractNum w:abstractNumId="126">
    <w:nsid w:val="622D8102"/>
    <w:multiLevelType w:val="hybridMultilevel"/>
    <w:lvl w:ilvl="0">
      <w:lvlJc w:val="left"/>
      <w:lvlText w:val="(%1)"/>
      <w:numFmt w:val="lowerLetter"/>
      <w:start w:val="10"/>
    </w:lvl>
  </w:abstractNum>
  <w:abstractNum w:abstractNumId="127">
    <w:nsid w:val="2AB26587"/>
    <w:multiLevelType w:val="hybridMultilevel"/>
    <w:lvl w:ilvl="0">
      <w:lvlJc w:val="left"/>
      <w:lvlText w:val="(%1)"/>
      <w:numFmt w:val="lowerLetter"/>
      <w:start w:val="1"/>
    </w:lvl>
    <w:lvl w:ilvl="1">
      <w:lvlJc w:val="left"/>
      <w:lvlText w:val="(%2)"/>
      <w:numFmt w:val="lowerLetter"/>
      <w:start w:val="9"/>
    </w:lvl>
  </w:abstractNum>
  <w:abstractNum w:abstractNumId="128">
    <w:nsid w:val="44B3FA61"/>
    <w:multiLevelType w:val="hybridMultilevel"/>
    <w:lvl w:ilvl="0">
      <w:lvlJc w:val="left"/>
      <w:lvlText w:val="(%1)"/>
      <w:numFmt w:val="lowerRoman"/>
      <w:start w:val="2"/>
    </w:lvl>
  </w:abstractNum>
  <w:abstractNum w:abstractNumId="129">
    <w:nsid w:val="1C0CA67C"/>
    <w:multiLevelType w:val="hybridMultilevel"/>
    <w:lvl w:ilvl="0">
      <w:lvlJc w:val="left"/>
      <w:lvlText w:val="(%1)"/>
      <w:numFmt w:val="lowerRoman"/>
      <w:start w:val="11"/>
    </w:lvl>
  </w:abstractNum>
  <w:abstractNum w:abstractNumId="130">
    <w:nsid w:val="3D206613"/>
    <w:multiLevelType w:val="hybridMultilevel"/>
    <w:lvl w:ilvl="0">
      <w:lvlJc w:val="left"/>
      <w:lvlText w:val="(%1)"/>
      <w:numFmt w:val="lowerLetter"/>
      <w:start w:val="2"/>
    </w:lvl>
    <w:lvl w:ilvl="1">
      <w:lvlJc w:val="left"/>
      <w:lvlText w:val="(%2)"/>
      <w:numFmt w:val="lowerRoman"/>
      <w:start w:val="1"/>
    </w:lvl>
  </w:abstractNum>
  <w:abstractNum w:abstractNumId="131">
    <w:nsid w:val="7993B662"/>
    <w:multiLevelType w:val="hybridMultilevel"/>
    <w:lvl w:ilvl="0">
      <w:lvlJc w:val="left"/>
      <w:lvlText w:val="%1"/>
      <w:numFmt w:val="lowerRoman"/>
      <w:start w:val="1"/>
    </w:lvl>
    <w:lvl w:ilvl="1">
      <w:lvlJc w:val="left"/>
      <w:lvlText w:val="(%2)"/>
      <w:numFmt w:val="lowerRoman"/>
      <w:start w:val="3"/>
    </w:lvl>
  </w:abstractNum>
  <w:abstractNum w:abstractNumId="132">
    <w:nsid w:val="3BAB699E"/>
    <w:multiLevelType w:val="hybridMultilevel"/>
    <w:lvl w:ilvl="0">
      <w:lvlJc w:val="left"/>
      <w:lvlText w:val="(%1)"/>
      <w:numFmt w:val="lowerRoman"/>
      <w:start w:val="6"/>
    </w:lvl>
    <w:lvl w:ilvl="1">
      <w:lvlJc w:val="left"/>
      <w:lvlText w:val="(%2)"/>
      <w:numFmt w:val="lowerRoman"/>
      <w:start w:val="7"/>
    </w:lvl>
  </w:abstractNum>
  <w:abstractNum w:abstractNumId="133">
    <w:nsid w:val="71315369"/>
    <w:multiLevelType w:val="hybridMultilevel"/>
    <w:lvl w:ilvl="0">
      <w:lvlJc w:val="left"/>
      <w:lvlText w:val="(%1)"/>
      <w:numFmt w:val="lowerLetter"/>
      <w:start w:val="1"/>
    </w:lvl>
  </w:abstractNum>
  <w:abstractNum w:abstractNumId="134">
    <w:nsid w:val="7BCFBAFC"/>
    <w:multiLevelType w:val="hybridMultilevel"/>
    <w:lvl w:ilvl="0">
      <w:lvlJc w:val="left"/>
      <w:lvlText w:val="(%1)"/>
      <w:numFmt w:val="lowerLetter"/>
      <w:start w:val="4"/>
    </w:lvl>
  </w:abstractNum>
  <w:abstractNum w:abstractNumId="135">
    <w:nsid w:val="17859F72"/>
    <w:multiLevelType w:val="hybridMultilevel"/>
    <w:lvl w:ilvl="0">
      <w:lvlJc w:val="left"/>
      <w:lvlText w:val="(%1)"/>
      <w:numFmt w:val="lowerLetter"/>
      <w:start w:val="1"/>
    </w:lvl>
  </w:abstractNum>
  <w:abstractNum w:abstractNumId="136">
    <w:nsid w:val="3AA10581"/>
    <w:multiLevelType w:val="hybridMultilevel"/>
    <w:lvl w:ilvl="0">
      <w:lvlJc w:val="left"/>
      <w:lvlText w:val="%1"/>
      <w:numFmt w:val="lowerLetter"/>
      <w:start w:val="1"/>
    </w:lvl>
    <w:lvl w:ilvl="1">
      <w:lvlJc w:val="left"/>
      <w:lvlText w:val="(%2)"/>
      <w:numFmt w:val="lowerLetter"/>
      <w:start w:val="1"/>
    </w:lvl>
  </w:abstractNum>
  <w:abstractNum w:abstractNumId="137">
    <w:nsid w:val="63DE60CD"/>
    <w:multiLevelType w:val="hybridMultilevel"/>
    <w:lvl w:ilvl="0">
      <w:lvlJc w:val="left"/>
      <w:lvlText w:val="(%1)"/>
      <w:numFmt w:val="lowerLetter"/>
      <w:start w:val="35"/>
    </w:lvl>
    <w:lvl w:ilvl="1">
      <w:lvlJc w:val="left"/>
      <w:lvlText w:val="(%2)"/>
      <w:numFmt w:val="lowerLetter"/>
      <w:start w:val="6"/>
    </w:lvl>
  </w:abstractNum>
  <w:abstractNum w:abstractNumId="138">
    <w:nsid w:val="621AF471"/>
    <w:multiLevelType w:val="hybridMultilevel"/>
    <w:lvl w:ilvl="0">
      <w:lvlJc w:val="left"/>
      <w:lvlText w:val="(%1)"/>
      <w:numFmt w:val="lowerRoman"/>
      <w:start w:val="2"/>
    </w:lvl>
  </w:abstractNum>
  <w:abstractNum w:abstractNumId="139">
    <w:nsid w:val="73CFE165"/>
    <w:multiLevelType w:val="hybridMultilevel"/>
    <w:lvl w:ilvl="0">
      <w:lvlJc w:val="left"/>
      <w:lvlText w:val="(%1)"/>
      <w:numFmt w:val="lowerLetter"/>
      <w:start w:val="1"/>
    </w:lvl>
  </w:abstractNum>
  <w:abstractNum w:abstractNumId="140">
    <w:nsid w:val="20F88EA6"/>
    <w:multiLevelType w:val="hybridMultilevel"/>
    <w:lvl w:ilvl="0">
      <w:lvlJc w:val="left"/>
      <w:lvlText w:val="(%1)"/>
      <w:numFmt w:val="lowerLetter"/>
      <w:start w:val="1"/>
    </w:lvl>
  </w:abstractNum>
  <w:abstractNum w:abstractNumId="141">
    <w:nsid w:val="617C843E"/>
    <w:multiLevelType w:val="hybridMultilevel"/>
    <w:lvl w:ilvl="0">
      <w:lvlJc w:val="left"/>
      <w:lvlText w:val="(%1)"/>
      <w:numFmt w:val="lowerLetter"/>
      <w:start w:val="6"/>
    </w:lvl>
    <w:lvl w:ilvl="1">
      <w:lvlJc w:val="left"/>
      <w:lvlText w:val="(%2)"/>
      <w:numFmt w:val="lowerRoman"/>
    </w:lvl>
    <w:lvl w:ilvl="2">
      <w:lvlJc w:val="left"/>
      <w:lvlText w:val="(%3)"/>
      <w:numFmt w:val="lowerLetter"/>
      <w:start w:val="9"/>
    </w:lvl>
  </w:abstractNum>
  <w:abstractNum w:abstractNumId="142">
    <w:nsid w:val="7B541FA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43">
    <w:nsid w:val="2A79EC49"/>
    <w:multiLevelType w:val="hybridMultilevel"/>
    <w:lvl w:ilvl="0">
      <w:lvlJc w:val="left"/>
      <w:lvlText w:val="%1"/>
      <w:numFmt w:val="decimal"/>
      <w:start w:val="1"/>
    </w:lvl>
    <w:lvl w:ilvl="1">
      <w:lvlJc w:val="left"/>
      <w:lvlText w:val="(%2)"/>
      <w:numFmt w:val="lowerLetter"/>
      <w:start w:val="10"/>
    </w:lvl>
  </w:abstractNum>
  <w:abstractNum w:abstractNumId="144">
    <w:nsid w:val="338125CF"/>
    <w:multiLevelType w:val="hybridMultilevel"/>
    <w:lvl w:ilvl="0">
      <w:lvlJc w:val="left"/>
      <w:lvlText w:val="(%1)"/>
      <w:numFmt w:val="decimal"/>
      <w:start w:val="1"/>
    </w:lvl>
    <w:lvl w:ilvl="1">
      <w:lvlJc w:val="left"/>
      <w:lvlText w:val="(%2)"/>
      <w:numFmt w:val="lowerLetter"/>
      <w:start w:val="11"/>
    </w:lvl>
  </w:abstractNum>
  <w:abstractNum w:abstractNumId="145">
    <w:nsid w:val="47C7C971"/>
    <w:multiLevelType w:val="hybridMultilevel"/>
    <w:lvl w:ilvl="0">
      <w:lvlJc w:val="left"/>
      <w:lvlText w:val="(%1)"/>
      <w:numFmt w:val="lowerLetter"/>
      <w:start w:val="1"/>
    </w:lvl>
  </w:abstractNum>
  <w:abstractNum w:abstractNumId="146">
    <w:nsid w:val="46F8284B"/>
    <w:multiLevelType w:val="hybridMultilevel"/>
    <w:lvl w:ilvl="0">
      <w:lvlJc w:val="left"/>
      <w:lvlText w:val="(%1)"/>
      <w:numFmt w:val="lowerLetter"/>
      <w:start w:val="2"/>
    </w:lvl>
  </w:abstractNum>
  <w:abstractNum w:abstractNumId="147">
    <w:nsid w:val="4FA327CE"/>
    <w:multiLevelType w:val="hybridMultilevel"/>
    <w:lvl w:ilvl="0">
      <w:lvlJc w:val="left"/>
      <w:lvlText w:val="(%1)"/>
      <w:numFmt w:val="lowerLetter"/>
      <w:start w:val="1"/>
    </w:lvl>
  </w:abstractNum>
  <w:abstractNum w:abstractNumId="148">
    <w:nsid w:val="1873983A"/>
    <w:multiLevelType w:val="hybridMultilevel"/>
    <w:lvl w:ilvl="0">
      <w:lvlJc w:val="left"/>
      <w:lvlText w:val="(%1)"/>
      <w:numFmt w:val="lowerLetter"/>
      <w:start w:val="5"/>
    </w:lvl>
  </w:abstractNum>
  <w:abstractNum w:abstractNumId="149">
    <w:nsid w:val="3D2DD275"/>
    <w:multiLevelType w:val="hybridMultilevel"/>
    <w:lvl w:ilvl="0">
      <w:lvlJc w:val="left"/>
      <w:lvlText w:val="(%1)"/>
      <w:numFmt w:val="lowerLetter"/>
      <w:start w:val="1"/>
    </w:lvl>
  </w:abstractNum>
  <w:abstractNum w:abstractNumId="150">
    <w:nsid w:val="2E17ECA7"/>
    <w:multiLevelType w:val="hybridMultilevel"/>
    <w:lvl w:ilvl="0">
      <w:lvlJc w:val="left"/>
      <w:lvlText w:val="(%1)"/>
      <w:numFmt w:val="lowerLetter"/>
      <w:start w:val="1"/>
    </w:lvl>
  </w:abstractNum>
  <w:abstractNum w:abstractNumId="151">
    <w:nsid w:val="53B2564F"/>
    <w:multiLevelType w:val="hybridMultilevel"/>
    <w:lvl w:ilvl="0">
      <w:lvlJc w:val="left"/>
      <w:lvlText w:val="(%1)"/>
      <w:numFmt w:val="lowerLetter"/>
      <w:start w:val="1"/>
    </w:lvl>
  </w:abstractNum>
  <w:abstractNum w:abstractNumId="152">
    <w:nsid w:val="75509D76"/>
    <w:multiLevelType w:val="hybridMultilevel"/>
    <w:lvl w:ilvl="0">
      <w:lvlJc w:val="left"/>
      <w:lvlText w:val="(%1)"/>
      <w:numFmt w:val="lowerLetter"/>
      <w:start w:val="1"/>
    </w:lvl>
  </w:abstractNum>
  <w:abstractNum w:abstractNumId="153">
    <w:nsid w:val="1AF7F0EA"/>
    <w:multiLevelType w:val="hybridMultilevel"/>
    <w:lvl w:ilvl="0">
      <w:lvlJc w:val="left"/>
      <w:lvlText w:val="(%1)"/>
      <w:numFmt w:val="lowerLetter"/>
      <w:start w:val="5"/>
    </w:lvl>
  </w:abstractNum>
  <w:abstractNum w:abstractNumId="154">
    <w:nsid w:val="4DA32C7E"/>
    <w:multiLevelType w:val="hybridMultilevel"/>
    <w:lvl w:ilvl="0">
      <w:lvlJc w:val="left"/>
      <w:lvlText w:val="(%1)"/>
      <w:numFmt w:val="lowerLetter"/>
      <w:start w:val="8"/>
    </w:lvl>
  </w:abstractNum>
  <w:abstractNum w:abstractNumId="155">
    <w:nsid w:val="6EC68664"/>
    <w:multiLevelType w:val="hybridMultilevel"/>
    <w:lvl w:ilvl="0">
      <w:lvlJc w:val="left"/>
      <w:lvlText w:val="(%1)"/>
      <w:numFmt w:val="lowerRoman"/>
      <w:start w:val="1"/>
    </w:lvl>
  </w:abstractNum>
  <w:abstractNum w:abstractNumId="156">
    <w:nsid w:val="E0D31FF"/>
    <w:multiLevelType w:val="hybridMultilevel"/>
    <w:lvl w:ilvl="0">
      <w:lvlJc w:val="left"/>
      <w:lvlText w:val="(%1)"/>
      <w:numFmt w:val="lowerLetter"/>
      <w:start w:val="2"/>
    </w:lvl>
  </w:abstractNum>
  <w:abstractNum w:abstractNumId="157">
    <w:nsid w:val="2FD0AD81"/>
    <w:multiLevelType w:val="hybridMultilevel"/>
    <w:lvl w:ilvl="0">
      <w:lvlJc w:val="left"/>
      <w:lvlText w:val="(%1)"/>
      <w:numFmt w:val="lowerLetter"/>
      <w:start w:val="3"/>
    </w:lvl>
  </w:abstractNum>
  <w:abstractNum w:abstractNumId="158">
    <w:nsid w:val="1978EBEB"/>
    <w:multiLevelType w:val="hybridMultilevel"/>
    <w:lvl w:ilvl="0">
      <w:lvlJc w:val="left"/>
      <w:lvlText w:val="(%1)"/>
      <w:numFmt w:val="lowerLetter"/>
      <w:start w:val="2"/>
    </w:lvl>
  </w:abstractNum>
  <w:abstractNum w:abstractNumId="159">
    <w:nsid w:val="52C12C61"/>
    <w:multiLevelType w:val="hybridMultilevel"/>
    <w:lvl w:ilvl="0">
      <w:lvlJc w:val="left"/>
      <w:lvlText w:val="(%1)"/>
      <w:numFmt w:val="lowerLetter"/>
      <w:start w:val="4"/>
    </w:lvl>
  </w:abstractNum>
  <w:abstractNum w:abstractNumId="160">
    <w:nsid w:val="4BDD53F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1">
    <w:nsid w:val="569951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2">
    <w:nsid w:val="4C54E2C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3">
    <w:nsid w:val="788BD9B"/>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64">
    <w:nsid w:val="47CAA567"/>
    <w:multiLevelType w:val="hybridMultilevel"/>
    <w:lvl w:ilvl="0">
      <w:lvlJc w:val="left"/>
      <w:lvlText w:val="%1"/>
      <w:numFmt w:val="lowerLetter"/>
      <w:start w:val="1"/>
    </w:lvl>
    <w:lvl w:ilvl="1">
      <w:lvlJc w:val="left"/>
      <w:lvlText w:val="(%2)"/>
      <w:numFmt w:val="lowerRoman"/>
      <w:start w:val="7"/>
    </w:lvl>
  </w:abstractNum>
  <w:abstractNum w:abstractNumId="165">
    <w:nsid w:val="48249DBF"/>
    <w:multiLevelType w:val="hybridMultilevel"/>
    <w:lvl w:ilvl="0">
      <w:lvlJc w:val="left"/>
      <w:lvlText w:val="(%1)"/>
      <w:numFmt w:val="lowerLetter"/>
      <w:start w:val="3"/>
    </w:lvl>
    <w:lvl w:ilvl="1">
      <w:lvlJc w:val="left"/>
      <w:lvlText w:val="%2"/>
      <w:numFmt w:val="lowerRoman"/>
      <w:start w:val="1"/>
    </w:lvl>
  </w:abstractNum>
  <w:abstractNum w:abstractNumId="166">
    <w:nsid w:val="1F0E5D0D"/>
    <w:multiLevelType w:val="hybridMultilevel"/>
    <w:lvl w:ilvl="0">
      <w:lvlJc w:val="left"/>
      <w:lvlText w:val="(%1)"/>
      <w:numFmt w:val="lowerLetter"/>
      <w:start w:val="5"/>
    </w:lvl>
  </w:abstractNum>
  <w:abstractNum w:abstractNumId="167">
    <w:nsid w:val="26BAAE9"/>
    <w:multiLevelType w:val="hybridMultilevel"/>
    <w:lvl w:ilvl="0">
      <w:lvlJc w:val="left"/>
      <w:lvlText w:val="(%1)"/>
      <w:numFmt w:val="lowerLetter"/>
      <w:start w:val="1"/>
    </w:lvl>
  </w:abstractNum>
  <w:abstractNum w:abstractNumId="168">
    <w:nsid w:val="2C02FE8C"/>
    <w:multiLevelType w:val="hybridMultilevel"/>
    <w:lvl w:ilvl="0">
      <w:lvlJc w:val="left"/>
      <w:lvlText w:val="(%1)"/>
      <w:numFmt w:val="lowerLetter"/>
      <w:start w:val="4"/>
    </w:lvl>
  </w:abstractNum>
  <w:abstractNum w:abstractNumId="169">
    <w:nsid w:val="129517E"/>
    <w:multiLevelType w:val="hybridMultilevel"/>
    <w:lvl w:ilvl="0">
      <w:lvlJc w:val="left"/>
      <w:lvlText w:val="(%1)"/>
      <w:numFmt w:val="lowerLetter"/>
      <w:start w:val="1"/>
    </w:lvl>
  </w:abstractNum>
  <w:abstractNum w:abstractNumId="170">
    <w:nsid w:val="763B8C4E"/>
    <w:multiLevelType w:val="hybridMultilevel"/>
    <w:lvl w:ilvl="0">
      <w:lvlJc w:val="left"/>
      <w:lvlText w:val="(%1)"/>
      <w:numFmt w:val="lowerLetter"/>
      <w:start w:val="3"/>
    </w:lvl>
  </w:abstractNum>
  <w:abstractNum w:abstractNumId="171">
    <w:nsid w:val="4CFB8D32"/>
    <w:multiLevelType w:val="hybridMultilevel"/>
    <w:lvl w:ilvl="0">
      <w:lvlJc w:val="left"/>
      <w:lvlText w:val="%1"/>
      <w:numFmt w:val="upperLetter"/>
      <w:start w:val="40"/>
    </w:lvl>
  </w:abstractNum>
  <w:abstractNum w:abstractNumId="172">
    <w:nsid w:val="62A5D5BD"/>
    <w:multiLevelType w:val="hybridMultilevel"/>
    <w:lvl w:ilvl="0">
      <w:lvlJc w:val="left"/>
      <w:lvlText w:val="(%1)"/>
      <w:numFmt w:val="lowerRoman"/>
      <w:start w:val="2"/>
    </w:lvl>
  </w:abstractNum>
  <w:abstractNum w:abstractNumId="173">
    <w:nsid w:val="718FABF9"/>
    <w:multiLevelType w:val="hybridMultilevel"/>
    <w:lvl w:ilvl="0">
      <w:lvlJc w:val="left"/>
      <w:lvlText w:val="(%1)"/>
      <w:numFmt w:val="decimal"/>
      <w:start w:val="1"/>
    </w:lvl>
  </w:abstractNum>
  <w:abstractNum w:abstractNumId="174">
    <w:nsid w:val="7775797C"/>
    <w:multiLevelType w:val="hybridMultilevel"/>
    <w:lvl w:ilvl="0">
      <w:lvlJc w:val="left"/>
      <w:lvlText w:val="(%1)"/>
      <w:numFmt w:val="lowerRoman"/>
      <w:start w:val="2"/>
    </w:lvl>
  </w:abstractNum>
  <w:abstractNum w:abstractNumId="175">
    <w:nsid w:val="1626FB8C"/>
    <w:multiLevelType w:val="hybridMultilevel"/>
    <w:lvl w:ilvl="0">
      <w:lvlJc w:val="left"/>
      <w:lvlText w:val="(%1)"/>
      <w:numFmt w:val="lowerLetter"/>
      <w:start w:val="1"/>
    </w:lvl>
  </w:abstractNum>
  <w:abstractNum w:abstractNumId="176">
    <w:nsid w:val="3957756A"/>
    <w:multiLevelType w:val="hybridMultilevel"/>
    <w:lvl w:ilvl="0">
      <w:lvlJc w:val="left"/>
      <w:lvlText w:val="%1"/>
      <w:numFmt w:val="lowerLetter"/>
      <w:start w:val="1"/>
    </w:lvl>
    <w:lvl w:ilvl="1">
      <w:lvlJc w:val="left"/>
      <w:lvlText w:val="(%2)"/>
      <w:numFmt w:val="lowerLetter"/>
      <w:start w:val="3"/>
    </w:lvl>
  </w:abstractNum>
  <w:abstractNum w:abstractNumId="177">
    <w:nsid w:val="3E6DA1C7"/>
    <w:multiLevelType w:val="hybridMultilevel"/>
    <w:lvl w:ilvl="0">
      <w:lvlJc w:val="left"/>
      <w:lvlText w:val="(%1)"/>
      <w:numFmt w:val="lowerLetter"/>
      <w:start w:val="35"/>
    </w:lvl>
    <w:lvl w:ilvl="1">
      <w:lvlJc w:val="left"/>
      <w:lvlText w:val="%2"/>
      <w:numFmt w:val="lowerLetter"/>
      <w:start w:val="1"/>
    </w:lvl>
  </w:abstractNum>
  <w:abstractNum w:abstractNumId="178">
    <w:nsid w:val="65CA235B"/>
    <w:multiLevelType w:val="hybridMultilevel"/>
    <w:lvl w:ilvl="0">
      <w:lvlJc w:val="left"/>
      <w:lvlText w:val="(%1)"/>
      <w:numFmt w:val="lowerLetter"/>
      <w:start w:val="1"/>
    </w:lvl>
  </w:abstractNum>
  <w:abstractNum w:abstractNumId="179">
    <w:nsid w:val="51CB0DA4"/>
    <w:multiLevelType w:val="hybridMultilevel"/>
    <w:lvl w:ilvl="0">
      <w:lvlJc w:val="left"/>
      <w:lvlText w:val="(%1)"/>
      <w:numFmt w:val="lowerLetter"/>
      <w:start w:val="3"/>
    </w:lvl>
  </w:abstractNum>
  <w:abstractNum w:abstractNumId="180">
    <w:nsid w:val="7B9B743C"/>
    <w:multiLevelType w:val="hybridMultilevel"/>
    <w:lvl w:ilvl="0">
      <w:lvlJc w:val="left"/>
      <w:lvlText w:val="(%1)"/>
      <w:numFmt w:val="lowerLetter"/>
      <w:start w:val="1"/>
    </w:lvl>
  </w:abstractNum>
  <w:abstractNum w:abstractNumId="181">
    <w:nsid w:val="13E21002"/>
    <w:multiLevelType w:val="hybridMultilevel"/>
    <w:lvl w:ilvl="0">
      <w:lvlJc w:val="left"/>
      <w:lvlText w:val="%1"/>
      <w:numFmt w:val="lowerLetter"/>
      <w:start w:val="1"/>
    </w:lvl>
    <w:lvl w:ilvl="1">
      <w:lvlJc w:val="left"/>
      <w:lvlText w:val="(%2)"/>
      <w:numFmt w:val="lowerLetter"/>
      <w:start w:val="4"/>
    </w:lvl>
  </w:abstractNum>
  <w:abstractNum w:abstractNumId="182">
    <w:nsid w:val="257D63F4"/>
    <w:multiLevelType w:val="hybridMultilevel"/>
    <w:lvl w:ilvl="0">
      <w:lvlJc w:val="left"/>
      <w:lvlText w:val="(%1)"/>
      <w:numFmt w:val="lowerLetter"/>
      <w:start w:val="4"/>
    </w:lvl>
    <w:lvl w:ilvl="1">
      <w:lvlJc w:val="left"/>
      <w:lvlText w:val="(%2)"/>
      <w:numFmt w:val="lowerLetter"/>
      <w:start w:val="6"/>
    </w:lvl>
  </w:abstractNum>
  <w:abstractNum w:abstractNumId="183">
    <w:nsid w:val="70EC11B2"/>
    <w:multiLevelType w:val="hybridMultilevel"/>
    <w:lvl w:ilvl="0">
      <w:lvlJc w:val="left"/>
      <w:lvlText w:val="(%1)"/>
      <w:numFmt w:val="lowerLetter"/>
      <w:start w:val="1"/>
    </w:lvl>
  </w:abstractNum>
  <w:abstractNum w:abstractNumId="184">
    <w:nsid w:val="2EDA00ED"/>
    <w:multiLevelType w:val="hybridMultilevel"/>
    <w:lvl w:ilvl="0">
      <w:lvlJc w:val="left"/>
      <w:lvlText w:val="(%1)"/>
      <w:numFmt w:val="lowerLetter"/>
      <w:start w:val="3"/>
    </w:lvl>
  </w:abstractNum>
  <w:abstractNum w:abstractNumId="185">
    <w:nsid w:val="73209072"/>
    <w:multiLevelType w:val="hybridMultilevel"/>
    <w:lvl w:ilvl="0">
      <w:lvlJc w:val="left"/>
      <w:lvlText w:val="(%1)"/>
      <w:numFmt w:val="lowerLetter"/>
      <w:start w:val="1"/>
    </w:lvl>
  </w:abstractNum>
  <w:abstractNum w:abstractNumId="186">
    <w:nsid w:val="5FB29816"/>
    <w:multiLevelType w:val="hybridMultilevel"/>
    <w:lvl w:ilvl="0">
      <w:lvlJc w:val="left"/>
      <w:lvlText w:val="(%1)"/>
      <w:numFmt w:val="lowerLetter"/>
      <w:start w:val="3"/>
    </w:lvl>
  </w:abstractNum>
  <w:abstractNum w:abstractNumId="187">
    <w:nsid w:val="3CE732EC"/>
    <w:multiLevelType w:val="hybridMultilevel"/>
    <w:lvl w:ilvl="0">
      <w:lvlJc w:val="left"/>
      <w:lvlText w:val="(%1)"/>
      <w:numFmt w:val="lowerRoman"/>
      <w:start w:val="2"/>
    </w:lvl>
  </w:abstractNum>
  <w:abstractNum w:abstractNumId="188">
    <w:nsid w:val="22F13DF3"/>
    <w:multiLevelType w:val="hybridMultilevel"/>
    <w:lvl w:ilvl="0">
      <w:lvlJc w:val="left"/>
      <w:lvlText w:val="(%1)"/>
      <w:numFmt w:val="lowerLetter"/>
      <w:start w:val="3"/>
    </w:lvl>
  </w:abstractNum>
  <w:abstractNum w:abstractNumId="189">
    <w:nsid w:val="792B8401"/>
    <w:multiLevelType w:val="hybridMultilevel"/>
    <w:lvl w:ilvl="0">
      <w:lvlJc w:val="left"/>
      <w:lvlText w:val="(%1)"/>
      <w:numFmt w:val="lowerLetter"/>
      <w:start w:val="9"/>
    </w:lvl>
  </w:abstractNum>
  <w:abstractNum w:abstractNumId="190">
    <w:nsid w:val="FA85F4D"/>
    <w:multiLevelType w:val="hybridMultilevel"/>
    <w:lvl w:ilvl="0">
      <w:lvlJc w:val="left"/>
      <w:lvlText w:val="(%1)"/>
      <w:numFmt w:val="lowerLetter"/>
      <w:start w:val="2"/>
    </w:lvl>
  </w:abstractNum>
  <w:abstractNum w:abstractNumId="191">
    <w:nsid w:val="6ECE91F0"/>
    <w:multiLevelType w:val="hybridMultilevel"/>
    <w:lvl w:ilvl="0">
      <w:lvlJc w:val="left"/>
      <w:lvlText w:val="(%1)"/>
      <w:numFmt w:val="lowerLetter"/>
      <w:start w:val="1"/>
    </w:lvl>
  </w:abstractNum>
  <w:abstractNum w:abstractNumId="192">
    <w:nsid w:val="4FC4D600"/>
    <w:multiLevelType w:val="hybridMultilevel"/>
    <w:lvl w:ilvl="0">
      <w:lvlJc w:val="left"/>
      <w:lvlText w:val="(%1)"/>
      <w:numFmt w:val="lowerLetter"/>
      <w:start w:val="8"/>
    </w:lvl>
  </w:abstractNum>
  <w:abstractNum w:abstractNumId="193">
    <w:nsid w:val="5BFD4210"/>
    <w:multiLevelType w:val="hybridMultilevel"/>
    <w:lvl w:ilvl="0">
      <w:lvlJc w:val="left"/>
      <w:lvlText w:val="(%1)"/>
      <w:numFmt w:val="lowerLetter"/>
      <w:start w:val="18"/>
    </w:lvl>
  </w:abstractNum>
  <w:abstractNum w:abstractNumId="194">
    <w:nsid w:val="76574F8B"/>
    <w:multiLevelType w:val="hybridMultilevel"/>
    <w:lvl w:ilvl="0">
      <w:lvlJc w:val="left"/>
      <w:lvlText w:val="(%1)"/>
      <w:numFmt w:val="lowerLetter"/>
      <w:start w:val="27"/>
    </w:lvl>
  </w:abstractNum>
  <w:abstractNum w:abstractNumId="195">
    <w:nsid w:val="178F7B67"/>
    <w:multiLevelType w:val="hybridMultilevel"/>
    <w:lvl w:ilvl="0">
      <w:lvlJc w:val="left"/>
      <w:lvlText w:val="%1"/>
      <w:numFmt w:val="lowerLetter"/>
      <w:start w:val="1"/>
    </w:lvl>
    <w:lvl w:ilvl="1">
      <w:lvlJc w:val="left"/>
      <w:lvlText w:val="(%2)"/>
      <w:numFmt w:val="lowerLetter"/>
      <w:start w:val="1"/>
    </w:lvl>
  </w:abstractNum>
  <w:abstractNum w:abstractNumId="196">
    <w:nsid w:val="2421DFCF"/>
    <w:multiLevelType w:val="hybridMultilevel"/>
    <w:lvl w:ilvl="0">
      <w:lvlJc w:val="left"/>
      <w:lvlText w:val="(%1)"/>
      <w:numFmt w:val="lowerLetter"/>
      <w:start w:val="35"/>
    </w:lvl>
    <w:lvl w:ilvl="1">
      <w:lvlJc w:val="left"/>
      <w:lvlText w:val="(%2)"/>
      <w:numFmt w:val="lowerLetter"/>
      <w:start w:val="5"/>
    </w:lvl>
  </w:abstractNum>
  <w:abstractNum w:abstractNumId="197">
    <w:nsid w:val="1565AC99"/>
    <w:multiLevelType w:val="hybridMultilevel"/>
    <w:lvl w:ilvl="0">
      <w:lvlJc w:val="left"/>
      <w:lvlText w:val="%1"/>
      <w:numFmt w:val="lowerLetter"/>
      <w:start w:val="1"/>
    </w:lvl>
    <w:lvl w:ilvl="1">
      <w:lvlJc w:val="left"/>
      <w:lvlText w:val="(%2)"/>
      <w:numFmt w:val="lowerLetter"/>
      <w:start w:val="11"/>
    </w:lvl>
  </w:abstractNum>
  <w:abstractNum w:abstractNumId="198">
    <w:nsid w:val="19FB2650"/>
    <w:multiLevelType w:val="hybridMultilevel"/>
    <w:lvl w:ilvl="0">
      <w:lvlJc w:val="left"/>
      <w:lvlText w:val="(%1)"/>
      <w:numFmt w:val="lowerLetter"/>
      <w:start w:val="35"/>
    </w:lvl>
    <w:lvl w:ilvl="1">
      <w:lvlJc w:val="left"/>
      <w:lvlText w:val="(%2)"/>
      <w:numFmt w:val="lowerLetter"/>
      <w:start w:val="12"/>
    </w:lvl>
  </w:abstractNum>
  <w:abstractNum w:abstractNumId="199">
    <w:nsid w:val="5024DE5B"/>
    <w:multiLevelType w:val="hybridMultilevel"/>
    <w:lvl w:ilvl="0">
      <w:lvlJc w:val="left"/>
      <w:lvlText w:val="(%1)"/>
      <w:numFmt w:val="lowerLetter"/>
      <w:start w:val="16"/>
    </w:lvl>
  </w:abstractNum>
  <w:abstractNum w:abstractNumId="200">
    <w:nsid w:val="168EFE17"/>
    <w:multiLevelType w:val="hybridMultilevel"/>
    <w:lvl w:ilvl="0">
      <w:lvlJc w:val="left"/>
      <w:lvlText w:val="(%1)"/>
      <w:numFmt w:val="lowerLetter"/>
      <w:start w:val="1"/>
    </w:lvl>
  </w:abstractNum>
  <w:abstractNum w:abstractNumId="201">
    <w:nsid w:val="1036B29F"/>
    <w:multiLevelType w:val="hybridMultilevel"/>
    <w:lvl w:ilvl="0">
      <w:lvlJc w:val="left"/>
      <w:lvlText w:val="(%1)"/>
      <w:numFmt w:val="lowerLetter"/>
      <w:start w:val="3"/>
    </w:lvl>
  </w:abstractNum>
  <w:abstractNum w:abstractNumId="202">
    <w:nsid w:val="1D206B8E"/>
    <w:multiLevelType w:val="hybridMultilevel"/>
    <w:lvl w:ilvl="0">
      <w:lvlJc w:val="left"/>
      <w:lvlText w:val="(%1)"/>
      <w:numFmt w:val="lowerLetter"/>
      <w:start w:val="12"/>
    </w:lvl>
  </w:abstractNum>
  <w:abstractNum w:abstractNumId="203">
    <w:nsid w:val="7934D3D4"/>
    <w:multiLevelType w:val="hybridMultilevel"/>
    <w:lvl w:ilvl="0">
      <w:lvlJc w:val="left"/>
      <w:lvlText w:val="%1"/>
      <w:numFmt w:val="lowerLetter"/>
      <w:start w:val="1"/>
    </w:lvl>
    <w:lvl w:ilvl="1">
      <w:lvlJc w:val="left"/>
      <w:lvlText w:val="(%2)"/>
      <w:numFmt w:val="lowerLetter"/>
      <w:start w:val="26"/>
    </w:lvl>
  </w:abstractNum>
  <w:abstractNum w:abstractNumId="204">
    <w:nsid w:val="1C65E98"/>
    <w:multiLevelType w:val="hybridMultilevel"/>
    <w:lvl w:ilvl="0">
      <w:lvlJc w:val="left"/>
      <w:lvlText w:val="(%1)"/>
      <w:numFmt w:val="lowerLetter"/>
      <w:start w:val="1"/>
    </w:lvl>
    <w:lvl w:ilvl="1">
      <w:lvlJc w:val="left"/>
      <w:lvlText w:val="(%2)"/>
      <w:numFmt w:val="lowerLetter"/>
      <w:start w:val="27"/>
    </w:lvl>
  </w:abstractNum>
  <w:abstractNum w:abstractNumId="205">
    <w:nsid w:val="1495E50A"/>
    <w:multiLevelType w:val="hybridMultilevel"/>
    <w:lvl w:ilvl="0">
      <w:lvlJc w:val="left"/>
      <w:lvlText w:val="(%1)"/>
      <w:numFmt w:val="lowerLetter"/>
      <w:start w:val="1"/>
    </w:lvl>
  </w:abstractNum>
  <w:abstractNum w:abstractNumId="206">
    <w:nsid w:val="F5BCF61"/>
    <w:multiLevelType w:val="hybridMultilevel"/>
    <w:lvl w:ilvl="0">
      <w:lvlJc w:val="left"/>
      <w:lvlText w:val="(%1)"/>
      <w:numFmt w:val="lowerLetter"/>
      <w:start w:val="3"/>
    </w:lvl>
  </w:abstractNum>
  <w:abstractNum w:abstractNumId="207">
    <w:nsid w:val="3B1DD403"/>
    <w:multiLevelType w:val="hybridMultilevel"/>
    <w:lvl w:ilvl="0">
      <w:lvlJc w:val="left"/>
      <w:lvlText w:val="(%1)"/>
      <w:numFmt w:val="lowerLetter"/>
      <w:start w:val="15"/>
    </w:lvl>
  </w:abstractNum>
  <w:abstractNum w:abstractNumId="208">
    <w:nsid w:val="530386D1"/>
    <w:multiLevelType w:val="hybridMultilevel"/>
    <w:lvl w:ilvl="0">
      <w:lvlJc w:val="left"/>
      <w:lvlText w:val="(%1)"/>
      <w:numFmt w:val="lowerLetter"/>
      <w:start w:val="1"/>
    </w:lvl>
  </w:abstractNum>
  <w:abstractNum w:abstractNumId="209">
    <w:nsid w:val="7525F2BC"/>
    <w:multiLevelType w:val="hybridMultilevel"/>
    <w:lvl w:ilvl="0">
      <w:lvlJc w:val="left"/>
      <w:lvlText w:val="(%1)"/>
      <w:numFmt w:val="lowerLetter"/>
      <w:start w:val="2"/>
    </w:lvl>
  </w:abstractNum>
  <w:abstractNum w:abstractNumId="210">
    <w:nsid w:val="CE8E1A7"/>
    <w:multiLevelType w:val="hybridMultilevel"/>
    <w:lvl w:ilvl="0">
      <w:lvlJc w:val="left"/>
      <w:lvlText w:val="(%1)"/>
      <w:numFmt w:val="lowerLetter"/>
      <w:start w:val="1"/>
    </w:lvl>
  </w:abstractNum>
  <w:abstractNum w:abstractNumId="211">
    <w:nsid w:val="4E9EFB0D"/>
    <w:multiLevelType w:val="hybridMultilevel"/>
    <w:lvl w:ilvl="0">
      <w:lvlJc w:val="left"/>
      <w:lvlText w:val="(%1)"/>
      <w:numFmt w:val="lowerLetter"/>
      <w:start w:val="8"/>
    </w:lvl>
  </w:abstractNum>
  <w:abstractNum w:abstractNumId="212">
    <w:nsid w:val="90802BE"/>
    <w:multiLevelType w:val="hybridMultilevel"/>
    <w:lvl w:ilvl="0">
      <w:lvlJc w:val="left"/>
      <w:lvlText w:val="(%1)"/>
      <w:numFmt w:val="lowerLetter"/>
      <w:start w:val="1"/>
    </w:lvl>
  </w:abstractNum>
  <w:abstractNum w:abstractNumId="213">
    <w:nsid w:val="3266459B"/>
    <w:multiLevelType w:val="hybridMultilevel"/>
    <w:lvl w:ilvl="0">
      <w:lvlJc w:val="left"/>
      <w:lvlText w:val="(%1)"/>
      <w:numFmt w:val="lowerLetter"/>
      <w:start w:val="8"/>
    </w:lvl>
  </w:abstractNum>
  <w:abstractNum w:abstractNumId="214">
    <w:nsid w:val="3F8B0CBF"/>
    <w:multiLevelType w:val="hybridMultilevel"/>
    <w:lvl w:ilvl="0">
      <w:lvlJc w:val="left"/>
      <w:lvlText w:val="(%1)"/>
      <w:numFmt w:val="lowerLetter"/>
      <w:start w:val="1"/>
    </w:lvl>
  </w:abstractNum>
  <w:abstractNum w:abstractNumId="215">
    <w:nsid w:val="37E203AB"/>
    <w:multiLevelType w:val="hybridMultilevel"/>
    <w:lvl w:ilvl="0">
      <w:lvlJc w:val="left"/>
      <w:lvlText w:val="%1"/>
      <w:numFmt w:val="decimal"/>
      <w:start w:val="1"/>
    </w:lvl>
    <w:lvl w:ilvl="1">
      <w:lvlJc w:val="left"/>
      <w:lvlText w:val="(%2)"/>
      <w:numFmt w:val="lowerLetter"/>
      <w:start w:val="1"/>
    </w:lvl>
  </w:abstractNum>
  <w:abstractNum w:abstractNumId="216">
    <w:nsid w:val="2586D60E"/>
    <w:multiLevelType w:val="hybridMultilevel"/>
    <w:lvl w:ilvl="0">
      <w:lvlJc w:val="left"/>
      <w:lvlText w:val="(%1)"/>
      <w:numFmt w:val="decimal"/>
      <w:start w:val="1"/>
    </w:lvl>
    <w:lvl w:ilvl="1">
      <w:lvlJc w:val="left"/>
      <w:lvlText w:val="%2"/>
      <w:numFmt w:val="lowerLetter"/>
      <w:start w:val="1"/>
    </w:lvl>
  </w:abstractNum>
  <w:abstractNum w:abstractNumId="217">
    <w:nsid w:val="1F3DA4D5"/>
    <w:multiLevelType w:val="hybridMultilevel"/>
    <w:lvl w:ilvl="0">
      <w:lvlJc w:val="left"/>
      <w:lvlText w:val="(%1)"/>
      <w:numFmt w:val="decimal"/>
      <w:start w:val="1"/>
    </w:lvl>
    <w:lvl w:ilvl="1">
      <w:lvlJc w:val="left"/>
      <w:lvlText w:val="(%2)"/>
      <w:numFmt w:val="lowerLetter"/>
      <w:start w:val="2"/>
    </w:lvl>
  </w:abstractNum>
  <w:abstractNum w:abstractNumId="218">
    <w:nsid w:val="74C93698"/>
    <w:multiLevelType w:val="hybridMultilevel"/>
    <w:lvl w:ilvl="0">
      <w:lvlJc w:val="left"/>
      <w:lvlText w:val="(%1)"/>
      <w:numFmt w:val="lowerLetter"/>
      <w:start w:val="1"/>
    </w:lvl>
  </w:abstractNum>
  <w:abstractNum w:abstractNumId="219">
    <w:nsid w:val="48781401"/>
    <w:multiLevelType w:val="hybridMultilevel"/>
    <w:lvl w:ilvl="0">
      <w:lvlJc w:val="left"/>
      <w:lvlText w:val="%1"/>
      <w:numFmt w:val="lowerLetter"/>
      <w:start w:val="1"/>
    </w:lvl>
    <w:lvl w:ilvl="1">
      <w:lvlJc w:val="left"/>
      <w:lvlText w:val="(%2)"/>
      <w:numFmt w:val="lowerLetter"/>
      <w:start w:val="1"/>
    </w:lvl>
  </w:abstractNum>
  <w:abstractNum w:abstractNumId="220">
    <w:nsid w:val="186928D6"/>
    <w:multiLevelType w:val="hybridMultilevel"/>
    <w:lvl w:ilvl="0">
      <w:lvlJc w:val="left"/>
      <w:lvlText w:val="(%1)"/>
      <w:numFmt w:val="lowerLetter"/>
      <w:start w:val="35"/>
    </w:lvl>
    <w:lvl w:ilvl="1">
      <w:lvlJc w:val="left"/>
      <w:lvlText w:val="%2"/>
      <w:numFmt w:val="lowerLetter"/>
      <w:start w:val="1"/>
    </w:lvl>
  </w:abstractNum>
  <w:abstractNum w:abstractNumId="221">
    <w:nsid w:val="47195E5"/>
    <w:multiLevelType w:val="hybridMultilevel"/>
    <w:lvl w:ilvl="0">
      <w:lvlJc w:val="left"/>
      <w:lvlText w:val="(%1)"/>
      <w:numFmt w:val="lowerLetter"/>
      <w:start w:val="1"/>
    </w:lvl>
  </w:abstractNum>
  <w:abstractNum w:abstractNumId="222">
    <w:nsid w:val="3746A5F2"/>
    <w:multiLevelType w:val="hybridMultilevel"/>
    <w:lvl w:ilvl="0">
      <w:lvlJc w:val="left"/>
      <w:lvlText w:val="(%1)"/>
      <w:numFmt w:val="lowerLetter"/>
      <w:start w:val="1"/>
    </w:lvl>
  </w:abstractNum>
  <w:abstractNum w:abstractNumId="223">
    <w:nsid w:val="682DFED6"/>
    <w:multiLevelType w:val="hybridMultilevel"/>
    <w:lvl w:ilvl="0">
      <w:lvlJc w:val="left"/>
      <w:lvlText w:val="(%1)"/>
      <w:numFmt w:val="lowerLetter"/>
      <w:start w:val="1"/>
    </w:lvl>
  </w:abstractNum>
  <w:abstractNum w:abstractNumId="224">
    <w:nsid w:val="606ED7F6"/>
    <w:multiLevelType w:val="hybridMultilevel"/>
    <w:lvl w:ilvl="0">
      <w:lvlJc w:val="left"/>
      <w:lvlText w:val="(%1)"/>
      <w:numFmt w:val="lowerLetter"/>
      <w:start w:val="1"/>
    </w:lvl>
  </w:abstractNum>
  <w:abstractNum w:abstractNumId="225">
    <w:nsid w:val="2D9DF57D"/>
    <w:multiLevelType w:val="hybridMultilevel"/>
    <w:lvl w:ilvl="0">
      <w:lvlJc w:val="left"/>
      <w:lvlText w:val="(%1)"/>
      <w:numFmt w:val="lowerLetter"/>
      <w:start w:val="1"/>
    </w:lvl>
  </w:abstractNum>
  <w:abstractNum w:abstractNumId="226">
    <w:nsid w:val="7FBD7A3E"/>
    <w:multiLevelType w:val="hybridMultilevel"/>
    <w:lvl w:ilvl="0">
      <w:lvlJc w:val="left"/>
      <w:lvlText w:val="(%1)"/>
      <w:numFmt w:val="lowerLetter"/>
      <w:start w:val="2"/>
    </w:lvl>
  </w:abstractNum>
  <w:abstractNum w:abstractNumId="227">
    <w:nsid w:val="490B7C5"/>
    <w:multiLevelType w:val="hybridMultilevel"/>
    <w:lvl w:ilvl="0">
      <w:lvlJc w:val="left"/>
      <w:lvlText w:val="(%1)"/>
      <w:numFmt w:val="lowerLetter"/>
      <w:start w:val="2"/>
    </w:lvl>
  </w:abstractNum>
  <w:abstractNum w:abstractNumId="228">
    <w:nsid w:val="4303A216"/>
    <w:multiLevelType w:val="hybridMultilevel"/>
    <w:lvl w:ilvl="0">
      <w:lvlJc w:val="left"/>
      <w:lvlText w:val="(%1)"/>
      <w:numFmt w:val="lowerLetter"/>
      <w:start w:val="1"/>
    </w:lvl>
    <w:lvl w:ilvl="1">
      <w:lvlJc w:val="left"/>
      <w:lvlText w:val="(%2)"/>
      <w:numFmt w:val="lowerRoman"/>
      <w:start w:val="1"/>
    </w:lvl>
  </w:abstractNum>
  <w:abstractNum w:abstractNumId="229">
    <w:nsid w:val="19B8A08E"/>
    <w:multiLevelType w:val="hybridMultilevel"/>
    <w:lvl w:ilvl="0">
      <w:lvlJc w:val="left"/>
      <w:lvlText w:val="(%1)"/>
      <w:numFmt w:val="lowerRoman"/>
      <w:start w:val="2"/>
    </w:lvl>
  </w:abstractNum>
  <w:abstractNum w:abstractNumId="230">
    <w:nsid w:val="54B59621"/>
    <w:multiLevelType w:val="hybridMultilevel"/>
    <w:lvl w:ilvl="0">
      <w:lvlJc w:val="left"/>
      <w:lvlText w:val="%1"/>
      <w:numFmt w:val="lowerLetter"/>
      <w:start w:val="1"/>
    </w:lvl>
    <w:lvl w:ilvl="1">
      <w:lvlJc w:val="left"/>
      <w:lvlText w:val="(%2)"/>
      <w:numFmt w:val="lowerLetter"/>
      <w:start w:val="1"/>
    </w:lvl>
  </w:abstractNum>
  <w:abstractNum w:abstractNumId="231">
    <w:nsid w:val="5992A02E"/>
    <w:multiLevelType w:val="hybridMultilevel"/>
    <w:lvl w:ilvl="0">
      <w:lvlJc w:val="left"/>
      <w:lvlText w:val="(%1)"/>
      <w:numFmt w:val="lowerLetter"/>
      <w:start w:val="22"/>
    </w:lvl>
    <w:lvl w:ilvl="1">
      <w:lvlJc w:val="left"/>
      <w:lvlText w:val="%2"/>
      <w:numFmt w:val="lowerLetter"/>
      <w:start w:val="1"/>
    </w:lvl>
  </w:abstractNum>
  <w:abstractNum w:abstractNumId="232">
    <w:nsid w:val="29EF532D"/>
    <w:multiLevelType w:val="hybridMultilevel"/>
    <w:lvl w:ilvl="0">
      <w:lvlJc w:val="left"/>
      <w:lvlText w:val="(%1)"/>
      <w:numFmt w:val="lowerLetter"/>
      <w:start w:val="3"/>
    </w:lvl>
  </w:abstractNum>
  <w:abstractNum w:abstractNumId="233">
    <w:nsid w:val="71D601AF"/>
    <w:multiLevelType w:val="hybridMultilevel"/>
    <w:lvl w:ilvl="0">
      <w:lvlJc w:val="left"/>
      <w:lvlText w:val="(%1)"/>
      <w:numFmt w:val="lowerLetter"/>
      <w:start w:val="6"/>
    </w:lvl>
  </w:abstractNum>
  <w:abstractNum w:abstractNumId="234">
    <w:nsid w:val="52C77402"/>
    <w:multiLevelType w:val="hybridMultilevel"/>
    <w:lvl w:ilvl="0">
      <w:lvlJc w:val="left"/>
      <w:lvlText w:val="(%1)"/>
      <w:numFmt w:val="lowerLetter"/>
      <w:start w:val="7"/>
    </w:lvl>
  </w:abstractNum>
  <w:abstractNum w:abstractNumId="235">
    <w:nsid w:val="2BB5B1C6"/>
    <w:multiLevelType w:val="hybridMultilevel"/>
    <w:lvl w:ilvl="0">
      <w:lvlJc w:val="left"/>
      <w:lvlText w:val="(%1)"/>
      <w:numFmt w:val="lowerLetter"/>
      <w:start w:val="1"/>
    </w:lvl>
  </w:abstractNum>
  <w:abstractNum w:abstractNumId="236">
    <w:nsid w:val="66BE6B9"/>
    <w:multiLevelType w:val="hybridMultilevel"/>
    <w:lvl w:ilvl="0">
      <w:lvlJc w:val="left"/>
      <w:lvlText w:val="(%1)"/>
      <w:numFmt w:val="lowerLetter"/>
      <w:start w:val="3"/>
    </w:lvl>
  </w:abstractNum>
  <w:abstractNum w:abstractNumId="237">
    <w:nsid w:val="62234363"/>
    <w:multiLevelType w:val="hybridMultilevel"/>
    <w:lvl w:ilvl="0">
      <w:lvlJc w:val="left"/>
      <w:lvlText w:val="(%1)"/>
      <w:numFmt w:val="lowerLetter"/>
      <w:start w:val="6"/>
    </w:lvl>
    <w:lvl w:ilvl="1">
      <w:lvlJc w:val="left"/>
      <w:lvlText w:val="(%2)"/>
      <w:numFmt w:val="lowerRoman"/>
      <w:start w:val="1"/>
    </w:lvl>
  </w:abstractNum>
  <w:abstractNum w:abstractNumId="238">
    <w:nsid w:val="66D385C9"/>
    <w:multiLevelType w:val="hybridMultilevel"/>
    <w:lvl w:ilvl="0">
      <w:lvlJc w:val="left"/>
      <w:lvlText w:val="%1"/>
      <w:numFmt w:val="lowerLetter"/>
      <w:start w:val="1"/>
    </w:lvl>
    <w:lvl w:ilvl="1">
      <w:lvlJc w:val="left"/>
      <w:lvlText w:val="(%2)"/>
      <w:numFmt w:val="lowerLetter"/>
      <w:start w:val="61"/>
    </w:lvl>
  </w:abstractNum>
  <w:abstractNum w:abstractNumId="239">
    <w:nsid w:val="596F6D8A"/>
    <w:multiLevelType w:val="hybridMultilevel"/>
    <w:lvl w:ilvl="0">
      <w:lvlJc w:val="left"/>
      <w:lvlText w:val="(%1)"/>
      <w:numFmt w:val="lowerLetter"/>
      <w:start w:val="8"/>
    </w:lvl>
    <w:lvl w:ilvl="1">
      <w:lvlJc w:val="left"/>
      <w:lvlText w:val="(%2)"/>
      <w:numFmt w:val="lowerLetter"/>
      <w:start w:val="9"/>
    </w:lvl>
  </w:abstractNum>
  <w:abstractNum w:abstractNumId="240">
    <w:nsid w:val="5749361F"/>
    <w:multiLevelType w:val="hybridMultilevel"/>
    <w:lvl w:ilvl="0">
      <w:lvlJc w:val="left"/>
      <w:lvlText w:val="(%1)"/>
      <w:numFmt w:val="lowerRoman"/>
      <w:start w:val="2"/>
    </w:lvl>
  </w:abstractNum>
  <w:abstractNum w:abstractNumId="241">
    <w:nsid w:val="73BC6770"/>
    <w:multiLevelType w:val="hybridMultilevel"/>
    <w:lvl w:ilvl="0">
      <w:lvlJc w:val="left"/>
      <w:lvlText w:val="(%1)"/>
      <w:numFmt w:val="lowerRoman"/>
      <w:start w:val="3"/>
    </w:lvl>
  </w:abstractNum>
  <w:abstractNum w:abstractNumId="242">
    <w:nsid w:val="280E6897"/>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abstractNum>
  <w:abstractNum w:abstractNumId="243">
    <w:nsid w:val="605138D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44">
    <w:nsid w:val="2622AD0C"/>
    <w:multiLevelType w:val="hybridMultilevel"/>
    <w:lvl w:ilvl="0">
      <w:lvlJc w:val="left"/>
      <w:lvlText w:val="(%1)"/>
      <w:numFmt w:val="lowerLetter"/>
      <w:start w:val="10"/>
    </w:lvl>
    <w:lvl w:ilvl="1">
      <w:lvlJc w:val="left"/>
      <w:lvlText w:val="(%2)"/>
      <w:numFmt w:val="lowerRoman"/>
      <w:start w:val="1"/>
    </w:lvl>
  </w:abstractNum>
  <w:abstractNum w:abstractNumId="245">
    <w:nsid w:val="67997556"/>
    <w:multiLevelType w:val="hybridMultilevel"/>
    <w:lvl w:ilvl="0">
      <w:lvlJc w:val="left"/>
      <w:lvlText w:val="(%1)"/>
      <w:numFmt w:val="lowerLetter"/>
      <w:start w:val="1"/>
    </w:lvl>
  </w:abstractNum>
  <w:abstractNum w:abstractNumId="246">
    <w:nsid w:val="18333C89"/>
    <w:multiLevelType w:val="hybridMultilevel"/>
    <w:lvl w:ilvl="0">
      <w:lvlJc w:val="left"/>
      <w:lvlText w:val="%1"/>
      <w:numFmt w:val="lowerLetter"/>
      <w:start w:val="1"/>
    </w:lvl>
    <w:lvl w:ilvl="1">
      <w:lvlJc w:val="left"/>
      <w:lvlText w:val="(%2)"/>
      <w:numFmt w:val="lowerLetter"/>
      <w:start w:val="2"/>
    </w:lvl>
  </w:abstractNum>
  <w:abstractNum w:abstractNumId="247">
    <w:nsid w:val="4BA9831A"/>
    <w:multiLevelType w:val="hybridMultilevel"/>
    <w:lvl w:ilvl="0">
      <w:lvlJc w:val="left"/>
      <w:lvlText w:val="(%1)"/>
      <w:numFmt w:val="lowerLetter"/>
      <w:start w:val="61"/>
    </w:lvl>
    <w:lvl w:ilvl="1">
      <w:lvlJc w:val="left"/>
      <w:lvlText w:val="(%2)"/>
      <w:numFmt w:val="lowerLetter"/>
      <w:start w:val="3"/>
    </w:lvl>
  </w:abstractNum>
  <w:abstractNum w:abstractNumId="248">
    <w:nsid w:val="6D71A2B"/>
    <w:multiLevelType w:val="hybridMultilevel"/>
    <w:lvl w:ilvl="0">
      <w:lvlJc w:val="left"/>
      <w:lvlText w:val="(%1)"/>
      <w:numFmt w:val="lowerLetter"/>
      <w:start w:val="1"/>
    </w:lvl>
  </w:abstractNum>
  <w:abstractNum w:abstractNumId="249">
    <w:nsid w:val="CFC7321"/>
    <w:multiLevelType w:val="hybridMultilevel"/>
    <w:lvl w:ilvl="0">
      <w:lvlJc w:val="left"/>
      <w:lvlText w:val="(%1)"/>
      <w:numFmt w:val="lowerLetter"/>
      <w:start w:val="2"/>
    </w:lvl>
    <w:lvl w:ilvl="1">
      <w:lvlJc w:val="left"/>
      <w:lvlText w:val="(%2)"/>
      <w:numFmt w:val="lowerRoman"/>
      <w:start w:val="1"/>
    </w:lvl>
  </w:abstractNum>
  <w:abstractNum w:abstractNumId="250">
    <w:nsid w:val="1421971B"/>
    <w:multiLevelType w:val="hybridMultilevel"/>
    <w:lvl w:ilvl="0">
      <w:lvlJc w:val="left"/>
      <w:lvlText w:val="(%1)"/>
      <w:numFmt w:val="lowerLetter"/>
      <w:start w:val="1"/>
    </w:lvl>
  </w:abstractNum>
  <w:abstractNum w:abstractNumId="251">
    <w:nsid w:val="1F404301"/>
    <w:multiLevelType w:val="hybridMultilevel"/>
    <w:lvl w:ilvl="0">
      <w:lvlJc w:val="left"/>
      <w:lvlText w:val="%1"/>
      <w:numFmt w:val="lowerLetter"/>
      <w:start w:val="1"/>
    </w:lvl>
    <w:lvl w:ilvl="1">
      <w:lvlJc w:val="left"/>
      <w:lvlText w:val="(%2)"/>
      <w:numFmt w:val="lowerLetter"/>
      <w:start w:val="1"/>
    </w:lvl>
  </w:abstractNum>
  <w:abstractNum w:abstractNumId="252">
    <w:nsid w:val="116E0907"/>
    <w:multiLevelType w:val="hybridMultilevel"/>
    <w:lvl w:ilvl="0">
      <w:lvlJc w:val="left"/>
      <w:lvlText w:val="(%1)"/>
      <w:numFmt w:val="lowerLetter"/>
      <w:start w:val="35"/>
    </w:lvl>
    <w:lvl w:ilvl="1">
      <w:lvlJc w:val="left"/>
      <w:lvlText w:val="(%2)"/>
      <w:numFmt w:val="lowerLetter"/>
      <w:start w:val="5"/>
    </w:lvl>
  </w:abstractNum>
  <w:abstractNum w:abstractNumId="253">
    <w:nsid w:val="4B683D0D"/>
    <w:multiLevelType w:val="hybridMultilevel"/>
    <w:lvl w:ilvl="0">
      <w:lvlJc w:val="left"/>
      <w:lvlText w:val="%1"/>
      <w:numFmt w:val="lowerLetter"/>
      <w:start w:val="1"/>
    </w:lvl>
    <w:lvl w:ilvl="1">
      <w:lvlJc w:val="left"/>
      <w:lvlText w:val="(%2)"/>
      <w:numFmt w:val="lowerLetter"/>
      <w:start w:val="1"/>
    </w:lvl>
  </w:abstractNum>
  <w:abstractNum w:abstractNumId="254">
    <w:nsid w:val="76E41D8"/>
    <w:multiLevelType w:val="hybridMultilevel"/>
    <w:lvl w:ilvl="0">
      <w:lvlJc w:val="left"/>
      <w:lvlText w:val="(%1)"/>
      <w:numFmt w:val="lowerLetter"/>
      <w:start w:val="9"/>
    </w:lvl>
    <w:lvl w:ilvl="1">
      <w:lvlJc w:val="left"/>
      <w:lvlText w:val="(%2)"/>
      <w:numFmt w:val="lowerLetter"/>
      <w:start w:val="2"/>
    </w:lvl>
  </w:abstractNum>
  <w:abstractNum w:abstractNumId="255">
    <w:nsid w:val="71DCE0FD"/>
    <w:multiLevelType w:val="hybridMultilevel"/>
    <w:lvl w:ilvl="0">
      <w:lvlJc w:val="left"/>
      <w:lvlText w:val="(%1)"/>
      <w:numFmt w:val="lowerLetter"/>
      <w:start w:val="1"/>
    </w:lvl>
  </w:abstractNum>
  <w:abstractNum w:abstractNumId="256">
    <w:nsid w:val="7906328B"/>
    <w:multiLevelType w:val="hybridMultilevel"/>
    <w:lvl w:ilvl="0">
      <w:lvlJc w:val="left"/>
      <w:lvlText w:val="%1"/>
      <w:numFmt w:val="lowerLetter"/>
      <w:start w:val="1"/>
    </w:lvl>
    <w:lvl w:ilvl="1">
      <w:lvlJc w:val="left"/>
      <w:lvlText w:val="(%2)"/>
      <w:numFmt w:val="lowerLetter"/>
      <w:start w:val="35"/>
    </w:lvl>
  </w:abstractNum>
  <w:abstractNum w:abstractNumId="257">
    <w:nsid w:val="72BBC16"/>
    <w:multiLevelType w:val="hybridMultilevel"/>
    <w:lvl w:ilvl="0">
      <w:lvlJc w:val="left"/>
      <w:lvlText w:val="(%1)"/>
      <w:numFmt w:val="lowerLetter"/>
      <w:start w:val="2"/>
    </w:lvl>
    <w:lvl w:ilvl="1">
      <w:lvlJc w:val="left"/>
      <w:lvlText w:val="(%2)"/>
      <w:numFmt w:val="lowerLetter"/>
      <w:start w:val="35"/>
    </w:lvl>
  </w:abstractNum>
  <w:abstractNum w:abstractNumId="258">
    <w:nsid w:val="766D98C2"/>
    <w:multiLevelType w:val="hybridMultilevel"/>
    <w:lvl w:ilvl="0">
      <w:lvlJc w:val="left"/>
      <w:lvlText w:val="%1"/>
      <w:numFmt w:val="lowerLetter"/>
      <w:start w:val="1"/>
    </w:lvl>
    <w:lvl w:ilvl="1">
      <w:lvlJc w:val="left"/>
      <w:lvlText w:val="(%2)"/>
      <w:numFmt w:val="lowerLetter"/>
      <w:start w:val="61"/>
    </w:lvl>
  </w:abstractNum>
  <w:abstractNum w:abstractNumId="259">
    <w:nsid w:val="3C09D4A1"/>
    <w:multiLevelType w:val="hybridMultilevel"/>
    <w:lvl w:ilvl="0">
      <w:lvlJc w:val="left"/>
      <w:lvlText w:val="(%1)"/>
      <w:numFmt w:val="lowerLetter"/>
      <w:start w:val="3"/>
    </w:lvl>
    <w:lvl w:ilvl="1">
      <w:lvlJc w:val="left"/>
      <w:lvlText w:val="%2"/>
      <w:numFmt w:val="lowerLetter"/>
      <w:start w:val="1"/>
    </w:lvl>
  </w:abstractNum>
  <w:abstractNum w:abstractNumId="260">
    <w:nsid w:val="20E45CA4"/>
    <w:multiLevelType w:val="hybridMultilevel"/>
    <w:lvl w:ilvl="0">
      <w:lvlJc w:val="left"/>
      <w:lvlText w:val="(%1)"/>
      <w:numFmt w:val="lowerLetter"/>
      <w:start w:val="4"/>
    </w:lvl>
  </w:abstractNum>
  <w:abstractNum w:abstractNumId="261">
    <w:nsid w:val="4B232EE3"/>
    <w:multiLevelType w:val="hybridMultilevel"/>
    <w:lvl w:ilvl="0">
      <w:lvlJc w:val="left"/>
      <w:lvlText w:val="(%1)"/>
      <w:numFmt w:val="lowerLetter"/>
      <w:start w:val="1"/>
    </w:lvl>
  </w:abstractNum>
  <w:abstractNum w:abstractNumId="262">
    <w:nsid w:val="159C74CF"/>
    <w:multiLevelType w:val="hybridMultilevel"/>
    <w:lvl w:ilvl="0">
      <w:lvlJc w:val="left"/>
      <w:lvlText w:val="(%1)"/>
      <w:numFmt w:val="lowerLetter"/>
      <w:start w:val="4"/>
    </w:lvl>
  </w:abstractNum>
  <w:abstractNum w:abstractNumId="263">
    <w:nsid w:val="4AD3AFD2"/>
    <w:multiLevelType w:val="hybridMultilevel"/>
    <w:lvl w:ilvl="0">
      <w:lvlJc w:val="left"/>
      <w:lvlText w:val="(%1)"/>
      <w:numFmt w:val="lowerLetter"/>
      <w:start w:val="1"/>
    </w:lvl>
    <w:lvl w:ilvl="1">
      <w:lvlJc w:val="left"/>
      <w:lvlText w:val="(%2)"/>
      <w:numFmt w:val="lowerRoman"/>
      <w:start w:val="1"/>
    </w:lvl>
  </w:abstractNum>
  <w:abstractNum w:abstractNumId="264">
    <w:nsid w:val="3CF93092"/>
    <w:multiLevelType w:val="hybridMultilevel"/>
    <w:lvl w:ilvl="0">
      <w:lvlJc w:val="left"/>
      <w:lvlText w:val="(%1)"/>
      <w:numFmt w:val="lowerRoman"/>
      <w:start w:val="3"/>
    </w:lvl>
  </w:abstractNum>
  <w:abstractNum w:abstractNumId="265">
    <w:nsid w:val="6863E8D2"/>
    <w:multiLevelType w:val="hybridMultilevel"/>
    <w:lvl w:ilvl="0">
      <w:lvlJc w:val="left"/>
      <w:lvlText w:val="%1"/>
      <w:numFmt w:val="lowerLetter"/>
      <w:start w:val="1"/>
    </w:lvl>
    <w:lvl w:ilvl="1">
      <w:lvlJc w:val="left"/>
      <w:lvlText w:val="(%2)"/>
      <w:numFmt w:val="lowerRoman"/>
      <w:start w:val="6"/>
    </w:lvl>
  </w:abstractNum>
  <w:abstractNum w:abstractNumId="266">
    <w:nsid w:val="76896198"/>
    <w:multiLevelType w:val="hybridMultilevel"/>
    <w:lvl w:ilvl="0">
      <w:lvlJc w:val="left"/>
      <w:lvlText w:val="(%1)"/>
      <w:numFmt w:val="lowerLetter"/>
      <w:start w:val="13"/>
    </w:lvl>
    <w:lvl w:ilvl="1">
      <w:lvlJc w:val="left"/>
      <w:lvlText w:val="(%2)"/>
      <w:numFmt w:val="lowerRoman"/>
      <w:start w:val="8"/>
    </w:lvl>
  </w:abstractNum>
  <w:abstractNum w:abstractNumId="267">
    <w:nsid w:val="4365174B"/>
    <w:multiLevelType w:val="hybridMultilevel"/>
    <w:lvl w:ilvl="0">
      <w:lvlJc w:val="left"/>
      <w:lvlText w:val="%1"/>
      <w:numFmt w:val="lowerRoman"/>
      <w:start w:val="1"/>
    </w:lvl>
    <w:lvl w:ilvl="1">
      <w:lvlJc w:val="left"/>
      <w:lvlText w:val="(%2)"/>
      <w:numFmt w:val="lowerLetter"/>
      <w:start w:val="3"/>
    </w:lvl>
  </w:abstractNum>
  <w:abstractNum w:abstractNumId="268">
    <w:nsid w:val="4A872C35"/>
    <w:multiLevelType w:val="hybridMultilevel"/>
    <w:lvl w:ilvl="0">
      <w:lvlJc w:val="left"/>
      <w:lvlText w:val="(%1)"/>
      <w:numFmt w:val="lowerRoman"/>
      <w:start w:val="9"/>
    </w:lvl>
    <w:lvl w:ilvl="1">
      <w:lvlJc w:val="left"/>
      <w:lvlText w:val="(%2)"/>
      <w:numFmt w:val="lowerLetter"/>
      <w:start w:val="4"/>
    </w:lvl>
  </w:abstractNum>
  <w:abstractNum w:abstractNumId="269">
    <w:nsid w:val="5D5CE761"/>
    <w:multiLevelType w:val="hybridMultilevel"/>
    <w:lvl w:ilvl="0">
      <w:lvlJc w:val="left"/>
      <w:lvlText w:val="(%1)"/>
      <w:numFmt w:val="lowerLetter"/>
      <w:start w:val="1"/>
    </w:lvl>
  </w:abstractNum>
  <w:abstractNum w:abstractNumId="270">
    <w:nsid w:val="1CD484D5"/>
    <w:multiLevelType w:val="hybridMultilevel"/>
    <w:lvl w:ilvl="0">
      <w:lvlJc w:val="left"/>
      <w:lvlText w:val="(%1)"/>
      <w:numFmt w:val="lowerLetter"/>
      <w:start w:val="1"/>
    </w:lvl>
    <w:lvl w:ilvl="1">
      <w:lvlJc w:val="left"/>
      <w:lvlText w:val="(%2)"/>
      <w:numFmt w:val="lowerRoman"/>
      <w:start w:val="1"/>
    </w:lvl>
  </w:abstractNum>
  <w:abstractNum w:abstractNumId="271">
    <w:nsid w:val="21D0625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2"/>
    </w:lvl>
  </w:abstractNum>
  <w:abstractNum w:abstractNumId="272">
    <w:nsid w:val="51194E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3">
    <w:nsid w:val="44E2ED6C"/>
    <w:multiLevelType w:val="hybridMultilevel"/>
    <w:lvl w:ilvl="0">
      <w:lvlJc w:val="left"/>
      <w:lvlText w:val="(%1)"/>
      <w:numFmt w:val="lowerLetter"/>
      <w:start w:val="3"/>
    </w:lvl>
  </w:abstractNum>
  <w:abstractNum w:abstractNumId="274">
    <w:nsid w:val="2219B33"/>
    <w:multiLevelType w:val="hybridMultilevel"/>
    <w:lvl w:ilvl="0">
      <w:lvlJc w:val="left"/>
      <w:lvlText w:val="%1"/>
      <w:numFmt w:val="lowerLetter"/>
      <w:start w:val="1"/>
    </w:lvl>
    <w:lvl w:ilvl="1">
      <w:lvlJc w:val="left"/>
      <w:lvlText w:val="(%2)"/>
      <w:numFmt w:val="lowerLetter"/>
      <w:start w:val="1"/>
    </w:lvl>
  </w:abstractNum>
  <w:abstractNum w:abstractNumId="275">
    <w:nsid w:val="773BFBDD"/>
    <w:multiLevelType w:val="hybridMultilevel"/>
    <w:lvl w:ilvl="0">
      <w:lvlJc w:val="left"/>
      <w:lvlText w:val="(%1)"/>
      <w:numFmt w:val="lowerLetter"/>
      <w:start w:val="9"/>
    </w:lvl>
    <w:lvl w:ilvl="1">
      <w:lvlJc w:val="left"/>
      <w:lvlText w:val="(%2)"/>
      <w:numFmt w:val="lowerLetter"/>
      <w:start w:val="3"/>
    </w:lvl>
  </w:abstractNum>
  <w:abstractNum w:abstractNumId="276">
    <w:nsid w:val="2C7C62C2"/>
    <w:multiLevelType w:val="hybridMultilevel"/>
    <w:lvl w:ilvl="0">
      <w:lvlJc w:val="left"/>
      <w:lvlText w:val="(%1)"/>
      <w:numFmt w:val="lowerLetter"/>
      <w:start w:val="4"/>
    </w:lvl>
  </w:abstractNum>
  <w:abstractNum w:abstractNumId="277">
    <w:nsid w:val="1A54D7BC"/>
    <w:multiLevelType w:val="hybridMultilevel"/>
    <w:lvl w:ilvl="0">
      <w:lvlJc w:val="left"/>
      <w:lvlText w:val="(%1)"/>
      <w:numFmt w:val="lowerLetter"/>
      <w:start w:val="1"/>
    </w:lvl>
  </w:abstractNum>
  <w:abstractNum w:abstractNumId="278">
    <w:nsid w:val="42E57EF7"/>
    <w:multiLevelType w:val="hybridMultilevel"/>
    <w:lvl w:ilvl="0">
      <w:lvlJc w:val="left"/>
      <w:lvlText w:val="(%1)"/>
      <w:numFmt w:val="lowerLetter"/>
      <w:start w:val="3"/>
    </w:lvl>
  </w:abstractNum>
  <w:abstractNum w:abstractNumId="279">
    <w:nsid w:val="33537CED"/>
    <w:multiLevelType w:val="hybridMultilevel"/>
    <w:lvl w:ilvl="0">
      <w:lvlJc w:val="left"/>
      <w:lvlText w:val="(%1)"/>
      <w:numFmt w:val="lowerLetter"/>
      <w:start w:val="1"/>
    </w:lvl>
  </w:abstractNum>
  <w:abstractNum w:abstractNumId="280">
    <w:nsid w:val="27514ADE"/>
    <w:multiLevelType w:val="hybridMultilevel"/>
    <w:lvl w:ilvl="0">
      <w:lvlJc w:val="left"/>
      <w:lvlText w:val="(%1)"/>
      <w:numFmt w:val="lowerLetter"/>
      <w:start w:val="1"/>
    </w:lvl>
    <w:lvl w:ilvl="1">
      <w:lvlJc w:val="left"/>
      <w:lvlText w:val="(%2)"/>
      <w:numFmt w:val="lowerLetter"/>
      <w:start w:val="9"/>
    </w:lvl>
  </w:abstractNum>
  <w:abstractNum w:abstractNumId="281">
    <w:nsid w:val="57071613"/>
    <w:multiLevelType w:val="hybridMultilevel"/>
    <w:lvl w:ilvl="0">
      <w:lvlJc w:val="left"/>
      <w:lvlText w:val="(%1)"/>
      <w:numFmt w:val="lowerRoman"/>
      <w:start w:val="2"/>
    </w:lvl>
  </w:abstractNum>
  <w:abstractNum w:abstractNumId="282">
    <w:nsid w:val="5293BFEF"/>
    <w:multiLevelType w:val="hybridMultilevel"/>
    <w:lvl w:ilvl="0">
      <w:lvlJc w:val="left"/>
      <w:lvlText w:val="(%1)"/>
      <w:numFmt w:val="lowerLetter"/>
      <w:start w:val="2"/>
    </w:lvl>
  </w:abstractNum>
  <w:abstractNum w:abstractNumId="283">
    <w:nsid w:val="38BF53E5"/>
    <w:multiLevelType w:val="hybridMultilevel"/>
    <w:lvl w:ilvl="0">
      <w:lvlJc w:val="left"/>
      <w:lvlText w:val="(%1)"/>
      <w:numFmt w:val="lowerLetter"/>
      <w:start w:val="3"/>
    </w:lvl>
  </w:abstractNum>
  <w:abstractNum w:abstractNumId="284">
    <w:nsid w:val="226F5320"/>
    <w:multiLevelType w:val="hybridMultilevel"/>
    <w:lvl w:ilvl="0">
      <w:lvlJc w:val="left"/>
      <w:lvlText w:val="(%1)"/>
      <w:numFmt w:val="lowerLetter"/>
      <w:start w:val="1"/>
    </w:lvl>
  </w:abstractNum>
  <w:abstractNum w:abstractNumId="285">
    <w:nsid w:val="5A0201C7"/>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lvl w:ilvl="3">
      <w:lvlJc w:val="left"/>
      <w:lvlText w:val="(%4)"/>
      <w:numFmt w:val="lowerRoman"/>
      <w:start w:val="9"/>
    </w:lvl>
    <w:lvl w:ilvl="4">
      <w:lvlJc w:val="left"/>
      <w:lvlText w:val="(%5)"/>
      <w:numFmt w:val="decimal"/>
      <w:start w:val="1"/>
    </w:lvl>
  </w:abstractNum>
  <w:abstractNum w:abstractNumId="286">
    <w:nsid w:val="2A9C34E2"/>
    <w:multiLevelType w:val="hybridMultilevel"/>
    <w:lvl w:ilvl="0">
      <w:lvlJc w:val="left"/>
      <w:lvlText w:val="%1"/>
      <w:numFmt w:val="upperLetter"/>
      <w:start w:val="1"/>
    </w:lvl>
    <w:lvl w:ilvl="1">
      <w:lvlJc w:val="left"/>
      <w:lvlText w:val="(%2)"/>
      <w:numFmt w:val="decimal"/>
      <w:start w:val="4"/>
    </w:lvl>
  </w:abstractNum>
  <w:abstractNum w:abstractNumId="287">
    <w:nsid w:val="1B7585AB"/>
    <w:multiLevelType w:val="hybridMultilevel"/>
    <w:lvl w:ilvl="0">
      <w:lvlJc w:val="left"/>
      <w:lvlText w:val="(%1)"/>
      <w:numFmt w:val="upperLetter"/>
      <w:start w:val="3"/>
    </w:lvl>
    <w:lvl w:ilvl="1">
      <w:lvlJc w:val="left"/>
      <w:lvlText w:val="%2"/>
      <w:numFmt w:val="decimal"/>
      <w:start w:val="1"/>
    </w:lvl>
  </w:abstractNum>
  <w:abstractNum w:abstractNumId="288">
    <w:nsid w:val="612DBDDD"/>
    <w:multiLevelType w:val="hybridMultilevel"/>
    <w:lvl w:ilvl="0">
      <w:lvlJc w:val="left"/>
      <w:lvlText w:val="(%1)"/>
      <w:numFmt w:val="lowerLetter"/>
      <w:start w:val="8"/>
    </w:lvl>
  </w:abstractNum>
  <w:abstractNum w:abstractNumId="289">
    <w:nsid w:val="2109CDA4"/>
    <w:multiLevelType w:val="hybridMultilevel"/>
    <w:lvl w:ilvl="0">
      <w:lvlJc w:val="left"/>
      <w:lvlText w:val="(%1)"/>
      <w:numFmt w:val="lowerRoman"/>
      <w:start w:val="1"/>
    </w:lvl>
  </w:abstractNum>
  <w:abstractNum w:abstractNumId="290">
    <w:nsid w:val="577F5A4D"/>
    <w:multiLevelType w:val="hybridMultilevel"/>
    <w:lvl w:ilvl="0">
      <w:lvlJc w:val="left"/>
      <w:lvlText w:val="(%1)"/>
      <w:numFmt w:val="lowerLetter"/>
      <w:start w:val="1"/>
    </w:lvl>
  </w:abstractNum>
  <w:abstractNum w:abstractNumId="291">
    <w:nsid w:val="2121A81"/>
    <w:multiLevelType w:val="hybridMultilevel"/>
    <w:lvl w:ilvl="0">
      <w:lvlJc w:val="left"/>
      <w:lvlText w:val="(%1)"/>
      <w:numFmt w:val="lowerLetter"/>
      <w:start w:val="2"/>
    </w:lvl>
  </w:abstractNum>
  <w:abstractNum w:abstractNumId="292">
    <w:nsid w:val="6C2CFC8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93">
    <w:nsid w:val="6D1BCF1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94">
    <w:nsid w:val="4CE5CA5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5">
    <w:nsid w:val="29262D1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96">
    <w:nsid w:val="557FB7E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97">
    <w:nsid w:val="436F2BEB"/>
    <w:multiLevelType w:val="hybridMultilevel"/>
    <w:lvl w:ilvl="0">
      <w:lvlJc w:val="left"/>
      <w:lvlText w:val="%1"/>
      <w:numFmt w:val="lowerRoman"/>
      <w:start w:val="1"/>
    </w:lvl>
    <w:lvl w:ilvl="1">
      <w:lvlJc w:val="left"/>
      <w:lvlText w:val="(%2)"/>
      <w:numFmt w:val="upperLetter"/>
      <w:start w:val="2"/>
    </w:lvl>
  </w:abstractNum>
  <w:abstractNum w:abstractNumId="298">
    <w:nsid w:val="6C8B4466"/>
    <w:multiLevelType w:val="hybridMultilevel"/>
    <w:lvl w:ilvl="0">
      <w:lvlJc w:val="left"/>
      <w:lvlText w:val="(%1)"/>
      <w:numFmt w:val="lowerRoman"/>
      <w:start w:val="3"/>
    </w:lvl>
    <w:lvl w:ilvl="1">
      <w:lvlJc w:val="left"/>
      <w:lvlText w:val="%2"/>
      <w:numFmt w:val="upperLetter"/>
      <w:start w:val="1"/>
    </w:lvl>
  </w:abstractNum>
  <w:abstractNum w:abstractNumId="299">
    <w:nsid w:val="2006E424"/>
    <w:multiLevelType w:val="hybridMultilevel"/>
    <w:lvl w:ilvl="0">
      <w:lvlJc w:val="left"/>
      <w:lvlText w:val="(%1)"/>
      <w:numFmt w:val="lowerLetter"/>
      <w:start w:val="1"/>
    </w:lvl>
  </w:abstractNum>
  <w:abstractNum w:abstractNumId="300">
    <w:nsid w:val="20CC134C"/>
    <w:multiLevelType w:val="hybridMultilevel"/>
    <w:lvl w:ilvl="0">
      <w:lvlJc w:val="left"/>
      <w:lvlText w:val="(%1)"/>
      <w:numFmt w:val="lowerLetter"/>
      <w:start w:val="3"/>
    </w:lvl>
  </w:abstractNum>
  <w:abstractNum w:abstractNumId="301">
    <w:nsid w:val="95FC93B"/>
    <w:multiLevelType w:val="hybridMultilevel"/>
    <w:lvl w:ilvl="0">
      <w:lvlJc w:val="left"/>
      <w:lvlText w:val="%1"/>
      <w:numFmt w:val="upperLetter"/>
      <w:start w:val="1"/>
    </w:lvl>
    <w:lvl w:ilvl="1">
      <w:lvlJc w:val="left"/>
      <w:lvlText w:val="(%2)"/>
      <w:numFmt w:val="lowerLetter"/>
      <w:start w:val="10"/>
    </w:lvl>
  </w:abstractNum>
  <w:abstractNum w:abstractNumId="302">
    <w:nsid w:val="41D74679"/>
    <w:multiLevelType w:val="hybridMultilevel"/>
    <w:lvl w:ilvl="0">
      <w:lvlJc w:val="left"/>
      <w:lvlText w:val="(%1)"/>
      <w:numFmt w:val="upperLetter"/>
      <w:start w:val="2"/>
    </w:lvl>
    <w:lvl w:ilvl="1">
      <w:lvlJc w:val="left"/>
      <w:lvlText w:val="(%2)"/>
      <w:numFmt w:val="lowerLetter"/>
      <w:start w:val="14"/>
    </w:lvl>
  </w:abstractNum>
  <w:abstractNum w:abstractNumId="303">
    <w:nsid w:val="71E5621E"/>
    <w:multiLevelType w:val="hybridMultilevel"/>
    <w:lvl w:ilvl="0">
      <w:lvlJc w:val="left"/>
      <w:lvlText w:val="(%1)"/>
      <w:numFmt w:val="lowerLetter"/>
      <w:start w:val="16"/>
    </w:lvl>
  </w:abstractNum>
  <w:abstractNum w:abstractNumId="304">
    <w:nsid w:val="4E42B6A8"/>
    <w:multiLevelType w:val="hybridMultilevel"/>
    <w:lvl w:ilvl="0">
      <w:lvlJc w:val="left"/>
      <w:lvlText w:val="(%1)"/>
      <w:numFmt w:val="lowerLetter"/>
      <w:start w:val="23"/>
    </w:lvl>
  </w:abstractNum>
  <w:abstractNum w:abstractNumId="305">
    <w:nsid w:val="43F8E1AC"/>
    <w:multiLevelType w:val="hybridMultilevel"/>
    <w:lvl w:ilvl="0">
      <w:lvlJc w:val="left"/>
      <w:lvlText w:val="(%1)"/>
      <w:numFmt w:val="lowerLetter"/>
      <w:start w:val="25"/>
    </w:lvl>
  </w:abstractNum>
  <w:abstractNum w:abstractNumId="306">
    <w:nsid w:val="69215DFB"/>
    <w:multiLevelType w:val="hybridMultilevel"/>
    <w:lvl w:ilvl="0">
      <w:lvlJc w:val="left"/>
      <w:lvlText w:val="%1"/>
      <w:numFmt w:val="lowerLetter"/>
      <w:start w:val="1"/>
    </w:lvl>
    <w:lvl w:ilvl="1">
      <w:lvlJc w:val="left"/>
      <w:lvlText w:val="(%2)"/>
      <w:numFmt w:val="lowerLetter"/>
      <w:start w:val="27"/>
    </w:lvl>
  </w:abstractNum>
  <w:abstractNum w:abstractNumId="307">
    <w:nsid w:val="7ABF196A"/>
    <w:multiLevelType w:val="hybridMultilevel"/>
    <w:lvl w:ilvl="0">
      <w:lvlJc w:val="left"/>
      <w:lvlText w:val="(%1)"/>
      <w:numFmt w:val="lowerLetter"/>
      <w:start w:val="9"/>
    </w:lvl>
    <w:lvl w:ilvl="1">
      <w:lvlJc w:val="left"/>
      <w:lvlText w:val="%2"/>
      <w:numFmt w:val="lowerLetter"/>
      <w:start w:val="1"/>
    </w:lvl>
  </w:abstractNum>
  <w:abstractNum w:abstractNumId="308">
    <w:nsid w:val="5E4DB968"/>
    <w:multiLevelType w:val="hybridMultilevel"/>
    <w:lvl w:ilvl="0">
      <w:lvlJc w:val="left"/>
      <w:lvlText w:val="(%1)"/>
      <w:numFmt w:val="lowerLetter"/>
      <w:start w:val="1"/>
    </w:lvl>
  </w:abstractNum>
  <w:abstractNum w:abstractNumId="309">
    <w:nsid w:val="2C06DCF3"/>
    <w:multiLevelType w:val="hybridMultilevel"/>
    <w:lvl w:ilvl="0">
      <w:lvlJc w:val="left"/>
      <w:lvlText w:val="(%1)"/>
      <w:numFmt w:val="lowerLetter"/>
      <w:start w:val="2"/>
    </w:lvl>
  </w:abstractNum>
  <w:abstractNum w:abstractNumId="310">
    <w:nsid w:val="2E129658"/>
    <w:multiLevelType w:val="hybridMultilevel"/>
    <w:lvl w:ilvl="0">
      <w:lvlJc w:val="left"/>
      <w:lvlText w:val="(%1)"/>
      <w:numFmt w:val="lowerLetter"/>
      <w:start w:val="1"/>
    </w:lvl>
  </w:abstractNum>
  <w:abstractNum w:abstractNumId="311">
    <w:nsid w:val="59F0446"/>
    <w:multiLevelType w:val="hybridMultilevel"/>
    <w:lvl w:ilvl="0">
      <w:lvlJc w:val="left"/>
      <w:lvlText w:val="(%1)"/>
      <w:numFmt w:val="lowerLetter"/>
      <w:start w:val="2"/>
    </w:lvl>
  </w:abstractNum>
  <w:abstractNum w:abstractNumId="312">
    <w:nsid w:val="30DF306"/>
    <w:multiLevelType w:val="hybridMultilevel"/>
    <w:lvl w:ilvl="0">
      <w:lvlJc w:val="left"/>
      <w:lvlText w:val="(%1)"/>
      <w:numFmt w:val="lowerLetter"/>
      <w:start w:val="1"/>
    </w:lvl>
  </w:abstractNum>
  <w:abstractNum w:abstractNumId="313">
    <w:nsid w:val="A65647"/>
    <w:multiLevelType w:val="hybridMultilevel"/>
    <w:lvl w:ilvl="0">
      <w:lvlJc w:val="left"/>
      <w:lvlText w:val="%1"/>
      <w:numFmt w:val="lowerLetter"/>
      <w:start w:val="1"/>
    </w:lvl>
    <w:lvl w:ilvl="1">
      <w:lvlJc w:val="left"/>
      <w:lvlText w:val="(%2)"/>
      <w:numFmt w:val="lowerLetter"/>
      <w:start w:val="1"/>
    </w:lvl>
  </w:abstractNum>
  <w:abstractNum w:abstractNumId="314">
    <w:nsid w:val="3E5E582B"/>
    <w:multiLevelType w:val="hybridMultilevel"/>
    <w:lvl w:ilvl="0">
      <w:lvlJc w:val="left"/>
      <w:lvlText w:val="(%1)"/>
      <w:numFmt w:val="lowerLetter"/>
      <w:start w:val="5"/>
    </w:lvl>
    <w:lvl w:ilvl="1">
      <w:lvlJc w:val="left"/>
      <w:lvlText w:val="%2"/>
      <w:numFmt w:val="lowerLetter"/>
      <w:start w:val="1"/>
    </w:lvl>
  </w:abstractNum>
  <w:abstractNum w:abstractNumId="315">
    <w:nsid w:val="257D4626"/>
    <w:multiLevelType w:val="hybridMultilevel"/>
    <w:lvl w:ilvl="0">
      <w:lvlJc w:val="left"/>
      <w:lvlText w:val="(%1)"/>
      <w:numFmt w:val="lowerLetter"/>
      <w:start w:val="61"/>
    </w:lvl>
    <w:lvl w:ilvl="1">
      <w:lvlJc w:val="left"/>
      <w:lvlText w:val="(%2)"/>
      <w:numFmt w:val="lowerLetter"/>
      <w:start w:val="2"/>
    </w:lvl>
  </w:abstractNum>
  <w:abstractNum w:abstractNumId="316">
    <w:nsid w:val="5AA8580E"/>
    <w:multiLevelType w:val="hybridMultilevel"/>
    <w:lvl w:ilvl="0">
      <w:lvlJc w:val="left"/>
      <w:lvlText w:val="(%1)"/>
      <w:numFmt w:val="lowerLetter"/>
      <w:start w:val="6"/>
    </w:lvl>
  </w:abstractNum>
  <w:abstractNum w:abstractNumId="317">
    <w:nsid w:val="68FA8D0D"/>
    <w:multiLevelType w:val="hybridMultilevel"/>
    <w:lvl w:ilvl="0">
      <w:lvlJc w:val="left"/>
      <w:lvlText w:val="(%1)"/>
      <w:numFmt w:val="lowerLetter"/>
      <w:start w:val="1"/>
    </w:lvl>
  </w:abstractNum>
  <w:abstractNum w:abstractNumId="318">
    <w:nsid w:val="40F2CBD2"/>
    <w:multiLevelType w:val="hybridMultilevel"/>
    <w:lvl w:ilvl="0">
      <w:lvlJc w:val="left"/>
      <w:lvlText w:val="(%1)"/>
      <w:numFmt w:val="lowerLetter"/>
      <w:start w:val="5"/>
    </w:lvl>
    <w:lvl w:ilvl="1">
      <w:lvlJc w:val="left"/>
      <w:lvlText w:val="(%2)"/>
      <w:numFmt w:val="lowerRoman"/>
      <w:start w:val="1"/>
    </w:lvl>
  </w:abstractNum>
  <w:abstractNum w:abstractNumId="319">
    <w:nsid w:val="3BD615EB"/>
    <w:multiLevelType w:val="hybridMultilevel"/>
    <w:lvl w:ilvl="0">
      <w:lvlJc w:val="left"/>
      <w:lvlText w:val="(%1)"/>
      <w:numFmt w:val="lowerLetter"/>
      <w:start w:val="7"/>
    </w:lvl>
    <w:lvl w:ilvl="1">
      <w:lvlJc w:val="left"/>
      <w:lvlText w:val="(%2)"/>
      <w:numFmt w:val="lowerRoman"/>
      <w:start w:val="1"/>
    </w:lvl>
  </w:abstractNum>
  <w:abstractNum w:abstractNumId="320">
    <w:nsid w:val="A045AB2"/>
    <w:multiLevelType w:val="hybridMultilevel"/>
    <w:lvl w:ilvl="0">
      <w:lvlJc w:val="left"/>
      <w:lvlText w:val="(%1)"/>
      <w:numFmt w:val="lowerRoman"/>
      <w:start w:val="6"/>
    </w:lvl>
  </w:abstractNum>
  <w:abstractNum w:abstractNumId="321">
    <w:nsid w:val="1872261F"/>
    <w:multiLevelType w:val="hybridMultilevel"/>
    <w:lvl w:ilvl="0">
      <w:lvlJc w:val="left"/>
      <w:lvlText w:val="(%1)"/>
      <w:numFmt w:val="decimal"/>
      <w:start w:val="2"/>
    </w:lvl>
  </w:abstractNum>
  <w:abstractNum w:abstractNumId="322">
    <w:nsid w:val="3DE8306C"/>
    <w:multiLevelType w:val="hybridMultilevel"/>
    <w:lvl w:ilvl="0">
      <w:lvlJc w:val="left"/>
      <w:lvlText w:val="(%1)"/>
      <w:numFmt w:val="lowerRoman"/>
      <w:start w:val="1"/>
    </w:lvl>
    <w:lvl w:ilvl="1">
      <w:lvlJc w:val="left"/>
      <w:lvlText w:val="(%2)"/>
      <w:numFmt w:val="lowerRoman"/>
      <w:start w:val="1"/>
    </w:lvl>
  </w:abstractNum>
  <w:abstractNum w:abstractNumId="323">
    <w:nsid w:val="7631573A"/>
    <w:multiLevelType w:val="hybridMultilevel"/>
    <w:lvl w:ilvl="0">
      <w:lvlJc w:val="left"/>
      <w:lvlText w:val="%1"/>
      <w:numFmt w:val="lowerLetter"/>
      <w:start w:val="1"/>
    </w:lvl>
    <w:lvl w:ilvl="1">
      <w:lvlJc w:val="left"/>
      <w:lvlText w:val="(%2)"/>
      <w:numFmt w:val="lowerRoman"/>
      <w:start w:val="8"/>
    </w:lvl>
  </w:abstractNum>
  <w:abstractNum w:abstractNumId="324">
    <w:nsid w:val="58DF53B"/>
    <w:multiLevelType w:val="hybridMultilevel"/>
    <w:lvl w:ilvl="0">
      <w:lvlJc w:val="left"/>
      <w:lvlText w:val="(%1)"/>
      <w:numFmt w:val="lowerLetter"/>
      <w:start w:val="10"/>
    </w:lvl>
    <w:lvl w:ilvl="1">
      <w:lvlJc w:val="left"/>
      <w:lvlText w:val="%2"/>
      <w:numFmt w:val="lowerRoman"/>
      <w:start w:val="1"/>
    </w:lvl>
  </w:abstractNum>
  <w:abstractNum w:abstractNumId="325">
    <w:nsid w:val="ACDFAC0"/>
    <w:multiLevelType w:val="hybridMultilevel"/>
    <w:lvl w:ilvl="0">
      <w:lvlJc w:val="left"/>
      <w:lvlText w:val="(%1)"/>
      <w:numFmt w:val="lowerLetter"/>
      <w:start w:val="16"/>
    </w:lvl>
  </w:abstractNum>
  <w:abstractNum w:abstractNumId="326">
    <w:nsid w:val="1F578454"/>
    <w:multiLevelType w:val="hybridMultilevel"/>
    <w:lvl w:ilvl="0">
      <w:lvlJc w:val="left"/>
      <w:lvlText w:val="(%1)"/>
      <w:numFmt w:val="lowerLetter"/>
      <w:start w:val="1"/>
    </w:lvl>
  </w:abstractNum>
  <w:abstractNum w:abstractNumId="327">
    <w:nsid w:val="5B0DAD2A"/>
    <w:multiLevelType w:val="hybridMultilevel"/>
    <w:lvl w:ilvl="0">
      <w:lvlJc w:val="left"/>
      <w:lvlText w:val="(%1)"/>
      <w:numFmt w:val="lowerLetter"/>
      <w:start w:val="1"/>
    </w:lvl>
  </w:abstractNum>
  <w:abstractNum w:abstractNumId="328">
    <w:nsid w:val="4E3D26AB"/>
    <w:multiLevelType w:val="hybridMultilevel"/>
    <w:lvl w:ilvl="0">
      <w:lvlJc w:val="left"/>
      <w:lvlText w:val="(%1)"/>
      <w:numFmt w:val="lowerLetter"/>
      <w:start w:val="3"/>
    </w:lvl>
  </w:abstractNum>
  <w:abstractNum w:abstractNumId="329">
    <w:nsid w:val="BE2C8BA"/>
    <w:multiLevelType w:val="hybridMultilevel"/>
    <w:lvl w:ilvl="0">
      <w:lvlJc w:val="left"/>
      <w:lvlText w:val="(%1)"/>
      <w:numFmt w:val="lowerLetter"/>
      <w:start w:val="1"/>
    </w:lvl>
  </w:abstractNum>
  <w:abstractNum w:abstractNumId="330">
    <w:nsid w:val="7B14914E"/>
    <w:multiLevelType w:val="hybridMultilevel"/>
    <w:lvl w:ilvl="0">
      <w:lvlJc w:val="left"/>
      <w:lvlText w:val="(%1)"/>
      <w:numFmt w:val="lowerLetter"/>
      <w:start w:val="2"/>
    </w:lvl>
    <w:lvl w:ilvl="1">
      <w:lvlJc w:val="left"/>
      <w:lvlText w:val="(%2)"/>
      <w:numFmt w:val="lowerRoman"/>
      <w:start w:val="1"/>
    </w:lvl>
  </w:abstractNum>
  <w:abstractNum w:abstractNumId="331">
    <w:nsid w:val="6F0939F8"/>
    <w:multiLevelType w:val="hybridMultilevel"/>
    <w:lvl w:ilvl="0">
      <w:lvlJc w:val="left"/>
      <w:lvlText w:val="(%1)"/>
      <w:numFmt w:val="lowerRoman"/>
      <w:start w:val="3"/>
    </w:lvl>
  </w:abstractNum>
  <w:abstractNum w:abstractNumId="332">
    <w:nsid w:val="154291F6"/>
    <w:multiLevelType w:val="hybridMultilevel"/>
    <w:lvl w:ilvl="0">
      <w:lvlJc w:val="left"/>
      <w:lvlText w:val="%1"/>
      <w:numFmt w:val="lowerLetter"/>
      <w:start w:val="1"/>
    </w:lvl>
    <w:lvl w:ilvl="1">
      <w:lvlJc w:val="left"/>
      <w:lvlText w:val="(%2)"/>
      <w:numFmt w:val="lowerLetter"/>
      <w:start w:val="6"/>
    </w:lvl>
  </w:abstractNum>
  <w:abstractNum w:abstractNumId="333">
    <w:nsid w:val="3CEBD7C7"/>
    <w:multiLevelType w:val="hybridMultilevel"/>
    <w:lvl w:ilvl="0">
      <w:lvlJc w:val="left"/>
      <w:lvlText w:val="(%1)"/>
      <w:numFmt w:val="lowerLetter"/>
      <w:start w:val="35"/>
    </w:lvl>
    <w:lvl w:ilvl="1">
      <w:lvlJc w:val="left"/>
      <w:lvlText w:val="(%2)"/>
      <w:numFmt w:val="lowerLetter"/>
      <w:start w:val="7"/>
    </w:lvl>
  </w:abstractNum>
  <w:abstractNum w:abstractNumId="334">
    <w:nsid w:val="60EE9C16"/>
    <w:multiLevelType w:val="hybridMultilevel"/>
    <w:lvl w:ilvl="0">
      <w:lvlJc w:val="left"/>
      <w:lvlText w:val="(%1)"/>
      <w:numFmt w:val="lowerLetter"/>
      <w:start w:val="9"/>
    </w:lvl>
    <w:lvl w:ilvl="1">
      <w:lvlJc w:val="left"/>
      <w:lvlText w:val="(%2)"/>
      <w:numFmt w:val="lowerLetter"/>
      <w:start w:val="8"/>
    </w:lvl>
  </w:abstractNum>
  <w:abstractNum w:abstractNumId="335">
    <w:nsid w:val="6385489E"/>
    <w:multiLevelType w:val="hybridMultilevel"/>
    <w:lvl w:ilvl="0">
      <w:lvlJc w:val="left"/>
      <w:lvlText w:val="(%1)"/>
      <w:numFmt w:val="lowerRoman"/>
      <w:start w:val="2"/>
    </w:lvl>
  </w:abstractNum>
  <w:abstractNum w:abstractNumId="336">
    <w:nsid w:val="E4B973"/>
    <w:multiLevelType w:val="hybridMultilevel"/>
    <w:lvl w:ilvl="0">
      <w:lvlJc w:val="left"/>
      <w:lvlText w:val="(%1)"/>
      <w:numFmt w:val="lowerLetter"/>
      <w:start w:val="1"/>
    </w:lvl>
  </w:abstractNum>
  <w:abstractNum w:abstractNumId="337">
    <w:nsid w:val="4A0FFA11"/>
    <w:multiLevelType w:val="hybridMultilevel"/>
    <w:lvl w:ilvl="0">
      <w:lvlJc w:val="left"/>
      <w:lvlText w:val="(%1)"/>
      <w:numFmt w:val="lowerLetter"/>
      <w:start w:val="2"/>
    </w:lvl>
  </w:abstractNum>
  <w:abstractNum w:abstractNumId="338">
    <w:nsid w:val="5E446208"/>
    <w:multiLevelType w:val="hybridMultilevel"/>
    <w:lvl w:ilvl="0">
      <w:lvlJc w:val="left"/>
      <w:lvlText w:val="(%1)"/>
      <w:numFmt w:val="lowerLetter"/>
      <w:start w:val="1"/>
    </w:lvl>
  </w:abstractNum>
  <w:abstractNum w:abstractNumId="339">
    <w:nsid w:val="5F3272DB"/>
    <w:multiLevelType w:val="hybridMultilevel"/>
    <w:lvl w:ilvl="0">
      <w:lvlJc w:val="left"/>
      <w:lvlText w:val="(%1)"/>
      <w:numFmt w:val="lowerLetter"/>
      <w:start w:val="4"/>
    </w:lvl>
  </w:abstractNum>
  <w:abstractNum w:abstractNumId="340">
    <w:nsid w:val="7616D704"/>
    <w:multiLevelType w:val="hybridMultilevel"/>
    <w:lvl w:ilvl="0">
      <w:lvlJc w:val="left"/>
      <w:lvlText w:val="%1"/>
      <w:numFmt w:val="upperLetter"/>
      <w:start w:val="1"/>
    </w:lvl>
    <w:lvl w:ilvl="1">
      <w:lvlJc w:val="left"/>
      <w:lvlText w:val="(%2)"/>
      <w:numFmt w:val="lowerLetter"/>
      <w:start w:val="1"/>
    </w:lvl>
  </w:abstractNum>
  <w:abstractNum w:abstractNumId="341">
    <w:nsid w:val="C56F860"/>
    <w:multiLevelType w:val="hybridMultilevel"/>
    <w:lvl w:ilvl="0">
      <w:lvlJc w:val="left"/>
      <w:lvlText w:val="(%1)"/>
      <w:numFmt w:val="upperLetter"/>
      <w:start w:val="1"/>
    </w:lvl>
    <w:lvl w:ilvl="1">
      <w:lvlJc w:val="left"/>
      <w:lvlText w:val="(%2)"/>
      <w:numFmt w:val="lowerLetter"/>
      <w:start w:val="8"/>
    </w:lvl>
  </w:abstractNum>
  <w:abstractNum w:abstractNumId="342">
    <w:nsid w:val="64D17722"/>
    <w:multiLevelType w:val="hybridMultilevel"/>
    <w:lvl w:ilvl="0">
      <w:lvlJc w:val="left"/>
      <w:lvlText w:val="(%1)"/>
      <w:numFmt w:val="lowerLetter"/>
      <w:start w:val="9"/>
    </w:lvl>
  </w:abstractNum>
  <w:abstractNum w:abstractNumId="343">
    <w:nsid w:val="7924CA0A"/>
    <w:multiLevelType w:val="hybridMultilevel"/>
    <w:lvl w:ilvl="0">
      <w:lvlJc w:val="left"/>
      <w:lvlText w:val="(%1)"/>
      <w:numFmt w:val="lowerLetter"/>
      <w:start w:val="13"/>
    </w:lvl>
  </w:abstractNum>
  <w:abstractNum w:abstractNumId="344">
    <w:nsid w:val="CFD4EA7"/>
    <w:multiLevelType w:val="hybridMultilevel"/>
    <w:lvl w:ilvl="0">
      <w:lvlJc w:val="left"/>
      <w:lvlText w:val="(%1)"/>
      <w:numFmt w:val="lowerRoman"/>
      <w:start w:val="3"/>
    </w:lvl>
  </w:abstractNum>
  <w:abstractNum w:abstractNumId="345">
    <w:nsid w:val="232FCF4D"/>
    <w:multiLevelType w:val="hybridMultilevel"/>
    <w:lvl w:ilvl="0">
      <w:lvlJc w:val="left"/>
      <w:lvlText w:val="(%1)"/>
      <w:numFmt w:val="lowerLetter"/>
      <w:start w:val="1"/>
    </w:lvl>
    <w:lvl w:ilvl="1">
      <w:lvlJc w:val="left"/>
      <w:lvlText w:val="(%2)"/>
      <w:numFmt w:val="lowerRoman"/>
      <w:start w:val="1"/>
    </w:lvl>
  </w:abstractNum>
  <w:abstractNum w:abstractNumId="346">
    <w:nsid w:val="1EA21031"/>
    <w:multiLevelType w:val="hybridMultilevel"/>
    <w:lvl w:ilvl="0">
      <w:lvlJc w:val="left"/>
      <w:lvlText w:val="(%1)"/>
      <w:numFmt w:val="lowerRoman"/>
      <w:start w:val="9"/>
    </w:lvl>
  </w:abstractNum>
  <w:abstractNum w:abstractNumId="347">
    <w:nsid w:val="67A5A6B5"/>
    <w:multiLevelType w:val="hybridMultilevel"/>
    <w:lvl w:ilvl="0">
      <w:lvlJc w:val="left"/>
      <w:lvlText w:val="(%1)"/>
      <w:numFmt w:val="lowerLetter"/>
      <w:start w:val="2"/>
    </w:lvl>
    <w:lvl w:ilvl="1">
      <w:lvlJc w:val="left"/>
      <w:lvlText w:val="(%2)"/>
      <w:numFmt w:val="lowerRoman"/>
      <w:start w:val="1"/>
    </w:lvl>
  </w:abstractNum>
  <w:abstractNum w:abstractNumId="348">
    <w:nsid w:val="C2A5C5B"/>
    <w:multiLevelType w:val="hybridMultilevel"/>
    <w:lvl w:ilvl="0">
      <w:lvlJc w:val="left"/>
      <w:lvlText w:val="%1"/>
      <w:numFmt w:val="upperLetter"/>
      <w:start w:val="1"/>
    </w:lvl>
    <w:lvl w:ilvl="1">
      <w:lvlJc w:val="left"/>
      <w:lvlText w:val="(%2)"/>
      <w:numFmt w:val="lowerRoman"/>
      <w:start w:val="5"/>
    </w:lvl>
  </w:abstractNum>
  <w:abstractNum w:abstractNumId="349">
    <w:nsid w:val="5F94DC03"/>
    <w:multiLevelType w:val="hybridMultilevel"/>
    <w:lvl w:ilvl="0">
      <w:lvlJc w:val="left"/>
      <w:lvlText w:val="(%1)"/>
      <w:numFmt w:val="upperLetter"/>
      <w:start w:val="1"/>
    </w:lvl>
    <w:lvl w:ilvl="1">
      <w:lvlJc w:val="left"/>
      <w:lvlText w:val="%2"/>
      <w:numFmt w:val="lowerRoman"/>
      <w:start w:val="1"/>
    </w:lvl>
  </w:abstractNum>
  <w:abstractNum w:abstractNumId="350">
    <w:nsid w:val="237BBCA0"/>
    <w:multiLevelType w:val="hybridMultilevel"/>
    <w:lvl w:ilvl="0">
      <w:lvlJc w:val="left"/>
      <w:lvlText w:val="(%1)"/>
      <w:numFmt w:val="lowerLetter"/>
      <w:start w:val="1"/>
    </w:lvl>
  </w:abstractNum>
  <w:abstractNum w:abstractNumId="351">
    <w:nsid w:val="162EB70D"/>
    <w:multiLevelType w:val="hybridMultilevel"/>
    <w:lvl w:ilvl="0">
      <w:lvlJc w:val="left"/>
      <w:lvlText w:val="(%1)"/>
      <w:numFmt w:val="lowerLetter"/>
      <w:start w:val="1"/>
    </w:lvl>
  </w:abstractNum>
  <w:abstractNum w:abstractNumId="352">
    <w:nsid w:val="78070222"/>
    <w:multiLevelType w:val="hybridMultilevel"/>
    <w:lvl w:ilvl="0">
      <w:lvlJc w:val="left"/>
      <w:lvlText w:val="(%1)"/>
      <w:numFmt w:val="lowerLetter"/>
      <w:start w:val="3"/>
    </w:lvl>
  </w:abstractNum>
  <w:abstractNum w:abstractNumId="353">
    <w:nsid w:val="6163ED0D"/>
    <w:multiLevelType w:val="hybridMultilevel"/>
    <w:lvl w:ilvl="0">
      <w:lvlJc w:val="left"/>
      <w:lvlText w:val="(%1)"/>
      <w:numFmt w:val="lowerLetter"/>
      <w:start w:val="1"/>
    </w:lvl>
  </w:abstractNum>
  <w:abstractNum w:abstractNumId="354">
    <w:nsid w:val="C600E47"/>
    <w:multiLevelType w:val="hybridMultilevel"/>
    <w:lvl w:ilvl="0">
      <w:lvlJc w:val="left"/>
      <w:lvlText w:val="(%1)"/>
      <w:numFmt w:val="lowerLetter"/>
      <w:start w:val="5"/>
    </w:lvl>
  </w:abstractNum>
  <w:abstractNum w:abstractNumId="355">
    <w:nsid w:val="7D94F75D"/>
    <w:multiLevelType w:val="hybridMultilevel"/>
    <w:lvl w:ilvl="0">
      <w:lvlJc w:val="left"/>
      <w:lvlText w:val="(%1)"/>
      <w:numFmt w:val="lowerRoman"/>
      <w:start w:val="4"/>
    </w:lvl>
  </w:abstractNum>
  <w:abstractNum w:abstractNumId="356">
    <w:nsid w:val="6C31E7CD"/>
    <w:multiLevelType w:val="hybridMultilevel"/>
    <w:lvl w:ilvl="0">
      <w:lvlJc w:val="left"/>
      <w:lvlText w:val="(%1)"/>
      <w:numFmt w:val="lowerLetter"/>
      <w:start w:val="1"/>
    </w:lvl>
  </w:abstractNum>
  <w:abstractNum w:abstractNumId="357">
    <w:nsid w:val="2BB7929B"/>
    <w:multiLevelType w:val="hybridMultilevel"/>
    <w:lvl w:ilvl="0">
      <w:lvlJc w:val="left"/>
      <w:lvlText w:val="(%1)"/>
      <w:numFmt w:val="lowerLetter"/>
      <w:start w:val="1"/>
    </w:lvl>
  </w:abstractNum>
  <w:abstractNum w:abstractNumId="358">
    <w:nsid w:val="58A2A487"/>
    <w:multiLevelType w:val="hybridMultilevel"/>
    <w:lvl w:ilvl="0">
      <w:lvlJc w:val="left"/>
      <w:lvlText w:val="(%1)"/>
      <w:numFmt w:val="lowerLetter"/>
      <w:start w:val="3"/>
    </w:lvl>
  </w:abstractNum>
  <w:abstractNum w:abstractNumId="359">
    <w:nsid w:val="3A6F0E78"/>
    <w:multiLevelType w:val="hybridMultilevel"/>
    <w:lvl w:ilvl="0">
      <w:lvlJc w:val="left"/>
      <w:lvlText w:val="(%1)"/>
      <w:numFmt w:val="lowerLetter"/>
      <w:start w:val="1"/>
    </w:lvl>
  </w:abstractNum>
  <w:abstractNum w:abstractNumId="360">
    <w:nsid w:val="379A5B56"/>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61">
    <w:nsid w:val="53B735D5"/>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9"/>
    </w:lvl>
  </w:abstractNum>
  <w:abstractNum w:abstractNumId="362">
    <w:nsid w:val="29784870"/>
    <w:multiLevelType w:val="hybridMultilevel"/>
    <w:lvl w:ilvl="0">
      <w:lvlJc w:val="left"/>
      <w:lvlText w:val="%1"/>
      <w:numFmt w:val="upperLetter"/>
      <w:start w:val="1"/>
    </w:lvl>
    <w:lvl w:ilvl="1">
      <w:lvlJc w:val="left"/>
      <w:lvlText w:val="(%2)"/>
      <w:numFmt w:val="lowerRoman"/>
      <w:start w:val="2"/>
    </w:lvl>
  </w:abstractNum>
  <w:abstractNum w:abstractNumId="363">
    <w:nsid w:val="4CDCED4C"/>
    <w:multiLevelType w:val="hybridMultilevel"/>
    <w:lvl w:ilvl="0">
      <w:lvlJc w:val="left"/>
      <w:lvlText w:val="(%1)"/>
      <w:numFmt w:val="upperLetter"/>
      <w:start w:val="2"/>
    </w:lvl>
    <w:lvl w:ilvl="1">
      <w:lvlJc w:val="left"/>
      <w:lvlText w:val="%2"/>
      <w:numFmt w:val="lowerRoman"/>
      <w:start w:val="1"/>
    </w:lvl>
  </w:abstractNum>
  <w:abstractNum w:abstractNumId="364">
    <w:nsid w:val="10A30D9C"/>
    <w:multiLevelType w:val="hybridMultilevel"/>
    <w:lvl w:ilvl="0">
      <w:lvlJc w:val="left"/>
      <w:lvlText w:val="%1"/>
      <w:numFmt w:val="lowerLetter"/>
      <w:start w:val="1"/>
    </w:lvl>
    <w:lvl w:ilvl="1">
      <w:lvlJc w:val="left"/>
      <w:lvlText w:val="(%2)"/>
      <w:numFmt w:val="lowerLetter"/>
      <w:start w:val="10"/>
    </w:lvl>
  </w:abstractNum>
  <w:abstractNum w:abstractNumId="365">
    <w:nsid w:val="A66E486"/>
    <w:multiLevelType w:val="hybridMultilevel"/>
    <w:lvl w:ilvl="0">
      <w:lvlJc w:val="left"/>
      <w:lvlText w:val="(%1)"/>
      <w:numFmt w:val="lowerLetter"/>
      <w:start w:val="61"/>
    </w:lvl>
    <w:lvl w:ilvl="1">
      <w:lvlJc w:val="left"/>
      <w:lvlText w:val="(%2)"/>
      <w:numFmt w:val="lowerLetter"/>
      <w:start w:val="12"/>
    </w:lvl>
  </w:abstractNum>
  <w:abstractNum w:abstractNumId="366">
    <w:nsid w:val="306235EA"/>
    <w:multiLevelType w:val="hybridMultilevel"/>
    <w:lvl w:ilvl="0">
      <w:lvlJc w:val="left"/>
      <w:lvlText w:val="(%1)"/>
      <w:numFmt w:val="lowerLetter"/>
      <w:start w:val="1"/>
    </w:lvl>
  </w:abstractNum>
  <w:abstractNum w:abstractNumId="367">
    <w:nsid w:val="1187C70F"/>
    <w:multiLevelType w:val="hybridMultilevel"/>
    <w:lvl w:ilvl="0">
      <w:lvlJc w:val="left"/>
      <w:lvlText w:val="(%1)"/>
      <w:numFmt w:val="lowerLetter"/>
      <w:start w:val="1"/>
    </w:lvl>
    <w:lvl w:ilvl="1">
      <w:lvlJc w:val="left"/>
      <w:lvlText w:val="(%2)"/>
      <w:numFmt w:val="lowerRoman"/>
      <w:start w:val="1"/>
    </w:lvl>
  </w:abstractNum>
  <w:abstractNum w:abstractNumId="368">
    <w:nsid w:val="5476DE98"/>
    <w:multiLevelType w:val="hybridMultilevel"/>
    <w:lvl w:ilvl="0">
      <w:lvlJc w:val="left"/>
      <w:lvlText w:val="%1"/>
      <w:numFmt w:val="lowerLetter"/>
      <w:start w:val="1"/>
    </w:lvl>
    <w:lvl w:ilvl="1">
      <w:lvlJc w:val="left"/>
      <w:lvlText w:val="(%2)"/>
      <w:numFmt w:val="lowerRoman"/>
      <w:start w:val="12"/>
    </w:lvl>
  </w:abstractNum>
  <w:abstractNum w:abstractNumId="369">
    <w:nsid w:val="EA697F2"/>
    <w:multiLevelType w:val="hybridMultilevel"/>
    <w:lvl w:ilvl="0">
      <w:lvlJc w:val="left"/>
      <w:lvlText w:val="(%1)"/>
      <w:numFmt w:val="lowerLetter"/>
      <w:start w:val="2"/>
    </w:lvl>
    <w:lvl w:ilvl="1">
      <w:lvlJc w:val="left"/>
      <w:lvlText w:val="(%2)"/>
      <w:numFmt w:val="lowerRoman"/>
      <w:start w:val="1"/>
    </w:lvl>
  </w:abstractNum>
  <w:abstractNum w:abstractNumId="370">
    <w:nsid w:val="70BA39EB"/>
    <w:multiLevelType w:val="hybridMultilevel"/>
    <w:lvl w:ilvl="0">
      <w:lvlJc w:val="left"/>
      <w:lvlText w:val="(%1)"/>
      <w:numFmt w:val="lowerRoman"/>
      <w:start w:val="9"/>
    </w:lvl>
  </w:abstractNum>
  <w:abstractNum w:abstractNumId="371">
    <w:nsid w:val="4A8DB59C"/>
    <w:multiLevelType w:val="hybridMultilevel"/>
    <w:lvl w:ilvl="0">
      <w:lvlJc w:val="left"/>
      <w:lvlText w:val="(%1)"/>
      <w:numFmt w:val="lowerLetter"/>
      <w:start w:val="1"/>
    </w:lvl>
  </w:abstractNum>
  <w:abstractNum w:abstractNumId="372">
    <w:nsid w:val="1AFD9053"/>
    <w:multiLevelType w:val="hybridMultilevel"/>
    <w:lvl w:ilvl="0">
      <w:lvlJc w:val="left"/>
      <w:lvlText w:val="(%1)"/>
      <w:numFmt w:val="lowerLetter"/>
      <w:start w:val="4"/>
    </w:lvl>
  </w:abstractNum>
  <w:abstractNum w:abstractNumId="373">
    <w:nsid w:val="558BB10D"/>
    <w:multiLevelType w:val="hybridMultilevel"/>
    <w:lvl w:ilvl="0">
      <w:lvlJc w:val="left"/>
      <w:lvlText w:val="(%1)"/>
      <w:numFmt w:val="lowerLetter"/>
      <w:start w:val="1"/>
    </w:lvl>
  </w:abstractNum>
  <w:abstractNum w:abstractNumId="374">
    <w:nsid w:val="43B27FA7"/>
    <w:multiLevelType w:val="hybridMultilevel"/>
    <w:lvl w:ilvl="0">
      <w:lvlJc w:val="left"/>
      <w:lvlText w:val="(%1)"/>
      <w:numFmt w:val="lowerLetter"/>
      <w:start w:val="2"/>
    </w:lvl>
  </w:abstractNum>
  <w:abstractNum w:abstractNumId="375">
    <w:nsid w:val="27FADEFA"/>
    <w:multiLevelType w:val="hybridMultilevel"/>
    <w:lvl w:ilvl="0">
      <w:lvlJc w:val="left"/>
      <w:lvlText w:val="(%1)"/>
      <w:numFmt w:val="lowerLetter"/>
      <w:start w:val="1"/>
    </w:lvl>
  </w:abstractNum>
  <w:abstractNum w:abstractNumId="376">
    <w:nsid w:val="78BB805A"/>
    <w:multiLevelType w:val="hybridMultilevel"/>
    <w:lvl w:ilvl="0">
      <w:lvlJc w:val="left"/>
      <w:lvlText w:val="(%1)"/>
      <w:numFmt w:val="lowerLetter"/>
      <w:start w:val="2"/>
    </w:lvl>
  </w:abstractNum>
  <w:abstractNum w:abstractNumId="377">
    <w:nsid w:val="62548FD8"/>
    <w:multiLevelType w:val="hybridMultilevel"/>
    <w:lvl w:ilvl="0">
      <w:lvlJc w:val="left"/>
      <w:lvlText w:val="(%1)"/>
      <w:numFmt w:val="lowerLetter"/>
      <w:start w:val="1"/>
    </w:lvl>
  </w:abstractNum>
  <w:abstractNum w:abstractNumId="378">
    <w:nsid w:val="FA085B0"/>
    <w:multiLevelType w:val="hybridMultilevel"/>
    <w:lvl w:ilvl="0">
      <w:lvlJc w:val="left"/>
      <w:lvlText w:val="(%1)"/>
      <w:numFmt w:val="lowerLetter"/>
      <w:start w:val="26"/>
    </w:lvl>
  </w:abstractNum>
  <w:abstractNum w:abstractNumId="379">
    <w:nsid w:val="4E5DCB5"/>
    <w:multiLevelType w:val="hybridMultilevel"/>
    <w:lvl w:ilvl="0">
      <w:lvlJc w:val="left"/>
      <w:lvlText w:val="(%1)"/>
      <w:numFmt w:val="lowerLetter"/>
      <w:start w:val="1"/>
    </w:lvl>
  </w:abstractNum>
  <w:abstractNum w:abstractNumId="380">
    <w:nsid w:val="41E96BDB"/>
    <w:multiLevelType w:val="hybridMultilevel"/>
    <w:lvl w:ilvl="0">
      <w:lvlJc w:val="left"/>
      <w:lvlText w:val="(%1)"/>
      <w:numFmt w:val="lowerLetter"/>
      <w:start w:val="1"/>
    </w:lvl>
  </w:abstractNum>
  <w:abstractNum w:abstractNumId="381">
    <w:nsid w:val="331C4250"/>
    <w:multiLevelType w:val="hybridMultilevel"/>
    <w:lvl w:ilvl="0">
      <w:lvlJc w:val="left"/>
      <w:lvlText w:val="(%1)"/>
      <w:numFmt w:val="lowerLetter"/>
      <w:start w:val="3"/>
    </w:lvl>
  </w:abstractNum>
  <w:abstractNum w:abstractNumId="382">
    <w:nsid w:val="1B1493C2"/>
    <w:multiLevelType w:val="hybridMultilevel"/>
    <w:lvl w:ilvl="0">
      <w:lvlJc w:val="left"/>
      <w:lvlText w:val="(%1)"/>
      <w:numFmt w:val="lowerLetter"/>
      <w:start w:val="1"/>
    </w:lvl>
  </w:abstractNum>
  <w:abstractNum w:abstractNumId="383">
    <w:nsid w:val="39F06DFD"/>
    <w:multiLevelType w:val="hybridMultilevel"/>
    <w:lvl w:ilvl="0">
      <w:lvlJc w:val="left"/>
      <w:lvlText w:val="(%1)"/>
      <w:numFmt w:val="lowerLetter"/>
      <w:start w:val="6"/>
    </w:lvl>
  </w:abstractNum>
  <w:abstractNum w:abstractNumId="384">
    <w:nsid w:val="14802F5D"/>
    <w:multiLevelType w:val="hybridMultilevel"/>
    <w:lvl w:ilvl="0">
      <w:lvlJc w:val="left"/>
      <w:lvlText w:val="(%1)"/>
      <w:numFmt w:val="lowerLetter"/>
      <w:start w:val="1"/>
    </w:lvl>
  </w:abstractNum>
  <w:abstractNum w:abstractNumId="385">
    <w:nsid w:val="2774A209"/>
    <w:multiLevelType w:val="hybridMultilevel"/>
    <w:lvl w:ilvl="0">
      <w:lvlJc w:val="left"/>
      <w:lvlText w:val="(%1)"/>
      <w:numFmt w:val="lowerLetter"/>
      <w:start w:val="1"/>
    </w:lvl>
  </w:abstractNum>
  <w:abstractNum w:abstractNumId="386">
    <w:nsid w:val="378565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7">
    <w:nsid w:val="B2172A"/>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388">
    <w:nsid w:val="532C34A5"/>
    <w:multiLevelType w:val="hybridMultilevel"/>
    <w:lvl w:ilvl="0">
      <w:lvlJc w:val="left"/>
      <w:lvlText w:val="(%1)"/>
      <w:numFmt w:val="lowerLetter"/>
      <w:start w:val="3"/>
    </w:lvl>
  </w:abstractNum>
  <w:abstractNum w:abstractNumId="389">
    <w:nsid w:val="102809E2"/>
    <w:multiLevelType w:val="hybridMultilevel"/>
    <w:lvl w:ilvl="0">
      <w:lvlJc w:val="left"/>
      <w:lvlText w:val="(%1)"/>
      <w:numFmt w:val="lowerLetter"/>
      <w:start w:val="1"/>
    </w:lvl>
    <w:lvl w:ilvl="1">
      <w:lvlJc w:val="left"/>
      <w:lvlText w:val="(%2)"/>
      <w:numFmt w:val="lowerRoman"/>
      <w:start w:val="1"/>
    </w:lvl>
  </w:abstractNum>
  <w:abstractNum w:abstractNumId="390">
    <w:nsid w:val="3B2125A3"/>
    <w:multiLevelType w:val="hybridMultilevel"/>
    <w:lvl w:ilvl="0">
      <w:lvlJc w:val="left"/>
      <w:lvlText w:val="(%1)"/>
      <w:numFmt w:val="lowerRoman"/>
      <w:start w:val="4"/>
    </w:lvl>
  </w:abstractNum>
  <w:abstractNum w:abstractNumId="391">
    <w:nsid w:val="AC68F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92">
    <w:nsid w:val="63DF3F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93">
    <w:nsid w:val="64996E1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94">
    <w:nsid w:val="57A37D4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95">
    <w:nsid w:val="74824D54"/>
    <w:multiLevelType w:val="hybridMultilevel"/>
    <w:lvl w:ilvl="0">
      <w:lvlJc w:val="left"/>
      <w:lvlText w:val="(%1)"/>
      <w:numFmt w:val="lowerLetter"/>
      <w:start w:val="5"/>
    </w:lvl>
  </w:abstractNum>
  <w:abstractNum w:abstractNumId="396">
    <w:nsid w:val="6F00529A"/>
    <w:multiLevelType w:val="hybridMultilevel"/>
    <w:lvl w:ilvl="0">
      <w:lvlJc w:val="left"/>
      <w:lvlText w:val="(%1)"/>
      <w:numFmt w:val="lowerLetter"/>
      <w:start w:val="7"/>
    </w:lvl>
  </w:abstractNum>
  <w:abstractNum w:abstractNumId="397">
    <w:nsid w:val="805B331"/>
    <w:multiLevelType w:val="hybridMultilevel"/>
    <w:lvl w:ilvl="0">
      <w:lvlJc w:val="left"/>
      <w:lvlText w:val="(%1)"/>
      <w:numFmt w:val="lowerLetter"/>
      <w:start w:val="1"/>
    </w:lvl>
  </w:abstractNum>
  <w:abstractNum w:abstractNumId="398">
    <w:nsid w:val="60A1463"/>
    <w:multiLevelType w:val="hybridMultilevel"/>
    <w:lvl w:ilvl="0">
      <w:lvlJc w:val="left"/>
      <w:lvlText w:val="(%1)"/>
      <w:numFmt w:val="lowerLetter"/>
      <w:start w:val="4"/>
    </w:lvl>
  </w:abstractNum>
  <w:abstractNum w:abstractNumId="399">
    <w:nsid w:val="4377313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00">
    <w:nsid w:val="16AC4B2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401">
    <w:nsid w:val="76C44E4E"/>
    <w:multiLevelType w:val="hybridMultilevel"/>
    <w:lvl w:ilvl="0">
      <w:lvlJc w:val="left"/>
      <w:lvlText w:val="(%1)"/>
      <w:numFmt w:val="lowerRoman"/>
      <w:start w:val="2"/>
    </w:lvl>
    <w:lvl w:ilvl="1">
      <w:lvlJc w:val="left"/>
      <w:lvlText w:val="(%2)"/>
      <w:numFmt w:val="upperLetter"/>
      <w:start w:val="1"/>
    </w:lvl>
  </w:abstractNum>
  <w:abstractNum w:abstractNumId="402">
    <w:nsid w:val="E04E6CE"/>
    <w:multiLevelType w:val="hybridMultilevel"/>
    <w:lvl w:ilvl="0">
      <w:lvlJc w:val="left"/>
      <w:lvlText w:val="%1"/>
      <w:numFmt w:val="lowerLetter"/>
      <w:start w:val="1"/>
    </w:lvl>
    <w:lvl w:ilvl="1">
      <w:lvlJc w:val="left"/>
      <w:lvlText w:val="(%2)"/>
      <w:numFmt w:val="lowerLetter"/>
      <w:start w:val="2"/>
    </w:lvl>
  </w:abstractNum>
  <w:abstractNum w:abstractNumId="403">
    <w:nsid w:val="31A9DB76"/>
    <w:multiLevelType w:val="hybridMultilevel"/>
    <w:lvl w:ilvl="0">
      <w:lvlJc w:val="left"/>
      <w:lvlText w:val="(%1)"/>
      <w:numFmt w:val="lowerLetter"/>
      <w:start w:val="9"/>
    </w:lvl>
    <w:lvl w:ilvl="1">
      <w:lvlJc w:val="left"/>
      <w:lvlText w:val="%2"/>
      <w:numFmt w:val="lowerLetter"/>
      <w:start w:val="1"/>
    </w:lvl>
  </w:abstractNum>
  <w:abstractNum w:abstractNumId="404">
    <w:nsid w:val="4C4FFF5B"/>
    <w:multiLevelType w:val="hybridMultilevel"/>
    <w:lvl w:ilvl="0">
      <w:lvlJc w:val="left"/>
      <w:lvlText w:val="(%1)"/>
      <w:numFmt w:val="lowerLetter"/>
      <w:start w:val="5"/>
    </w:lvl>
  </w:abstractNum>
  <w:abstractNum w:abstractNumId="405">
    <w:nsid w:val="51B76675"/>
    <w:multiLevelType w:val="hybridMultilevel"/>
    <w:lvl w:ilvl="0">
      <w:lvlJc w:val="left"/>
      <w:lvlText w:val="(%1)"/>
      <w:numFmt w:val="lowerLetter"/>
      <w:start w:val="1"/>
    </w:lvl>
  </w:abstractNum>
  <w:abstractNum w:abstractNumId="406">
    <w:nsid w:val="59A4BA71"/>
    <w:multiLevelType w:val="hybridMultilevel"/>
    <w:lvl w:ilvl="0">
      <w:lvlJc w:val="left"/>
      <w:lvlText w:val="(%1)"/>
      <w:numFmt w:val="lowerLetter"/>
      <w:start w:val="2"/>
    </w:lvl>
  </w:abstractNum>
  <w:abstractNum w:abstractNumId="407">
    <w:nsid w:val="450B7FB6"/>
    <w:multiLevelType w:val="hybridMultilevel"/>
    <w:lvl w:ilvl="0">
      <w:lvlJc w:val="left"/>
      <w:lvlText w:val="(%1)"/>
      <w:numFmt w:val="lowerLetter"/>
      <w:start w:val="1"/>
    </w:lvl>
  </w:abstractNum>
  <w:abstractNum w:abstractNumId="408">
    <w:nsid w:val="340BF64D"/>
    <w:multiLevelType w:val="hybridMultilevel"/>
    <w:lvl w:ilvl="0">
      <w:lvlJc w:val="left"/>
      <w:lvlText w:val="(%1)"/>
      <w:numFmt w:val="lowerLetter"/>
      <w:start w:val="9"/>
    </w:lvl>
  </w:abstractNum>
  <w:abstractNum w:abstractNumId="409">
    <w:nsid w:val="69454021"/>
    <w:multiLevelType w:val="hybridMultilevel"/>
    <w:lvl w:ilvl="0">
      <w:lvlJc w:val="left"/>
      <w:lvlText w:val="(%1)"/>
      <w:numFmt w:val="lowerRoman"/>
      <w:start w:val="2"/>
    </w:lvl>
  </w:abstractNum>
  <w:abstractNum w:abstractNumId="410">
    <w:nsid w:val="49F15C6B"/>
    <w:multiLevelType w:val="hybridMultilevel"/>
    <w:lvl w:ilvl="0">
      <w:lvlJc w:val="left"/>
      <w:lvlText w:val="(%1)"/>
      <w:numFmt w:val="lowerLetter"/>
      <w:start w:val="1"/>
    </w:lvl>
  </w:abstractNum>
  <w:abstractNum w:abstractNumId="411">
    <w:nsid w:val="75F56228"/>
    <w:multiLevelType w:val="hybridMultilevel"/>
    <w:lvl w:ilvl="0">
      <w:lvlJc w:val="left"/>
      <w:lvlText w:val="(%1)"/>
      <w:numFmt w:val="lowerLetter"/>
      <w:start w:val="1"/>
    </w:lvl>
    <w:lvl w:ilvl="1">
      <w:lvlJc w:val="left"/>
      <w:lvlText w:val="(%2)"/>
      <w:numFmt w:val="lowerRoman"/>
      <w:start w:val="1"/>
    </w:lvl>
  </w:abstractNum>
  <w:abstractNum w:abstractNumId="412">
    <w:nsid w:val="1C618271"/>
    <w:multiLevelType w:val="hybridMultilevel"/>
    <w:lvl w:ilvl="0">
      <w:lvlJc w:val="left"/>
      <w:lvlText w:val="(%1)"/>
      <w:numFmt w:val="lowerLetter"/>
      <w:start w:val="4"/>
    </w:lvl>
  </w:abstractNum>
  <w:abstractNum w:abstractNumId="413">
    <w:nsid w:val="6505F02E"/>
    <w:multiLevelType w:val="hybridMultilevel"/>
    <w:lvl w:ilvl="0">
      <w:lvlJc w:val="left"/>
      <w:lvlText w:val="(%1)"/>
      <w:numFmt w:val="lowerLetter"/>
      <w:start w:val="1"/>
    </w:lvl>
  </w:abstractNum>
  <w:abstractNum w:abstractNumId="414">
    <w:nsid w:val="2FE5D025"/>
    <w:multiLevelType w:val="hybridMultilevel"/>
    <w:lvl w:ilvl="0">
      <w:lvlJc w:val="left"/>
      <w:lvlText w:val="(%1)"/>
      <w:numFmt w:val="lowerRoman"/>
      <w:start w:val="2"/>
    </w:lvl>
  </w:abstractNum>
  <w:abstractNum w:abstractNumId="415">
    <w:nsid w:val="30E1B1CF"/>
    <w:multiLevelType w:val="hybridMultilevel"/>
    <w:lvl w:ilvl="0">
      <w:lvlJc w:val="left"/>
      <w:lvlText w:val="%1."/>
      <w:numFmt w:val="decimal"/>
      <w:start w:val="1"/>
    </w:lvl>
  </w:abstractNum>
  <w:abstractNum w:abstractNumId="416">
    <w:nsid w:val="C7A9237"/>
    <w:multiLevelType w:val="hybridMultilevel"/>
    <w:lvl w:ilvl="0">
      <w:lvlJc w:val="left"/>
      <w:lvlText w:val="%1."/>
      <w:numFmt w:val="decimal"/>
      <w:start w:val="2"/>
    </w:lvl>
    <w:lvl w:ilvl="1">
      <w:lvlJc w:val="left"/>
      <w:lvlText w:val="%2."/>
      <w:numFmt w:val="lowerLetter"/>
      <w:start w:val="1"/>
    </w:lvl>
  </w:abstractNum>
  <w:abstractNum w:abstractNumId="417">
    <w:nsid w:val="676B358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8">
    <w:nsid w:val="3193C8F9"/>
    <w:multiLevelType w:val="hybridMultilevel"/>
    <w:lvl w:ilvl="0">
      <w:lvlJc w:val="left"/>
      <w:lvlText w:val="%1."/>
      <w:numFmt w:val="lowerRoman"/>
      <w:start w:val="6"/>
    </w:lvl>
  </w:abstractNum>
  <w:abstractNum w:abstractNumId="419">
    <w:nsid w:val="5FA6C6DC"/>
    <w:multiLevelType w:val="hybridMultilevel"/>
    <w:lvl w:ilvl="0">
      <w:lvlJc w:val="left"/>
      <w:lvlText w:val="%1."/>
      <w:numFmt w:val="lowerRoman"/>
      <w:start w:val="7"/>
    </w:lvl>
  </w:abstractNum>
  <w:abstractNum w:abstractNumId="420">
    <w:nsid w:val="77933F6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21">
    <w:nsid w:val="6CB4EE9C"/>
    <w:multiLevelType w:val="hybridMultilevel"/>
    <w:lvl w:ilvl="0">
      <w:lvlJc w:val="left"/>
      <w:lvlText w:val="%1"/>
      <w:numFmt w:val="lowerLetter"/>
      <w:start w:val="1"/>
    </w:lvl>
    <w:lvl w:ilvl="1">
      <w:lvlJc w:val="left"/>
      <w:lvlText w:val="%2."/>
      <w:numFmt w:val="lowerLetter"/>
      <w:start w:val="35"/>
    </w:lvl>
  </w:abstractNum>
  <w:abstractNum w:abstractNumId="422">
    <w:nsid w:val="6A6D56D7"/>
    <w:multiLevelType w:val="hybridMultilevel"/>
    <w:lvl w:ilvl="0">
      <w:lvlJc w:val="left"/>
      <w:lvlText w:val="%1."/>
      <w:numFmt w:val="lowerLetter"/>
      <w:start w:val="3"/>
    </w:lvl>
    <w:lvl w:ilvl="1">
      <w:lvlJc w:val="left"/>
      <w:lvlText w:val="%2."/>
      <w:numFmt w:val="lowerLetter"/>
      <w:start w:val="9"/>
    </w:lvl>
  </w:abstractNum>
  <w:abstractNum w:abstractNumId="423">
    <w:nsid w:val="5B727F19"/>
    <w:multiLevelType w:val="hybridMultilevel"/>
    <w:lvl w:ilvl="0">
      <w:lvlJc w:val="left"/>
      <w:lvlText w:val="%1."/>
      <w:numFmt w:val="lowerRoman"/>
      <w:start w:val="2"/>
    </w:lvl>
  </w:abstractNum>
  <w:abstractNum w:abstractNumId="424">
    <w:nsid w:val="514E5CB0"/>
    <w:multiLevelType w:val="hybridMultilevel"/>
    <w:lvl w:ilvl="0">
      <w:lvlJc w:val="left"/>
      <w:lvlText w:val="%1."/>
      <w:numFmt w:val="decimal"/>
      <w:start w:val="1"/>
    </w:lvl>
  </w:abstractNum>
  <w:abstractNum w:abstractNumId="425">
    <w:nsid w:val="4210D41E"/>
    <w:multiLevelType w:val="hybridMultilevel"/>
    <w:lvl w:ilvl="0">
      <w:lvlJc w:val="left"/>
      <w:lvlText w:val="%1."/>
      <w:numFmt w:val="lowerRoman"/>
      <w:start w:val="2"/>
    </w:lvl>
  </w:abstractNum>
  <w:abstractNum w:abstractNumId="426">
    <w:nsid w:val="4FF4CC6D"/>
    <w:multiLevelType w:val="hybridMultilevel"/>
    <w:lvl w:ilvl="0">
      <w:lvlJc w:val="left"/>
      <w:lvlText w:val="%1."/>
      <w:numFmt w:val="decimal"/>
      <w:start w:val="5"/>
    </w:lvl>
  </w:abstractNum>
  <w:abstractNum w:abstractNumId="427">
    <w:nsid w:val="404EAF4A"/>
    <w:multiLevelType w:val="hybridMultilevel"/>
    <w:lvl w:ilvl="0">
      <w:lvlJc w:val="left"/>
      <w:lvlText w:val="%1."/>
      <w:numFmt w:val="decimal"/>
      <w:start w:val="6"/>
    </w:lvl>
  </w:abstractNum>
  <w:abstractNum w:abstractNumId="428">
    <w:nsid w:val="4A16874F"/>
    <w:multiLevelType w:val="hybridMultilevel"/>
    <w:lvl w:ilvl="0">
      <w:lvlJc w:val="left"/>
      <w:lvlText w:val="%1"/>
      <w:numFmt w:val="decimal"/>
      <w:start w:val="1"/>
    </w:lvl>
    <w:lvl w:ilvl="1">
      <w:lvlJc w:val="left"/>
      <w:lvlText w:val="%2."/>
      <w:numFmt w:val="decimal"/>
      <w:start w:val="7"/>
    </w:lvl>
  </w:abstractNum>
  <w:abstractNum w:abstractNumId="429">
    <w:nsid w:val="55FEE0D1"/>
    <w:multiLevelType w:val="hybridMultilevel"/>
    <w:lvl w:ilvl="0">
      <w:lvlJc w:val="left"/>
      <w:lvlText w:val="(%1)"/>
      <w:numFmt w:val="decimal"/>
      <w:start w:val="30"/>
    </w:lvl>
    <w:lvl w:ilvl="1">
      <w:lvlJc w:val="left"/>
      <w:lvlText w:val="%2"/>
      <w:numFmt w:val="decimal"/>
      <w:start w:val="1"/>
    </w:lvl>
  </w:abstractNum>
  <w:abstractNum w:abstractNumId="430">
    <w:nsid w:val="3C5E07C"/>
    <w:multiLevelType w:val="hybridMultilevel"/>
    <w:lvl w:ilvl="0">
      <w:lvlJc w:val="left"/>
      <w:lvlText w:val="(%1)"/>
      <w:numFmt w:val="decimal"/>
      <w:start w:val="30"/>
    </w:lvl>
    <w:lvl w:ilvl="1">
      <w:lvlJc w:val="left"/>
      <w:lvlText w:val="%2"/>
      <w:numFmt w:val="decimal"/>
      <w:start w:val="1"/>
    </w:lvl>
  </w:abstractNum>
  <w:abstractNum w:abstractNumId="431">
    <w:nsid w:val="60C2D273"/>
    <w:multiLevelType w:val="hybridMultilevel"/>
    <w:lvl w:ilvl="0">
      <w:lvlJc w:val="left"/>
      <w:lvlText w:val="(%1)"/>
      <w:numFmt w:val="decimal"/>
      <w:start w:val="30"/>
    </w:lvl>
    <w:lvl w:ilvl="1">
      <w:lvlJc w:val="left"/>
      <w:lvlText w:val="%2."/>
      <w:numFmt w:val="decimal"/>
      <w:start w:val="9"/>
    </w:lvl>
  </w:abstractNum>
  <w:abstractNum w:abstractNumId="432">
    <w:nsid w:val="4CC32F1F"/>
    <w:multiLevelType w:val="hybridMultilevel"/>
    <w:lvl w:ilvl="0">
      <w:lvlJc w:val="left"/>
      <w:lvlText w:val="%1."/>
      <w:numFmt w:val="decimal"/>
      <w:start w:val="10"/>
    </w:lvl>
  </w:abstractNum>
  <w:abstractNum w:abstractNumId="433">
    <w:nsid w:val="11CAC74A"/>
    <w:multiLevelType w:val="hybridMultilevel"/>
    <w:lvl w:ilvl="0">
      <w:lvlJc w:val="left"/>
      <w:lvlText w:val="%1."/>
      <w:numFmt w:val="decimal"/>
      <w:start w:val="12"/>
    </w:lvl>
  </w:abstractNum>
  <w:abstractNum w:abstractNumId="434">
    <w:nsid w:val="126CADE9"/>
    <w:multiLevelType w:val="hybridMultilevel"/>
    <w:lvl w:ilvl="0">
      <w:lvlJc w:val="left"/>
      <w:lvlText w:val="%1."/>
      <w:numFmt w:val="decimal"/>
      <w:start w:val="13"/>
    </w:lvl>
  </w:abstractNum>
  <w:abstractNum w:abstractNumId="435">
    <w:nsid w:val="19132E7B"/>
    <w:multiLevelType w:val="hybridMultilevel"/>
    <w:lvl w:ilvl="0">
      <w:lvlJc w:val="left"/>
      <w:lvlText w:val="%1."/>
      <w:numFmt w:val="decimal"/>
      <w:start w:val="17"/>
    </w:lvl>
  </w:abstractNum>
  <w:abstractNum w:abstractNumId="436">
    <w:nsid w:val="63822DC0"/>
    <w:multiLevelType w:val="hybridMultilevel"/>
    <w:lvl w:ilvl="0">
      <w:lvlJc w:val="left"/>
      <w:lvlText w:val="(%1)"/>
      <w:numFmt w:val="lowerRoman"/>
      <w:start w:val="4"/>
    </w:lvl>
  </w:abstractNum>
  <w:abstractNum w:abstractNumId="437">
    <w:nsid w:val="6C11685A"/>
    <w:multiLevelType w:val="hybridMultilevel"/>
    <w:lvl w:ilvl="0">
      <w:lvlJc w:val="left"/>
      <w:lvlText w:val="["/>
      <w:numFmt w:val="bullet"/>
      <w:start w:val="1"/>
    </w:lvl>
  </w:abstractNum>
  <w:abstractNum w:abstractNumId="438">
    <w:nsid w:val="5E1EAE31"/>
    <w:multiLevelType w:val="hybridMultilevel"/>
    <w:lvl w:ilvl="0">
      <w:lvlJc w:val="left"/>
      <w:lvlText w:val="(%1)"/>
      <w:numFmt w:val="lowerRoman"/>
      <w:start w:val="4"/>
    </w:lvl>
  </w:abstractNum>
  <w:abstractNum w:abstractNumId="439">
    <w:nsid w:val="178E240D"/>
    <w:multiLevelType w:val="hybridMultilevel"/>
    <w:lvl w:ilvl="0">
      <w:lvlJc w:val="left"/>
      <w:lvlText w:val="(%1)"/>
      <w:numFmt w:val="lowerLetter"/>
      <w:start w:val="1"/>
    </w:lvl>
  </w:abstractNum>
  <w:abstractNum w:abstractNumId="440">
    <w:nsid w:val="5556A87B"/>
    <w:multiLevelType w:val="hybridMultilevel"/>
    <w:lvl w:ilvl="0">
      <w:lvlJc w:val="left"/>
      <w:lvlText w:val="%1"/>
      <w:numFmt w:val="lowerLetter"/>
      <w:start w:val="1"/>
    </w:lvl>
    <w:lvl w:ilvl="1">
      <w:lvlJc w:val="left"/>
      <w:lvlText w:val="(%2)"/>
      <w:numFmt w:val="lowerLetter"/>
      <w:start w:val="2"/>
    </w:lvl>
  </w:abstractNum>
  <w:abstractNum w:abstractNumId="441">
    <w:nsid w:val="28100A9C"/>
    <w:multiLevelType w:val="hybridMultilevel"/>
    <w:lvl w:ilvl="0">
      <w:lvlJc w:val="left"/>
      <w:lvlText w:val="(%1)"/>
      <w:numFmt w:val="lowerLetter"/>
      <w:start w:val="61"/>
    </w:lvl>
    <w:lvl w:ilvl="1">
      <w:lvlJc w:val="left"/>
      <w:lvlText w:val="(%2)"/>
      <w:numFmt w:val="lowerLetter"/>
      <w:start w:val="3"/>
    </w:lvl>
  </w:abstractNum>
  <w:abstractNum w:abstractNumId="442">
    <w:nsid w:val="D838636"/>
    <w:multiLevelType w:val="hybridMultilevel"/>
    <w:lvl w:ilvl="0">
      <w:lvlJc w:val="left"/>
      <w:lvlText w:val="(%1)"/>
      <w:numFmt w:val="lowerLetter"/>
      <w:start w:val="1"/>
    </w:lvl>
  </w:abstractNum>
  <w:abstractNum w:abstractNumId="443">
    <w:nsid w:val="71B82AED"/>
    <w:multiLevelType w:val="hybridMultilevel"/>
    <w:lvl w:ilvl="0">
      <w:lvlJc w:val="left"/>
      <w:lvlText w:val="%1."/>
      <w:numFmt w:val="decimal"/>
      <w:start w:val="1"/>
    </w:lvl>
    <w:lvl w:ilvl="1">
      <w:lvlJc w:val="left"/>
      <w:lvlText w:val="(%2)"/>
      <w:numFmt w:val="lowerLetter"/>
      <w:start w:val="1"/>
    </w:lvl>
  </w:abstractNum>
  <w:abstractNum w:abstractNumId="444">
    <w:nsid w:val="D15FA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45">
    <w:nsid w:val="3D69565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446">
    <w:nsid w:val="2299DC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47">
    <w:nsid w:val="19908D02"/>
    <w:multiLevelType w:val="hybridMultilevel"/>
    <w:lvl w:ilvl="0">
      <w:lvlJc w:val="left"/>
      <w:lvlText w:val="%1"/>
      <w:numFmt w:val="decimal"/>
      <w:start w:val="1"/>
    </w:lvl>
    <w:lvl w:ilvl="1">
      <w:lvlJc w:val="left"/>
      <w:lvlText w:val="(%2)"/>
      <w:numFmt w:val="lowerLetter"/>
      <w:start w:val="2"/>
    </w:lvl>
  </w:abstractNum>
  <w:abstractNum w:abstractNumId="448">
    <w:nsid w:val="24D48BDB"/>
    <w:multiLevelType w:val="hybridMultilevel"/>
    <w:lvl w:ilvl="0">
      <w:lvlJc w:val="left"/>
      <w:lvlText w:val="%1."/>
      <w:numFmt w:val="decimal"/>
      <w:start w:val="3"/>
    </w:lvl>
    <w:lvl w:ilvl="1">
      <w:lvlJc w:val="left"/>
      <w:lvlText w:val="(%2)"/>
      <w:numFmt w:val="lowerLetter"/>
      <w:start w:val="1"/>
    </w:lvl>
  </w:abstractNum>
  <w:abstractNum w:abstractNumId="449">
    <w:nsid w:val="542DA5B5"/>
    <w:multiLevelType w:val="hybridMultilevel"/>
    <w:lvl w:ilvl="0">
      <w:lvlJc w:val="left"/>
      <w:lvlText w:val="(%1)"/>
      <w:numFmt w:val="lowerLetter"/>
      <w:start w:val="2"/>
    </w:lvl>
  </w:abstractNum>
  <w:abstractNum w:abstractNumId="450">
    <w:nsid w:val="793753DE"/>
    <w:multiLevelType w:val="hybridMultilevel"/>
    <w:lvl w:ilvl="0">
      <w:lvlJc w:val="left"/>
      <w:lvlText w:val="(%1)"/>
      <w:numFmt w:val="lowerLetter"/>
      <w:start w:val="7"/>
    </w:lvl>
  </w:abstractNum>
  <w:abstractNum w:abstractNumId="451">
    <w:nsid w:val="1C67CB3D"/>
    <w:multiLevelType w:val="hybridMultilevel"/>
    <w:lvl w:ilvl="0">
      <w:lvlJc w:val="left"/>
      <w:lvlText w:val="(%1)"/>
      <w:numFmt w:val="lowerLetter"/>
      <w:start w:val="5"/>
    </w:lvl>
  </w:abstractNum>
  <w:abstractNum w:abstractNumId="452">
    <w:nsid w:val="40E29452"/>
    <w:multiLevelType w:val="hybridMultilevel"/>
    <w:lvl w:ilvl="0">
      <w:lvlJc w:val="left"/>
      <w:lvlText w:val="%1"/>
      <w:numFmt w:val="lowerLetter"/>
      <w:start w:val="1"/>
    </w:lvl>
    <w:lvl w:ilvl="1">
      <w:lvlJc w:val="left"/>
      <w:lvlText w:val="(%2)"/>
      <w:numFmt w:val="lowerLetter"/>
      <w:start w:val="1"/>
    </w:lvl>
  </w:abstractNum>
  <w:abstractNum w:abstractNumId="453">
    <w:nsid w:val="63A4AAB6"/>
    <w:multiLevelType w:val="hybridMultilevel"/>
    <w:lvl w:ilvl="0">
      <w:lvlJc w:val="left"/>
      <w:lvlText w:val="(%1)"/>
      <w:numFmt w:val="lowerLetter"/>
      <w:start w:val="61"/>
    </w:lvl>
    <w:lvl w:ilvl="1">
      <w:lvlJc w:val="left"/>
      <w:lvlText w:val="%2"/>
      <w:numFmt w:val="lowerLetter"/>
      <w:start w:val="1"/>
    </w:lvl>
  </w:abstractNum>
  <w:abstractNum w:abstractNumId="454">
    <w:nsid w:val="77DA4A57"/>
    <w:multiLevelType w:val="hybridMultilevel"/>
    <w:lvl w:ilvl="0">
      <w:lvlJc w:val="left"/>
      <w:lvlText w:val="(%1)"/>
      <w:numFmt w:val="lowerLetter"/>
      <w:start w:val="1"/>
    </w:lvl>
  </w:abstractNum>
  <w:abstractNum w:abstractNumId="455">
    <w:nsid w:val="1230F102"/>
    <w:multiLevelType w:val="hybridMultilevel"/>
    <w:lvl w:ilvl="0">
      <w:lvlJc w:val="left"/>
      <w:lvlText w:val="%1"/>
      <w:numFmt w:val="lowerLetter"/>
      <w:start w:val="1"/>
    </w:lvl>
    <w:lvl w:ilvl="1">
      <w:lvlJc w:val="left"/>
      <w:lvlText w:val="(%2)"/>
      <w:numFmt w:val="lowerLetter"/>
      <w:start w:val="4"/>
    </w:lvl>
  </w:abstractNum>
  <w:abstractNum w:abstractNumId="456">
    <w:nsid w:val="25B57ED4"/>
    <w:multiLevelType w:val="hybridMultilevel"/>
    <w:lvl w:ilvl="0">
      <w:lvlJc w:val="left"/>
      <w:lvlText w:val="(%1)"/>
      <w:numFmt w:val="lowerLetter"/>
      <w:start w:val="61"/>
    </w:lvl>
    <w:lvl w:ilvl="1">
      <w:lvlJc w:val="left"/>
      <w:lvlText w:val="%2"/>
      <w:numFmt w:val="lowerLetter"/>
      <w:start w:val="1"/>
    </w:lvl>
  </w:abstractNum>
  <w:abstractNum w:abstractNumId="457">
    <w:nsid w:val="47CF16C4"/>
    <w:multiLevelType w:val="hybridMultilevel"/>
    <w:lvl w:ilvl="0">
      <w:lvlJc w:val="left"/>
      <w:lvlText w:val="(%1)"/>
      <w:numFmt w:val="lowerLetter"/>
      <w:start w:val="1"/>
    </w:lvl>
  </w:abstractNum>
  <w:abstractNum w:abstractNumId="458">
    <w:nsid w:val="527FA04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2019-12-06T09:50:57Z</dcterms:created>
  <dcterms:modified xsi:type="dcterms:W3CDTF">2019-12-06T09:50:57Z</dcterms:modified>
</cp:coreProperties>
</file>