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136525</wp:posOffset>
            </wp:positionH>
            <wp:positionV relativeFrom="page">
              <wp:posOffset>136525</wp:posOffset>
            </wp:positionV>
            <wp:extent cx="72891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jc w:val="center"/>
        <w:ind w:right="2839"/>
        <w:spacing w:after="0"/>
        <w:rPr>
          <w:sz w:val="20"/>
          <w:szCs w:val="20"/>
          <w:color w:val="auto"/>
        </w:rPr>
      </w:pPr>
      <w:r>
        <w:rPr>
          <w:rFonts w:ascii="Courier New" w:cs="Courier New" w:eastAsia="Courier New" w:hAnsi="Courier New"/>
          <w:sz w:val="15"/>
          <w:szCs w:val="15"/>
          <w:b w:val="1"/>
          <w:bCs w:val="1"/>
          <w:color w:val="auto"/>
        </w:rPr>
        <w:t>SECURITIES AND EXCHANGE COMMISSION</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Washington, D.C. 20549</w:t>
      </w:r>
    </w:p>
    <w:p>
      <w:pPr>
        <w:spacing w:after="0" w:line="8"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b w:val="1"/>
          <w:bCs w:val="1"/>
          <w:color w:val="auto"/>
        </w:rPr>
        <w:t>______________________</w:t>
      </w:r>
    </w:p>
    <w:p>
      <w:pPr>
        <w:spacing w:after="0" w:line="185" w:lineRule="exact"/>
        <w:rPr>
          <w:sz w:val="24"/>
          <w:szCs w:val="24"/>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FORM 10-K/A</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|X| ANNUAL REPORT PURSUANT TO SECTION 13 OR 15(d) OF THE</w:t>
      </w:r>
    </w:p>
    <w:p>
      <w:pPr>
        <w:spacing w:after="0" w:line="8"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5"/>
          <w:szCs w:val="15"/>
          <w:b w:val="1"/>
          <w:bCs w:val="1"/>
          <w:color w:val="auto"/>
        </w:rPr>
        <w:t>SECURITIES EXCHANGE ACT OF 1934</w:t>
      </w:r>
    </w:p>
    <w:p>
      <w:pPr>
        <w:spacing w:after="0" w:line="185"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5"/>
          <w:szCs w:val="15"/>
          <w:b w:val="1"/>
          <w:bCs w:val="1"/>
          <w:color w:val="auto"/>
        </w:rPr>
        <w:t>For the fiscal year ended December 31, 2001</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OR</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|_| TRANSITION REPORT PURSUANT TO SECTION 13 OR 15(d) OF THE</w:t>
      </w:r>
    </w:p>
    <w:p>
      <w:pPr>
        <w:spacing w:after="0" w:line="8"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5"/>
          <w:szCs w:val="15"/>
          <w:b w:val="1"/>
          <w:bCs w:val="1"/>
          <w:color w:val="auto"/>
        </w:rPr>
        <w:t>SECURITIES EXCHANGE ACT OF 1934</w:t>
      </w:r>
    </w:p>
    <w:p>
      <w:pPr>
        <w:spacing w:after="0" w:line="8"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5"/>
          <w:szCs w:val="15"/>
          <w:b w:val="1"/>
          <w:bCs w:val="1"/>
          <w:color w:val="auto"/>
        </w:rPr>
        <w:t>For the transition period from to</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Commission file number 0-23486</w:t>
      </w:r>
    </w:p>
    <w:p>
      <w:pPr>
        <w:spacing w:after="0" w:line="8"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b w:val="1"/>
          <w:bCs w:val="1"/>
          <w:color w:val="auto"/>
        </w:rPr>
        <w:t>______________________</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NN, INC.</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(Exact name of registrant as specified in its charter)</w:t>
      </w:r>
    </w:p>
    <w:p>
      <w:pPr>
        <w:spacing w:after="0" w:line="8" w:lineRule="exact"/>
        <w:rPr>
          <w:sz w:val="24"/>
          <w:szCs w:val="24"/>
          <w:color w:val="auto"/>
        </w:rPr>
      </w:pPr>
    </w:p>
    <w:p>
      <w:pPr>
        <w:ind w:left="540" w:right="3479" w:firstLine="1015"/>
        <w:spacing w:after="0" w:line="256" w:lineRule="auto"/>
        <w:rPr>
          <w:sz w:val="20"/>
          <w:szCs w:val="20"/>
          <w:color w:val="auto"/>
        </w:rPr>
      </w:pPr>
      <w:r>
        <w:rPr>
          <w:rFonts w:ascii="Courier New" w:cs="Courier New" w:eastAsia="Courier New" w:hAnsi="Courier New"/>
          <w:sz w:val="15"/>
          <w:szCs w:val="15"/>
          <w:b w:val="1"/>
          <w:bCs w:val="1"/>
          <w:color w:val="auto"/>
        </w:rPr>
        <w:t xml:space="preserve">Delaware 62-1096725 </w:t>
      </w:r>
      <w:r>
        <w:rPr>
          <w:rFonts w:ascii="Courier New" w:cs="Courier New" w:eastAsia="Courier New" w:hAnsi="Courier New"/>
          <w:sz w:val="15"/>
          <w:szCs w:val="15"/>
          <w:color w:val="auto"/>
        </w:rPr>
        <w:t>(State or other jurisdiction of (I.R.S. Employer incorporation or organization) Identification No.)</w:t>
      </w:r>
    </w:p>
    <w:p>
      <w:pPr>
        <w:sectPr>
          <w:pgSz w:w="11900" w:h="16909" w:orient="portrait"/>
          <w:cols w:equalWidth="0" w:num="1">
            <w:col w:w="10219"/>
          </w:cols>
          <w:pgMar w:left="240" w:top="414" w:right="1440" w:bottom="0" w:gutter="0" w:footer="0" w:header="0"/>
        </w:sectPr>
      </w:pPr>
    </w:p>
    <w:p>
      <w:pPr>
        <w:spacing w:after="0" w:line="347"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2000 Waters Edge Drive</w:t>
      </w:r>
    </w:p>
    <w:p>
      <w:pPr>
        <w:spacing w:after="0" w:line="8"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Johnson City, Tennessee</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37604</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85" w:lineRule="exact"/>
        <w:rPr>
          <w:sz w:val="24"/>
          <w:szCs w:val="24"/>
          <w:color w:val="auto"/>
        </w:rPr>
      </w:pPr>
    </w:p>
    <w:p>
      <w:pPr>
        <w:sectPr>
          <w:pgSz w:w="11900" w:h="16909" w:orient="portrait"/>
          <w:cols w:equalWidth="0" w:num="2">
            <w:col w:w="4820" w:space="720"/>
            <w:col w:w="4679"/>
          </w:cols>
          <w:pgMar w:left="240" w:top="414" w:right="1440" w:bottom="0" w:gutter="0" w:footer="0" w:header="0"/>
          <w:type w:val="continuous"/>
        </w:sectPr>
      </w:pPr>
    </w:p>
    <w:p>
      <w:pPr>
        <w:jc w:val="center"/>
        <w:ind w:right="2839"/>
        <w:spacing w:after="0"/>
        <w:rPr>
          <w:sz w:val="20"/>
          <w:szCs w:val="20"/>
          <w:color w:val="auto"/>
        </w:rPr>
      </w:pPr>
      <w:r>
        <w:rPr>
          <w:rFonts w:ascii="Courier New" w:cs="Courier New" w:eastAsia="Courier New" w:hAnsi="Courier New"/>
          <w:sz w:val="15"/>
          <w:szCs w:val="15"/>
          <w:color w:val="auto"/>
        </w:rPr>
        <w:t>Registrant's telephone number, including area code: (423) 743-9151</w:t>
      </w:r>
    </w:p>
    <w:p>
      <w:pPr>
        <w:spacing w:after="0" w:line="8"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______________________</w:t>
      </w:r>
    </w:p>
    <w:p>
      <w:pPr>
        <w:spacing w:after="0" w:line="185"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85" w:lineRule="exact"/>
        <w:rPr>
          <w:sz w:val="24"/>
          <w:szCs w:val="24"/>
          <w:color w:val="auto"/>
        </w:rPr>
      </w:pPr>
    </w:p>
    <w:tbl>
      <w:tblPr>
        <w:tblLayout w:type="fixed"/>
        <w:tblInd w:w="1200" w:type="dxa"/>
        <w:tblCellMar>
          <w:top w:w="0" w:type="dxa"/>
          <w:left w:w="0" w:type="dxa"/>
          <w:bottom w:w="0" w:type="dxa"/>
          <w:right w:w="0" w:type="dxa"/>
        </w:tblCellMar>
      </w:tblPr>
      <w:tr>
        <w:trPr>
          <w:trHeight w:val="172"/>
        </w:trPr>
        <w:tc>
          <w:tcPr>
            <w:tcW w:w="2120" w:type="dxa"/>
            <w:vAlign w:val="bottom"/>
          </w:tcPr>
          <w:p>
            <w:pPr>
              <w:jc w:val="center"/>
              <w:ind w:right="1143"/>
              <w:spacing w:after="0"/>
              <w:rPr>
                <w:sz w:val="20"/>
                <w:szCs w:val="20"/>
                <w:color w:val="auto"/>
              </w:rPr>
            </w:pPr>
            <w:r>
              <w:rPr>
                <w:rFonts w:ascii="Courier New" w:cs="Courier New" w:eastAsia="Courier New" w:hAnsi="Courier New"/>
                <w:sz w:val="15"/>
                <w:szCs w:val="15"/>
                <w:color w:val="auto"/>
              </w:rPr>
              <w:t>Title of</w:t>
            </w:r>
          </w:p>
        </w:tc>
        <w:tc>
          <w:tcPr>
            <w:tcW w:w="3220" w:type="dxa"/>
            <w:vAlign w:val="bottom"/>
          </w:tcPr>
          <w:p>
            <w:pPr>
              <w:ind w:left="1200"/>
              <w:spacing w:after="0"/>
              <w:rPr>
                <w:sz w:val="20"/>
                <w:szCs w:val="20"/>
                <w:color w:val="auto"/>
              </w:rPr>
            </w:pPr>
            <w:r>
              <w:rPr>
                <w:rFonts w:ascii="Courier New" w:cs="Courier New" w:eastAsia="Courier New" w:hAnsi="Courier New"/>
                <w:sz w:val="15"/>
                <w:szCs w:val="15"/>
                <w:color w:val="auto"/>
              </w:rPr>
              <w:t>Name of each exchange</w:t>
            </w:r>
          </w:p>
        </w:tc>
      </w:tr>
      <w:tr>
        <w:trPr>
          <w:trHeight w:val="177"/>
        </w:trPr>
        <w:tc>
          <w:tcPr>
            <w:tcW w:w="2120" w:type="dxa"/>
            <w:vAlign w:val="bottom"/>
          </w:tcPr>
          <w:p>
            <w:pPr>
              <w:jc w:val="center"/>
              <w:ind w:right="1123"/>
              <w:spacing w:after="0"/>
              <w:rPr>
                <w:sz w:val="20"/>
                <w:szCs w:val="20"/>
                <w:color w:val="auto"/>
              </w:rPr>
            </w:pPr>
            <w:r>
              <w:rPr>
                <w:rFonts w:ascii="Courier New" w:cs="Courier New" w:eastAsia="Courier New" w:hAnsi="Courier New"/>
                <w:sz w:val="15"/>
                <w:szCs w:val="15"/>
                <w:color w:val="auto"/>
              </w:rPr>
              <w:t>each class</w:t>
            </w:r>
          </w:p>
        </w:tc>
        <w:tc>
          <w:tcPr>
            <w:tcW w:w="3220" w:type="dxa"/>
            <w:vAlign w:val="bottom"/>
          </w:tcPr>
          <w:p>
            <w:pPr>
              <w:ind w:left="1280"/>
              <w:spacing w:after="0"/>
              <w:rPr>
                <w:sz w:val="20"/>
                <w:szCs w:val="20"/>
                <w:color w:val="auto"/>
              </w:rPr>
            </w:pPr>
            <w:r>
              <w:rPr>
                <w:rFonts w:ascii="Courier New" w:cs="Courier New" w:eastAsia="Courier New" w:hAnsi="Courier New"/>
                <w:sz w:val="15"/>
                <w:szCs w:val="15"/>
                <w:color w:val="auto"/>
              </w:rPr>
              <w:t>on which registered</w:t>
            </w:r>
          </w:p>
        </w:tc>
      </w:tr>
      <w:tr>
        <w:trPr>
          <w:trHeight w:val="177"/>
        </w:trPr>
        <w:tc>
          <w:tcPr>
            <w:tcW w:w="2120" w:type="dxa"/>
            <w:vAlign w:val="bottom"/>
          </w:tcPr>
          <w:p>
            <w:pPr>
              <w:jc w:val="center"/>
              <w:ind w:right="1123"/>
              <w:spacing w:after="0"/>
              <w:rPr>
                <w:sz w:val="20"/>
                <w:szCs w:val="20"/>
                <w:color w:val="auto"/>
              </w:rPr>
            </w:pPr>
            <w:r>
              <w:rPr>
                <w:rFonts w:ascii="Courier New" w:cs="Courier New" w:eastAsia="Courier New" w:hAnsi="Courier New"/>
                <w:sz w:val="15"/>
                <w:szCs w:val="15"/>
                <w:color w:val="auto"/>
              </w:rPr>
              <w:t>__________</w:t>
            </w:r>
          </w:p>
        </w:tc>
        <w:tc>
          <w:tcPr>
            <w:tcW w:w="3220" w:type="dxa"/>
            <w:vAlign w:val="bottom"/>
          </w:tcPr>
          <w:p>
            <w:pPr>
              <w:ind w:left="1200"/>
              <w:spacing w:after="0"/>
              <w:rPr>
                <w:sz w:val="20"/>
                <w:szCs w:val="20"/>
                <w:color w:val="auto"/>
              </w:rPr>
            </w:pPr>
            <w:r>
              <w:rPr>
                <w:rFonts w:ascii="Courier New" w:cs="Courier New" w:eastAsia="Courier New" w:hAnsi="Courier New"/>
                <w:sz w:val="15"/>
                <w:szCs w:val="15"/>
                <w:color w:val="auto"/>
              </w:rPr>
              <w:t>______________________</w:t>
            </w:r>
          </w:p>
        </w:tc>
      </w:tr>
      <w:tr>
        <w:trPr>
          <w:trHeight w:val="355"/>
        </w:trPr>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None</w:t>
            </w:r>
          </w:p>
        </w:tc>
        <w:tc>
          <w:tcPr>
            <w:tcW w:w="3220" w:type="dxa"/>
            <w:vAlign w:val="bottom"/>
          </w:tcPr>
          <w:p>
            <w:pPr>
              <w:ind w:left="1840"/>
              <w:spacing w:after="0"/>
              <w:rPr>
                <w:sz w:val="20"/>
                <w:szCs w:val="20"/>
                <w:color w:val="auto"/>
              </w:rPr>
            </w:pPr>
            <w:r>
              <w:rPr>
                <w:rFonts w:ascii="Courier New" w:cs="Courier New" w:eastAsia="Courier New" w:hAnsi="Courier New"/>
                <w:sz w:val="15"/>
                <w:szCs w:val="15"/>
                <w:color w:val="auto"/>
              </w:rPr>
              <w:t>None</w:t>
            </w:r>
          </w:p>
        </w:tc>
      </w:tr>
    </w:tbl>
    <w:p>
      <w:pPr>
        <w:spacing w:after="0" w:line="183"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Common Stock, par value $.01</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(Title of class)</w:t>
      </w:r>
    </w:p>
    <w:p>
      <w:pPr>
        <w:spacing w:after="0" w:line="185" w:lineRule="exact"/>
        <w:rPr>
          <w:sz w:val="24"/>
          <w:szCs w:val="24"/>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spacing w:after="0"/>
        <w:tabs>
          <w:tab w:leader="none" w:pos="620" w:val="left"/>
          <w:tab w:leader="none" w:pos="1540" w:val="left"/>
          <w:tab w:leader="none" w:pos="210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|_|</w:t>
      </w:r>
    </w:p>
    <w:p>
      <w:pPr>
        <w:spacing w:after="0" w:line="362" w:lineRule="exact"/>
        <w:rPr>
          <w:sz w:val="24"/>
          <w:szCs w:val="24"/>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6" w:lineRule="exact"/>
        <w:rPr>
          <w:sz w:val="24"/>
          <w:szCs w:val="24"/>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The number of shares of the registrant's common stock outstanding on March 25, 2002 was 15,340,806.</w:t>
      </w:r>
    </w:p>
    <w:p>
      <w:pPr>
        <w:spacing w:after="0" w:line="174" w:lineRule="exact"/>
        <w:rPr>
          <w:sz w:val="24"/>
          <w:szCs w:val="24"/>
          <w:color w:val="auto"/>
        </w:rPr>
      </w:pPr>
    </w:p>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March 25, 2002, based on the closing price on the NASDAQ National Market System on that date was approximately $158,010,302.</w:t>
      </w:r>
    </w:p>
    <w:p>
      <w:pPr>
        <w:spacing w:after="0" w:line="175"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b w:val="1"/>
          <w:bCs w:val="1"/>
          <w:color w:val="auto"/>
        </w:rPr>
        <w:t>DOCUMENTS INCORPORATED BY REFERENCE</w:t>
      </w:r>
    </w:p>
    <w:p>
      <w:pPr>
        <w:spacing w:after="0" w:line="185" w:lineRule="exact"/>
        <w:rPr>
          <w:sz w:val="24"/>
          <w:szCs w:val="24"/>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Portions of the Proxy Statement with respect to the 2002 Annual Meeting of Stockholders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81280</wp:posOffset>
            </wp:positionV>
            <wp:extent cx="72891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left="3400"/>
        <w:spacing w:after="0"/>
        <w:rPr>
          <w:sz w:val="20"/>
          <w:szCs w:val="20"/>
          <w:color w:val="auto"/>
        </w:rPr>
      </w:pPr>
      <w:r>
        <w:rPr>
          <w:rFonts w:ascii="Courier New" w:cs="Courier New" w:eastAsia="Courier New" w:hAnsi="Courier New"/>
          <w:sz w:val="15"/>
          <w:szCs w:val="15"/>
          <w:b w:val="1"/>
          <w:bCs w:val="1"/>
          <w:color w:val="auto"/>
        </w:rPr>
        <w:t>Part 1</w:t>
      </w:r>
    </w:p>
    <w:p>
      <w:pPr>
        <w:spacing w:after="0" w:line="185" w:lineRule="exact"/>
        <w:rPr>
          <w:sz w:val="24"/>
          <w:szCs w:val="24"/>
          <w:color w:val="auto"/>
        </w:rPr>
      </w:pPr>
    </w:p>
    <w:p>
      <w:pPr>
        <w:spacing w:after="0"/>
        <w:tabs>
          <w:tab w:leader="none" w:pos="800" w:val="left"/>
        </w:tabs>
        <w:rPr>
          <w:sz w:val="20"/>
          <w:szCs w:val="20"/>
          <w:color w:val="auto"/>
        </w:rPr>
      </w:pPr>
      <w:r>
        <w:rPr>
          <w:rFonts w:ascii="Courier New" w:cs="Courier New" w:eastAsia="Courier New" w:hAnsi="Courier New"/>
          <w:sz w:val="15"/>
          <w:szCs w:val="15"/>
          <w:b w:val="1"/>
          <w:bCs w:val="1"/>
          <w:color w:val="auto"/>
        </w:rPr>
        <w:t>Item 1.</w:t>
        <w:tab/>
        <w:t>Business</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b w:val="1"/>
          <w:bCs w:val="1"/>
          <w:color w:val="auto"/>
        </w:rPr>
        <w:t>Overview</w:t>
      </w:r>
    </w:p>
    <w:p>
      <w:pPr>
        <w:spacing w:after="0" w:line="185" w:lineRule="exact"/>
        <w:rPr>
          <w:sz w:val="24"/>
          <w:szCs w:val="24"/>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NN, Inc. (the "Company") is an independent manufacturer and supplier of high quality, precision components to domestic and international anti-friction bearing manufacturers, other original equipment manufactures, the automotive industry, and other aftermarkets. The Company supplies high quality, precision steel balls and rollers, both directly and indirectly through its sales to bearing manufacturers, to automotive original equipment manufacturers ("OEMs") and the automotive aftermarket, to the gas and mining industries, and to producers of water, gas and oil well drilling bits and stainless steel valves and pumps. Precision steel balls and rollers are critical moving parts of anti-friction bearings, which in turn, are integral components of machines with moving parts. In addition to balls and rollers, the Company provides full-service design and manufacture of plastic injection molded components to the bearing, automotive, electronic, leisure and consumer markets with an</w:t>
      </w:r>
    </w:p>
    <w:p>
      <w:pPr>
        <w:sectPr>
          <w:pgSz w:w="11900" w:h="16909" w:orient="portrait"/>
          <w:cols w:equalWidth="0" w:num="1">
            <w:col w:w="10219"/>
          </w:cols>
          <w:pgMar w:left="240" w:top="414" w:right="1440" w:bottom="0" w:gutter="0" w:footer="0" w:header="0"/>
          <w:type w:val="continuous"/>
        </w:sectPr>
      </w:pPr>
    </w:p>
    <w:bookmarkStart w:id="1" w:name="page2"/>
    <w:bookmarkEnd w:id="1"/>
    <w:p>
      <w:pPr>
        <w:spacing w:after="0" w:line="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emphasis on value-added products that take advantage of its capabilities in product development, tool design and tight tolerance molding processes. With the acquisition of The Delta Rubber Co. ("Delta") on February 16, 2001 the Company now also provides precision bearing seals and other precision molded rubber products to the bearing, automotive, industrial, agricultural, and aerospace markets.</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 was organized in October 1980 by a group of senior managers of the ball and roller division of Hoover Precision Products, Inc. (formerly Hoover Universal, Inc.), led by Richard Ennen, the Company's former Chairman. The Company was founded in order to meet the bearings industry's need for a dependable source of high quality, precision balls and rollers. During 2001, the Company sold its products to over 500 customers located in over 24 different countries. Its primary customers include AB SKF ("SKF"), FAG Kugelfisher Georg Shafer AG ("FAG"), SNR Roulements, and the Torrington Company.</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On July 4, 1999, the Company acquired substantially all of the assets of Earsley Capital Corporation, formerly known as Industrial Molding Corporation ("IMC"). The Company currently operates the business under the name Industrial Molding Corporation.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operates two manufacturing facilities in Lubbock, Texas.</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On July 31, 2000, the Company formed a majority owned stand-alone company in Europe, NN Euroball ApS ("Euroball"), for the manufacture and sale of chrome steel balls used for ball bearings and other products. The Company owns 54% of Euroball. AB SKF and FAG Kugelfisher Georg Shafer AG, the parent companies of SKF and FAG respectively each own 23%. As part of the transaction, Euroball acquired the ball factories located in Pinerolo, Italy (previously owned by SKF), Eltmann, Germany (previously owned by FAG), and Kilkenny, Ireland (previously owned by the Company).</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On August 31, 2000, the Company acquired a 51% ownership interest in NN Mexico, LLC ("NN Mexico"), a Delaware limited liability company. NN Mexico holds a 100% ownership interest in NN Arte, a manufacturer of plastic components located in Guadalajara, Mexico.</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On February 16, 2001, the Company acquired of all of the outstanding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of The Delta Rubber Company ("Delta"), a Connecticut corporation,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$22.5 million in cash. Delta provides high quality engineered bearing seals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precision-molded rubber products to bearing and other original equipment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manufacturers. Delta operates two facilities in Danielson, Connecticut.</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On September 11, 2001, the Company announced the closing of its Walterboro, South Carolina ball manufacturing facility effective December 2001. The closing was made as part of the Company's strategy to redistribute its global production in order to better utilize capacity and serve the needs of its worldwide customers. The precision ball production of the Walterboro facility has been fully absorbed by the Company's remaining U.S. ball and roller manufacturing facilities located in Erwin and Mountain City, Tennessee. The Company recorded before tax charges associated with the closing of $1.9 million. This amount includes a $1.1 million before-tax charge for the recording of impairment on the Company's manufacturing facility located in Walterboro, South Carolina and $0.8 million related to employee severance costs. These amounts are reflected as restructuring and impairment costs in the accompanying Consolidated Statements of Income. The building along with certain machinery and equipment are held for sale as of December 31, 2001. These assets have an</w:t>
      </w:r>
    </w:p>
    <w:p>
      <w:pPr>
        <w:spacing w:after="0" w:line="36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aggregate net book value of $4.3 million. The financial results of this operation have been reflected in the Balls and Rollers Segment. See Note 10 of the Notes to Consolidated Financial Statements for additional financial information.</w:t>
      </w:r>
    </w:p>
    <w:p>
      <w:pPr>
        <w:spacing w:after="0" w:line="176" w:lineRule="exact"/>
        <w:rPr>
          <w:sz w:val="20"/>
          <w:szCs w:val="20"/>
          <w:color w:val="auto"/>
        </w:rPr>
      </w:pPr>
    </w:p>
    <w:p>
      <w:pPr>
        <w:ind w:right="2659" w:firstLine="830"/>
        <w:spacing w:after="0" w:line="251" w:lineRule="auto"/>
        <w:rPr>
          <w:sz w:val="20"/>
          <w:szCs w:val="20"/>
          <w:color w:val="auto"/>
        </w:rPr>
      </w:pPr>
      <w:r>
        <w:rPr>
          <w:rFonts w:ascii="Courier New" w:cs="Courier New" w:eastAsia="Courier New" w:hAnsi="Courier New"/>
          <w:sz w:val="15"/>
          <w:szCs w:val="15"/>
          <w:color w:val="auto"/>
        </w:rPr>
        <w:t>Effective December 21, 2001, the Company sold its minority interest in Jiangsu General Ball &amp; Roller Company, LTD, a Chinese ball and roller manufacturer located in Rugao City, Jiangsu Province, China. To effect the transaction, the Company sold its 50% ownership in NN General, LLC, which owns a 60% interest in the Jiangsu joint venture to its partner, General Bearing Corporation for cash of $0.6 million and notes of $3.3 million. The notes are due on December 21, 2006 with annual installments of $0.2 million. The notes bear interest at average LIBOR (1.88% at December 31, 2001) plus 1.5%. In 2001, the Company recorded a non-cash after-tax loss on sale of the investment in this joint venture of $144,000.</w:t>
      </w:r>
    </w:p>
    <w:p>
      <w:pPr>
        <w:spacing w:after="0" w:line="35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For managerial and financial analysis purposes, management views the Company's operations in three segments. The domestic ball and roller operations of Erwin, Tennessee and Mountain City, Tennessee ("Domestic Ball and Roller Segment"), the Euroball facilities of Kilkenny, Ireland, Eltmann, Germany and Pinerolo, Italy ("Euroball Segment") and the "Plastics Segment" which consists of IMC, Delta Rubber and NN Arte.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Products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At its ball and roller facilities in Erwin, Tennessee and Mountain City, Tennessee, the Company produces and sells high quality, precision steel balls in sizes ranging in diameter from 3/16 of an inch to 2 1/2 inches and rollers in a limited variety of sizes. At its Euroball facilities, the Company</w:t>
      </w:r>
    </w:p>
    <w:p>
      <w:pPr>
        <w:sectPr>
          <w:pgSz w:w="11900" w:h="16845" w:orient="portrait"/>
          <w:cols w:equalWidth="0" w:num="1">
            <w:col w:w="10219"/>
          </w:cols>
          <w:pgMar w:left="240" w:top="142" w:right="1440" w:bottom="0" w:gutter="0" w:footer="0" w:header="0"/>
        </w:sectPr>
      </w:pPr>
    </w:p>
    <w:bookmarkStart w:id="2" w:name="page3"/>
    <w:bookmarkEnd w:id="2"/>
    <w:p>
      <w:pPr>
        <w:ind w:right="2839"/>
        <w:spacing w:after="0" w:line="250" w:lineRule="auto"/>
        <w:rPr>
          <w:sz w:val="20"/>
          <w:szCs w:val="20"/>
          <w:color w:val="auto"/>
        </w:rPr>
      </w:pPr>
      <w:r>
        <w:rPr>
          <w:rFonts w:ascii="Courier New" w:cs="Courier New" w:eastAsia="Courier New" w:hAnsi="Courier New"/>
          <w:sz w:val="15"/>
          <w:szCs w:val="15"/>
          <w:color w:val="auto"/>
        </w:rPr>
        <w:t>produces and sells high quality steel balls in sizes ranging from 1/8 of an inch to 12 1/2 inches in diameter. The Company produces and sells balls in a variety of grades ranging from grade 3 to grade 1000 and rollers in a variety of grades ranging from grade 50 to grade 1000. The grade number for a ball or a roller indicates the degree of spherical or cylindrical precision of the ball or roller; for example, grade 3 balls are manufactured to within three millionths of an inch of roundness and grade 50 rollers are manufactured to within fifty millionths of an inch of roundness. At its Domestic Ball and Roller Segment, sales of steel balls accounted for approximately 92%, 92% and 89% of the segment's net sales in 1999, 2000 and 2001, respectively. Sales of rollers accounted for the balance of the segment's sales in these years.</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Precision Steel Balls. </w:t>
      </w:r>
      <w:r>
        <w:rPr>
          <w:rFonts w:ascii="Courier New" w:cs="Courier New" w:eastAsia="Courier New" w:hAnsi="Courier New"/>
          <w:sz w:val="15"/>
          <w:szCs w:val="15"/>
          <w:color w:val="auto"/>
        </w:rPr>
        <w:t>The Company manufactures high quality, precision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balls in three different types of steel: 52100 steel, 440C stainless steel and S2 rock bit steel. Each of the different types of steel has unique characteristics that make it suitable for particular applications.</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During 2001, approximately 98% of the balls produced by the Company's domestic ball and roller operations were made from 52100 steel ("52100 Steel"). 100% of the balls produced by the Company's Euroball joint venture were made from 52100 Steel. See also "Business--Raw Materials." The 52100 Steel balls have a high degree of hardness and provide excellent resistance to wear and deformation. The 52100 Steel balls are used primarily by manufacturers of anti-friction ball bearings where precise spherical and tolerance accuracy are required. The Company produces and sells 52100 Steel balls in eleven grades ranging from grade 1000 to grade 3 (highest precision), and in sizes ranging in diameter from 1/8 of an inch to 12 1/2 inches. The primary grades of the 52100 Steel balls are grade 16, grade 10, and grade 5 and grade 3.</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Precision Steel Rollers. </w:t>
      </w:r>
      <w:r>
        <w:rPr>
          <w:rFonts w:ascii="Courier New" w:cs="Courier New" w:eastAsia="Courier New" w:hAnsi="Courier New"/>
          <w:sz w:val="15"/>
          <w:szCs w:val="15"/>
          <w:color w:val="auto"/>
        </w:rPr>
        <w:t>The Company manufactures rollers at its Erwin,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Tennessee facility in three types of steel: 52100 Steel, 440C stainless steel and S2 rock bit steel. Rollers are the primary components of anti-friction bearings, which are subjected to heavy load conditions. The Company's roller products are used primarily for applications similar to those of its ball product lines, plus hydraulic pumps and motors.</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Bearing Seals. </w:t>
      </w:r>
      <w:r>
        <w:rPr>
          <w:rFonts w:ascii="Courier New" w:cs="Courier New" w:eastAsia="Courier New" w:hAnsi="Courier New"/>
          <w:sz w:val="15"/>
          <w:szCs w:val="15"/>
          <w:color w:val="auto"/>
        </w:rPr>
        <w:t>Delta manufactures and sells a wide range of precision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bearing seals. Delta utilizes a variety of compression, transfer and injection molding processes and adhesion technologies to create rubber to metal bonded bearing seals. The seals are used in applications for automotive, industrial, agricultural, mining and aerospace markets. In 2001, 45% of Delta's sales were to the automotive industry.</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Precision Plastic Components. </w:t>
      </w:r>
      <w:r>
        <w:rPr>
          <w:rFonts w:ascii="Courier New" w:cs="Courier New" w:eastAsia="Courier New" w:hAnsi="Courier New"/>
          <w:sz w:val="15"/>
          <w:szCs w:val="15"/>
          <w:color w:val="auto"/>
        </w:rPr>
        <w:t>IMC manufactures and sells a wide range</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of plastic molded products through its two facilities in Lubbock, Texas. IMC's products can be classified into three primary market segments - bearing retainers, automotive under the hood components and other precision components which include automotive components, electronic instrument cases and precision electronic connectors and lenses as well as a variety of other specialized parts.</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Bearing Retainers. </w:t>
      </w:r>
      <w:r>
        <w:rPr>
          <w:rFonts w:ascii="Courier New" w:cs="Courier New" w:eastAsia="Courier New" w:hAnsi="Courier New"/>
          <w:sz w:val="15"/>
          <w:szCs w:val="15"/>
          <w:color w:val="auto"/>
        </w:rPr>
        <w:t>IMC manufactures and sells high precision plastic</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retainers for ball and roller bearings used in a wide variety of applications, including industrial automotive products. During 2001, sales of bearing retainers accounted for approximately 38% of IMC's sales.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Automotive Components. </w:t>
      </w:r>
      <w:r>
        <w:rPr>
          <w:rFonts w:ascii="Courier New" w:cs="Courier New" w:eastAsia="Courier New" w:hAnsi="Courier New"/>
          <w:sz w:val="15"/>
          <w:szCs w:val="15"/>
          <w:color w:val="auto"/>
        </w:rPr>
        <w:t>IMC manufacturers and sells high precision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plastic automotive under the hood parts. These parts utilize high performance engineered polymers that draw upon IMC's ability to mold highly technical dimension parts. These components include hydraulic cylinders, clutch systems, seat belts, gears and transmission components. During 2001, sales of automotive parts accounted for approximately 33% of IMC's sales.</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Other. </w:t>
      </w:r>
      <w:r>
        <w:rPr>
          <w:rFonts w:ascii="Courier New" w:cs="Courier New" w:eastAsia="Courier New" w:hAnsi="Courier New"/>
          <w:sz w:val="15"/>
          <w:szCs w:val="15"/>
          <w:color w:val="auto"/>
        </w:rPr>
        <w:t>IMC also manufactures and sells a variety of high precision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molded parts including plastic instrument cases, precision end connectors and lenses for fiber optics as well as other specialized parts. During 2001, sales for these items accounted for 29% of IMC's sales.</w:t>
      </w:r>
    </w:p>
    <w:p>
      <w:pPr>
        <w:spacing w:after="0" w:line="176" w:lineRule="exact"/>
        <w:rPr>
          <w:sz w:val="20"/>
          <w:szCs w:val="20"/>
          <w:color w:val="auto"/>
        </w:rPr>
      </w:pPr>
    </w:p>
    <w:p>
      <w:pPr>
        <w:ind w:right="3119" w:firstLine="825"/>
        <w:spacing w:after="0" w:line="252" w:lineRule="auto"/>
        <w:tabs>
          <w:tab w:leader="none" w:pos="110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Arté manufactures and sells a variety of precision and molded components including gearing, gearing assemblies and automotive components to office automation manufacturers and the automotive industry.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Sales and Marketing</w:t>
      </w:r>
    </w:p>
    <w:p>
      <w:pPr>
        <w:spacing w:after="0" w:line="185"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The Company markets balls and rollers in the United States and abroad primarily through seven salaried sales employees. Additional internal sales employees handle customer orders and provide sales support.</w:t>
      </w:r>
    </w:p>
    <w:p>
      <w:pPr>
        <w:spacing w:after="0" w:line="175"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The Plastics Segment markets its products through commissioned sales representatives or directly through salaried marketing and sales employees. Additional internal customer service employees handle customer orders and provide sales and design support. Additionally, certain engineers and manufacturing employees provide sales and design support due to the technical nature of the products.</w:t>
      </w:r>
    </w:p>
    <w:p>
      <w:pPr>
        <w:spacing w:after="0" w:line="176"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The following table presents a breakdown of the Company's net sales for fiscal years 1999 through 2001:</w:t>
      </w:r>
    </w:p>
    <w:p>
      <w:pPr>
        <w:sectPr>
          <w:pgSz w:w="11900" w:h="16838" w:orient="portrait"/>
          <w:cols w:equalWidth="0" w:num="1">
            <w:col w:w="10219"/>
          </w:cols>
          <w:pgMar w:left="240" w:top="142" w:right="1440" w:bottom="5" w:gutter="0" w:footer="0" w:header="0"/>
        </w:sectPr>
      </w:pPr>
    </w:p>
    <w:bookmarkStart w:id="3" w:name="page4"/>
    <w:bookmarkEnd w:id="3"/>
    <w:tbl>
      <w:tblPr>
        <w:tblLayout w:type="fixed"/>
        <w:tblInd w:w="540" w:type="dxa"/>
        <w:tblCellMar>
          <w:top w:w="0" w:type="dxa"/>
          <w:left w:w="0" w:type="dxa"/>
          <w:bottom w:w="0" w:type="dxa"/>
          <w:right w:w="0" w:type="dxa"/>
        </w:tblCellMar>
      </w:tblPr>
      <w:tr>
        <w:trPr>
          <w:trHeight w:val="172"/>
        </w:trPr>
        <w:tc>
          <w:tcPr>
            <w:tcW w:w="2740" w:type="dxa"/>
            <w:vAlign w:val="bottom"/>
          </w:tcPr>
          <w:p>
            <w:pPr>
              <w:spacing w:after="0"/>
              <w:rPr>
                <w:sz w:val="20"/>
                <w:szCs w:val="20"/>
                <w:color w:val="auto"/>
              </w:rPr>
            </w:pPr>
            <w:r>
              <w:rPr>
                <w:rFonts w:ascii="Courier New" w:cs="Courier New" w:eastAsia="Courier New" w:hAnsi="Courier New"/>
                <w:sz w:val="15"/>
                <w:szCs w:val="15"/>
                <w:b w:val="1"/>
                <w:bCs w:val="1"/>
                <w:color w:val="auto"/>
              </w:rPr>
              <w:t>(In Thousands)</w:t>
            </w:r>
          </w:p>
        </w:tc>
        <w:tc>
          <w:tcPr>
            <w:tcW w:w="1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7"/>
        </w:trPr>
        <w:tc>
          <w:tcPr>
            <w:tcW w:w="2740" w:type="dxa"/>
            <w:vAlign w:val="bottom"/>
          </w:tcPr>
          <w:p>
            <w:pPr>
              <w:spacing w:after="0"/>
              <w:rPr>
                <w:sz w:val="15"/>
                <w:szCs w:val="15"/>
                <w:color w:val="auto"/>
              </w:rPr>
            </w:pPr>
          </w:p>
        </w:tc>
        <w:tc>
          <w:tcPr>
            <w:tcW w:w="1780" w:type="dxa"/>
            <w:vAlign w:val="bottom"/>
          </w:tcPr>
          <w:p>
            <w:pPr>
              <w:jc w:val="right"/>
              <w:ind w:right="563"/>
              <w:spacing w:after="0"/>
              <w:rPr>
                <w:sz w:val="20"/>
                <w:szCs w:val="20"/>
                <w:color w:val="auto"/>
              </w:rPr>
            </w:pPr>
            <w:r>
              <w:rPr>
                <w:rFonts w:ascii="Courier New" w:cs="Courier New" w:eastAsia="Courier New" w:hAnsi="Courier New"/>
                <w:sz w:val="15"/>
                <w:szCs w:val="15"/>
                <w:b w:val="1"/>
                <w:bCs w:val="1"/>
                <w:color w:val="auto"/>
              </w:rPr>
              <w:t>2001</w:t>
            </w:r>
          </w:p>
        </w:tc>
        <w:tc>
          <w:tcPr>
            <w:tcW w:w="1480" w:type="dxa"/>
            <w:vAlign w:val="bottom"/>
          </w:tcPr>
          <w:p>
            <w:pPr>
              <w:jc w:val="right"/>
              <w:ind w:right="563"/>
              <w:spacing w:after="0"/>
              <w:rPr>
                <w:sz w:val="20"/>
                <w:szCs w:val="20"/>
                <w:color w:val="auto"/>
              </w:rPr>
            </w:pPr>
            <w:r>
              <w:rPr>
                <w:rFonts w:ascii="Courier New" w:cs="Courier New" w:eastAsia="Courier New" w:hAnsi="Courier New"/>
                <w:sz w:val="15"/>
                <w:szCs w:val="15"/>
                <w:b w:val="1"/>
                <w:bCs w:val="1"/>
                <w:color w:val="auto"/>
              </w:rPr>
              <w:t>2000</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1999</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103"/>
              <w:spacing w:after="0"/>
              <w:rPr>
                <w:sz w:val="20"/>
                <w:szCs w:val="20"/>
                <w:color w:val="auto"/>
              </w:rPr>
            </w:pPr>
            <w:r>
              <w:rPr>
                <w:rFonts w:ascii="Courier New" w:cs="Courier New" w:eastAsia="Courier New" w:hAnsi="Courier New"/>
                <w:sz w:val="15"/>
                <w:szCs w:val="15"/>
                <w:b w:val="1"/>
                <w:bCs w:val="1"/>
                <w:color w:val="auto"/>
              </w:rPr>
              <w:t>------------</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b w:val="1"/>
                <w:bCs w:val="1"/>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2740" w:type="dxa"/>
            <w:vAlign w:val="bottom"/>
          </w:tcPr>
          <w:p>
            <w:pPr>
              <w:spacing w:after="0"/>
              <w:rPr>
                <w:sz w:val="20"/>
                <w:szCs w:val="20"/>
                <w:color w:val="auto"/>
              </w:rPr>
            </w:pPr>
            <w:r>
              <w:rPr>
                <w:rFonts w:ascii="Courier New" w:cs="Courier New" w:eastAsia="Courier New" w:hAnsi="Courier New"/>
                <w:sz w:val="15"/>
                <w:szCs w:val="15"/>
                <w:color w:val="auto"/>
              </w:rPr>
              <w:t>Domestic Ball and Roller</w:t>
            </w:r>
          </w:p>
        </w:tc>
        <w:tc>
          <w:tcPr>
            <w:tcW w:w="1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2740" w:type="dxa"/>
            <w:vAlign w:val="bottom"/>
          </w:tcPr>
          <w:p>
            <w:pPr>
              <w:ind w:left="460"/>
              <w:spacing w:after="0"/>
              <w:rPr>
                <w:sz w:val="20"/>
                <w:szCs w:val="20"/>
                <w:color w:val="auto"/>
              </w:rPr>
            </w:pPr>
            <w:r>
              <w:rPr>
                <w:rFonts w:ascii="Courier New" w:cs="Courier New" w:eastAsia="Courier New" w:hAnsi="Courier New"/>
                <w:sz w:val="15"/>
                <w:szCs w:val="15"/>
                <w:color w:val="auto"/>
              </w:rPr>
              <w:t>Segment</w:t>
            </w: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$52,692</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$67,637</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$67,736</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29.3%</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51.2%</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79.4%</w:t>
            </w:r>
          </w:p>
        </w:tc>
      </w:tr>
      <w:tr>
        <w:trPr>
          <w:trHeight w:val="355"/>
        </w:trPr>
        <w:tc>
          <w:tcPr>
            <w:tcW w:w="2740" w:type="dxa"/>
            <w:vAlign w:val="bottom"/>
          </w:tcPr>
          <w:p>
            <w:pPr>
              <w:spacing w:after="0"/>
              <w:rPr>
                <w:sz w:val="20"/>
                <w:szCs w:val="20"/>
                <w:color w:val="auto"/>
              </w:rPr>
            </w:pPr>
            <w:r>
              <w:rPr>
                <w:rFonts w:ascii="Courier New" w:cs="Courier New" w:eastAsia="Courier New" w:hAnsi="Courier New"/>
                <w:sz w:val="15"/>
                <w:szCs w:val="15"/>
                <w:color w:val="auto"/>
              </w:rPr>
              <w:t>Euroball Segment</w:t>
            </w: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86,719</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33,988</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48.1%</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25.7%</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740" w:type="dxa"/>
            <w:vAlign w:val="bottom"/>
          </w:tcPr>
          <w:p>
            <w:pPr>
              <w:spacing w:after="0"/>
              <w:rPr>
                <w:sz w:val="20"/>
                <w:szCs w:val="20"/>
                <w:color w:val="auto"/>
              </w:rPr>
            </w:pPr>
            <w:r>
              <w:rPr>
                <w:rFonts w:ascii="Courier New" w:cs="Courier New" w:eastAsia="Courier New" w:hAnsi="Courier New"/>
                <w:sz w:val="15"/>
                <w:szCs w:val="15"/>
                <w:color w:val="auto"/>
              </w:rPr>
              <w:t>Plastics Segment</w:t>
            </w: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40,740</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30,504</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17,558</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22.6%</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23.1%</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20.6%</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27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$ 180,151</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$ 132,129</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$85,294</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w:t>
            </w:r>
          </w:p>
        </w:tc>
      </w:tr>
      <w:tr>
        <w:trPr>
          <w:trHeight w:val="177"/>
        </w:trPr>
        <w:tc>
          <w:tcPr>
            <w:tcW w:w="2740" w:type="dxa"/>
            <w:vAlign w:val="bottom"/>
          </w:tcPr>
          <w:p>
            <w:pPr>
              <w:spacing w:after="0"/>
              <w:rPr>
                <w:sz w:val="15"/>
                <w:szCs w:val="15"/>
                <w:color w:val="auto"/>
              </w:rPr>
            </w:pPr>
          </w:p>
        </w:tc>
        <w:tc>
          <w:tcPr>
            <w:tcW w:w="17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Company's marketing strategy relative to the Domestic Ball and Roller Segment is to increase its share of the domestic and international market for bearing components by offering a wide variety of high quality, precision balls and rollers to existing and prospective customers on a timely basis and in a cost-effective manner. In marketing its products, the Company has focused its efforts on bearing manufacturers with their own ball and/or roller manufacturing capabilities. The Company's sales staff traditionally emphasizes the potential quality advantages and cost savings associated with the outsourcing of such bearing manufacturers' needs by purchasing precision components from the Company instead of manufacturing such components internally.</w:t>
      </w:r>
    </w:p>
    <w:p>
      <w:pPr>
        <w:spacing w:after="0" w:line="182"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Plastics Segment's marketing strategy is to increase its share of the market by offering custom manufactured, high quality, precision parts in a cost-effective manner. This strategy focuses on relationships with key customers that require technically difficult parts, which enable the Plastics Segment to take advantage of its strengths in product development, tool design and tight tolerance molding processes. The Plastics Segment has historically focused on the North American market. However, management believes certain synergies exist between its various segments that will allow the Company to further penetrate the North American market as well as broaden its European and Asian presence by working with the Company's global customer base.</w:t>
      </w:r>
    </w:p>
    <w:p>
      <w:pPr>
        <w:spacing w:after="0" w:line="182"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The Company's arrangements with its domestic customers typically provide that payments are due within 30 days following the date of shipment of goods. With respect to foreign customers (other than foreign customers that participate in the Company's inventory management program), payments generally are due within 90 to 120 days following the date of shipment in order to allow for additional freight time and customs clearance. For customers that participate in the Company's inventory management program, sales are recorded when the customer uses the product, and payments typically</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299"/>
        <w:spacing w:after="0" w:line="252" w:lineRule="auto"/>
        <w:rPr>
          <w:sz w:val="20"/>
          <w:szCs w:val="20"/>
          <w:color w:val="auto"/>
        </w:rPr>
      </w:pPr>
      <w:r>
        <w:rPr>
          <w:rFonts w:ascii="Courier New" w:cs="Courier New" w:eastAsia="Courier New" w:hAnsi="Courier New"/>
          <w:sz w:val="15"/>
          <w:szCs w:val="15"/>
          <w:color w:val="auto"/>
        </w:rPr>
        <w:t>are due 30 days thereafter. See "Business -- Customers" and "Management's Discussion and Analysis of Financial Condition and Results of Operations -- Liquidity and Capital Resources."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Customers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During 2001, the Company's ten largest customers accounted for approximately 73% of its consolidated net sales. Sales to various U.S. and foreign divisions of SKF, which is one of the largest bearing manufacturers in the world, accounted for approximately 35% of net sales in 2001 and sales to FAG accounted for approximately 19% of net sales in 2001. None of the Company's other customers accounted for more than 5% of its net sales in 2001.</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During 2001, the Domestic Ball and Roller Segment sold its products to more than 500 customers located in more than 20 different countries. Approximately 50% of ball and roller net sales in 2001 were to customers outside the United States. Sales to the Domestic Ball &amp; Roller Segment's top ten customers accounted for approximately 74% of the segments' net sales in 2001. Sales to SKF and FAG accounted for approximately 35% and 14% of the segment's net sales in 2001 respectively. Sales to SKF and FAG are made pursuant to the terms of the sales agreements which expire in 2006.</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During 2001, the Euroball Segment sold its products to more than 40 customers located in 28 different countries. Approximately 87% of its net sales in 2001 were to customers within Europe. Sales to the segment's top ten customers accounted for approximately 94% of the segment's net sales in 2001. Sales to SKF and FAG accounted for approximately 49% and 27% of the segment's net sales in 2001, respectively. Sales to SKF and FAG are made pursuant to the terms of sales agreements which expire in 2006.</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During 2001, the Plastics Segment sold its products to more than 100 customers located in more than 10 different countries. Approximately 8% of plastic net sales were to customers outside the United States. Sales to the segment's top ten customers accounted for approximately 74% of the segments' net sales in 2001. See Note 4 of the Notes to Consolidated Financial statements for additional financial information.</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See Note 10 of the Notes to Financial Statements and "Management's</w:t>
      </w:r>
    </w:p>
    <w:p>
      <w:pPr>
        <w:sectPr>
          <w:pgSz w:w="11900" w:h="16838" w:orient="portrait"/>
          <w:cols w:equalWidth="0" w:num="1">
            <w:col w:w="10219"/>
          </w:cols>
          <w:pgMar w:left="240" w:top="142" w:right="1440" w:bottom="0" w:gutter="0" w:footer="0" w:header="0"/>
        </w:sectPr>
      </w:pPr>
    </w:p>
    <w:bookmarkStart w:id="4" w:name="page5"/>
    <w:bookmarkEnd w:id="4"/>
    <w:p>
      <w:pPr>
        <w:ind w:right="2839"/>
        <w:spacing w:after="0" w:line="251" w:lineRule="auto"/>
        <w:rPr>
          <w:sz w:val="20"/>
          <w:szCs w:val="20"/>
          <w:color w:val="auto"/>
        </w:rPr>
      </w:pPr>
      <w:r>
        <w:rPr>
          <w:rFonts w:ascii="Courier New" w:cs="Courier New" w:eastAsia="Courier New" w:hAnsi="Courier New"/>
          <w:sz w:val="15"/>
          <w:szCs w:val="15"/>
          <w:color w:val="auto"/>
        </w:rPr>
        <w:t>Discussion and Analysis of Financial Condition and Results of Operations -- Results of Operations" for additional segment financial information. In both the foreign and domestic markets, the Company principally sells its products directly to manufacturers and not to distributors.</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Company ordinarily ships its products directly to customers within 60 days, and in some cases, during the same calendar month, of the date on which a sales order is placed. Accordingly, the Company generally has an insignificant amount of open (backlog) orders from customers at month end. Certain of the Company's customers have entered into contracts with the Company pursuant to which they have agreed to purchase all of their requirements of specified balls and rollers and plastic molded products from the Company, but under which they are not obligated to purchase any specific amounts. While firm orders generally are received only monthly, the Company normally is aware of reasonably anticipated future orders well in advance of the placement of a firm order. Certain agreements are in effect with some of the Company's largest customers, which provide for targeted, annual cost adjustments that may be offset by material cost fluctuations. The Company has installed a computerized, bar coded inventory management system with most of its major ball and roller customers pursuant to which the Company, through a direct computer link, automatically monitors the customer's ball and roller inventories. This system permits the Company to determine on a day-to-day basis the amount of balls and/or rollers remaining in a customer's inventory. When such inventories fall below certain levels, the Company automatically ships additional goods. The Company follows industry practice in handling its inventory, which is a first in, first out policy.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Employees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As of December 31, 2001, the Company had 1,316 full-time employees of whom 1,173 were engaged in production/maintenance. Of these 1,316 employees, 235 were employed at the Domestic Ball and Roller Segment facilities, 677 at the Euroball Segment, 399 at the Plastics Segment and 5 are considered Corporate. The Company believes that relations with its employees are good.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Competition</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precision ball and roller industry is intensely competitive, and many of the Company's competitors have greater financial resources than the Company. The Company's primary domestic competitor is Hoover Precision Products, Inc., a division of Tsubakimoto Precision Products Co. Ltd. The Company's primary foreign competitors are Amatsuji Steel Ball Manufacturing Company, Ltd. and Tsubakimoto Precision Products Co. Ltd.</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The Company believes that competition within the precision ball and roller market is based principally on quality, price and the ability to consistently meet customer delivery requirements. Management believes that the Company's competitive strengths are its precision manufacturing capabilities, its reputation for consistent quality and reliability, and the productivity of its workforce.</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markets for IMC's and NN Arte's products are intensely competitive. Since the industry is currently very fragmented, IMC and NN Arte must compete with numerous companies in each of their marketing segments. Many of these companies have substantially greater financial resources than the Company and many currently offer competing products nationally and internationally. IMC's primary competitor in the bearing retainer segment is Nakanishi Manufacturing Corporation. Domestically, Nypro, Inc. and Key Plastics are the main competitors in the automotive segment. NN Arte primarily competes with various suppliers in Mexico.</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 believes that competition within the plastic injection molding industry is based principally on quality, price, design capabilities and speed of responsiveness and delivery. Management believes that IMC's competitive strengths are product development, tool design and fabrication and tight tolerance molding processes, as well as its reputation in the marketplace as a quality producer of technically difficult products.</w:t>
      </w:r>
    </w:p>
    <w:p>
      <w:pPr>
        <w:spacing w:after="0" w:line="176"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The markets for Delta's products are also intensely competitive. The bearing seal market is comprised of approximately six major competitors that range from small privately held companies to Fortune 500 global enterprises. Bearing seal manufacturers compete on the design, service, quality and price. Delta's primary competitors in the United States bearing seal market are Freindenburg-NOK, Chicago Rawhide Industries and Trostel, LTD.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Raw Materials</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The primary raw material used by the Company in its Domestic Ball and Roller Segment and Euroball Segment is 52100 Steel. During 2001, approximately 98% and 100% of the steel used by these two segments, respectively, was 52100 Steel. The Company's other steel requirements include type 440C stainless steel and type S2 rock bit steel. The Domestic Ball and Roller Segment purchases substantially all of its 52100 Steel requirements from foreign mills because of the lack of domestic producers of such steel at the quality level required by the Company. The Euroball Segment purchases all of its 52100 Steel requirements from European mills. The other steel requirements of the Company also are purchased principally from foreign steel manufacturers.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 allocates its steel purchases among suppliers on the basis</w:t>
      </w:r>
    </w:p>
    <w:p>
      <w:pPr>
        <w:sectPr>
          <w:pgSz w:w="11900" w:h="16838" w:orient="portrait"/>
          <w:cols w:equalWidth="0" w:num="1">
            <w:col w:w="10219"/>
          </w:cols>
          <w:pgMar w:left="240" w:top="142" w:right="1440" w:bottom="0" w:gutter="0" w:footer="0" w:header="0"/>
        </w:sectPr>
      </w:pPr>
    </w:p>
    <w:bookmarkStart w:id="5" w:name="page6"/>
    <w:bookmarkEnd w:id="5"/>
    <w:p>
      <w:pPr>
        <w:ind w:right="3019"/>
        <w:spacing w:after="0" w:line="251" w:lineRule="auto"/>
        <w:rPr>
          <w:sz w:val="20"/>
          <w:szCs w:val="20"/>
          <w:color w:val="auto"/>
        </w:rPr>
      </w:pPr>
      <w:r>
        <w:rPr>
          <w:rFonts w:ascii="Courier New" w:cs="Courier New" w:eastAsia="Courier New" w:hAnsi="Courier New"/>
          <w:sz w:val="15"/>
          <w:szCs w:val="15"/>
          <w:color w:val="auto"/>
        </w:rPr>
        <w:t>of price and quality. Generally, the Domestic Ball &amp; Roller Segment does not enter into written supply agreements among its suppliers or commit itself to maintain minimum monthly purchases of steel, except for the consignment arrangements among Ascometal and Euroball (see Note 14). The Company's pricing arrangements with its suppliers typically are subject to adjustment once every six months.</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Because 52100 Steel is principally produced by foreign manufacturers, the Company's operating results would be negatively affected in the event that the U.S. or European governments imposes any significant quotas, tariffs or other duties or restrictions on the import of such steel or if the United States dollar decreases in value relative to foreign currencies. On March 6, 2002, the U.S. government adopted legislation that imposed certain tariffs on the import of certain foreign produced steel into the United States. The Company continues to evaluate the impacts of this legislation, but believes at this time, any impact to the Company's operations or financial conditions will be immaterial.</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primary raw materials used by IMC and NN Arte are engineered resins. Injection grade nylon is utilized in bearing retainers, gears, automotive and other industrial products. The Company purchases substantially all of its resin requirements from domestic manufacturers and suppliers. The majority of these suppliers are international companies with resin manufacturing facilities located throughout the world.</w:t>
      </w:r>
    </w:p>
    <w:p>
      <w:pPr>
        <w:spacing w:after="0" w:line="176"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Delta uses certified vendors to provide a customer mix of proprietary rubber compounds. Delta also procures metal stampings from several domestic suppliers.</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Company bases purchase decisions on price, quality and service. Generally, the Company does not enter into written supply contracts with its suppliers or commit itself to maintain minimum monthly purchases of resins. The pricing arrangements with its suppliers typically can be adjusted at anytime.</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Patents, Trademarks and Licenses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 does not own any U.S. or foreign patents, trademarks or licenses that are material to its business. The Company does rely on certain data and processes, including trade secrets and know-how, and the success of its business depends, to some extent, on such information remaining confidential. Each executive officer of the Company is subject to a non-competition and confidentiality agreement that seeks to protect this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Seasonal Nature of Business</w:t>
      </w:r>
    </w:p>
    <w:p>
      <w:pPr>
        <w:spacing w:after="0" w:line="185"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Historically, due to a substantial portion of sales to foreign customers, seasonality has been a factor for the Company in that some foreign customers typically cease their production activities during the month of August.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Environmental Compliance</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Company's operations and products are subject to extensive federal, state and local regulatory requirements both domestically and abroad relating to pollution control and protection of the environment. The Company maintains a compliance program to assist in preventing and, if necessary, correcting environmental problems. Based on information compiled to date, management believes that the Company's current operations are in substantial compliance with applicable environmental laws and regulations, the violation of which would have a material adverse effect on the Company. There can be no assurance, however, that currently unknown matters, new laws and regulations, or stricter interpretations of existing laws and regulations will not materially affect the Company's business or operations in the future. More specifically, although management believes that the Company disposes of its wastes in material compliance with applicable environmental laws and regulations, there can be no assurance that the Company will not incur significant liabilities in the future in connection with the clean-up of waste disposal sites.</w:t>
      </w:r>
    </w:p>
    <w:p>
      <w:pPr>
        <w:spacing w:after="0" w:line="184"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In the past, the Company has incurred certain expenses in complying with applicable environmental laws associated with the removal of four underground storage tanks containing kerosene and waste oil, the remediation of soil and groundwater contamination resulting from a leak in one of the tanks, and the closing of a sludge disposal area at one of its ball and roller facilities. The remediation project is now complete, but the Company has certain ongoing monitoring responsibilities. The amounts expended by the Company in connection with this remediation project have not been material, and based upon information currently available to the Company, management does not believe that the future costs associated with the project will have a material adverse effect on the Company's results of operations or financial condition.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Executive Officers of the Registrant</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The executive officers of the Company consist of the following persons:</w:t>
      </w:r>
    </w:p>
    <w:p>
      <w:pPr>
        <w:sectPr>
          <w:pgSz w:w="11900" w:h="16838" w:orient="portrait"/>
          <w:cols w:equalWidth="0" w:num="1">
            <w:col w:w="10219"/>
          </w:cols>
          <w:pgMar w:left="240" w:top="142" w:right="1440" w:bottom="0" w:gutter="0" w:footer="0" w:header="0"/>
        </w:sectPr>
      </w:pP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3">
            <w:col w:w="2500" w:space="720"/>
            <w:col w:w="1320" w:space="720"/>
            <w:col w:w="4959"/>
          </w:cols>
          <w:pgMar w:left="240" w:top="142" w:right="1440" w:bottom="0" w:gutter="0" w:footer="0" w:header="0"/>
          <w:type w:val="continuous"/>
        </w:sectPr>
      </w:pPr>
    </w:p>
    <w:p>
      <w:pPr>
        <w:jc w:val="center"/>
        <w:ind w:left="620"/>
        <w:spacing w:after="0"/>
        <w:rPr>
          <w:sz w:val="20"/>
          <w:szCs w:val="20"/>
          <w:color w:val="auto"/>
        </w:rPr>
      </w:pPr>
      <w:r>
        <w:rPr>
          <w:rFonts w:ascii="Courier New" w:cs="Courier New" w:eastAsia="Courier New" w:hAnsi="Courier New"/>
          <w:sz w:val="15"/>
          <w:szCs w:val="15"/>
          <w:color w:val="auto"/>
        </w:rPr>
        <w:t>Roderick R. Baty</w:t>
      </w:r>
    </w:p>
    <w:p>
      <w:pPr>
        <w:spacing w:after="0" w:line="20" w:lineRule="exact"/>
        <w:rPr>
          <w:sz w:val="20"/>
          <w:szCs w:val="20"/>
          <w:color w:val="auto"/>
        </w:rPr>
      </w:pPr>
      <w:r>
        <w:rPr>
          <w:sz w:val="20"/>
          <w:szCs w:val="20"/>
          <w:color w:val="auto"/>
        </w:rPr>
        <w:br w:type="column"/>
      </w:r>
    </w:p>
    <w:p>
      <w:pPr>
        <w:spacing w:after="0"/>
        <w:tabs>
          <w:tab w:leader="none" w:pos="72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Chairman of the Board, Chief Executive</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Officer, President and Director</w:t>
      </w:r>
    </w:p>
    <w:p>
      <w:pPr>
        <w:sectPr>
          <w:pgSz w:w="11900" w:h="16838" w:orient="portrait"/>
          <w:cols w:equalWidth="0" w:num="2">
            <w:col w:w="2500" w:space="720"/>
            <w:col w:w="6999"/>
          </w:cols>
          <w:pgMar w:left="240" w:top="142" w:right="1440"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3000" w:type="dxa"/>
            <w:vAlign w:val="bottom"/>
          </w:tcPr>
          <w:p>
            <w:pPr>
              <w:ind w:left="820"/>
              <w:spacing w:after="0"/>
              <w:rPr>
                <w:sz w:val="20"/>
                <w:szCs w:val="20"/>
                <w:color w:val="auto"/>
              </w:rPr>
            </w:pPr>
            <w:r>
              <w:rPr>
                <w:rFonts w:ascii="Courier New" w:cs="Courier New" w:eastAsia="Courier New" w:hAnsi="Courier New"/>
                <w:sz w:val="15"/>
                <w:szCs w:val="15"/>
                <w:color w:val="auto"/>
              </w:rPr>
              <w:t>Frank T. Gentry, III</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w:t>
            </w:r>
          </w:p>
        </w:tc>
        <w:tc>
          <w:tcPr>
            <w:tcW w:w="7940" w:type="dxa"/>
            <w:vAlign w:val="bottom"/>
          </w:tcPr>
          <w:p>
            <w:pPr>
              <w:ind w:left="460"/>
              <w:spacing w:after="0"/>
              <w:rPr>
                <w:sz w:val="20"/>
                <w:szCs w:val="20"/>
                <w:color w:val="auto"/>
              </w:rPr>
            </w:pPr>
            <w:r>
              <w:rPr>
                <w:rFonts w:ascii="Courier New" w:cs="Courier New" w:eastAsia="Courier New" w:hAnsi="Courier New"/>
                <w:sz w:val="15"/>
                <w:szCs w:val="15"/>
                <w:color w:val="auto"/>
              </w:rPr>
              <w:t>Vice President - Manufacturing</w:t>
            </w:r>
          </w:p>
        </w:tc>
      </w:tr>
      <w:tr>
        <w:trPr>
          <w:trHeight w:val="355"/>
        </w:trPr>
        <w:tc>
          <w:tcPr>
            <w:tcW w:w="3000" w:type="dxa"/>
            <w:vAlign w:val="bottom"/>
          </w:tcPr>
          <w:p>
            <w:pPr>
              <w:ind w:left="820"/>
              <w:spacing w:after="0"/>
              <w:rPr>
                <w:sz w:val="20"/>
                <w:szCs w:val="20"/>
                <w:color w:val="auto"/>
              </w:rPr>
            </w:pPr>
            <w:r>
              <w:rPr>
                <w:rFonts w:ascii="Courier New" w:cs="Courier New" w:eastAsia="Courier New" w:hAnsi="Courier New"/>
                <w:sz w:val="15"/>
                <w:szCs w:val="15"/>
                <w:color w:val="auto"/>
              </w:rPr>
              <w:t>Robert R. Sams</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w:t>
            </w:r>
          </w:p>
        </w:tc>
        <w:tc>
          <w:tcPr>
            <w:tcW w:w="7940" w:type="dxa"/>
            <w:vAlign w:val="bottom"/>
          </w:tcPr>
          <w:p>
            <w:pPr>
              <w:ind w:left="460"/>
              <w:spacing w:after="0"/>
              <w:rPr>
                <w:sz w:val="20"/>
                <w:szCs w:val="20"/>
                <w:color w:val="auto"/>
              </w:rPr>
            </w:pPr>
            <w:r>
              <w:rPr>
                <w:rFonts w:ascii="Courier New" w:cs="Courier New" w:eastAsia="Courier New" w:hAnsi="Courier New"/>
                <w:sz w:val="15"/>
                <w:szCs w:val="15"/>
                <w:color w:val="auto"/>
              </w:rPr>
              <w:t>Vice President - Market Services</w:t>
            </w:r>
          </w:p>
        </w:tc>
      </w:tr>
      <w:tr>
        <w:trPr>
          <w:trHeight w:val="355"/>
        </w:trPr>
        <w:tc>
          <w:tcPr>
            <w:tcW w:w="3000" w:type="dxa"/>
            <w:vAlign w:val="bottom"/>
          </w:tcPr>
          <w:p>
            <w:pPr>
              <w:ind w:left="820"/>
              <w:spacing w:after="0"/>
              <w:rPr>
                <w:sz w:val="20"/>
                <w:szCs w:val="20"/>
                <w:color w:val="auto"/>
              </w:rPr>
            </w:pPr>
            <w:r>
              <w:rPr>
                <w:rFonts w:ascii="Courier New" w:cs="Courier New" w:eastAsia="Courier New" w:hAnsi="Courier New"/>
                <w:sz w:val="15"/>
                <w:szCs w:val="15"/>
                <w:color w:val="auto"/>
              </w:rPr>
              <w:t>David L. Dyckman</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w:t>
            </w:r>
          </w:p>
        </w:tc>
        <w:tc>
          <w:tcPr>
            <w:tcW w:w="7940" w:type="dxa"/>
            <w:vAlign w:val="bottom"/>
          </w:tcPr>
          <w:p>
            <w:pPr>
              <w:ind w:left="460"/>
              <w:spacing w:after="0"/>
              <w:rPr>
                <w:sz w:val="20"/>
                <w:szCs w:val="20"/>
                <w:color w:val="auto"/>
              </w:rPr>
            </w:pPr>
            <w:r>
              <w:rPr>
                <w:rFonts w:ascii="Courier New" w:cs="Courier New" w:eastAsia="Courier New" w:hAnsi="Courier New"/>
                <w:sz w:val="15"/>
                <w:szCs w:val="15"/>
                <w:color w:val="auto"/>
              </w:rPr>
              <w:t>Vice President - Corporate Development</w:t>
            </w:r>
          </w:p>
        </w:tc>
      </w:tr>
      <w:tr>
        <w:trPr>
          <w:trHeight w:val="177"/>
        </w:trPr>
        <w:tc>
          <w:tcPr>
            <w:tcW w:w="3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940" w:type="dxa"/>
            <w:vAlign w:val="bottom"/>
          </w:tcPr>
          <w:p>
            <w:pPr>
              <w:ind w:left="460"/>
              <w:spacing w:after="0"/>
              <w:rPr>
                <w:sz w:val="20"/>
                <w:szCs w:val="20"/>
                <w:color w:val="auto"/>
              </w:rPr>
            </w:pPr>
            <w:r>
              <w:rPr>
                <w:rFonts w:ascii="Courier New" w:cs="Courier New" w:eastAsia="Courier New" w:hAnsi="Courier New"/>
                <w:sz w:val="15"/>
                <w:szCs w:val="15"/>
                <w:color w:val="auto"/>
              </w:rPr>
              <w:t>and Chief Financial Officer</w:t>
            </w:r>
          </w:p>
        </w:tc>
      </w:tr>
      <w:tr>
        <w:trPr>
          <w:trHeight w:val="355"/>
        </w:trPr>
        <w:tc>
          <w:tcPr>
            <w:tcW w:w="3000" w:type="dxa"/>
            <w:vAlign w:val="bottom"/>
          </w:tcPr>
          <w:p>
            <w:pPr>
              <w:ind w:left="820"/>
              <w:spacing w:after="0"/>
              <w:rPr>
                <w:sz w:val="20"/>
                <w:szCs w:val="20"/>
                <w:color w:val="auto"/>
              </w:rPr>
            </w:pPr>
            <w:r>
              <w:rPr>
                <w:rFonts w:ascii="Courier New" w:cs="Courier New" w:eastAsia="Courier New" w:hAnsi="Courier New"/>
                <w:sz w:val="15"/>
                <w:szCs w:val="15"/>
                <w:color w:val="auto"/>
              </w:rPr>
              <w:t>William C. Kelly, Jr.</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w:t>
            </w:r>
          </w:p>
        </w:tc>
        <w:tc>
          <w:tcPr>
            <w:tcW w:w="7940" w:type="dxa"/>
            <w:vAlign w:val="bottom"/>
          </w:tcPr>
          <w:p>
            <w:pPr>
              <w:ind w:left="460"/>
              <w:spacing w:after="0"/>
              <w:rPr>
                <w:sz w:val="20"/>
                <w:szCs w:val="20"/>
                <w:color w:val="auto"/>
              </w:rPr>
            </w:pPr>
            <w:r>
              <w:rPr>
                <w:rFonts w:ascii="Courier New" w:cs="Courier New" w:eastAsia="Courier New" w:hAnsi="Courier New"/>
                <w:sz w:val="15"/>
                <w:szCs w:val="15"/>
                <w:color w:val="auto"/>
              </w:rPr>
              <w:t>Treasurer, Secretary and Chief Accounting</w:t>
            </w:r>
          </w:p>
        </w:tc>
      </w:tr>
      <w:tr>
        <w:trPr>
          <w:trHeight w:val="177"/>
        </w:trPr>
        <w:tc>
          <w:tcPr>
            <w:tcW w:w="3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940" w:type="dxa"/>
            <w:vAlign w:val="bottom"/>
          </w:tcPr>
          <w:p>
            <w:pPr>
              <w:ind w:left="460"/>
              <w:spacing w:after="0"/>
              <w:rPr>
                <w:sz w:val="20"/>
                <w:szCs w:val="20"/>
                <w:color w:val="auto"/>
              </w:rPr>
            </w:pPr>
            <w:r>
              <w:rPr>
                <w:rFonts w:ascii="Courier New" w:cs="Courier New" w:eastAsia="Courier New" w:hAnsi="Courier New"/>
                <w:sz w:val="15"/>
                <w:szCs w:val="15"/>
                <w:color w:val="auto"/>
              </w:rPr>
              <w:t>Officer</w:t>
            </w:r>
          </w:p>
        </w:tc>
      </w:tr>
      <w:tr>
        <w:trPr>
          <w:trHeight w:val="710"/>
        </w:trPr>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940" w:type="dxa"/>
            <w:vAlign w:val="bottom"/>
          </w:tcPr>
          <w:p>
            <w:pPr>
              <w:ind w:left="100"/>
              <w:spacing w:after="0"/>
              <w:rPr>
                <w:sz w:val="20"/>
                <w:szCs w:val="20"/>
                <w:color w:val="auto"/>
              </w:rPr>
            </w:pPr>
            <w:r>
              <w:rPr>
                <w:rFonts w:ascii="Courier New" w:cs="Courier New" w:eastAsia="Courier New" w:hAnsi="Courier New"/>
                <w:sz w:val="15"/>
                <w:szCs w:val="15"/>
                <w:color w:val="auto"/>
              </w:rPr>
              <w:t>7</w:t>
            </w:r>
          </w:p>
        </w:tc>
      </w:tr>
      <w:tr>
        <w:trPr>
          <w:trHeight w:val="161"/>
        </w:trPr>
        <w:tc>
          <w:tcPr>
            <w:tcW w:w="30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794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right="4060"/>
        <w:spacing w:after="0" w:line="253" w:lineRule="auto"/>
        <w:rPr>
          <w:sz w:val="20"/>
          <w:szCs w:val="20"/>
          <w:color w:val="auto"/>
        </w:rPr>
      </w:pPr>
      <w:r>
        <w:rPr>
          <w:rFonts w:ascii="Courier New" w:cs="Courier New" w:eastAsia="Courier New" w:hAnsi="Courier New"/>
          <w:sz w:val="15"/>
          <w:szCs w:val="15"/>
          <w:i w:val="1"/>
          <w:iCs w:val="1"/>
          <w:color w:val="auto"/>
        </w:rPr>
        <w:t xml:space="preserve">Biographical Information. </w:t>
      </w:r>
      <w:r>
        <w:rPr>
          <w:rFonts w:ascii="Courier New" w:cs="Courier New" w:eastAsia="Courier New" w:hAnsi="Courier New"/>
          <w:sz w:val="15"/>
          <w:szCs w:val="15"/>
          <w:color w:val="auto"/>
        </w:rPr>
        <w:t>Set forth below is certain additional information with</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respect to each executive officer of the Company.</w:t>
      </w:r>
    </w:p>
    <w:p>
      <w:pPr>
        <w:spacing w:after="0" w:line="174"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Roderick R. Baty was elected Chairman of the Board in September 2001 and continues to serve as Chief Executive Officer and President. He has served as President and Chief Executive Officer since July 1997. He joined the Company in July 1995 as Vice President and Chief Financial Officer and was elected to the Board of Directors in 1995. Prior to joining the Company, Mr. Baty served as President and Chief Operating Officer of Hoover Precision Products from 1990 until January 1995, and as Vice President and General Manager of Hoover Precision Products from 1985 to 1990.</w:t>
      </w:r>
    </w:p>
    <w:p>
      <w:pPr>
        <w:spacing w:after="0" w:line="175" w:lineRule="exact"/>
        <w:rPr>
          <w:sz w:val="20"/>
          <w:szCs w:val="20"/>
          <w:color w:val="auto"/>
        </w:rPr>
      </w:pPr>
    </w:p>
    <w:p>
      <w:pPr>
        <w:ind w:right="4160" w:firstLine="830"/>
        <w:spacing w:after="0" w:line="251" w:lineRule="auto"/>
        <w:rPr>
          <w:sz w:val="20"/>
          <w:szCs w:val="20"/>
          <w:color w:val="auto"/>
        </w:rPr>
      </w:pPr>
      <w:r>
        <w:rPr>
          <w:rFonts w:ascii="Courier New" w:cs="Courier New" w:eastAsia="Courier New" w:hAnsi="Courier New"/>
          <w:sz w:val="15"/>
          <w:szCs w:val="15"/>
          <w:color w:val="auto"/>
        </w:rPr>
        <w:t>Frank T. Gentry, III, was originally appointed Vice President - Manufacturing in August 1995. Mr. Gentry is responsible for the global operations of the Ball and Roller and Euroball Segments. Mr. Gentry's responsibilities include purchasing, inventory control and transportation. Mr. Gentry joined the Company in 1981 and held various production control positions within the Company from 1981 to August 1995.</w:t>
      </w:r>
    </w:p>
    <w:p>
      <w:pPr>
        <w:spacing w:after="0" w:line="176"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Robert R. Sams joined the Company in 1996 as Plant Manager of the Mountain City, Tennessee facility. In 1997, Mr. Sams served as Managing Director of the Kilkenny facility and in 1999 was elected to the position of Vice President - Market Services. Prior to joining the Company, Mr. Sams held various positions with Hoover Precision Products from 1980 to 1994 and most recently as Vice President of Production for Blum, Inc. from 1994 to 1996.</w:t>
      </w:r>
    </w:p>
    <w:p>
      <w:pPr>
        <w:spacing w:after="0" w:line="176"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David L. Dyckman was appointed Vice President of Corporate Development and Chief Financial Officer in April 1998. Prior to joining the Company, Mr. Dyckman served from January 1997 until April 1998 as Vice President--Marketing and International Sales for the Veeder-Root Division of the Danaher Corporation. From 1987 until 1997, Mr. Dyckman held various positions with Emerson Electric Company including General Manager and Vice President of the Gearing Division of Emerson's Power Transmission subsidiary.</w:t>
      </w:r>
    </w:p>
    <w:p>
      <w:pPr>
        <w:spacing w:after="0" w:line="176"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William C. Kelly, Jr. joined the Company in 1993 as Assistant Treasurer and Manager of Investor Relations. In July 1994, Mr. Kelly was elected to serve as the Company's Chief Accounting Officer, and in February 1995, was elected Treasurer and Assistant Secretary. In March 1999 he was elected Secretary of the Company. Prior to joining the Company, Mr. Kelly served from 1988 to 1993 as a Staff Accountant and as a Senior Auditor with the accounting firm of PricewaterhouseCoopers LLP.</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b w:val="1"/>
          <w:bCs w:val="1"/>
          <w:color w:val="auto"/>
        </w:rPr>
        <w:t>Item 2.</w:t>
        <w:tab/>
        <w:t>Properties</w:t>
      </w:r>
    </w:p>
    <w:p>
      <w:pPr>
        <w:spacing w:after="0" w:line="185"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The Company has two operating domestic ball manufacturing facilities located in Erwin, Tennessee and Mountain City, Tennessee. Rollers are only produced at the Erwin, Tennessee facility. Production began in early 1996 at the Mountain City facility. During December 2001, the Company ceased production and closed its facility in Walterboro, South Carolina. The Walterboro, South Carolina facility is classified as held for sale at December 31, 2001.</w:t>
      </w:r>
    </w:p>
    <w:p>
      <w:pPr>
        <w:spacing w:after="0" w:line="176"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The Erwin and Mountain City plants currently have approximately 125,000 and 58,000 square feet of manufacturing space, respectively. The Erwin plant is located on a 12 acre tract of land owned by the Company and the Mountain City plant is located on an 8 acre tract of land owned by the Company.</w:t>
      </w:r>
    </w:p>
    <w:p>
      <w:pPr>
        <w:spacing w:after="0" w:line="176"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Through Euroball the Company manufactures high precision steel balls in three manufacturing facilities located in Kilkenny, Ireland, Eltmann, Germany and Pinerolo, Italy. The facilities currently have approximately 125,000, 175,000 and 330,000 square feet of manufacturing space, respectively. The Kilkenny facility is located on a two acre tract owned by Euroball, the Eltmann facility is leased from FAG and the Pinerolo facility is located on a 9 acre tract owned by Euroball.</w:t>
      </w:r>
    </w:p>
    <w:p>
      <w:pPr>
        <w:spacing w:after="0" w:line="176"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IMC manufactures a wide range of plastic molded products through two facilities located in Lubbock, Texas. The Slaton facility, located on a 6.5 acre tract of land owned by the Company, contains approximately 193,000 square feet of manufacturing, warehouse and office space. The Cedar facility is situated on a 2.5 acre tract of land which is also owned by the Company and contains approximately 35,000 square feet of manufacturing and warehouse space.</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NN Arté leases a single 18,000 square foot facility in Guadalajara,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Delta's operations are located in two facilities on a 12-acre site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Danielson, Connecticut, owned by the Company. The two facilities encompass over</w:t>
      </w:r>
    </w:p>
    <w:p>
      <w:pPr>
        <w:sectPr>
          <w:pgSz w:w="11900" w:h="16838" w:orient="portrait"/>
          <w:cols w:equalWidth="0" w:num="1">
            <w:col w:w="11440"/>
          </w:cols>
          <w:pgMar w:left="240" w:top="142" w:right="219" w:bottom="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50,000 square feet of rubber seal manufacturing and administrative functions.</w:t>
      </w:r>
    </w:p>
    <w:p>
      <w:pPr>
        <w:spacing w:after="0" w:line="18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During 2001, the Company added new machinery and equipment at all of its facilities. See "Management's Discussion and Analysis of Financial Condition and Results of Operations -- Liquidity and Capital Resources."</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b w:val="1"/>
          <w:bCs w:val="1"/>
          <w:color w:val="auto"/>
        </w:rPr>
        <w:t>Item 3.</w:t>
        <w:tab/>
        <w:t>Legal Proceedings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b w:val="1"/>
          <w:bCs w:val="1"/>
          <w:color w:val="auto"/>
        </w:rPr>
        <w:t>Item 4.</w:t>
        <w:tab/>
        <w:t>Submission of Matters to a Vote of Security Holders</w:t>
      </w:r>
    </w:p>
    <w:p>
      <w:pPr>
        <w:spacing w:after="0" w:line="18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No matters were submitted for a vote of stockholders during the fourth quarter of 2001.</w:t>
      </w:r>
    </w:p>
    <w:p>
      <w:pPr>
        <w:spacing w:after="0" w:line="17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b w:val="1"/>
          <w:bCs w:val="1"/>
          <w:color w:val="auto"/>
        </w:rPr>
        <w:t>Part II</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b w:val="1"/>
          <w:bCs w:val="1"/>
          <w:color w:val="auto"/>
        </w:rPr>
        <w:t>Item 5.</w:t>
        <w:tab/>
        <w:t>Market for the Registrant's Common Equity and Related Stockholder Matters</w:t>
      </w:r>
    </w:p>
    <w:p>
      <w:pPr>
        <w:spacing w:after="0" w:line="185" w:lineRule="exact"/>
        <w:rPr>
          <w:sz w:val="20"/>
          <w:szCs w:val="20"/>
          <w:color w:val="auto"/>
        </w:rPr>
      </w:pPr>
    </w:p>
    <w:p>
      <w:pPr>
        <w:jc w:val="both"/>
        <w:ind w:right="3019" w:firstLine="830"/>
        <w:spacing w:after="0" w:line="251" w:lineRule="auto"/>
        <w:rPr>
          <w:sz w:val="20"/>
          <w:szCs w:val="20"/>
          <w:color w:val="auto"/>
        </w:rPr>
      </w:pPr>
      <w:r>
        <w:rPr>
          <w:rFonts w:ascii="Courier New" w:cs="Courier New" w:eastAsia="Courier New" w:hAnsi="Courier New"/>
          <w:sz w:val="15"/>
          <w:szCs w:val="15"/>
          <w:color w:val="auto"/>
        </w:rPr>
        <w:t>Since the Company's initial public offering in 1994, the Common Stock has been traded on the Nasdaq National Market under the trading symbol "NNBR." Prior to such time there was no established market for the Common Stock. As of March 25, 2002, there were approximately 1,750 holders of record of the Common Stock.</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following table sets forth the high and low sales prices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as reported by Nasdaq, and the dividends paid per share 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during each calendar quarter of 2000 and 2001.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120" w:type="dxa"/>
            <w:vAlign w:val="bottom"/>
          </w:tcPr>
          <w:p>
            <w:pPr>
              <w:jc w:val="right"/>
              <w:ind w:right="1183"/>
              <w:spacing w:after="0"/>
              <w:rPr>
                <w:sz w:val="20"/>
                <w:szCs w:val="20"/>
                <w:color w:val="auto"/>
              </w:rPr>
            </w:pPr>
            <w:r>
              <w:rPr>
                <w:rFonts w:ascii="Courier New" w:cs="Courier New" w:eastAsia="Courier New" w:hAnsi="Courier New"/>
                <w:sz w:val="15"/>
                <w:szCs w:val="15"/>
                <w:b w:val="1"/>
                <w:bCs w:val="1"/>
                <w:color w:val="auto"/>
              </w:rPr>
              <w:t>Price</w:t>
            </w:r>
          </w:p>
        </w:tc>
        <w:tc>
          <w:tcPr>
            <w:tcW w:w="1340" w:type="dxa"/>
            <w:vAlign w:val="bottom"/>
          </w:tcPr>
          <w:p>
            <w:pPr>
              <w:spacing w:after="0"/>
              <w:rPr>
                <w:sz w:val="14"/>
                <w:szCs w:val="14"/>
                <w:color w:val="auto"/>
              </w:rPr>
            </w:pPr>
          </w:p>
        </w:tc>
      </w:tr>
      <w:tr>
        <w:trPr>
          <w:trHeight w:val="177"/>
        </w:trPr>
        <w:tc>
          <w:tcPr>
            <w:tcW w:w="2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120" w:type="dxa"/>
            <w:vAlign w:val="bottom"/>
          </w:tcPr>
          <w:p>
            <w:pPr>
              <w:jc w:val="right"/>
              <w:ind w:right="903"/>
              <w:spacing w:after="0"/>
              <w:rPr>
                <w:sz w:val="20"/>
                <w:szCs w:val="20"/>
                <w:color w:val="auto"/>
              </w:rPr>
            </w:pPr>
            <w:r>
              <w:rPr>
                <w:rFonts w:ascii="Courier New" w:cs="Courier New" w:eastAsia="Courier New" w:hAnsi="Courier New"/>
                <w:sz w:val="15"/>
                <w:szCs w:val="15"/>
                <w:b w:val="1"/>
                <w:bCs w:val="1"/>
                <w:color w:val="auto"/>
              </w:rPr>
              <w:t>-----</w:t>
            </w:r>
          </w:p>
        </w:tc>
        <w:tc>
          <w:tcPr>
            <w:tcW w:w="1340" w:type="dxa"/>
            <w:vAlign w:val="bottom"/>
          </w:tcPr>
          <w:p>
            <w:pPr>
              <w:spacing w:after="0"/>
              <w:rPr>
                <w:sz w:val="15"/>
                <w:szCs w:val="15"/>
                <w:color w:val="auto"/>
              </w:rPr>
            </w:pPr>
          </w:p>
        </w:tc>
      </w:tr>
      <w:tr>
        <w:trPr>
          <w:trHeight w:val="355"/>
        </w:trPr>
        <w:tc>
          <w:tcPr>
            <w:tcW w:w="2020" w:type="dxa"/>
            <w:vAlign w:val="bottom"/>
          </w:tcPr>
          <w:p>
            <w:pPr>
              <w:spacing w:after="0"/>
              <w:rPr>
                <w:sz w:val="24"/>
                <w:szCs w:val="24"/>
                <w:color w:val="auto"/>
              </w:rPr>
            </w:pPr>
          </w:p>
        </w:tc>
        <w:tc>
          <w:tcPr>
            <w:tcW w:w="1720" w:type="dxa"/>
            <w:vAlign w:val="bottom"/>
          </w:tcPr>
          <w:p>
            <w:pPr>
              <w:jc w:val="right"/>
              <w:ind w:right="523"/>
              <w:spacing w:after="0"/>
              <w:rPr>
                <w:sz w:val="20"/>
                <w:szCs w:val="20"/>
                <w:color w:val="auto"/>
              </w:rPr>
            </w:pPr>
            <w:r>
              <w:rPr>
                <w:rFonts w:ascii="Courier New" w:cs="Courier New" w:eastAsia="Courier New" w:hAnsi="Courier New"/>
                <w:sz w:val="15"/>
                <w:szCs w:val="15"/>
                <w:b w:val="1"/>
                <w:bCs w:val="1"/>
                <w:color w:val="auto"/>
              </w:rPr>
              <w:t>High</w:t>
            </w:r>
          </w:p>
        </w:tc>
        <w:tc>
          <w:tcPr>
            <w:tcW w:w="2120" w:type="dxa"/>
            <w:vAlign w:val="bottom"/>
          </w:tcPr>
          <w:p>
            <w:pPr>
              <w:jc w:val="right"/>
              <w:ind w:right="623"/>
              <w:spacing w:after="0"/>
              <w:rPr>
                <w:sz w:val="20"/>
                <w:szCs w:val="20"/>
                <w:color w:val="auto"/>
              </w:rPr>
            </w:pPr>
            <w:r>
              <w:rPr>
                <w:rFonts w:ascii="Courier New" w:cs="Courier New" w:eastAsia="Courier New" w:hAnsi="Courier New"/>
                <w:sz w:val="15"/>
                <w:szCs w:val="15"/>
                <w:b w:val="1"/>
                <w:bCs w:val="1"/>
                <w:color w:val="auto"/>
              </w:rPr>
              <w:t>Low</w:t>
            </w:r>
          </w:p>
        </w:tc>
        <w:tc>
          <w:tcPr>
            <w:tcW w:w="134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Dividend</w:t>
            </w:r>
          </w:p>
        </w:tc>
      </w:tr>
      <w:tr>
        <w:trPr>
          <w:trHeight w:val="177"/>
        </w:trPr>
        <w:tc>
          <w:tcPr>
            <w:tcW w:w="2020" w:type="dxa"/>
            <w:vAlign w:val="bottom"/>
          </w:tcPr>
          <w:p>
            <w:pPr>
              <w:spacing w:after="0"/>
              <w:rPr>
                <w:sz w:val="15"/>
                <w:szCs w:val="15"/>
                <w:color w:val="auto"/>
              </w:rPr>
            </w:pPr>
          </w:p>
        </w:tc>
        <w:tc>
          <w:tcPr>
            <w:tcW w:w="1720" w:type="dxa"/>
            <w:vAlign w:val="bottom"/>
          </w:tcPr>
          <w:p>
            <w:pPr>
              <w:jc w:val="right"/>
              <w:ind w:right="523"/>
              <w:spacing w:after="0"/>
              <w:rPr>
                <w:sz w:val="20"/>
                <w:szCs w:val="20"/>
                <w:color w:val="auto"/>
              </w:rPr>
            </w:pPr>
            <w:r>
              <w:rPr>
                <w:rFonts w:ascii="Courier New" w:cs="Courier New" w:eastAsia="Courier New" w:hAnsi="Courier New"/>
                <w:sz w:val="15"/>
                <w:szCs w:val="15"/>
                <w:b w:val="1"/>
                <w:bCs w:val="1"/>
                <w:color w:val="auto"/>
              </w:rPr>
              <w:t>----</w:t>
            </w:r>
          </w:p>
        </w:tc>
        <w:tc>
          <w:tcPr>
            <w:tcW w:w="2120" w:type="dxa"/>
            <w:vAlign w:val="bottom"/>
          </w:tcPr>
          <w:p>
            <w:pPr>
              <w:jc w:val="right"/>
              <w:ind w:right="623"/>
              <w:spacing w:after="0"/>
              <w:rPr>
                <w:sz w:val="20"/>
                <w:szCs w:val="20"/>
                <w:color w:val="auto"/>
              </w:rPr>
            </w:pPr>
            <w:r>
              <w:rPr>
                <w:rFonts w:ascii="Courier New" w:cs="Courier New" w:eastAsia="Courier New" w:hAnsi="Courier New"/>
                <w:sz w:val="15"/>
                <w:szCs w:val="15"/>
                <w:b w:val="1"/>
                <w:bCs w:val="1"/>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b w:val="1"/>
                <w:bCs w:val="1"/>
                <w:color w:val="auto"/>
              </w:rPr>
              <w:t>2000</w:t>
            </w:r>
          </w:p>
        </w:tc>
        <w:tc>
          <w:tcPr>
            <w:tcW w:w="17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b w:val="1"/>
                <w:bCs w:val="1"/>
                <w:color w:val="auto"/>
              </w:rPr>
              <w:t>- ----</w:t>
            </w:r>
          </w:p>
        </w:tc>
        <w:tc>
          <w:tcPr>
            <w:tcW w:w="17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$10.88</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$6.75</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11.38</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8.03</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10.50</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7.50</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9.50</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7.13</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r>
        <w:trPr>
          <w:trHeight w:val="355"/>
        </w:trPr>
        <w:tc>
          <w:tcPr>
            <w:tcW w:w="2020" w:type="dxa"/>
            <w:vAlign w:val="bottom"/>
          </w:tcPr>
          <w:p>
            <w:pPr>
              <w:spacing w:after="0"/>
              <w:rPr>
                <w:sz w:val="20"/>
                <w:szCs w:val="20"/>
                <w:color w:val="auto"/>
              </w:rPr>
            </w:pPr>
            <w:r>
              <w:rPr>
                <w:rFonts w:ascii="Courier New" w:cs="Courier New" w:eastAsia="Courier New" w:hAnsi="Courier New"/>
                <w:sz w:val="15"/>
                <w:szCs w:val="15"/>
                <w:b w:val="1"/>
                <w:bCs w:val="1"/>
                <w:color w:val="auto"/>
              </w:rPr>
              <w:t>2001</w:t>
            </w:r>
          </w:p>
        </w:tc>
        <w:tc>
          <w:tcPr>
            <w:tcW w:w="1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$9.17</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$6.53</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10.81</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6.50</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10.84</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7.25</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r>
        <w:trPr>
          <w:trHeight w:val="177"/>
        </w:trPr>
        <w:tc>
          <w:tcPr>
            <w:tcW w:w="20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7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11.30</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7.75</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$0.08</w:t>
            </w:r>
          </w:p>
        </w:tc>
      </w:tr>
    </w:tbl>
    <w:p>
      <w:pPr>
        <w:spacing w:after="0" w:line="183"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The declaration and payment of dividends are subject to the sole discretion of the Board of Directors of the Company and depend upon the Company's profitability, financial condition, capital needs, future prospects and other factors deemed relevant by the Board of Directors. The terms of the Company's revolving credit facility restrict the payment of dividends by prohibiting the Company from declaring or paying any dividend if an event of default exists at the time of, or would occur as a result of, such declaration or payment. For further description of the Company's revolving credit facility, see "Management's Discussion and Analysis of Financial Condition and Results of Operations - Liquidity and Capital Resources" herein.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b w:val="1"/>
          <w:bCs w:val="1"/>
          <w:color w:val="auto"/>
        </w:rPr>
        <w:t>Item 6.</w:t>
        <w:tab/>
        <w:t>Selected Financial Data</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following selected financial data of the Company are qualified by reference to and should be read in conjunction with the Consolidated Financial Statements and the Notes thereto included as Item 8. The data set forth below as of December 31, 2001 and for the periods ended December 31, 2001 and December 31, 2000 have been derived from the Consolidated Financial Statements of the Company which have been audited by KPMG LLP, independent accountants, whose report thereon is included as part of Item 8. The data below as of December 31, 1999 and for the periods ended December 31, 1999, 1998 and 1997 have been derived from the Consolidated Financial Statements of the Company, which have been audited by PricewaterhouseCoopers LLP, independent accountants. These historical results are not necessarily indicative of the results to be expected in the future. See "Management's Discussion and Analysis of Financial Condition and Results of Operations."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(In Thousands, Except Per 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Year Ended December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w:t>
      </w:r>
    </w:p>
    <w:p>
      <w:pPr>
        <w:spacing w:after="0" w:line="8" w:lineRule="exact"/>
        <w:rPr>
          <w:sz w:val="20"/>
          <w:szCs w:val="20"/>
          <w:color w:val="auto"/>
        </w:rPr>
      </w:pPr>
    </w:p>
    <w:p>
      <w:pPr>
        <w:ind w:left="180"/>
        <w:spacing w:after="0"/>
        <w:tabs>
          <w:tab w:leader="none" w:pos="1280" w:val="left"/>
        </w:tabs>
        <w:rPr>
          <w:sz w:val="20"/>
          <w:szCs w:val="20"/>
          <w:color w:val="auto"/>
        </w:rPr>
      </w:pPr>
      <w:r>
        <w:rPr>
          <w:rFonts w:ascii="Courier New" w:cs="Courier New" w:eastAsia="Courier New" w:hAnsi="Courier New"/>
          <w:sz w:val="15"/>
          <w:szCs w:val="15"/>
          <w:b w:val="1"/>
          <w:bCs w:val="1"/>
          <w:color w:val="auto"/>
        </w:rPr>
        <w:t>1999</w:t>
      </w:r>
      <w:r>
        <w:rPr>
          <w:sz w:val="20"/>
          <w:szCs w:val="20"/>
          <w:color w:val="auto"/>
        </w:rPr>
        <w:tab/>
      </w:r>
      <w:r>
        <w:rPr>
          <w:rFonts w:ascii="Courier New" w:cs="Courier New" w:eastAsia="Courier New" w:hAnsi="Courier New"/>
          <w:sz w:val="15"/>
          <w:szCs w:val="15"/>
          <w:b w:val="1"/>
          <w:bCs w:val="1"/>
          <w:color w:val="auto"/>
        </w:rPr>
        <w:t>1998</w:t>
      </w:r>
    </w:p>
    <w:p>
      <w:pPr>
        <w:spacing w:after="0" w:line="8" w:lineRule="exact"/>
        <w:rPr>
          <w:sz w:val="20"/>
          <w:szCs w:val="20"/>
          <w:color w:val="auto"/>
        </w:rPr>
      </w:pPr>
    </w:p>
    <w:p>
      <w:pPr>
        <w:ind w:left="180"/>
        <w:spacing w:after="0"/>
        <w:tabs>
          <w:tab w:leader="none" w:pos="1280" w:val="left"/>
        </w:tabs>
        <w:rPr>
          <w:sz w:val="20"/>
          <w:szCs w:val="20"/>
          <w:color w:val="auto"/>
        </w:rPr>
      </w:pPr>
      <w:r>
        <w:rPr>
          <w:rFonts w:ascii="Courier New" w:cs="Courier New" w:eastAsia="Courier New" w:hAnsi="Courier New"/>
          <w:sz w:val="15"/>
          <w:szCs w:val="15"/>
          <w:b w:val="1"/>
          <w:bCs w:val="1"/>
          <w:color w:val="auto"/>
        </w:rPr>
        <w:t>----</w:t>
      </w:r>
      <w:r>
        <w:rPr>
          <w:sz w:val="20"/>
          <w:szCs w:val="20"/>
          <w:color w:val="auto"/>
        </w:rPr>
        <w:tab/>
      </w:r>
      <w:r>
        <w:rPr>
          <w:rFonts w:ascii="Courier New" w:cs="Courier New" w:eastAsia="Courier New" w:hAnsi="Courier New"/>
          <w:sz w:val="15"/>
          <w:szCs w:val="15"/>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ectPr>
          <w:pgSz w:w="11900" w:h="16838" w:orient="portrait"/>
          <w:cols w:equalWidth="0" w:num="5">
            <w:col w:w="4260" w:space="720"/>
            <w:col w:w="480" w:space="720"/>
            <w:col w:w="360" w:space="560"/>
            <w:col w:w="2120" w:space="280"/>
            <w:col w:w="719"/>
          </w:cols>
          <w:pgMar w:left="240" w:top="142"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72"/>
        </w:trPr>
        <w:tc>
          <w:tcPr>
            <w:tcW w:w="3140" w:type="dxa"/>
            <w:vAlign w:val="bottom"/>
            <w:gridSpan w:val="2"/>
          </w:tcPr>
          <w:p>
            <w:pPr>
              <w:spacing w:after="0"/>
              <w:rPr>
                <w:sz w:val="20"/>
                <w:szCs w:val="20"/>
                <w:color w:val="auto"/>
              </w:rPr>
            </w:pPr>
            <w:r>
              <w:rPr>
                <w:rFonts w:ascii="Courier New" w:cs="Courier New" w:eastAsia="Courier New" w:hAnsi="Courier New"/>
                <w:sz w:val="15"/>
                <w:szCs w:val="15"/>
                <w:b w:val="1"/>
                <w:bCs w:val="1"/>
                <w:color w:val="auto"/>
              </w:rPr>
              <w:t>Statement of Income Data:</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$180,151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$132,129</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$85,294</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$73,006</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$75,252</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137,591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93,926</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59,967</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50,353</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51,707</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42,560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38,203</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25,327</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22,653</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23,545</w:t>
            </w: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16,382</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11,571</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6,854</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5,896</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5,518</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13,340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9,165</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6,131</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4,557</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4,106</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Restructuring and impairment costs</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2,312</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10,526</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17,467</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12,342</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12,200</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13,921</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4,006</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1,773</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523</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64</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29</w:t>
            </w:r>
          </w:p>
        </w:tc>
      </w:tr>
      <w:tr>
        <w:trPr>
          <w:trHeight w:val="177"/>
        </w:trPr>
        <w:tc>
          <w:tcPr>
            <w:tcW w:w="4940" w:type="dxa"/>
            <w:vAlign w:val="bottom"/>
            <w:gridSpan w:val="4"/>
          </w:tcPr>
          <w:p>
            <w:pPr>
              <w:spacing w:after="0"/>
              <w:rPr>
                <w:sz w:val="20"/>
                <w:szCs w:val="20"/>
                <w:color w:val="auto"/>
              </w:rPr>
            </w:pPr>
            <w:r>
              <w:rPr>
                <w:rFonts w:ascii="Courier New" w:cs="Courier New" w:eastAsia="Courier New" w:hAnsi="Courier New"/>
                <w:sz w:val="15"/>
                <w:szCs w:val="15"/>
                <w:color w:val="auto"/>
              </w:rPr>
              <w:t>Equity in earnings of unconsolidated affiliate</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Net gain on involuntary conversion</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(3,901)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(728)</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(186)</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(136)</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10,607</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16,606</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11,819</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12,136</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13,892</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4,094</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5,959</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4,060</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4,480</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5,382</w:t>
            </w: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Minority interest in income of consolidated</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subsidiary</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1,753</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660</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accounting principle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4,760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9,987</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7,759</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7,656</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8,510</w:t>
            </w:r>
          </w:p>
        </w:tc>
      </w:tr>
      <w:tr>
        <w:trPr>
          <w:trHeight w:val="355"/>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7"/>
        </w:trPr>
        <w:tc>
          <w:tcPr>
            <w:tcW w:w="49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principle, net of income tax benefit of $112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49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and related minority interest impact of $84</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98</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$4,662</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$9,987</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$7,759</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$7,656</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$8,510</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accounting principle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$ 0.31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$0.66</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$0.57</w:t>
            </w: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principle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(0.01)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$0.31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$0.66</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$0.57</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355"/>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Diluted income per share:</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accounting principle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$0.31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$0.64</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$0.57</w:t>
            </w:r>
          </w:p>
        </w:tc>
      </w:tr>
      <w:tr>
        <w:trPr>
          <w:trHeight w:val="177"/>
        </w:trPr>
        <w:tc>
          <w:tcPr>
            <w:tcW w:w="4100" w:type="dxa"/>
            <w:vAlign w:val="bottom"/>
            <w:gridSpan w:val="3"/>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principle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(0.01)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$0.30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$0.64</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$0.52</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$0.57</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355"/>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per share</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$0.69</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$1.15</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$0.82</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$0.82</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$0.94</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$0.32</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$0.32</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$0.32</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$0.32</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$0.32</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number of shares</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outstanding - Basic</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15,259</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15,247</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15,021</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14,804</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14,804</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number of shares</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31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outstanding - Diluted</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15,540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15,531</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15,038</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14,804</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14,809</w:t>
            </w:r>
          </w:p>
        </w:tc>
      </w:tr>
      <w:tr>
        <w:trPr>
          <w:trHeight w:val="177"/>
        </w:trPr>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r>
      <w:tr>
        <w:trPr>
          <w:trHeight w:val="355"/>
        </w:trPr>
        <w:tc>
          <w:tcPr>
            <w:tcW w:w="2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1"/>
        </w:trPr>
        <w:tc>
          <w:tcPr>
            <w:tcW w:w="4100" w:type="dxa"/>
            <w:vAlign w:val="bottom"/>
            <w:tcBorders>
              <w:bottom w:val="single" w:sz="8" w:color="9A9A9A"/>
            </w:tcBorders>
            <w:gridSpan w:val="3"/>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80" w:type="dxa"/>
            <w:vAlign w:val="bottom"/>
            <w:tcBorders>
              <w:bottom w:val="single" w:sz="8" w:color="9A9A9A"/>
            </w:tcBorders>
          </w:tcPr>
          <w:p>
            <w:pPr>
              <w:spacing w:after="0"/>
              <w:rPr>
                <w:sz w:val="13"/>
                <w:szCs w:val="13"/>
                <w:color w:val="auto"/>
              </w:rPr>
            </w:pPr>
          </w:p>
        </w:tc>
      </w:tr>
      <w:tr>
        <w:trPr>
          <w:trHeight w:val="683"/>
        </w:trPr>
        <w:tc>
          <w:tcPr>
            <w:tcW w:w="4100" w:type="dxa"/>
            <w:vAlign w:val="bottom"/>
            <w:gridSpan w:val="3"/>
          </w:tcPr>
          <w:p>
            <w:pPr>
              <w:spacing w:after="0"/>
              <w:rPr>
                <w:sz w:val="20"/>
                <w:szCs w:val="20"/>
                <w:color w:val="auto"/>
              </w:rPr>
            </w:pPr>
            <w:r>
              <w:rPr>
                <w:rFonts w:ascii="Courier New" w:cs="Courier New" w:eastAsia="Courier New" w:hAnsi="Courier New"/>
                <w:sz w:val="15"/>
                <w:szCs w:val="15"/>
                <w:b w:val="1"/>
                <w:bCs w:val="1"/>
                <w:color w:val="auto"/>
              </w:rPr>
              <w:t>(In Thousands, Except Per Share Data)</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55"/>
        </w:trPr>
        <w:tc>
          <w:tcPr>
            <w:tcW w:w="2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gridSpan w:val="3"/>
          </w:tcPr>
          <w:p>
            <w:pPr>
              <w:jc w:val="right"/>
              <w:ind w:right="423"/>
              <w:spacing w:after="0"/>
              <w:rPr>
                <w:sz w:val="20"/>
                <w:szCs w:val="20"/>
                <w:color w:val="auto"/>
              </w:rPr>
            </w:pPr>
            <w:r>
              <w:rPr>
                <w:rFonts w:ascii="Courier New" w:cs="Courier New" w:eastAsia="Courier New" w:hAnsi="Courier New"/>
                <w:sz w:val="15"/>
                <w:szCs w:val="15"/>
                <w:b w:val="1"/>
                <w:bCs w:val="1"/>
                <w:color w:val="auto"/>
              </w:rPr>
              <w:t>Year Ended December 31,</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55"/>
        </w:trPr>
        <w:tc>
          <w:tcPr>
            <w:tcW w:w="2120" w:type="dxa"/>
            <w:vAlign w:val="bottom"/>
          </w:tcPr>
          <w:p>
            <w:pPr>
              <w:spacing w:after="0"/>
              <w:rPr>
                <w:sz w:val="24"/>
                <w:szCs w:val="24"/>
                <w:color w:val="auto"/>
              </w:rPr>
            </w:pP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2001</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b w:val="1"/>
                <w:bCs w:val="1"/>
                <w:color w:val="auto"/>
              </w:rPr>
              <w:t>2000</w:t>
            </w:r>
          </w:p>
        </w:tc>
        <w:tc>
          <w:tcPr>
            <w:tcW w:w="840" w:type="dxa"/>
            <w:vAlign w:val="bottom"/>
          </w:tcPr>
          <w:p>
            <w:pPr>
              <w:ind w:left="240"/>
              <w:spacing w:after="0"/>
              <w:rPr>
                <w:sz w:val="20"/>
                <w:szCs w:val="20"/>
                <w:color w:val="auto"/>
              </w:rPr>
            </w:pPr>
            <w:r>
              <w:rPr>
                <w:rFonts w:ascii="Courier New" w:cs="Courier New" w:eastAsia="Courier New" w:hAnsi="Courier New"/>
                <w:sz w:val="15"/>
                <w:szCs w:val="15"/>
                <w:b w:val="1"/>
                <w:bCs w:val="1"/>
                <w:color w:val="auto"/>
              </w:rPr>
              <w:t>1999</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b w:val="1"/>
                <w:bCs w:val="1"/>
                <w:color w:val="auto"/>
              </w:rPr>
              <w:t>1998</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b w:val="1"/>
                <w:bCs w:val="1"/>
                <w:color w:val="auto"/>
              </w:rPr>
              <w:t>1997</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7"/>
        </w:trPr>
        <w:tc>
          <w:tcPr>
            <w:tcW w:w="2120" w:type="dxa"/>
            <w:vAlign w:val="bottom"/>
          </w:tcPr>
          <w:p>
            <w:pPr>
              <w:spacing w:after="0"/>
              <w:rPr>
                <w:sz w:val="15"/>
                <w:szCs w:val="15"/>
                <w:color w:val="auto"/>
              </w:rPr>
            </w:pP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b w:val="1"/>
                <w:bCs w:val="1"/>
                <w:color w:val="auto"/>
              </w:rPr>
              <w:t>----</w:t>
            </w:r>
          </w:p>
        </w:tc>
        <w:tc>
          <w:tcPr>
            <w:tcW w:w="840" w:type="dxa"/>
            <w:vAlign w:val="bottom"/>
          </w:tcPr>
          <w:p>
            <w:pPr>
              <w:ind w:left="240"/>
              <w:spacing w:after="0"/>
              <w:rPr>
                <w:sz w:val="20"/>
                <w:szCs w:val="20"/>
                <w:color w:val="auto"/>
              </w:rPr>
            </w:pPr>
            <w:r>
              <w:rPr>
                <w:rFonts w:ascii="Courier New" w:cs="Courier New" w:eastAsia="Courier New" w:hAnsi="Courier New"/>
                <w:sz w:val="15"/>
                <w:szCs w:val="15"/>
                <w:b w:val="1"/>
                <w:bCs w:val="1"/>
                <w:color w:val="auto"/>
              </w:rPr>
              <w:t>----</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b w:val="1"/>
                <w:bCs w:val="1"/>
                <w:color w:val="auto"/>
              </w:rPr>
              <w:t>----</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b w:val="1"/>
                <w:bCs w:val="1"/>
                <w:color w:val="auto"/>
              </w:rPr>
              <w:t>----</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b w:val="1"/>
                <w:bCs w:val="1"/>
                <w:color w:val="auto"/>
              </w:rPr>
              <w:t>Balance Sheet Data:</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$ 55,617</w:t>
            </w:r>
          </w:p>
        </w:tc>
        <w:tc>
          <w:tcPr>
            <w:tcW w:w="9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7"/>
              </w:rPr>
              <w:t>$ 63,866</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$ 34,397</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$ 28,571</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$ 26,185</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37,736</w:t>
            </w:r>
          </w:p>
        </w:tc>
        <w:tc>
          <w:tcPr>
            <w:tcW w:w="9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33,840</w:t>
            </w:r>
          </w:p>
        </w:tc>
        <w:tc>
          <w:tcPr>
            <w:tcW w:w="840" w:type="dxa"/>
            <w:vAlign w:val="bottom"/>
          </w:tcPr>
          <w:p>
            <w:pPr>
              <w:ind w:left="240"/>
              <w:spacing w:after="0"/>
              <w:rPr>
                <w:sz w:val="20"/>
                <w:szCs w:val="20"/>
                <w:color w:val="auto"/>
              </w:rPr>
            </w:pPr>
            <w:r>
              <w:rPr>
                <w:rFonts w:ascii="Courier New" w:cs="Courier New" w:eastAsia="Courier New" w:hAnsi="Courier New"/>
                <w:sz w:val="15"/>
                <w:szCs w:val="15"/>
                <w:color w:val="auto"/>
              </w:rPr>
              <w:t>10,478</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7,638</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7,471</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188,135</w:t>
            </w:r>
          </w:p>
        </w:tc>
        <w:tc>
          <w:tcPr>
            <w:tcW w:w="9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187,808</w:t>
            </w:r>
          </w:p>
        </w:tc>
        <w:tc>
          <w:tcPr>
            <w:tcW w:w="840" w:type="dxa"/>
            <w:vAlign w:val="bottom"/>
          </w:tcPr>
          <w:p>
            <w:pPr>
              <w:ind w:left="240"/>
              <w:spacing w:after="0"/>
              <w:rPr>
                <w:sz w:val="20"/>
                <w:szCs w:val="20"/>
                <w:color w:val="auto"/>
              </w:rPr>
            </w:pPr>
            <w:r>
              <w:rPr>
                <w:rFonts w:ascii="Courier New" w:cs="Courier New" w:eastAsia="Courier New" w:hAnsi="Courier New"/>
                <w:sz w:val="15"/>
                <w:szCs w:val="15"/>
                <w:color w:val="auto"/>
              </w:rPr>
              <w:t>91,363</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66,860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63,273</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47,661</w:t>
            </w:r>
          </w:p>
        </w:tc>
        <w:tc>
          <w:tcPr>
            <w:tcW w:w="9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50,515</w:t>
            </w:r>
          </w:p>
        </w:tc>
        <w:tc>
          <w:tcPr>
            <w:tcW w:w="840" w:type="dxa"/>
            <w:vAlign w:val="bottom"/>
          </w:tcPr>
          <w:p>
            <w:pPr>
              <w:ind w:left="240"/>
              <w:spacing w:after="0"/>
              <w:rPr>
                <w:sz w:val="20"/>
                <w:szCs w:val="20"/>
                <w:color w:val="auto"/>
              </w:rPr>
            </w:pPr>
            <w:r>
              <w:rPr>
                <w:rFonts w:ascii="Courier New" w:cs="Courier New" w:eastAsia="Courier New" w:hAnsi="Courier New"/>
                <w:sz w:val="15"/>
                <w:szCs w:val="15"/>
                <w:color w:val="auto"/>
              </w:rPr>
              <w:t>17,151</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62,039</w:t>
            </w:r>
          </w:p>
        </w:tc>
        <w:tc>
          <w:tcPr>
            <w:tcW w:w="9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65,246</w:t>
            </w:r>
          </w:p>
        </w:tc>
        <w:tc>
          <w:tcPr>
            <w:tcW w:w="840" w:type="dxa"/>
            <w:vAlign w:val="bottom"/>
          </w:tcPr>
          <w:p>
            <w:pPr>
              <w:ind w:left="240"/>
              <w:spacing w:after="0"/>
              <w:rPr>
                <w:sz w:val="20"/>
                <w:szCs w:val="20"/>
                <w:color w:val="auto"/>
              </w:rPr>
            </w:pPr>
            <w:r>
              <w:rPr>
                <w:rFonts w:ascii="Courier New" w:cs="Courier New" w:eastAsia="Courier New" w:hAnsi="Courier New"/>
                <w:sz w:val="15"/>
                <w:szCs w:val="15"/>
                <w:color w:val="auto"/>
              </w:rPr>
              <w:t>60,128</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56,242</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52,971</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-1699895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-1699895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7. Management's Discussion and Analysis of Financial Condition and Results</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b w:val="1"/>
          <w:bCs w:val="1"/>
          <w:color w:val="auto"/>
        </w:rPr>
        <w:t>of Operations</w:t>
      </w:r>
    </w:p>
    <w:p>
      <w:pPr>
        <w:spacing w:after="0" w:line="185"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Overview</w:t>
      </w:r>
    </w:p>
    <w:p>
      <w:pPr>
        <w:spacing w:after="0" w:line="185" w:lineRule="exact"/>
        <w:rPr>
          <w:sz w:val="20"/>
          <w:szCs w:val="20"/>
          <w:color w:val="auto"/>
        </w:rPr>
      </w:pPr>
    </w:p>
    <w:p>
      <w:pPr>
        <w:ind w:right="4060" w:firstLine="830"/>
        <w:spacing w:after="0" w:line="251" w:lineRule="auto"/>
        <w:rPr>
          <w:sz w:val="20"/>
          <w:szCs w:val="20"/>
          <w:color w:val="auto"/>
        </w:rPr>
      </w:pPr>
      <w:r>
        <w:rPr>
          <w:rFonts w:ascii="Courier New" w:cs="Courier New" w:eastAsia="Courier New" w:hAnsi="Courier New"/>
          <w:sz w:val="15"/>
          <w:szCs w:val="15"/>
          <w:color w:val="auto"/>
        </w:rPr>
        <w:t>The Company's core business is the manufacture and sale of high quality, precision steel balls and rollers. In 2001, sales of balls and rollers accounted for approximately 77% of the Company's total net sales with 74% and 3% of sales from balls and rollers, respectively. Sales of precision molded plastic</w:t>
      </w:r>
    </w:p>
    <w:p>
      <w:pPr>
        <w:sectPr>
          <w:pgSz w:w="11900" w:h="16838" w:orient="portrait"/>
          <w:cols w:equalWidth="0" w:num="1">
            <w:col w:w="11440"/>
          </w:cols>
          <w:pgMar w:left="240" w:top="142" w:right="219" w:bottom="0" w:gutter="0" w:footer="0" w:header="0"/>
        </w:sectPr>
      </w:pPr>
    </w:p>
    <w:bookmarkStart w:id="9" w:name="page10"/>
    <w:bookmarkEnd w:id="9"/>
    <w:p>
      <w:pPr>
        <w:ind w:right="3119"/>
        <w:spacing w:after="0" w:line="253" w:lineRule="auto"/>
        <w:rPr>
          <w:sz w:val="20"/>
          <w:szCs w:val="20"/>
          <w:color w:val="auto"/>
        </w:rPr>
      </w:pPr>
      <w:r>
        <w:rPr>
          <w:rFonts w:ascii="Courier New" w:cs="Courier New" w:eastAsia="Courier New" w:hAnsi="Courier New"/>
          <w:sz w:val="15"/>
          <w:szCs w:val="15"/>
          <w:color w:val="auto"/>
        </w:rPr>
        <w:t>and rubber parts accounted for the remaining 23%. See Note 10 of the Notes to Consolidated Financial Statements.</w:t>
      </w:r>
    </w:p>
    <w:p>
      <w:pPr>
        <w:spacing w:after="0" w:line="174"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Since the Company was formed in 1980 it has grown primarily through the displacement of captive ball manufacturing operations of domestic and international bearing manufacturers resulting in increased sales of high precision balls for quiet bearing applications. As a result, sales of high precision balls produced by the Company for use in quiet bearing applications has grown to approximately 85% of total net ball sales. Management believes that the Company's core business sales growth since its formation has been due to its ability to capitalize on opportunities in global markets and provide precision products at competitive prices, as well as its emphasis on product quality and customer service.</w:t>
      </w:r>
    </w:p>
    <w:p>
      <w:pPr>
        <w:spacing w:after="0" w:line="18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 1997, the Company recognized changing dynamics in the marketplace, and as a result, developed and implemented an extensive long-term growth strategy involving its core business and complementary opportunities that are built upon the Company's strengths and culture enabling the Company to better serve its global customer base. As part of this strategy, the Company sought to augment its intrinsic growth with complementary acquisitions that fit specific criteria.</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On July 4, 1999, the Company acquired substantially all of the assets of Earsley Capital Corporation, formerly known as Industrial Molding Corporation ("IMC").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operates two manufacturing facilities in Lubbock, Texas. During 2001, IMC sold its products to more than 60 customers in 12 different countries.</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On July 31, 2000, the Company formed a majority owned stand-alone company in Europe, NN Euroball ApS ("Euroball"), for the manufacture and sale of chrome steel balls used for ball bearings and other products. The Company owns 54% of Euroball. AB SKF and FAG Kugelfisher Georg Shafer AG, the parent companies of SKF and FAG respectively each own 23% of Euroball. As part of the transaction, Euroball acquired the ball factories located in Pinerolo,</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Italy (previously owned by SKF), Eltmann, Germany (previously owned by FAG), and Kilkenny, Ireland (previously owned by the Company). Acquisition financing of approximately 31.5 million euro (approximately $29.7 million) was drawn at closing, and the credit facility provides for additional working capital expenditure financing. The Company is required to consolidate Euroball due to its majority ownership and has accounted for the acquisitions of the Pinerolo, Italy and Eltmann, Germany ball factories using the purchase method of accounting. Goodwill arising from this acquisition is being amortized since formation on a straight-line basis over 20 years. Under the terms of the Shareholder Agreement among the Company, SKF, and FAG both SKF and FAG have the right, beginning January 2003, to exercise their respective put option regarding their interest in Euroball to the Company on a formula buy-out.</w:t>
      </w:r>
    </w:p>
    <w:p>
      <w:pPr>
        <w:spacing w:after="0" w:line="183"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On August 31, 2000, the Company acquired a 51% ownership interest in NN Mexico, LLC ("NN Mexico"), a Delaware limited liability company. NN Mexico holds as its sole investment a 100% ownership interest in NN Arte, a manufacturer of plastic components located in Guadalajara, Mexico. The Company is required to consolidate NN Mexico due to its majority ownership and has accounted for this acquisition using the purchase method of accounting.</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On February 16, 2001, the Company completed the acquisition of all of the outstanding stock of The Delta Rubber Company, a Connecticut corporation ("Delta") for $22.5 million in cash. Delta provides high quality engineered bearing seals and other precision-molded rubber products to original equipment manufacturers. Delta operates two manufacturing facilities in Danielson, Connecticut. The Company's credit facility with AmSouth Bank was renegotiated to provide financing for the transaction. The Company has accounted for this acquisition using the purchase method of accounting.</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On September 11, 2001, the Company announced the closing of its Walterboro, South Carolina ball manufacturing facility effective December 2001. The closing was made as part of the Company's strategy to redistribute its global production in order to better utilize capacity and serve the needs of its worldwide customers. The precision ball production of the Walterboro facility has been fully absorbed by the Company's remaining U.S. ball &amp; roller manufacturing facilities located in Erwin and Mountain City, Tennessee. The Company recorded before tax charges associated with the closing of $1.9 million. This amount includes a $1.1 million before-tax charge for the recording of impairment on the Company's manufacturing facility located in Walterboro, South Carolina and $0.8 million related to employee severance costs. These amounts are reflected as restructuring and impairment costs in the accompanying Consolidated Statements of Income. The building along with certain machinery and equipment are held for sale as of December 31, 2001. These assets have an aggregate carrying value of $4.3 million. The financial results of this operation have been reflected in the Domestic Ball and Roller Segment. See Note 10 of the Notes to Consolidated Financial Statements</w:t>
      </w:r>
    </w:p>
    <w:p>
      <w:pPr>
        <w:spacing w:after="0" w:line="18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Effective December 21, 2001, the Company sold its minority interest in Jiangsu General Ball &amp; Roller Company, LTD, a Chinese ball and roller manufacturer located in Rugao City, Jiangsu Province, China. To effect the</w:t>
      </w:r>
    </w:p>
    <w:p>
      <w:pPr>
        <w:sectPr>
          <w:pgSz w:w="11900" w:h="16838" w:orient="portrait"/>
          <w:cols w:equalWidth="0" w:num="1">
            <w:col w:w="10219"/>
          </w:cols>
          <w:pgMar w:left="240" w:top="142" w:right="1440" w:bottom="0" w:gutter="0" w:footer="0" w:header="0"/>
        </w:sectPr>
      </w:pPr>
    </w:p>
    <w:bookmarkStart w:id="10" w:name="page11"/>
    <w:bookmarkEnd w:id="10"/>
    <w:p>
      <w:pPr>
        <w:ind w:right="2559"/>
        <w:spacing w:after="0" w:line="252" w:lineRule="auto"/>
        <w:rPr>
          <w:sz w:val="20"/>
          <w:szCs w:val="20"/>
          <w:color w:val="auto"/>
        </w:rPr>
      </w:pPr>
      <w:r>
        <w:rPr>
          <w:rFonts w:ascii="Courier New" w:cs="Courier New" w:eastAsia="Courier New" w:hAnsi="Courier New"/>
          <w:sz w:val="15"/>
          <w:szCs w:val="15"/>
          <w:color w:val="auto"/>
        </w:rPr>
        <w:t>transaction, the Company sold its 50% ownership in NN General, LLC, which owns a 60% interest in the Jiangsu joint venture to its partner, General Bearing Corporation for cash of $0.6 million and notes of $3.3 million. In 2001, the Company recorded a non-cash after-tax loss on sale of the investments in this joint venture of $0.2 million.</w:t>
      </w:r>
    </w:p>
    <w:p>
      <w:pPr>
        <w:spacing w:after="0" w:line="351"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The implementation and successful execution of this acquisition strategy to date has allowed the Company to expand its global presence and positions the Company for continued global growth and expansion into core served markets.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Critical Accounting Policies</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NN, Inc.'s (the "Company") critical accounting policies, including the assumptions and judgment underlying them, are disclosed in the Notes to the Consolidated Financial Statements. These policies have been consistently applied in all material respects and address such matters as revenue recognition, useful lives of depreciable assets,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Accounts Receivable</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Substantially all of the Company's accounts receivable are due primarily from the core served markets: bearing manufacturers, automotive industry, electronics, industrial agricultural and aerospace. Due to the Chapter 7 voluntary bankruptcy of one IMC customer and other write-offs, the Company experienced $1,668 of bad debt expense during 2001 versus $0 during 2000. The Company continuously performs credit evaluations of its customers, considering numerous inputs when available including the customers' financial position, past payment history, relevant industry trends, cash flows, management capability, historical loss experience and economic conditions and prospects. While management believes that</w:t>
      </w:r>
    </w:p>
    <w:p>
      <w:pPr>
        <w:spacing w:after="0" w:line="200" w:lineRule="exact"/>
        <w:rPr>
          <w:sz w:val="20"/>
          <w:szCs w:val="20"/>
          <w:color w:val="auto"/>
        </w:rPr>
      </w:pPr>
    </w:p>
    <w:p>
      <w:pPr>
        <w:spacing w:after="0" w:line="33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3579"/>
        <w:spacing w:after="0" w:line="252" w:lineRule="auto"/>
        <w:rPr>
          <w:sz w:val="20"/>
          <w:szCs w:val="20"/>
          <w:color w:val="auto"/>
        </w:rPr>
      </w:pPr>
      <w:r>
        <w:rPr>
          <w:rFonts w:ascii="Courier New" w:cs="Courier New" w:eastAsia="Courier New" w:hAnsi="Courier New"/>
          <w:sz w:val="15"/>
          <w:szCs w:val="15"/>
          <w:color w:val="auto"/>
        </w:rPr>
        <w:t>adequate allowances for doubtful accounts have been provided in the Consolidated Financial Statements, it is possible that the Company could experience additional unexpected credit losses.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Inventories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Inventories are stated at the lower of cost or market. Cost is 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Acquisitions and Acquired Intangibles</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Company's business acquisitions typically result in goodwill which may effect the amount of future period amortization expense and possible impairment expense that we may incur. The determination of the value of such intangible assets and goodwill as well as the determination of their useful lives require that management make estimates that effect our consolidated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Impairment of Long-Lived Assets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Company's long-lived assets include property, plant and equipment and goodwill. The recoverability of the long-term investments is dependent on the performance of the companies which the Company has acquired, as well as volatility inherent in the external markets for these acquisitions. In assessing potential impairment for these investments the Company will consider these factors as well as forecasted financial performance. Future adverse changes in market conditions or adverse operating results of the underlying investments could result in the Company having to record additional impairment charges not previously recognized.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Pension and Postretirement Obligations</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Company utilizes significant assumptions in 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utilizes a qualified actuary to calculate the periodic pension and postretirement expense and obligations based upon these assumptions and actual employee census data.</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Useful Lives of Depreciable Assets</w:t>
      </w:r>
    </w:p>
    <w:p>
      <w:pPr>
        <w:spacing w:after="0" w:line="185"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The Company utilizes judgment in determining the estimated useful lives of its depreciable long-lived assets which are included in the consolidated</w:t>
      </w:r>
    </w:p>
    <w:p>
      <w:pPr>
        <w:sectPr>
          <w:pgSz w:w="11900" w:h="16838" w:orient="portrait"/>
          <w:cols w:equalWidth="0" w:num="1">
            <w:col w:w="10219"/>
          </w:cols>
          <w:pgMar w:left="240" w:top="142" w:right="1440" w:bottom="0" w:gutter="0" w:footer="0" w:header="0"/>
        </w:sectPr>
      </w:pPr>
    </w:p>
    <w:bookmarkStart w:id="11" w:name="page12"/>
    <w:bookmarkEnd w:id="11"/>
    <w:p>
      <w:pPr>
        <w:ind w:right="2939"/>
        <w:spacing w:after="0" w:line="251" w:lineRule="auto"/>
        <w:rPr>
          <w:sz w:val="20"/>
          <w:szCs w:val="20"/>
          <w:color w:val="auto"/>
        </w:rPr>
      </w:pPr>
      <w:r>
        <w:rPr>
          <w:rFonts w:ascii="Courier New" w:cs="Courier New" w:eastAsia="Courier New" w:hAnsi="Courier New"/>
          <w:sz w:val="15"/>
          <w:szCs w:val="15"/>
          <w:color w:val="auto"/>
        </w:rPr>
        <w:t>financial statements. The estimate of useful lives is determined by the Company's historical experience with the type of asset purchased which is impacted by the Company's preventative maintenance programs. The Company begins depreciation on its long-lived assets when they are substantially put into service.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Results of Operations</w:t>
      </w:r>
    </w:p>
    <w:p>
      <w:pPr>
        <w:spacing w:after="0" w:line="18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The following table sets forth for the periods indicated selected financial data and the percentage of the Company's net sales represented by each income statement line item presented.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40" w:type="dxa"/>
            <w:vAlign w:val="bottom"/>
          </w:tcPr>
          <w:p>
            <w:pPr>
              <w:spacing w:after="0"/>
              <w:rPr>
                <w:sz w:val="14"/>
                <w:szCs w:val="14"/>
                <w:color w:val="auto"/>
              </w:rPr>
            </w:pPr>
          </w:p>
        </w:tc>
        <w:tc>
          <w:tcPr>
            <w:tcW w:w="3780" w:type="dxa"/>
            <w:vAlign w:val="bottom"/>
            <w:gridSpan w:val="3"/>
          </w:tcPr>
          <w:p>
            <w:pPr>
              <w:jc w:val="right"/>
              <w:ind w:right="463"/>
              <w:spacing w:after="0"/>
              <w:rPr>
                <w:sz w:val="20"/>
                <w:szCs w:val="20"/>
                <w:color w:val="auto"/>
              </w:rPr>
            </w:pPr>
            <w:r>
              <w:rPr>
                <w:rFonts w:ascii="Courier New" w:cs="Courier New" w:eastAsia="Courier New" w:hAnsi="Courier New"/>
                <w:sz w:val="15"/>
                <w:szCs w:val="15"/>
                <w:b w:val="1"/>
                <w:bCs w:val="1"/>
                <w:color w:val="auto"/>
              </w:rPr>
              <w:t>As a percentage of Net Sales</w:t>
            </w:r>
          </w:p>
        </w:tc>
      </w:tr>
      <w:tr>
        <w:trPr>
          <w:trHeight w:val="177"/>
        </w:trPr>
        <w:tc>
          <w:tcPr>
            <w:tcW w:w="5340" w:type="dxa"/>
            <w:vAlign w:val="bottom"/>
          </w:tcPr>
          <w:p>
            <w:pPr>
              <w:spacing w:after="0"/>
              <w:rPr>
                <w:sz w:val="15"/>
                <w:szCs w:val="15"/>
                <w:color w:val="auto"/>
              </w:rPr>
            </w:pPr>
          </w:p>
        </w:tc>
        <w:tc>
          <w:tcPr>
            <w:tcW w:w="3780" w:type="dxa"/>
            <w:vAlign w:val="bottom"/>
            <w:gridSpan w:val="3"/>
          </w:tcPr>
          <w:p>
            <w:pPr>
              <w:jc w:val="right"/>
              <w:ind w:right="743"/>
              <w:spacing w:after="0"/>
              <w:rPr>
                <w:sz w:val="20"/>
                <w:szCs w:val="20"/>
                <w:color w:val="auto"/>
              </w:rPr>
            </w:pPr>
            <w:r>
              <w:rPr>
                <w:rFonts w:ascii="Courier New" w:cs="Courier New" w:eastAsia="Courier New" w:hAnsi="Courier New"/>
                <w:sz w:val="15"/>
                <w:szCs w:val="15"/>
                <w:b w:val="1"/>
                <w:bCs w:val="1"/>
                <w:color w:val="auto"/>
              </w:rPr>
              <w:t>Year Ended December 31,</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2001</w:t>
            </w: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1999</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Cost of product sold</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76.4</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71.1</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70.3</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23.6</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28.9</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29.7</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9.1</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8.8</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8.0</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7.4</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6.9</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7.2</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Restructuring and impairment costs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13.2</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14.5</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0.6</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Equity in earnings of unconsolidated affiliates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gain on involuntary conversion</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(0.6)</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0.1</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(0.1)</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12.6</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13.9</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4.5</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4.8</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Minority interest in income of consolidated subsidiary</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0.5</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change in accounting</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7.6</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9.1</w:t>
            </w:r>
          </w:p>
        </w:tc>
      </w:tr>
      <w:tr>
        <w:trPr>
          <w:trHeight w:val="177"/>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principle</w:t>
            </w: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principle, net</w:t>
            </w: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of income tax benefit of $112 and related minority</w:t>
            </w: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interest impact of $84</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w:t>
            </w: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7.6%</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9.1%</w:t>
            </w:r>
          </w:p>
        </w:tc>
      </w:tr>
      <w:tr>
        <w:trPr>
          <w:trHeight w:val="177"/>
        </w:trPr>
        <w:tc>
          <w:tcPr>
            <w:tcW w:w="534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Year Ended December 31, 2001 Compared to the Year Ended December 31, 2000</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Net Sales. </w:t>
      </w:r>
      <w:r>
        <w:rPr>
          <w:rFonts w:ascii="Courier New" w:cs="Courier New" w:eastAsia="Courier New" w:hAnsi="Courier New"/>
          <w:sz w:val="15"/>
          <w:szCs w:val="15"/>
          <w:color w:val="auto"/>
        </w:rPr>
        <w:t>The Company's net sales increased $48.0 million or 36.3%,</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from $132.1 million in 2000 to $180.2 million in 2001. The inclusion of a full year of Euroball sales contributed $46.1 million of the increase, excluding the performance of the Ireland facility, which was consolidated into the results of the Company prior to the formation of Euroball. Additionally, the inclusion of 10.5 months of Delta's net sales in 2001 contributed $14.0 million. Offsetting this increase were decreased sales in the Domestic Ball and Roller and Plastics Segments in the last half of the year due to slowing demand related to the overall economic environment in the United States. Decreased sales during the year for the Plastics Segment were also due to decreased sales to one customer.</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i w:val="1"/>
          <w:iCs w:val="1"/>
          <w:color w:val="auto"/>
        </w:rPr>
        <w:t xml:space="preserve">Gross Profit. </w:t>
      </w:r>
      <w:r>
        <w:rPr>
          <w:rFonts w:ascii="Courier New" w:cs="Courier New" w:eastAsia="Courier New" w:hAnsi="Courier New"/>
          <w:sz w:val="15"/>
          <w:szCs w:val="15"/>
          <w:color w:val="auto"/>
        </w:rPr>
        <w:t>Gross profit increased by $4.4 million, or 11.4%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$38.2 million in 2000 to $42.6 million in 2001. Adjusting for the performance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Ireland facility, the Euroball joint venture contributed an additional $10.1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gross profit. The inclusion of 10.5 months of Delta's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contributed an additional $3.3 million in gross profit, while the sales volume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deterioration in the Domestic Ball and Roller and Plastics Segments decreased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 $9.0 million. Gross profit decreased from 28.9% of net sales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to 23.6% of net sales in 2001.</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Restructuring and Impairment Costs. </w:t>
      </w:r>
      <w:r>
        <w:rPr>
          <w:rFonts w:ascii="Courier New" w:cs="Courier New" w:eastAsia="Courier New" w:hAnsi="Courier New"/>
          <w:sz w:val="15"/>
          <w:szCs w:val="15"/>
          <w:color w:val="auto"/>
        </w:rPr>
        <w:t>Restructuring and impairment costs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increased by $2.3 million from $0.0 million in 2000 to $2.3 million in 2001. The increase includes a $1.1 million charge for the recording of impairment on the Company's manufacturing facility located in Walterboro, South Carolina, a $0.8 million charge related to employee severance costs related to the closing of the Walterboro, South Carolina facility and a $0.4 million charge related to Euroball. Restructuring and impairment costs were 1.3% of net sales during 2001.</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Selling, General and Administrative Expenses. </w:t>
      </w:r>
      <w:r>
        <w:rPr>
          <w:rFonts w:ascii="Courier New" w:cs="Courier New" w:eastAsia="Courier New" w:hAnsi="Courier New"/>
          <w:sz w:val="15"/>
          <w:szCs w:val="15"/>
          <w:color w:val="auto"/>
        </w:rPr>
        <w:t>Selling, general and</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administrative expenses increased by $4.8 million, or 41.6% from $11.6 million in 2000 to $16.4 million in 2001. The inclusion of a full year of Euroball results, adjusting for the Ireland facility, accounted for $3.5 million of the increase. The inclusion of 10.5 months of Delta's results accounted for $1.2 million of the increase. Additionally, bad debt expense primarily related to the bankruptcy filing of a major Plastics Segment customer contributed $0.8 million. Offsetting these increases were decreased spending related to cost reduction and cost containment efforts throughout the Company. As a percentage of net sales, selling, general and administrative expenses increased from 8.8% in 2000 to 9.1% in 2001.</w:t>
      </w:r>
    </w:p>
    <w:p>
      <w:pPr>
        <w:sectPr>
          <w:pgSz w:w="11900" w:h="16838" w:orient="portrait"/>
          <w:cols w:equalWidth="0" w:num="1">
            <w:col w:w="10219"/>
          </w:cols>
          <w:pgMar w:left="240" w:top="142" w:right="1440" w:bottom="0" w:gutter="0" w:footer="0" w:header="0"/>
        </w:sectPr>
      </w:pPr>
    </w:p>
    <w:bookmarkStart w:id="12" w:name="page13"/>
    <w:bookmarkEnd w:id="12"/>
    <w:p>
      <w:pPr>
        <w:ind w:right="29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Depreciation and Amortization. </w:t>
      </w:r>
      <w:r>
        <w:rPr>
          <w:rFonts w:ascii="Courier New" w:cs="Courier New" w:eastAsia="Courier New" w:hAnsi="Courier New"/>
          <w:sz w:val="15"/>
          <w:szCs w:val="15"/>
          <w:color w:val="auto"/>
        </w:rPr>
        <w:t>Depreciation and amortization expenses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increased $4.2 million, or 45.6% from $9.2 million in 2000 to $13.3 million in 2001. The inclusion of a full year of Euroball results, adjusting for the Ireland facility, accounted for $2.8 million of the increase. The inclusion of 10.5 months of Delta's results accounted for $1.1 million of the increase. As a percentage of net sales, depreciation and amortization increased from 6.9% in 2000 to 7.4% in 2001.</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Interest Expense. </w:t>
      </w:r>
      <w:r>
        <w:rPr>
          <w:rFonts w:ascii="Courier New" w:cs="Courier New" w:eastAsia="Courier New" w:hAnsi="Courier New"/>
          <w:sz w:val="15"/>
          <w:szCs w:val="15"/>
          <w:color w:val="auto"/>
        </w:rPr>
        <w:t>Interest expense increased by $2.2 million from $1.8</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million in 2000 to $4.0 million in 2001. Interest expense related to the purchase of Delta accounted for $1.0 million of the increase. Additionally, the inclusion of a full year of interest expense related to the debt incurred by Euroball accounted for approximately $1.0 million of the increase. As a percentage of net sales, interest expense increased from 1.3% in 2000 to 2.2% in 2001. See "Management's Discussion and Analysis of Financial Condition - Liquidity and Capital Resources."</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i w:val="1"/>
          <w:iCs w:val="1"/>
          <w:color w:val="auto"/>
        </w:rPr>
        <w:t xml:space="preserve">Equity in Earnings of Unconsolidated Affiliates. </w:t>
      </w:r>
      <w:r>
        <w:rPr>
          <w:rFonts w:ascii="Courier New" w:cs="Courier New" w:eastAsia="Courier New" w:hAnsi="Courier New"/>
          <w:sz w:val="15"/>
          <w:szCs w:val="15"/>
          <w:color w:val="auto"/>
        </w:rPr>
        <w:t>Equity in earnings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unconsolidated affiliates decreased $48,000 from $48,000 in 2000 to $0.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 is due to the Company's share of earnings from the NN General joint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venture with General Bearing Corporation. Effective December 21, 2001,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sold its minority interest in Jiangsu General Ball &amp; Roller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 a Chinese ball and roller manufacturer located in Rugao City, Jiangsu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Province, China. To effect the transaction, the Company sold its 50% ownership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NN General, LLC, which owns a 60% interest in the Jiangsu joint venture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partner, General Bearing Corporation for cash of $622,000 and notes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$3,305,000. In 2001, the Company recorded a non-cash after-tax loss on the sale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its investment in this joint venture of $144,000. See Note 3 of the Notes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 Statements for additional financial information.</w:t>
      </w:r>
    </w:p>
    <w:p>
      <w:pPr>
        <w:spacing w:after="0" w:line="18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i w:val="1"/>
          <w:iCs w:val="1"/>
          <w:color w:val="auto"/>
        </w:rPr>
        <w:t xml:space="preserve">Net Gain on Involuntary Conversion. </w:t>
      </w:r>
      <w:r>
        <w:rPr>
          <w:rFonts w:ascii="Courier New" w:cs="Courier New" w:eastAsia="Courier New" w:hAnsi="Courier New"/>
          <w:sz w:val="15"/>
          <w:szCs w:val="15"/>
          <w:color w:val="auto"/>
        </w:rPr>
        <w:t>The Company had a net gain 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involuntary conversion of $3.9 million in 2001 related to insurance proceeds as a result of the March 12, 2000 fire at the Erwin facility.</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Minority Interest in Consolidated Subsidiary. </w:t>
      </w:r>
      <w:r>
        <w:rPr>
          <w:rFonts w:ascii="Courier New" w:cs="Courier New" w:eastAsia="Courier New" w:hAnsi="Courier New"/>
          <w:sz w:val="15"/>
          <w:szCs w:val="15"/>
          <w:color w:val="auto"/>
        </w:rPr>
        <w:t>Minority interest of</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consolidated subsidiary increased $1.1 million from $0.7 million in 2000 to $1.8 million in 2001. This increase is due entirely to the Euroball joint venture which has been consolidated since its formation, August 1, 2000. The Company is required to consolidate Euroball in its Consolidated Financial Statements due to its majority ownership. The Company owns 54% of the shares of the joint venture with the minority partners owning the remaining 46%. Minority interest in consolidated subsidiary represents the combined 46% interest in Euroball's earnings of the minority partners and the 49% interest in NN Arte's earnings of the minority partners.</w:t>
      </w:r>
    </w:p>
    <w:p>
      <w:pPr>
        <w:spacing w:after="0" w:line="182"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i w:val="1"/>
          <w:iCs w:val="1"/>
          <w:color w:val="auto"/>
        </w:rPr>
        <w:t xml:space="preserve">Net Income. </w:t>
      </w:r>
      <w:r>
        <w:rPr>
          <w:rFonts w:ascii="Courier New" w:cs="Courier New" w:eastAsia="Courier New" w:hAnsi="Courier New"/>
          <w:sz w:val="15"/>
          <w:szCs w:val="15"/>
          <w:color w:val="auto"/>
        </w:rPr>
        <w:t>Net income decreased $5.2 million, or 52.3%, from $10.0</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million in 2000 to $4.7 million in 2001. As a percentage of net sales, net income decreased from 7.6% in 2000 to 2.6% in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Year Ended December 31, 2000 Compared to the Year Ended December 31, 1999</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Net Sales. </w:t>
      </w:r>
      <w:r>
        <w:rPr>
          <w:rFonts w:ascii="Courier New" w:cs="Courier New" w:eastAsia="Courier New" w:hAnsi="Courier New"/>
          <w:sz w:val="15"/>
          <w:szCs w:val="15"/>
          <w:color w:val="auto"/>
        </w:rPr>
        <w:t>The Company's net sales increased $46.8 million or 54.9%,</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from $85.3 million in 1999 to $132.1 million in 2000. The formation of Euroball in August of 2000 contributed $30.4 million of the increase, adjusting for the third and fourth quarter sales of the Ireland facility, which were consolidated into the results of the Company prior to the formation of Euroball. Additionally the inclusion of a full year of IMC's net sales contributed $12.9 million. The Company acquired IMC on July 4, 1999, thus six months of IMC's results were included in the Company's 1999 results. The remainder of the increase is due to increased ball and roller sales in the first half of the year, offset by slowing domestic demand for balls and rollers in the second half of the year. The Company experienced decreased sales in the second half of the year for the Plastics Segment due primarily to decreased sales to one customer.</w:t>
      </w:r>
    </w:p>
    <w:p>
      <w:pPr>
        <w:spacing w:after="0" w:line="200" w:lineRule="exact"/>
        <w:rPr>
          <w:sz w:val="20"/>
          <w:szCs w:val="20"/>
          <w:color w:val="auto"/>
        </w:rPr>
      </w:pPr>
    </w:p>
    <w:p>
      <w:pPr>
        <w:spacing w:after="0" w:line="33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Gross Profit. </w:t>
      </w:r>
      <w:r>
        <w:rPr>
          <w:rFonts w:ascii="Courier New" w:cs="Courier New" w:eastAsia="Courier New" w:hAnsi="Courier New"/>
          <w:sz w:val="15"/>
          <w:szCs w:val="15"/>
          <w:color w:val="auto"/>
        </w:rPr>
        <w:t>Gross profit increased by $12.9 million, or 50.8% from</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$25.3 million in 1999 to $38.2 million in 2000. Adjusting for the Ireland facility's third and fourth quarter gross profit, the Euroball joint venture accounted for $7.5 million of the increase. The inclusion of a full year of IMC's gross profit contributed an additional $4.0 million in gross profit. The remainder of the increase is primarily attributed to increased sales at the Domestic Ball and Roller Segment. To a lesser degree, decreased costs as a percentage of sales at the Domestic Ball and Roller Segment contributed to the increase in gross profit. This was due mainly to inventory builds during the fourth quarter of 2000. As a percentage of net sales, gross profit decreased from 29.7% in 1999 to 28.9% in 2000.</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Selling, General and Administrative Expenses. </w:t>
      </w:r>
      <w:r>
        <w:rPr>
          <w:rFonts w:ascii="Courier New" w:cs="Courier New" w:eastAsia="Courier New" w:hAnsi="Courier New"/>
          <w:sz w:val="15"/>
          <w:szCs w:val="15"/>
          <w:color w:val="auto"/>
        </w:rPr>
        <w:t>Selling, general and</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administrative expenses increased by $4.7 million, or 68.8% from $6.9 million in 1999 to $11.6 million in 2000. The Euroball Segment, adjusting for the Ireland facility, accounted for $2.4 million of the increase. The inclusion of a full year of IMC's results accounted for $1.6 million of the increase. The remainder of the increase is primarily attributed to increased administrative expenses associated with the Company's business development activity during the year. As a percentage of net sales, selling, general and administrative expenses increased from 8.0% in 1999 to 8.8% in 2000.</w:t>
      </w:r>
    </w:p>
    <w:p>
      <w:pPr>
        <w:sectPr>
          <w:pgSz w:w="11900" w:h="16838" w:orient="portrait"/>
          <w:cols w:equalWidth="0" w:num="1">
            <w:col w:w="10219"/>
          </w:cols>
          <w:pgMar w:left="240" w:top="319" w:right="1440" w:bottom="0" w:gutter="0" w:footer="0" w:header="0"/>
        </w:sectPr>
      </w:pPr>
    </w:p>
    <w:bookmarkStart w:id="13" w:name="page14"/>
    <w:bookmarkEnd w:id="13"/>
    <w:p>
      <w:pPr>
        <w:ind w:right="29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Depreciation and Amortization. </w:t>
      </w:r>
      <w:r>
        <w:rPr>
          <w:rFonts w:ascii="Courier New" w:cs="Courier New" w:eastAsia="Courier New" w:hAnsi="Courier New"/>
          <w:sz w:val="15"/>
          <w:szCs w:val="15"/>
          <w:color w:val="auto"/>
        </w:rPr>
        <w:t>Depreciation and amortization expenses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increased $3.0 million, or 49.5% from $6.1 million in 1999 to $9.2 million in 2000. The addition of Euroball, adjusting for the Ireland facility, accounted for $2.4 million of the increase. The inclusion of a full year of IMC's results accounted for the remainder of the increase. As a percentage of net sales, depreciation and amortization decreased from 7.2% in 1999 to 6.9% in 2000.</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i w:val="1"/>
          <w:iCs w:val="1"/>
          <w:color w:val="auto"/>
        </w:rPr>
        <w:t xml:space="preserve">Interest Expense. </w:t>
      </w:r>
      <w:r>
        <w:rPr>
          <w:rFonts w:ascii="Courier New" w:cs="Courier New" w:eastAsia="Courier New" w:hAnsi="Courier New"/>
          <w:sz w:val="15"/>
          <w:szCs w:val="15"/>
          <w:color w:val="auto"/>
        </w:rPr>
        <w:t>Interest expense increased by $1.3 million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$523,000 in 1999 to $1.8 million in 2000. Interest expense related to the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incurred by Euroball to finance the joint venture transaction accounted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$622,000 of the increase. Additionally, the inclusion of a full year of 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related to the purchase of the IMC business accounted for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 of the increase. The remainder of the increase is due to increased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associated with the Company's business development activity during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Additionally, the timing of expenditures associated with the March 12,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fire and the reimbursement of insurance proceeds caused an increase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levels outstanding under the Company's domestic line of credit. As a percentage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net sales, interest expense increased from 0.6% in 1999 to 1.3% in 2000. See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 Condition - Liquidity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Resources."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Equity in Earnings of Unconsolidated Affiliates. </w:t>
      </w:r>
      <w:r>
        <w:rPr>
          <w:rFonts w:ascii="Courier New" w:cs="Courier New" w:eastAsia="Courier New" w:hAnsi="Courier New"/>
          <w:sz w:val="15"/>
          <w:szCs w:val="15"/>
          <w:color w:val="auto"/>
        </w:rPr>
        <w:t>Equity in earnings of</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unconsolidated affiliates increased $48,000 from $0 in 1999 to $48,000. The increase is due to the Company's share of earnings from the NN General joint venture with General Bearing Corporation. Earnings from this venture were offset by losses incurred from the start-up of the marketing arm of this venture and losses sustained from start-up expenses from the investment in NN Mexico LLC.</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Net Gain on Involuntary Conversion. </w:t>
      </w:r>
      <w:r>
        <w:rPr>
          <w:rFonts w:ascii="Courier New" w:cs="Courier New" w:eastAsia="Courier New" w:hAnsi="Courier New"/>
          <w:sz w:val="15"/>
          <w:szCs w:val="15"/>
          <w:color w:val="auto"/>
        </w:rPr>
        <w:t>The Company had a gain 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involuntary conversion of $728,000 in 2000 related to the excess of insurance proceeds over the net book value of assets destroyed and direct costs incurred as a result of the March 12, 2000 fire at the Erwin facility.</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Minority Interest in Consolidated Subsidiary. </w:t>
      </w:r>
      <w:r>
        <w:rPr>
          <w:rFonts w:ascii="Courier New" w:cs="Courier New" w:eastAsia="Courier New" w:hAnsi="Courier New"/>
          <w:sz w:val="15"/>
          <w:szCs w:val="15"/>
          <w:color w:val="auto"/>
        </w:rPr>
        <w:t>Minority interest of</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consolidated subsidiary increased $660,000 from $0 in 1999 to $660,000 in 2000. This increase is due entirely to the Euroball joint venture. The Company is required to consolidate Euroball due to its ability to exercise control over the operations. The Company owns 54% of the shares of the joint venture with the minority partners owning the remaining 46%. Minority interest in consolidated subsidiary represents the combined 46% interest in Euroball earnings of the minority partners.</w:t>
      </w:r>
    </w:p>
    <w:p>
      <w:pPr>
        <w:spacing w:after="0" w:line="175" w:lineRule="exact"/>
        <w:rPr>
          <w:sz w:val="20"/>
          <w:szCs w:val="20"/>
          <w:color w:val="auto"/>
        </w:rPr>
      </w:pPr>
    </w:p>
    <w:p>
      <w:pPr>
        <w:jc w:val="both"/>
        <w:ind w:right="3299" w:firstLine="830"/>
        <w:spacing w:after="0" w:line="252" w:lineRule="auto"/>
        <w:rPr>
          <w:sz w:val="20"/>
          <w:szCs w:val="20"/>
          <w:color w:val="auto"/>
        </w:rPr>
      </w:pPr>
      <w:r>
        <w:rPr>
          <w:rFonts w:ascii="Courier New" w:cs="Courier New" w:eastAsia="Courier New" w:hAnsi="Courier New"/>
          <w:sz w:val="15"/>
          <w:szCs w:val="15"/>
          <w:i w:val="1"/>
          <w:iCs w:val="1"/>
          <w:color w:val="auto"/>
        </w:rPr>
        <w:t xml:space="preserve">Net Income. </w:t>
      </w:r>
      <w:r>
        <w:rPr>
          <w:rFonts w:ascii="Courier New" w:cs="Courier New" w:eastAsia="Courier New" w:hAnsi="Courier New"/>
          <w:sz w:val="15"/>
          <w:szCs w:val="15"/>
          <w:color w:val="auto"/>
        </w:rPr>
        <w:t>Net income increased $2.2 million, or 28.7%, from $7.8</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million in 1999 to $10.0 million in 2000. As a percentage of net sales, net income decreased from 9.1% in 1999 to 7.6% in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Liquidity and Capital Resources</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In July 2000, NN Euroball ApS, and its subsidiaries entered into a loan agreement with HypoVereinsbank Luxembourg S.A. as agent for Bayerische Hypo-und Vereinsbank AG of Munich, Germany for a senior secured revolving credit facility of Euro 5,000,000, expiring on July 15, 2006 and a senior secured term loan of Euro 36,000,000, expiring on July 15, 2006. On July 31, 2000, upon closing of the joint venture, NN Euroball ApS borrowed a total of Euro 31,500,000 against these facilities for acquisition financing. Additional working capital and capital expenditure financing are provided for under the facility. Amounts outstanding under the facilities accrue interest at a floating rate equal to EURIBOR (3.30% at December 31, 2001) plus an applicable margin of between 1.175% to 2.25% based upon calculated financial ratios. The loan agreement contains various restrictive financial and non financial covenants. Restrictive covenants which specify, among other things, restrictions on the incurrence of indebtedness and the maintenance of certain financial ratios. These</w:t>
      </w:r>
    </w:p>
    <w:p>
      <w:pPr>
        <w:spacing w:after="0" w:line="36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facilities also include certain negative pledges. Euroball, as of December 31, 2001, was in compliance with all such covenants. At December 31, 2001, Euro 34,953,000 was available to Euroball under these facilities.</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 on July 1, 2006. This credit facility replaces the $25 million revolving credit facility that was temporarily extended and restated in February of 2001 to $50 million and the additional $2 million of availability extended in March of 2001. Amounts outstanding under the revolving facility and the term loan facility bear interest at a floating rate equal to LIBOR (1.88% at December 31,2001) plus an applicable margin of 0.75% to 2.00% based upon calculated financial ratio. The loan agreement contains customary financial and non-financial covenants. Restrictive covenants specify, among other things, restrictions on the incurrence of indebtedness , payment of dividends, capital expenditures, and the maintenance of certain financial ratios. The Company, as of December 31, 2001 was in compliance with all such covenants. At December 31, 2001, $15.2 million was available to the Company under these facilities.</w:t>
      </w:r>
    </w:p>
    <w:p>
      <w:pPr>
        <w:spacing w:after="0" w:line="18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w:t>
      </w:r>
    </w:p>
    <w:p>
      <w:pPr>
        <w:sectPr>
          <w:pgSz w:w="11900" w:h="16838" w:orient="portrait"/>
          <w:cols w:equalWidth="0" w:num="1">
            <w:col w:w="10219"/>
          </w:cols>
          <w:pgMar w:left="240" w:top="142" w:right="1440" w:bottom="0" w:gutter="0" w:footer="0" w:header="0"/>
        </w:sectPr>
      </w:pPr>
    </w:p>
    <w:bookmarkStart w:id="14" w:name="page15"/>
    <w:bookmarkEnd w:id="14"/>
    <w:p>
      <w:pPr>
        <w:ind w:right="2839"/>
        <w:spacing w:after="0" w:line="251" w:lineRule="auto"/>
        <w:rPr>
          <w:sz w:val="20"/>
          <w:szCs w:val="20"/>
          <w:color w:val="auto"/>
        </w:rPr>
      </w:pPr>
      <w:r>
        <w:rPr>
          <w:rFonts w:ascii="Courier New" w:cs="Courier New" w:eastAsia="Courier New" w:hAnsi="Courier New"/>
          <w:sz w:val="15"/>
          <w:szCs w:val="15"/>
          <w:color w:val="auto"/>
        </w:rPr>
        <w:t>Company) generally provide that payments are due within 90 or 120 days following the date of shipment. Under the Company's inventory management program, payments typically are due within 30 days after the product is used by the customer. The Company's sales and receivables can be influenced by seasonality due to the Company's relative percentage of European business coupled with many foreign customers ceasing production during the month of August. For information concerning the Company's quarterly results of operations for the years ended December 31, 2001 and 2000, see Note 14 of the Notes to Consolidated Financial Statements.</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Company bills and receives payment from some of its foreign customers in Euro as well as other currencies. To date, the Company has not been materially adversely affected by currency fluctuations or foreign exchange restrictions. Nonetheless, as a result of these sales, the Company's foreign exchange transaction risk has increased. Various strategies to manage this risk are available to management including producing and selling in local currencies and hedging programs. As of December 31, 2001 no currency hedges were in place. In addition, a strengthening of the U.S. dollar against foreign currencies could impair the ability of the Company to compete with international competitors for foreign as well as domestic sales.</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Working capital, which consists principally of accounts receivable and inventories, was $17.9 million at December 31, 2001 as compared to $30.0 million at December 31, 2000. The ratio of current assets to current liabilities decreased from 1.89:1 at December 31, 2000 to 1.47:1 at December 31, 2001. Cash flow from operations decreased to $24.6 million during 2001 from $26.9 million during 2000.</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During 2002, the Company plans to spend approximately $6.8 million on capital expenditures related primarily to equipment and process upgrades and replacements. The Company intends to finance these activities with cash generated from operations and funds available under the credit facilities described above. The Company believes that funds generated from operations and borrowings from the credit facility will be sufficient to finance the Company's working capital needs and projected capital expenditure requirements through December 2002.</w:t>
      </w:r>
    </w:p>
    <w:p>
      <w:pPr>
        <w:spacing w:after="0" w:line="175" w:lineRule="exact"/>
        <w:rPr>
          <w:sz w:val="20"/>
          <w:szCs w:val="20"/>
          <w:color w:val="auto"/>
        </w:rPr>
      </w:pPr>
    </w:p>
    <w:p>
      <w:pPr>
        <w:ind w:right="2659" w:firstLine="830"/>
        <w:spacing w:after="0" w:line="250" w:lineRule="auto"/>
        <w:rPr>
          <w:sz w:val="20"/>
          <w:szCs w:val="20"/>
          <w:color w:val="auto"/>
        </w:rPr>
      </w:pPr>
      <w:r>
        <w:rPr>
          <w:rFonts w:ascii="Courier New" w:cs="Courier New" w:eastAsia="Courier New" w:hAnsi="Courier New"/>
          <w:sz w:val="15"/>
          <w:szCs w:val="15"/>
          <w:color w:val="auto"/>
        </w:rPr>
        <w:t>Beginning in January 2003 FAG and SKF may each exercise their right under the Shareholders Agreement to cause the Company to purchase their respective interest in Euroball based on the Put Formula in the Shareholders Agreement. The Company anticipates that if such purchase becomes necessary, it may need to borrow additional funds. Because the purchase price is based on a formula</w:t>
      </w:r>
    </w:p>
    <w:p>
      <w:pPr>
        <w:spacing w:after="0" w:line="2"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using Euroball's historical cash flow, the exact amount of the put cannot be determined until the put right is exercised.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The Euro</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treaty on European Union provided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continued to circulate but were in sub-units of the Euro. At the end of the transitional period, Euro bank notes and coins were issued, and the national currencies of the member states will be legal tender no later than June 30, 2002.</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 currently has operations in Ireland, Germany and Italy, which are Euro participating countries, and each facility sells product to customers in many of the participating countries. The functional currency of the Company's Euroball operations is the Euro.</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Seasonality and Fluctuation in Quarterly Results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Company's net sales historically have been seasonal in nature. Due to a significant portion of the Company's sales being to foreign customers that cease or significantly slow production during the month of August. For information concerning the Company's quarterly results of operations for the years ended December 31, 2001 and 2000, see Note 14 of the Notes to Consolidated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Inflation and Changes in Prices</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While the Company's operations have not been affected by inflation during recent years, prices for 52100 Steel, engineered resins and other raw materials purchased by the Company are materially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Domestically, the Company's pricing arrangements with its suppliers are subject to adjustment once every six months. The Company's Euroball Segment has entered into long term agreements with its primary steel supplier which provide for standard terms and conditions and annual pricing adjustments to offset material price fluctuations in steel. The Company typically reserves the right to increase product prices periodically in the event of increases in its raw material costs. Certain sales agreements are in effect with SKF and FAG, which provide for minimum purchase quantities and specified, annual sales price</w:t>
      </w:r>
    </w:p>
    <w:p>
      <w:pPr>
        <w:sectPr>
          <w:pgSz w:w="11900" w:h="16838" w:orient="portrait"/>
          <w:cols w:equalWidth="0" w:num="1">
            <w:col w:w="10219"/>
          </w:cols>
          <w:pgMar w:left="240" w:top="142" w:right="1440" w:bottom="0" w:gutter="0" w:footer="0" w:header="0"/>
        </w:sectPr>
      </w:pPr>
    </w:p>
    <w:bookmarkStart w:id="15" w:name="page16"/>
    <w:bookmarkEnd w:id="15"/>
    <w:p>
      <w:pPr>
        <w:ind w:left="5" w:right="2939"/>
        <w:spacing w:after="0" w:line="251" w:lineRule="auto"/>
        <w:rPr>
          <w:sz w:val="20"/>
          <w:szCs w:val="20"/>
          <w:color w:val="auto"/>
        </w:rPr>
      </w:pPr>
      <w:r>
        <w:rPr>
          <w:rFonts w:ascii="Courier New" w:cs="Courier New" w:eastAsia="Courier New" w:hAnsi="Courier New"/>
          <w:sz w:val="15"/>
          <w:szCs w:val="15"/>
          <w:color w:val="auto"/>
        </w:rPr>
        <w:t>ajustments that may be modified up or down for changes in material costs. These agreements expire during 2006. The Company has been able to minimize the impact on its operations resulting from the 52100 Steel price fluctuations by taking such measures.</w:t>
      </w:r>
    </w:p>
    <w:p>
      <w:pPr>
        <w:spacing w:after="0" w:line="176" w:lineRule="exact"/>
        <w:rPr>
          <w:sz w:val="20"/>
          <w:szCs w:val="20"/>
          <w:color w:val="auto"/>
        </w:rPr>
      </w:pPr>
    </w:p>
    <w:p>
      <w:pPr>
        <w:ind w:left="5" w:right="3479"/>
        <w:spacing w:after="0" w:line="253" w:lineRule="auto"/>
        <w:rPr>
          <w:sz w:val="20"/>
          <w:szCs w:val="20"/>
          <w:color w:val="auto"/>
        </w:rPr>
      </w:pPr>
      <w:r>
        <w:rPr>
          <w:rFonts w:ascii="Courier New" w:cs="Courier New" w:eastAsia="Courier New" w:hAnsi="Courier New"/>
          <w:sz w:val="15"/>
          <w:szCs w:val="15"/>
          <w:b w:val="1"/>
          <w:bCs w:val="1"/>
          <w:color w:val="auto"/>
        </w:rPr>
        <w:t>Cautionary Statements for Purposes of the "Safe Harbor" Provisions of the Private Securities Litigation Reform Act of 1995</w:t>
      </w:r>
    </w:p>
    <w:p>
      <w:pPr>
        <w:spacing w:after="0" w:line="174" w:lineRule="exact"/>
        <w:rPr>
          <w:sz w:val="20"/>
          <w:szCs w:val="20"/>
          <w:color w:val="auto"/>
        </w:rPr>
      </w:pPr>
    </w:p>
    <w:p>
      <w:pPr>
        <w:ind w:left="5" w:right="3019" w:firstLine="830"/>
        <w:spacing w:after="0" w:line="250" w:lineRule="auto"/>
        <w:rPr>
          <w:sz w:val="20"/>
          <w:szCs w:val="20"/>
          <w:color w:val="auto"/>
        </w:rPr>
      </w:pPr>
      <w:r>
        <w:rPr>
          <w:rFonts w:ascii="Courier New" w:cs="Courier New" w:eastAsia="Courier New" w:hAnsi="Courier New"/>
          <w:sz w:val="15"/>
          <w:szCs w:val="15"/>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Readers can identify these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 Readers are strongly encouraged to consider these factors when evaluating any such forward-looking statement.</w:t>
      </w:r>
    </w:p>
    <w:p>
      <w:pPr>
        <w:spacing w:after="0" w:line="183"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 operations. The Company undertakes no obligation to update or revise any forward-looking statements, whether as a result of new information, future events or otherwise.</w:t>
      </w:r>
    </w:p>
    <w:p>
      <w:pPr>
        <w:spacing w:after="0" w:line="176"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Industry Risks. </w:t>
      </w:r>
      <w:r>
        <w:rPr>
          <w:rFonts w:ascii="Courier New" w:cs="Courier New" w:eastAsia="Courier New" w:hAnsi="Courier New"/>
          <w:sz w:val="15"/>
          <w:szCs w:val="15"/>
          <w:color w:val="auto"/>
        </w:rPr>
        <w:t>Both the precision ball and roller, bearing seals, and</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precision plastics industries are cyclical and tend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176"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Competition. </w:t>
      </w:r>
      <w:r>
        <w:rPr>
          <w:rFonts w:ascii="Courier New" w:cs="Courier New" w:eastAsia="Courier New" w:hAnsi="Courier New"/>
          <w:sz w:val="15"/>
          <w:szCs w:val="15"/>
          <w:color w:val="auto"/>
        </w:rPr>
        <w:t>The precision ball and roller market, the precision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bearing seal market, and the precision plastics market are highly competitive, and many of manufacturers in each of the markets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to keep pace with such quality improvements in a cost effective manner. In addition, the Company competes with many of its ball and roller customers that, in addition to producing bearings, also internally produce balls and rollers for sale to third parties. The Company faces a risk that its customers will decide to produce balls and rollers internally rather than outsourcing their needs to the Company</w:t>
      </w:r>
    </w:p>
    <w:p>
      <w:pPr>
        <w:spacing w:after="0" w:line="360" w:lineRule="exact"/>
        <w:rPr>
          <w:sz w:val="20"/>
          <w:szCs w:val="20"/>
          <w:color w:val="auto"/>
        </w:rPr>
      </w:pPr>
    </w:p>
    <w:p>
      <w:pPr>
        <w:ind w:left="5" w:right="311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Rapid Growth. </w:t>
      </w:r>
      <w:r>
        <w:rPr>
          <w:rFonts w:ascii="Courier New" w:cs="Courier New" w:eastAsia="Courier New" w:hAnsi="Courier New"/>
          <w:sz w:val="15"/>
          <w:szCs w:val="15"/>
          <w:color w:val="auto"/>
        </w:rPr>
        <w:t>The Company has significantly expanded its ball and</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roller production facilities and capacity over the last several years. During 1997, the Company purchased an additional manufacturing plant in Kilkenny, Ireland. The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Company continued this expansion in 2000 through its 54% ownership of Euroball with SKF and FAG. The Company's Ball and Roller Segment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these joint ventures and expansions.</w:t>
      </w:r>
    </w:p>
    <w:p>
      <w:pPr>
        <w:spacing w:after="0" w:line="353" w:lineRule="exact"/>
        <w:rPr>
          <w:sz w:val="20"/>
          <w:szCs w:val="20"/>
          <w:color w:val="auto"/>
        </w:rPr>
      </w:pPr>
    </w:p>
    <w:p>
      <w:pPr>
        <w:jc w:val="both"/>
        <w:ind w:left="5" w:right="2839" w:firstLine="830"/>
        <w:spacing w:after="0" w:line="251" w:lineRule="auto"/>
        <w:rPr>
          <w:sz w:val="20"/>
          <w:szCs w:val="20"/>
          <w:color w:val="auto"/>
        </w:rPr>
      </w:pPr>
      <w:r>
        <w:rPr>
          <w:rFonts w:ascii="Courier New" w:cs="Courier New" w:eastAsia="Courier New" w:hAnsi="Courier New"/>
          <w:sz w:val="15"/>
          <w:szCs w:val="15"/>
          <w:i w:val="1"/>
          <w:iCs w:val="1"/>
          <w:color w:val="auto"/>
        </w:rPr>
        <w:t xml:space="preserve">Raw Material Shortages. </w:t>
      </w:r>
      <w:r>
        <w:rPr>
          <w:rFonts w:ascii="Courier New" w:cs="Courier New" w:eastAsia="Courier New" w:hAnsi="Courier New"/>
          <w:sz w:val="15"/>
          <w:szCs w:val="15"/>
          <w:color w:val="auto"/>
        </w:rPr>
        <w:t>Because the balls and rollers manufactured by</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the Company have highly-specialized applications, their production requires the use of very particular types of steel. Due to quality constraints, the Company's domestic Ball and Roller Segment obtains the majority of its steel from overseas suppliers. Steel shortages or transportation problems, particularly with respect to 52100 Steel, could have a detrimental effect on the Company's business.</w:t>
      </w:r>
    </w:p>
    <w:p>
      <w:pPr>
        <w:spacing w:after="0" w:line="176"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Risks Associated with International Trade. </w:t>
      </w:r>
      <w:r>
        <w:rPr>
          <w:rFonts w:ascii="Courier New" w:cs="Courier New" w:eastAsia="Courier New" w:hAnsi="Courier New"/>
          <w:sz w:val="15"/>
          <w:szCs w:val="15"/>
          <w:color w:val="auto"/>
        </w:rPr>
        <w:t>Because the Company (a)</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obtains a majority of its raw materials for the manufacture of balls and rollers from overseas suppliers, (b) now actively participates in overseas manufacturing operations and (c) sells to a large number of international customers, the Company faces risks associated with (i) adverse foreign currency fluctuations,</w:t>
      </w:r>
    </w:p>
    <w:p>
      <w:pPr>
        <w:spacing w:after="0" w:line="2" w:lineRule="exact"/>
        <w:rPr>
          <w:sz w:val="20"/>
          <w:szCs w:val="20"/>
          <w:color w:val="auto"/>
        </w:rPr>
      </w:pPr>
    </w:p>
    <w:p>
      <w:pPr>
        <w:ind w:left="5" w:right="2839" w:hanging="5"/>
        <w:spacing w:after="0" w:line="251" w:lineRule="auto"/>
        <w:tabs>
          <w:tab w:leader="none" w:pos="46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 manufacturing operations, and customers are located. An increase in the value of the United States dollar and/or Euro relative to other currencies may adversely affect the ability of the Company to compete with its foreign-based competitors for international as well as domestic sales.</w:t>
      </w:r>
    </w:p>
    <w:p>
      <w:pPr>
        <w:spacing w:after="0" w:line="175" w:lineRule="exact"/>
        <w:rPr>
          <w:sz w:val="20"/>
          <w:szCs w:val="20"/>
          <w:color w:val="auto"/>
        </w:rPr>
      </w:pPr>
    </w:p>
    <w:p>
      <w:pPr>
        <w:jc w:val="both"/>
        <w:ind w:left="5" w:right="2939" w:firstLine="830"/>
        <w:spacing w:after="0" w:line="252" w:lineRule="auto"/>
        <w:rPr>
          <w:sz w:val="20"/>
          <w:szCs w:val="20"/>
          <w:color w:val="auto"/>
        </w:rPr>
      </w:pPr>
      <w:r>
        <w:rPr>
          <w:rFonts w:ascii="Courier New" w:cs="Courier New" w:eastAsia="Courier New" w:hAnsi="Courier New"/>
          <w:sz w:val="15"/>
          <w:szCs w:val="15"/>
          <w:i w:val="1"/>
          <w:iCs w:val="1"/>
          <w:color w:val="auto"/>
        </w:rPr>
        <w:t xml:space="preserve">Dependence on Major Customers. </w:t>
      </w:r>
      <w:r>
        <w:rPr>
          <w:rFonts w:ascii="Courier New" w:cs="Courier New" w:eastAsia="Courier New" w:hAnsi="Courier New"/>
          <w:sz w:val="15"/>
          <w:szCs w:val="15"/>
          <w:color w:val="auto"/>
        </w:rPr>
        <w:t>During 2001, the Company's ten largest</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customers accounted for approximately 73% of its net sales. Sales to various US and foreign divisions of SKF, which is one of the largest bearing manufacturers</w:t>
      </w:r>
    </w:p>
    <w:p>
      <w:pPr>
        <w:sectPr>
          <w:pgSz w:w="11900" w:h="16838" w:orient="portrait"/>
          <w:cols w:equalWidth="0" w:num="1">
            <w:col w:w="10225"/>
          </w:cols>
          <w:pgMar w:left="235" w:top="142" w:right="1440" w:bottom="0" w:gutter="0" w:footer="0" w:header="0"/>
        </w:sectPr>
      </w:pPr>
    </w:p>
    <w:bookmarkStart w:id="16" w:name="page17"/>
    <w:bookmarkEnd w:id="16"/>
    <w:p>
      <w:pPr>
        <w:ind w:right="2839"/>
        <w:spacing w:after="0" w:line="251" w:lineRule="auto"/>
        <w:rPr>
          <w:sz w:val="20"/>
          <w:szCs w:val="20"/>
          <w:color w:val="auto"/>
        </w:rPr>
      </w:pPr>
      <w:r>
        <w:rPr>
          <w:rFonts w:ascii="Courier New" w:cs="Courier New" w:eastAsia="Courier New" w:hAnsi="Courier New"/>
          <w:sz w:val="15"/>
          <w:szCs w:val="15"/>
          <w:color w:val="auto"/>
        </w:rPr>
        <w:t>in the world, accounted for approximately 35% of net sales in 2001, and sales to FAG accounted for approximately 19% of net sales. None of the Company's other customers accounted for more than 5% of its net sales in 2001. The loss of all or a substantial portion of sales to these customers would have a material adverse effect on the Company's business.</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i w:val="1"/>
          <w:iCs w:val="1"/>
          <w:color w:val="auto"/>
        </w:rPr>
        <w:t xml:space="preserve">Acquisitions. </w:t>
      </w:r>
      <w:r>
        <w:rPr>
          <w:rFonts w:ascii="Courier New" w:cs="Courier New" w:eastAsia="Courier New" w:hAnsi="Courier New"/>
          <w:sz w:val="15"/>
          <w:szCs w:val="15"/>
          <w:color w:val="auto"/>
        </w:rPr>
        <w:t>The Company's growth strategy includes growth through</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acquisitions. In 1999, the Company acquired the IMC businesses as part of that strategy. In 2000, the Company formed Euroball with SKF and FAG and began operating two new ball manufacturing facilities. Additionally, in 2000, the Company formed the NN Arte joint venture and began operations in Mexico during 2001. In 2001, the Company acquired Delta as a continuation of that strategy. Although the Company believes that it will be able to continue to integrate the operations of IMC, NN Euroball, Delta and other companies acquired in the future into its operations without substantial cost, delays or other problems, its ability to do so will depend on, among other things, the adequacy of its implementation plans, the ability of its management to effectively oversee and operate the combined operations of the Company and the acquired businesses and its ability to achieve desired operating efficiencies and sales goals. If the Company is not able to successfully integrate the operations of acquired companies into its business, its future earnings and profitability could be materially and adversely affected.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Recently Issued Accounting Standards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 July 2001, the FASB issued Statement of Financial Accounting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Standards No. 141, "Business Combinations" (Statement No. 141), and Statement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Accounting Standards No. 142, "Goodwill and Other Intangible Assets"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No. 142). Statement No. 141 requires that the purchase method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be used for all business combinations initiated after June 30, 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No. 141 also specifies criteria for intangible assets acquired in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method business combination must meet to be recognized and reported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apart from goodwill. Statement No. 142 will require that goodwill and intangible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with indefinite useful lives no longer be amortized, but instead tested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impairment. The effective date of Statement No. 142 is January 1, 2002.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date of adoption, the Company expects to have unamortized goodwill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$39.8 million, which will be subject to the provisions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No. 142. Amortization expense related to goodwill was $1.8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$0.9 million, and $0.4 million for the years ended December 31, 2001, 2000,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respectively. The Company is currently evaluating the impact of adoption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No. 142.</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the Statement is required for fiscal years beginning after June 15, 2002. The Company is currently evaluating the impact of adoption of Statement No. 143.</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 October 2001, The FASB issued Statement of Financial Accounting Standards No. 144, "Accounting 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Company is currently evaluating the impact of Statement No. 144.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7A. Quantitative and Qualitative Disclosures About Market Risk</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risks.The Company is exposed to changes in interest rates primarily as a result of its borrowing activities. Domestically, these borrowings which include a $31.5 million floating rate, unsecured term loan and a $25 million floating rate revolving credit facility which are used to maintain liquidity and fund its business operations domestically. In Europe, Euroball has a 5 million euro floating rate credit facility, and a 36.0 million euro floating rate secured term loan. At December 31, 2001, the Company had $41.3 million outstanding under the domestic revolving credit facility and Euroball had $13.4 million outstanding under the Euroball credit facility. A one-percent increase in the interest rate charged on the Company's outstanding borrowings under both credit facilities would result in interest expense increasing by approximately $54</w:t>
      </w:r>
    </w:p>
    <w:p>
      <w:pPr>
        <w:spacing w:after="0" w:line="18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during 2001 and $564,000 during 2000. In connection with a variable EURIBOR rate debt financing in July 2000 the Company's 54% owned subsidiary, NN Euroball ApS entered into an interest rate swap with a notional amount of Euro 12.5 million for the purpose of fixing the interest rate on a portion of their debt</w:t>
      </w:r>
    </w:p>
    <w:p>
      <w:pPr>
        <w:sectPr>
          <w:pgSz w:w="11900" w:h="16838" w:orient="portrait"/>
          <w:cols w:equalWidth="0" w:num="1">
            <w:col w:w="10219"/>
          </w:cols>
          <w:pgMar w:left="240" w:top="142" w:right="1440" w:bottom="0" w:gutter="0" w:footer="0" w:header="0"/>
        </w:sectPr>
      </w:pPr>
    </w:p>
    <w:bookmarkStart w:id="17" w:name="page18"/>
    <w:bookmarkEnd w:id="17"/>
    <w:p>
      <w:pPr>
        <w:ind w:right="4160"/>
        <w:spacing w:after="0" w:line="251" w:lineRule="auto"/>
        <w:rPr>
          <w:sz w:val="20"/>
          <w:szCs w:val="20"/>
          <w:color w:val="auto"/>
        </w:rPr>
      </w:pPr>
      <w:r>
        <w:rPr>
          <w:rFonts w:ascii="Courier New" w:cs="Courier New" w:eastAsia="Courier New" w:hAnsi="Courier New"/>
          <w:sz w:val="15"/>
          <w:szCs w:val="15"/>
          <w:color w:val="auto"/>
        </w:rPr>
        <w:t>financing. The interest rate swap provides for the Company to receive variable Euribor interest payments and pay 5.51% fixed interest. The interest rate swap agreement expires in July 2006 and the notional amount amortizes in relation to principal payments on the underlying debt over the life of the swap. The nature and amount of the Company's borrowings may vary as a result of future business requirements, market conditions and other factors.</w:t>
      </w:r>
    </w:p>
    <w:p>
      <w:pPr>
        <w:spacing w:after="0" w:line="176" w:lineRule="exact"/>
        <w:rPr>
          <w:sz w:val="20"/>
          <w:szCs w:val="20"/>
          <w:color w:val="auto"/>
        </w:rPr>
      </w:pPr>
    </w:p>
    <w:p>
      <w:pPr>
        <w:ind w:right="4160" w:firstLine="830"/>
        <w:spacing w:after="0" w:line="250" w:lineRule="auto"/>
        <w:rPr>
          <w:sz w:val="20"/>
          <w:szCs w:val="20"/>
          <w:color w:val="auto"/>
        </w:rPr>
      </w:pPr>
      <w:r>
        <w:rPr>
          <w:rFonts w:ascii="Courier New" w:cs="Courier New" w:eastAsia="Courier New" w:hAnsi="Courier New"/>
          <w:sz w:val="15"/>
          <w:szCs w:val="15"/>
          <w:color w:val="auto"/>
        </w:rPr>
        <w:t>The Company's operating cash flows denominated in foreign currencies are exposed to changes in foreign exchange rates. The Company, mainly at its Euroball Segment, bills and receives payment from some of its foreign customers in their own currency. To date, the Company has not been materially adversely affected by currency fluctuations of foreign exchange restrictions. However, to help reduce exposure to foreign currency of fluctuation, management has implemented a foreign currency hedging program. This program allows management to hedge currency exposures when these exposures meet certain discretionary levels. The Company did not hold a position in any foreign currency hedging instruments as of December 31, 2001.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8. Financial Statements and Supplementary Data</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5860" w:type="dxa"/>
            <w:vAlign w:val="bottom"/>
          </w:tcPr>
          <w:p>
            <w:pPr>
              <w:spacing w:after="0"/>
              <w:rPr>
                <w:sz w:val="14"/>
                <w:szCs w:val="14"/>
                <w:color w:val="auto"/>
              </w:rPr>
            </w:pP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w w:val="94"/>
              </w:rPr>
              <w:t>Page</w:t>
            </w:r>
          </w:p>
        </w:tc>
      </w:tr>
      <w:tr>
        <w:trPr>
          <w:trHeight w:val="355"/>
        </w:trPr>
        <w:tc>
          <w:tcPr>
            <w:tcW w:w="784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Report of Independent Auditors for the years ended December 31, 2001</w:t>
            </w:r>
          </w:p>
        </w:tc>
        <w:tc>
          <w:tcPr>
            <w:tcW w:w="3600" w:type="dxa"/>
            <w:vAlign w:val="bottom"/>
          </w:tcPr>
          <w:p>
            <w:pPr>
              <w:spacing w:after="0"/>
              <w:rPr>
                <w:sz w:val="24"/>
                <w:szCs w:val="24"/>
                <w:color w:val="auto"/>
              </w:rPr>
            </w:pPr>
          </w:p>
        </w:tc>
      </w:tr>
      <w:tr>
        <w:trPr>
          <w:trHeight w:val="177"/>
        </w:trPr>
        <w:tc>
          <w:tcPr>
            <w:tcW w:w="1980" w:type="dxa"/>
            <w:vAlign w:val="bottom"/>
          </w:tcPr>
          <w:p>
            <w:pPr>
              <w:ind w:left="820"/>
              <w:spacing w:after="0"/>
              <w:rPr>
                <w:sz w:val="20"/>
                <w:szCs w:val="20"/>
                <w:color w:val="auto"/>
              </w:rPr>
            </w:pPr>
            <w:r>
              <w:rPr>
                <w:rFonts w:ascii="Courier New" w:cs="Courier New" w:eastAsia="Courier New" w:hAnsi="Courier New"/>
                <w:sz w:val="15"/>
                <w:szCs w:val="15"/>
                <w:color w:val="auto"/>
              </w:rPr>
              <w:t>and December</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w w:val="99"/>
              </w:rPr>
              <w:t>31, 2000.........................................................</w:t>
            </w: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20</w:t>
            </w:r>
          </w:p>
        </w:tc>
      </w:tr>
      <w:tr>
        <w:trPr>
          <w:trHeight w:val="355"/>
        </w:trPr>
        <w:tc>
          <w:tcPr>
            <w:tcW w:w="7840" w:type="dxa"/>
            <w:vAlign w:val="bottom"/>
            <w:gridSpan w:val="2"/>
          </w:tcPr>
          <w:p>
            <w:pPr>
              <w:ind w:left="820"/>
              <w:spacing w:after="0"/>
              <w:rPr>
                <w:sz w:val="20"/>
                <w:szCs w:val="20"/>
                <w:color w:val="auto"/>
              </w:rPr>
            </w:pPr>
            <w:r>
              <w:rPr>
                <w:rFonts w:ascii="Courier New" w:cs="Courier New" w:eastAsia="Courier New" w:hAnsi="Courier New"/>
                <w:sz w:val="15"/>
                <w:szCs w:val="15"/>
                <w:color w:val="auto"/>
                <w:w w:val="99"/>
              </w:rPr>
              <w:t>Report of Independent Auditors for the year ended December 31, 1999...........</w:t>
            </w: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21</w:t>
            </w:r>
          </w:p>
        </w:tc>
      </w:tr>
      <w:tr>
        <w:trPr>
          <w:trHeight w:val="355"/>
        </w:trPr>
        <w:tc>
          <w:tcPr>
            <w:tcW w:w="1980" w:type="dxa"/>
            <w:vAlign w:val="bottom"/>
          </w:tcPr>
          <w:p>
            <w:pPr>
              <w:ind w:left="820"/>
              <w:spacing w:after="0"/>
              <w:rPr>
                <w:sz w:val="20"/>
                <w:szCs w:val="20"/>
                <w:color w:val="auto"/>
              </w:rPr>
            </w:pPr>
            <w:r>
              <w:rPr>
                <w:rFonts w:ascii="Courier New" w:cs="Courier New" w:eastAsia="Courier New" w:hAnsi="Courier New"/>
                <w:sz w:val="15"/>
                <w:szCs w:val="15"/>
                <w:color w:val="auto"/>
              </w:rPr>
              <w:t>Consolidated</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w w:val="99"/>
              </w:rPr>
              <w:t>Balance Sheets at December 31, 2001 and 2000.....................</w:t>
            </w: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22</w:t>
            </w:r>
          </w:p>
        </w:tc>
      </w:tr>
      <w:tr>
        <w:trPr>
          <w:trHeight w:val="355"/>
        </w:trPr>
        <w:tc>
          <w:tcPr>
            <w:tcW w:w="1980" w:type="dxa"/>
            <w:vAlign w:val="bottom"/>
          </w:tcPr>
          <w:p>
            <w:pPr>
              <w:ind w:left="820"/>
              <w:spacing w:after="0"/>
              <w:rPr>
                <w:sz w:val="20"/>
                <w:szCs w:val="20"/>
                <w:color w:val="auto"/>
              </w:rPr>
            </w:pPr>
            <w:r>
              <w:rPr>
                <w:rFonts w:ascii="Courier New" w:cs="Courier New" w:eastAsia="Courier New" w:hAnsi="Courier New"/>
                <w:sz w:val="15"/>
                <w:szCs w:val="15"/>
                <w:color w:val="auto"/>
              </w:rPr>
              <w:t>Consolidated</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Statements of Income and Comprehensive Income for the</w:t>
            </w:r>
          </w:p>
        </w:tc>
        <w:tc>
          <w:tcPr>
            <w:tcW w:w="3600" w:type="dxa"/>
            <w:vAlign w:val="bottom"/>
          </w:tcPr>
          <w:p>
            <w:pPr>
              <w:spacing w:after="0"/>
              <w:rPr>
                <w:sz w:val="24"/>
                <w:szCs w:val="24"/>
                <w:color w:val="auto"/>
              </w:rPr>
            </w:pPr>
          </w:p>
        </w:tc>
      </w:tr>
      <w:tr>
        <w:trPr>
          <w:trHeight w:val="177"/>
        </w:trPr>
        <w:tc>
          <w:tcPr>
            <w:tcW w:w="7840" w:type="dxa"/>
            <w:vAlign w:val="bottom"/>
            <w:gridSpan w:val="2"/>
          </w:tcPr>
          <w:p>
            <w:pPr>
              <w:ind w:left="820"/>
              <w:spacing w:after="0"/>
              <w:rPr>
                <w:sz w:val="20"/>
                <w:szCs w:val="20"/>
                <w:color w:val="auto"/>
              </w:rPr>
            </w:pPr>
            <w:r>
              <w:rPr>
                <w:rFonts w:ascii="Courier New" w:cs="Courier New" w:eastAsia="Courier New" w:hAnsi="Courier New"/>
                <w:sz w:val="15"/>
                <w:szCs w:val="15"/>
                <w:color w:val="auto"/>
                <w:w w:val="99"/>
              </w:rPr>
              <w:t>three years ended December 31, 2001...........................................</w:t>
            </w: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23</w:t>
            </w:r>
          </w:p>
        </w:tc>
      </w:tr>
      <w:tr>
        <w:trPr>
          <w:trHeight w:val="355"/>
        </w:trPr>
        <w:tc>
          <w:tcPr>
            <w:tcW w:w="1980" w:type="dxa"/>
            <w:vAlign w:val="bottom"/>
          </w:tcPr>
          <w:p>
            <w:pPr>
              <w:ind w:left="820"/>
              <w:spacing w:after="0"/>
              <w:rPr>
                <w:sz w:val="20"/>
                <w:szCs w:val="20"/>
                <w:color w:val="auto"/>
              </w:rPr>
            </w:pPr>
            <w:r>
              <w:rPr>
                <w:rFonts w:ascii="Courier New" w:cs="Courier New" w:eastAsia="Courier New" w:hAnsi="Courier New"/>
                <w:sz w:val="15"/>
                <w:szCs w:val="15"/>
                <w:color w:val="auto"/>
              </w:rPr>
              <w:t>Consolidated</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Statements of Changes in Stockholders' Equity for the three</w:t>
            </w:r>
          </w:p>
        </w:tc>
        <w:tc>
          <w:tcPr>
            <w:tcW w:w="3600" w:type="dxa"/>
            <w:vAlign w:val="bottom"/>
          </w:tcPr>
          <w:p>
            <w:pPr>
              <w:spacing w:after="0"/>
              <w:rPr>
                <w:sz w:val="24"/>
                <w:szCs w:val="24"/>
                <w:color w:val="auto"/>
              </w:rPr>
            </w:pPr>
          </w:p>
        </w:tc>
      </w:tr>
      <w:tr>
        <w:trPr>
          <w:trHeight w:val="177"/>
        </w:trPr>
        <w:tc>
          <w:tcPr>
            <w:tcW w:w="7840" w:type="dxa"/>
            <w:vAlign w:val="bottom"/>
            <w:gridSpan w:val="2"/>
          </w:tcPr>
          <w:p>
            <w:pPr>
              <w:ind w:left="820"/>
              <w:spacing w:after="0"/>
              <w:rPr>
                <w:sz w:val="20"/>
                <w:szCs w:val="20"/>
                <w:color w:val="auto"/>
              </w:rPr>
            </w:pPr>
            <w:r>
              <w:rPr>
                <w:rFonts w:ascii="Courier New" w:cs="Courier New" w:eastAsia="Courier New" w:hAnsi="Courier New"/>
                <w:sz w:val="15"/>
                <w:szCs w:val="15"/>
                <w:color w:val="auto"/>
                <w:w w:val="99"/>
              </w:rPr>
              <w:t>years ended December 31, 2001.................................................</w:t>
            </w: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24</w:t>
            </w:r>
          </w:p>
        </w:tc>
      </w:tr>
      <w:tr>
        <w:trPr>
          <w:trHeight w:val="355"/>
        </w:trPr>
        <w:tc>
          <w:tcPr>
            <w:tcW w:w="1980" w:type="dxa"/>
            <w:vAlign w:val="bottom"/>
          </w:tcPr>
          <w:p>
            <w:pPr>
              <w:ind w:left="820"/>
              <w:spacing w:after="0"/>
              <w:rPr>
                <w:sz w:val="20"/>
                <w:szCs w:val="20"/>
                <w:color w:val="auto"/>
              </w:rPr>
            </w:pPr>
            <w:r>
              <w:rPr>
                <w:rFonts w:ascii="Courier New" w:cs="Courier New" w:eastAsia="Courier New" w:hAnsi="Courier New"/>
                <w:sz w:val="15"/>
                <w:szCs w:val="15"/>
                <w:color w:val="auto"/>
              </w:rPr>
              <w:t>Consolidated</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Statements of Cash Flows for the three years ended</w:t>
            </w:r>
          </w:p>
        </w:tc>
        <w:tc>
          <w:tcPr>
            <w:tcW w:w="3600" w:type="dxa"/>
            <w:vAlign w:val="bottom"/>
          </w:tcPr>
          <w:p>
            <w:pPr>
              <w:spacing w:after="0"/>
              <w:rPr>
                <w:sz w:val="24"/>
                <w:szCs w:val="24"/>
                <w:color w:val="auto"/>
              </w:rPr>
            </w:pPr>
          </w:p>
        </w:tc>
      </w:tr>
      <w:tr>
        <w:trPr>
          <w:trHeight w:val="177"/>
        </w:trPr>
        <w:tc>
          <w:tcPr>
            <w:tcW w:w="1980" w:type="dxa"/>
            <w:vAlign w:val="bottom"/>
          </w:tcPr>
          <w:p>
            <w:pPr>
              <w:ind w:left="820"/>
              <w:spacing w:after="0"/>
              <w:rPr>
                <w:sz w:val="20"/>
                <w:szCs w:val="20"/>
                <w:color w:val="auto"/>
              </w:rPr>
            </w:pPr>
            <w:r>
              <w:rPr>
                <w:rFonts w:ascii="Courier New" w:cs="Courier New" w:eastAsia="Courier New" w:hAnsi="Courier New"/>
                <w:sz w:val="15"/>
                <w:szCs w:val="15"/>
                <w:color w:val="auto"/>
              </w:rPr>
              <w:t>December 31,</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w w:val="99"/>
              </w:rPr>
              <w:t>2001.............................................................</w:t>
            </w: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25</w:t>
            </w:r>
          </w:p>
        </w:tc>
      </w:tr>
      <w:tr>
        <w:trPr>
          <w:trHeight w:val="355"/>
        </w:trPr>
        <w:tc>
          <w:tcPr>
            <w:tcW w:w="7840" w:type="dxa"/>
            <w:vAlign w:val="bottom"/>
            <w:gridSpan w:val="2"/>
          </w:tcPr>
          <w:p>
            <w:pPr>
              <w:ind w:left="820"/>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360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26</w:t>
            </w:r>
          </w:p>
        </w:tc>
      </w:tr>
      <w:tr>
        <w:trPr>
          <w:trHeight w:val="710"/>
        </w:trPr>
        <w:tc>
          <w:tcPr>
            <w:tcW w:w="1980" w:type="dxa"/>
            <w:vAlign w:val="bottom"/>
          </w:tcPr>
          <w:p>
            <w:pPr>
              <w:spacing w:after="0"/>
              <w:rPr>
                <w:sz w:val="24"/>
                <w:szCs w:val="24"/>
                <w:color w:val="auto"/>
              </w:rPr>
            </w:pPr>
          </w:p>
        </w:tc>
        <w:tc>
          <w:tcPr>
            <w:tcW w:w="5860" w:type="dxa"/>
            <w:vAlign w:val="bottom"/>
          </w:tcPr>
          <w:p>
            <w:pPr>
              <w:ind w:left="1620"/>
              <w:spacing w:after="0"/>
              <w:rPr>
                <w:sz w:val="20"/>
                <w:szCs w:val="20"/>
                <w:color w:val="auto"/>
              </w:rPr>
            </w:pPr>
            <w:r>
              <w:rPr>
                <w:rFonts w:ascii="Courier New" w:cs="Courier New" w:eastAsia="Courier New" w:hAnsi="Courier New"/>
                <w:sz w:val="15"/>
                <w:szCs w:val="15"/>
                <w:color w:val="auto"/>
              </w:rPr>
              <w:t>19</w:t>
            </w:r>
          </w:p>
        </w:tc>
        <w:tc>
          <w:tcPr>
            <w:tcW w:w="3600" w:type="dxa"/>
            <w:vAlign w:val="bottom"/>
          </w:tcPr>
          <w:p>
            <w:pPr>
              <w:spacing w:after="0"/>
              <w:rPr>
                <w:sz w:val="24"/>
                <w:szCs w:val="24"/>
                <w:color w:val="auto"/>
              </w:rPr>
            </w:pPr>
          </w:p>
        </w:tc>
      </w:tr>
      <w:tr>
        <w:trPr>
          <w:trHeight w:val="161"/>
        </w:trPr>
        <w:tc>
          <w:tcPr>
            <w:tcW w:w="1980" w:type="dxa"/>
            <w:vAlign w:val="bottom"/>
            <w:tcBorders>
              <w:bottom w:val="single" w:sz="8" w:color="9A9A9A"/>
            </w:tcBorders>
          </w:tcPr>
          <w:p>
            <w:pPr>
              <w:spacing w:after="0"/>
              <w:rPr>
                <w:sz w:val="13"/>
                <w:szCs w:val="13"/>
                <w:color w:val="auto"/>
              </w:rPr>
            </w:pPr>
          </w:p>
        </w:tc>
        <w:tc>
          <w:tcPr>
            <w:tcW w:w="5860" w:type="dxa"/>
            <w:vAlign w:val="bottom"/>
            <w:tcBorders>
              <w:bottom w:val="single" w:sz="8" w:color="9A9A9A"/>
            </w:tcBorders>
          </w:tcPr>
          <w:p>
            <w:pPr>
              <w:spacing w:after="0"/>
              <w:rPr>
                <w:sz w:val="13"/>
                <w:szCs w:val="13"/>
                <w:color w:val="auto"/>
              </w:rPr>
            </w:pPr>
          </w:p>
        </w:tc>
        <w:tc>
          <w:tcPr>
            <w:tcW w:w="36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b w:val="1"/>
          <w:bCs w:val="1"/>
          <w:color w:val="auto"/>
        </w:rPr>
        <w:t>Independent Auditors' Report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Inc.:</w:t>
      </w:r>
    </w:p>
    <w:p>
      <w:pPr>
        <w:spacing w:after="0" w:line="185" w:lineRule="exact"/>
        <w:rPr>
          <w:sz w:val="20"/>
          <w:szCs w:val="20"/>
          <w:color w:val="auto"/>
        </w:rPr>
      </w:pPr>
    </w:p>
    <w:p>
      <w:pPr>
        <w:ind w:right="4060"/>
        <w:spacing w:after="0" w:line="251" w:lineRule="auto"/>
        <w:rPr>
          <w:sz w:val="20"/>
          <w:szCs w:val="20"/>
          <w:color w:val="auto"/>
        </w:rPr>
      </w:pPr>
      <w:r>
        <w:rPr>
          <w:rFonts w:ascii="Courier New" w:cs="Courier New" w:eastAsia="Courier New" w:hAnsi="Courier New"/>
          <w:sz w:val="15"/>
          <w:szCs w:val="15"/>
          <w:color w:val="auto"/>
        </w:rPr>
        <w:t>We have audited the accompanying consolidated balance sheets of NN, Inc. as of December 31, 2001 and 2000 and the related consolidated statements of income and comprehensive income, consolidated statements of changes in stockholders' equity, and consolidated statements of cash flows of the years then ended.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4060"/>
        <w:spacing w:after="0" w:line="251"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4160"/>
        <w:spacing w:after="0" w:line="251"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NN, Inc. as of December 31, 2001 and 2000 and the results of their operations and their cash flows for the years then ended in conformity with accounting principles generally accepted in the United States of America.</w:t>
      </w:r>
    </w:p>
    <w:p>
      <w:pPr>
        <w:spacing w:after="0" w:line="176" w:lineRule="exact"/>
        <w:rPr>
          <w:sz w:val="20"/>
          <w:szCs w:val="20"/>
          <w:color w:val="auto"/>
        </w:rPr>
      </w:pPr>
    </w:p>
    <w:p>
      <w:pPr>
        <w:ind w:right="4440"/>
        <w:spacing w:after="0" w:line="252" w:lineRule="auto"/>
        <w:rPr>
          <w:sz w:val="20"/>
          <w:szCs w:val="20"/>
          <w:color w:val="auto"/>
        </w:rPr>
      </w:pPr>
      <w:r>
        <w:rPr>
          <w:rFonts w:ascii="Courier New" w:cs="Courier New" w:eastAsia="Courier New" w:hAnsi="Courier New"/>
          <w:sz w:val="15"/>
          <w:szCs w:val="15"/>
          <w:color w:val="auto"/>
        </w:rPr>
        <w:t>As discussed in Note 1 to the consolidated financial statements, the Company changed its method of accounting for derivative instruments and hedging activities in 2001.</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Charlotte, North Carolina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28, 2002</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ectPr>
          <w:pgSz w:w="11900" w:h="16838" w:orient="portrait"/>
          <w:cols w:equalWidth="0" w:num="1">
            <w:col w:w="11440"/>
          </w:cols>
          <w:pgMar w:left="240" w:top="142" w:right="219" w:bottom="0" w:gutter="0" w:footer="0" w:header="0"/>
        </w:sectPr>
      </w:pPr>
    </w:p>
    <w:p>
      <w:pPr>
        <w:spacing w:after="0" w:line="200" w:lineRule="exact"/>
        <w:rPr>
          <w:sz w:val="20"/>
          <w:szCs w:val="20"/>
          <w:color w:val="auto"/>
        </w:rPr>
      </w:pPr>
    </w:p>
    <w:p>
      <w:pPr>
        <w:spacing w:after="0" w:line="31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b w:val="1"/>
          <w:bCs w:val="1"/>
          <w:color w:val="auto"/>
        </w:rPr>
        <w:t>Report of Independent Accountants</w:t>
      </w:r>
    </w:p>
    <w:p>
      <w:pPr>
        <w:sectPr>
          <w:pgSz w:w="11900" w:h="16838" w:orient="portrait"/>
          <w:cols w:equalWidth="0" w:num="1">
            <w:col w:w="11440"/>
          </w:cols>
          <w:pgMar w:left="240" w:top="142" w:right="219" w:bottom="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To the Board of Directors and Stockholders of NN, Inc.</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In our opinion, the consolidated financial statements listed in the accompanying index present fairly, in all material respects, the financial position of NN, Inc. (formerly known as NN Ball &amp; Roller, Inc.) and its subsidiaries at December 31, 1999, and the results of their operations and their cash flows for the year then ended,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the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Charlotte, North Carolina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4, 2000</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40" w:type="dxa"/>
            <w:vAlign w:val="bottom"/>
          </w:tcPr>
          <w:p>
            <w:pPr>
              <w:ind w:left="3320"/>
              <w:spacing w:after="0"/>
              <w:rPr>
                <w:sz w:val="20"/>
                <w:szCs w:val="20"/>
                <w:color w:val="auto"/>
              </w:rPr>
            </w:pPr>
            <w:r>
              <w:rPr>
                <w:rFonts w:ascii="Courier New" w:cs="Courier New" w:eastAsia="Courier New" w:hAnsi="Courier New"/>
                <w:sz w:val="15"/>
                <w:szCs w:val="15"/>
                <w:b w:val="1"/>
                <w:bCs w:val="1"/>
                <w:color w:val="auto"/>
              </w:rPr>
              <w:t>NN, Inc.</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7"/>
        </w:trPr>
        <w:tc>
          <w:tcPr>
            <w:tcW w:w="5540" w:type="dxa"/>
            <w:vAlign w:val="bottom"/>
          </w:tcPr>
          <w:p>
            <w:pPr>
              <w:ind w:left="2480"/>
              <w:spacing w:after="0"/>
              <w:rPr>
                <w:sz w:val="20"/>
                <w:szCs w:val="20"/>
                <w:color w:val="auto"/>
              </w:rPr>
            </w:pPr>
            <w:r>
              <w:rPr>
                <w:rFonts w:ascii="Courier New" w:cs="Courier New" w:eastAsia="Courier New" w:hAnsi="Courier New"/>
                <w:sz w:val="15"/>
                <w:szCs w:val="15"/>
                <w:b w:val="1"/>
                <w:bCs w:val="1"/>
                <w:color w:val="auto"/>
              </w:rPr>
              <w:t>Consolidated Balance Sheets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2480"/>
              <w:spacing w:after="0"/>
              <w:rPr>
                <w:sz w:val="20"/>
                <w:szCs w:val="20"/>
                <w:color w:val="auto"/>
              </w:rPr>
            </w:pPr>
            <w:r>
              <w:rPr>
                <w:rFonts w:ascii="Courier New" w:cs="Courier New" w:eastAsia="Courier New" w:hAnsi="Courier New"/>
                <w:sz w:val="15"/>
                <w:szCs w:val="15"/>
                <w:b w:val="1"/>
                <w:bCs w:val="1"/>
                <w:color w:val="auto"/>
              </w:rPr>
              <w:t>December 31, 2001 and 2000</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2020"/>
              <w:spacing w:after="0"/>
              <w:rPr>
                <w:sz w:val="20"/>
                <w:szCs w:val="20"/>
                <w:color w:val="auto"/>
              </w:rPr>
            </w:pPr>
            <w:r>
              <w:rPr>
                <w:rFonts w:ascii="Courier New" w:cs="Courier New" w:eastAsia="Courier New" w:hAnsi="Courier New"/>
                <w:sz w:val="15"/>
                <w:szCs w:val="15"/>
                <w:b w:val="1"/>
                <w:bCs w:val="1"/>
                <w:color w:val="auto"/>
              </w:rPr>
              <w:t>(In thousands, except per share data)</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b w:val="1"/>
                <w:bCs w:val="1"/>
                <w:color w:val="auto"/>
              </w:rPr>
              <w:t>Assets</w:t>
            </w:r>
          </w:p>
        </w:tc>
        <w:tc>
          <w:tcPr>
            <w:tcW w:w="220" w:type="dxa"/>
            <w:vAlign w:val="bottom"/>
          </w:tcPr>
          <w:p>
            <w:pPr>
              <w:spacing w:after="0"/>
              <w:rPr>
                <w:sz w:val="15"/>
                <w:szCs w:val="15"/>
                <w:color w:val="auto"/>
              </w:rPr>
            </w:pP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b w:val="1"/>
                <w:bCs w:val="1"/>
                <w:color w:val="auto"/>
              </w:rPr>
              <w:t>2001</w:t>
            </w:r>
          </w:p>
        </w:tc>
        <w:tc>
          <w:tcPr>
            <w:tcW w:w="2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w w:val="99"/>
              </w:rPr>
              <w:t>2000</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3,024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8,273</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Accounts receivable, net</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24,832</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29,549</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Inventories, net</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23,418</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23,742</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3,034</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1,512</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Current deferred tax asset</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1,309</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790</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ind w:left="1480"/>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55,617</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63,866</w:t>
            </w:r>
          </w:p>
        </w:tc>
      </w:tr>
      <w:tr>
        <w:trPr>
          <w:trHeight w:val="355"/>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2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82,770</w:t>
            </w:r>
          </w:p>
        </w:tc>
        <w:tc>
          <w:tcPr>
            <w:tcW w:w="240" w:type="dxa"/>
            <w:vAlign w:val="bottom"/>
          </w:tcPr>
          <w:p>
            <w:pPr>
              <w:spacing w:after="0"/>
              <w:rPr>
                <w:sz w:val="24"/>
                <w:szCs w:val="24"/>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91,693</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Assets held for sale</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4,348</w:t>
            </w:r>
          </w:p>
        </w:tc>
        <w:tc>
          <w:tcPr>
            <w:tcW w:w="2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Goodwill, net of accumulated amortization of</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$3,009 in 2001 and $1,297 in 2000</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39,805</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27,865</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4,862</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4,212</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Non-current deferred tax asset</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733</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172</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$ 188,135</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$ 187,808</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15,829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16,883</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Bank overdraft</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1,141</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454</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Accrued salaries, wages and benefits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3,813</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2,248</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Income taxes payable</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2,074</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1,341</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Payable to affiliates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1,277</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1,762</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Short-term loans</w:t>
            </w:r>
          </w:p>
        </w:tc>
        <w:tc>
          <w:tcPr>
            <w:tcW w:w="220" w:type="dxa"/>
            <w:vAlign w:val="bottom"/>
          </w:tcPr>
          <w:p>
            <w:pPr>
              <w:spacing w:after="0"/>
              <w:rPr>
                <w:sz w:val="15"/>
                <w:szCs w:val="15"/>
                <w:color w:val="auto"/>
              </w:rPr>
            </w:pP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2,000</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Short term portion of long term debt</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7,000</w:t>
            </w:r>
          </w:p>
        </w:tc>
        <w:tc>
          <w:tcPr>
            <w:tcW w:w="2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Other liabilities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6,552</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9,038</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Current deferred tax liability</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114</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ind w:left="1480"/>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37,736</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33,840</w:t>
            </w:r>
          </w:p>
        </w:tc>
      </w:tr>
      <w:tr>
        <w:trPr>
          <w:trHeight w:val="355"/>
        </w:trPr>
        <w:tc>
          <w:tcPr>
            <w:tcW w:w="554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subsidiaries</w:t>
            </w:r>
          </w:p>
        </w:tc>
        <w:tc>
          <w:tcPr>
            <w:tcW w:w="22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30,932</w:t>
            </w:r>
          </w:p>
        </w:tc>
        <w:tc>
          <w:tcPr>
            <w:tcW w:w="240" w:type="dxa"/>
            <w:vAlign w:val="bottom"/>
          </w:tcPr>
          <w:p>
            <w:pPr>
              <w:spacing w:after="0"/>
              <w:rPr>
                <w:sz w:val="24"/>
                <w:szCs w:val="24"/>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30,257</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Non-current deferred tax liability</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6,499</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5,239</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47,661</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50,515</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Accrued Pension</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2,390</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2,133</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878</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578</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ind w:left="1480"/>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126,096</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122,562</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Common stock - $0.01 par value, authorized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920"/>
              <w:spacing w:after="0"/>
              <w:rPr>
                <w:sz w:val="20"/>
                <w:szCs w:val="20"/>
                <w:color w:val="auto"/>
              </w:rPr>
            </w:pPr>
            <w:r>
              <w:rPr>
                <w:rFonts w:ascii="Courier New" w:cs="Courier New" w:eastAsia="Courier New" w:hAnsi="Courier New"/>
                <w:sz w:val="15"/>
                <w:szCs w:val="15"/>
                <w:color w:val="auto"/>
              </w:rPr>
              <w:t>45,000 shares, issued and outstanding</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540" w:type="dxa"/>
            <w:vAlign w:val="bottom"/>
          </w:tcPr>
          <w:p>
            <w:pPr>
              <w:ind w:left="920"/>
              <w:spacing w:after="0"/>
              <w:rPr>
                <w:sz w:val="20"/>
                <w:szCs w:val="20"/>
                <w:color w:val="auto"/>
              </w:rPr>
            </w:pPr>
            <w:r>
              <w:rPr>
                <w:rFonts w:ascii="Courier New" w:cs="Courier New" w:eastAsia="Courier New" w:hAnsi="Courier New"/>
                <w:sz w:val="15"/>
                <w:szCs w:val="15"/>
                <w:color w:val="auto"/>
              </w:rPr>
              <w:t>15,317 shares in 2001 and 15,247 shares in 2000</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154</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153</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30,841</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30,414</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36,139</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36,364</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Accumulated other comprehensive loss</w:t>
            </w:r>
          </w:p>
        </w:tc>
        <w:tc>
          <w:tcPr>
            <w:tcW w:w="22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(5,095)</w:t>
            </w:r>
          </w:p>
        </w:tc>
        <w:tc>
          <w:tcPr>
            <w:tcW w:w="24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(1,685)</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ind w:left="1480"/>
              <w:spacing w:after="0"/>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spacing w:after="0"/>
              <w:rPr>
                <w:sz w:val="15"/>
                <w:szCs w:val="15"/>
                <w:color w:val="auto"/>
              </w:rPr>
            </w:pP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62,039</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65,246</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540" w:type="dxa"/>
            <w:vAlign w:val="bottom"/>
          </w:tcPr>
          <w:p>
            <w:pPr>
              <w:ind w:left="148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$ 188,135</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$ 187,808</w:t>
            </w:r>
          </w:p>
        </w:tc>
      </w:tr>
      <w:tr>
        <w:trPr>
          <w:trHeight w:val="177"/>
        </w:trPr>
        <w:tc>
          <w:tcPr>
            <w:tcW w:w="5540" w:type="dxa"/>
            <w:vAlign w:val="bottom"/>
          </w:tcPr>
          <w:p>
            <w:pPr>
              <w:spacing w:after="0"/>
              <w:rPr>
                <w:sz w:val="15"/>
                <w:szCs w:val="15"/>
                <w:color w:val="auto"/>
              </w:rPr>
            </w:pPr>
          </w:p>
        </w:tc>
        <w:tc>
          <w:tcPr>
            <w:tcW w:w="11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319" w:right="1440" w:bottom="14" w:gutter="0" w:footer="0" w:header="0"/>
        </w:sectPr>
      </w:pPr>
    </w:p>
    <w:bookmarkStart w:id="19" w:name="page20"/>
    <w:bookmarkEnd w:id="19"/>
    <w:p>
      <w:pPr>
        <w:jc w:val="center"/>
        <w:ind w:right="3060"/>
        <w:spacing w:after="0"/>
        <w:rPr>
          <w:sz w:val="20"/>
          <w:szCs w:val="20"/>
          <w:color w:val="auto"/>
        </w:rPr>
      </w:pPr>
      <w:r>
        <w:rPr>
          <w:rFonts w:ascii="Courier New" w:cs="Courier New" w:eastAsia="Courier New" w:hAnsi="Courier New"/>
          <w:sz w:val="15"/>
          <w:szCs w:val="15"/>
          <w:b w:val="1"/>
          <w:bCs w:val="1"/>
          <w:color w:val="auto"/>
        </w:rPr>
        <w:t>See accompanying notes to consolidated financial statements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b w:val="1"/>
          <w:bCs w:val="1"/>
          <w:color w:val="auto"/>
        </w:rPr>
        <w:t>NN, Inc.</w:t>
      </w:r>
    </w:p>
    <w:p>
      <w:pPr>
        <w:spacing w:after="0" w:line="8"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b w:val="1"/>
          <w:bCs w:val="1"/>
          <w:color w:val="auto"/>
        </w:rPr>
        <w:t>Consolidated Statements of Income and Comprehensive Income</w:t>
      </w:r>
    </w:p>
    <w:p>
      <w:pPr>
        <w:spacing w:after="0" w:line="8"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b w:val="1"/>
          <w:bCs w:val="1"/>
          <w:color w:val="auto"/>
        </w:rPr>
        <w:t>Years ended December 31, 2001, 2000 and 1999</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gridSpan w:val="2"/>
          </w:tcPr>
          <w:p>
            <w:pPr>
              <w:ind w:left="2020"/>
              <w:spacing w:after="0"/>
              <w:rPr>
                <w:sz w:val="20"/>
                <w:szCs w:val="20"/>
                <w:color w:val="auto"/>
              </w:rPr>
            </w:pPr>
            <w:r>
              <w:rPr>
                <w:rFonts w:ascii="Courier New" w:cs="Courier New" w:eastAsia="Courier New" w:hAnsi="Courier New"/>
                <w:sz w:val="15"/>
                <w:szCs w:val="15"/>
                <w:b w:val="1"/>
                <w:bCs w:val="1"/>
                <w:color w:val="auto"/>
              </w:rPr>
              <w:t>(In thousands, except per share data)</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55"/>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2001</w:t>
            </w:r>
          </w:p>
        </w:tc>
        <w:tc>
          <w:tcPr>
            <w:tcW w:w="320" w:type="dxa"/>
            <w:vAlign w:val="bottom"/>
          </w:tcPr>
          <w:p>
            <w:pPr>
              <w:spacing w:after="0"/>
              <w:rPr>
                <w:sz w:val="24"/>
                <w:szCs w:val="24"/>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2000</w:t>
            </w:r>
          </w:p>
        </w:tc>
        <w:tc>
          <w:tcPr>
            <w:tcW w:w="320" w:type="dxa"/>
            <w:vAlign w:val="bottom"/>
          </w:tcPr>
          <w:p>
            <w:pPr>
              <w:spacing w:after="0"/>
              <w:rPr>
                <w:sz w:val="24"/>
                <w:szCs w:val="24"/>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1999</w:t>
            </w:r>
          </w:p>
        </w:tc>
      </w:tr>
      <w:tr>
        <w:trPr>
          <w:trHeight w:val="177"/>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$ 180,151</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$ 132,129</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85,294</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8"/>
              </w:rPr>
              <w:t>137,591</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93,926</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59,967</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Gross profit</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42,560</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38,203</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25,327</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24"/>
                <w:szCs w:val="24"/>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16,382</w:t>
            </w:r>
          </w:p>
        </w:tc>
        <w:tc>
          <w:tcPr>
            <w:tcW w:w="320" w:type="dxa"/>
            <w:vAlign w:val="bottom"/>
          </w:tcPr>
          <w:p>
            <w:pPr>
              <w:spacing w:after="0"/>
              <w:rPr>
                <w:sz w:val="24"/>
                <w:szCs w:val="24"/>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11,571</w:t>
            </w:r>
          </w:p>
        </w:tc>
        <w:tc>
          <w:tcPr>
            <w:tcW w:w="32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6,854</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13,340</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9,165</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6,131</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Restructuring and impairment costs</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2,312</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10,526</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17,467</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12,342</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20" w:type="dxa"/>
            <w:vAlign w:val="bottom"/>
          </w:tcPr>
          <w:p>
            <w:pPr>
              <w:spacing w:after="0"/>
              <w:rPr>
                <w:sz w:val="24"/>
                <w:szCs w:val="24"/>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4,006</w:t>
            </w:r>
          </w:p>
        </w:tc>
        <w:tc>
          <w:tcPr>
            <w:tcW w:w="320" w:type="dxa"/>
            <w:vAlign w:val="bottom"/>
          </w:tcPr>
          <w:p>
            <w:pPr>
              <w:spacing w:after="0"/>
              <w:rPr>
                <w:sz w:val="24"/>
                <w:szCs w:val="24"/>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1,773</w:t>
            </w:r>
          </w:p>
        </w:tc>
        <w:tc>
          <w:tcPr>
            <w:tcW w:w="32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523</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Equity in earnings of unconsolidated affiliates</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gain on involuntary conversion</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(3,901)</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(728)</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(186)</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(136)</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10,607</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16,606</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11,819</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4,094</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5,959</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4,060</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subsidiaries</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1,753</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660</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Income before cumulative effect of change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in accounting principle</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4,760</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9,987</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7,759</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principle, net of income tax benefit of $112</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and related minority interest impact of $84</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98</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4,662</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9,987</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7,759</w:t>
            </w:r>
          </w:p>
        </w:tc>
      </w:tr>
      <w:tr>
        <w:trPr>
          <w:trHeight w:val="355"/>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Additional minimum pension liability, net of tax</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of $31</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(53)</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Foreign currency translation</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(3,357)</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(1,563)</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Comprehensive income</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1,252</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9,980</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6,196</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Income before cumulative effect of change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in accounting principle</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0.31</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0.66</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principle</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(0.01)</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0.31</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0.66</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Weighted average shares outstanding</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15,259</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15,247</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15,021</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Diluted income per share: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Income before cumulative effect of change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in accounting principle</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0.31</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0.64</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principle</w:t>
            </w:r>
          </w:p>
        </w:tc>
        <w:tc>
          <w:tcPr>
            <w:tcW w:w="32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(0.01)</w:t>
            </w:r>
          </w:p>
        </w:tc>
        <w:tc>
          <w:tcPr>
            <w:tcW w:w="32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0.30</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0.64</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15,540</w:t>
            </w:r>
          </w:p>
        </w:tc>
        <w:tc>
          <w:tcPr>
            <w:tcW w:w="32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15,531</w:t>
            </w:r>
          </w:p>
        </w:tc>
        <w:tc>
          <w:tcPr>
            <w:tcW w:w="3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15,038</w:t>
            </w:r>
          </w:p>
        </w:tc>
      </w:tr>
      <w:tr>
        <w:trPr>
          <w:trHeight w:val="177"/>
        </w:trPr>
        <w:tc>
          <w:tcPr>
            <w:tcW w:w="5120" w:type="dxa"/>
            <w:vAlign w:val="bottom"/>
          </w:tcPr>
          <w:p>
            <w:pPr>
              <w:spacing w:after="0"/>
              <w:rPr>
                <w:sz w:val="15"/>
                <w:szCs w:val="15"/>
                <w:color w:val="auto"/>
              </w:rPr>
            </w:pP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b w:val="1"/>
          <w:bCs w:val="1"/>
          <w:color w:val="auto"/>
        </w:rPr>
        <w:t>See accompanying notes to consolidated financial statements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left="1860"/>
        <w:spacing w:after="0"/>
        <w:rPr>
          <w:sz w:val="20"/>
          <w:szCs w:val="20"/>
          <w:color w:val="auto"/>
        </w:rPr>
      </w:pPr>
      <w:r>
        <w:rPr>
          <w:rFonts w:ascii="Courier New" w:cs="Courier New" w:eastAsia="Courier New" w:hAnsi="Courier New"/>
          <w:sz w:val="15"/>
          <w:szCs w:val="15"/>
          <w:b w:val="1"/>
          <w:bCs w:val="1"/>
          <w:color w:val="auto"/>
        </w:rPr>
        <w:t>NN, Inc.</w:t>
      </w:r>
    </w:p>
    <w:p>
      <w:pPr>
        <w:spacing w:after="0" w:line="8" w:lineRule="exact"/>
        <w:rPr>
          <w:sz w:val="20"/>
          <w:szCs w:val="20"/>
          <w:color w:val="auto"/>
        </w:rPr>
      </w:pPr>
    </w:p>
    <w:p>
      <w:pPr>
        <w:jc w:val="center"/>
        <w:ind w:left="1860"/>
        <w:spacing w:after="0"/>
        <w:rPr>
          <w:sz w:val="20"/>
          <w:szCs w:val="20"/>
          <w:color w:val="auto"/>
        </w:rPr>
      </w:pPr>
      <w:r>
        <w:rPr>
          <w:rFonts w:ascii="Courier New" w:cs="Courier New" w:eastAsia="Courier New" w:hAnsi="Courier New"/>
          <w:sz w:val="15"/>
          <w:szCs w:val="15"/>
          <w:b w:val="1"/>
          <w:bCs w:val="1"/>
          <w:color w:val="auto"/>
        </w:rPr>
        <w:t>Consolidated Statements of Changes in Stockholders' Equity</w:t>
      </w:r>
    </w:p>
    <w:p>
      <w:pPr>
        <w:spacing w:after="0" w:line="8" w:lineRule="exact"/>
        <w:rPr>
          <w:sz w:val="20"/>
          <w:szCs w:val="20"/>
          <w:color w:val="auto"/>
        </w:rPr>
      </w:pPr>
    </w:p>
    <w:p>
      <w:pPr>
        <w:jc w:val="center"/>
        <w:ind w:left="1860"/>
        <w:spacing w:after="0"/>
        <w:rPr>
          <w:sz w:val="20"/>
          <w:szCs w:val="20"/>
          <w:color w:val="auto"/>
        </w:rPr>
      </w:pPr>
      <w:r>
        <w:rPr>
          <w:rFonts w:ascii="Courier New" w:cs="Courier New" w:eastAsia="Courier New" w:hAnsi="Courier New"/>
          <w:sz w:val="15"/>
          <w:szCs w:val="15"/>
          <w:b w:val="1"/>
          <w:bCs w:val="1"/>
          <w:color w:val="auto"/>
        </w:rPr>
        <w:t>Years ended December 31, 2001, 2000 and 1999</w:t>
      </w:r>
    </w:p>
    <w:p>
      <w:pPr>
        <w:spacing w:after="0" w:line="8" w:lineRule="exact"/>
        <w:rPr>
          <w:sz w:val="20"/>
          <w:szCs w:val="20"/>
          <w:color w:val="auto"/>
        </w:rPr>
      </w:pPr>
    </w:p>
    <w:p>
      <w:pPr>
        <w:jc w:val="center"/>
        <w:ind w:left="1860"/>
        <w:spacing w:after="0"/>
        <w:rPr>
          <w:sz w:val="20"/>
          <w:szCs w:val="20"/>
          <w:color w:val="auto"/>
        </w:rPr>
      </w:pPr>
      <w:r>
        <w:rPr>
          <w:rFonts w:ascii="Courier New" w:cs="Courier New" w:eastAsia="Courier New" w:hAnsi="Courier New"/>
          <w:sz w:val="15"/>
          <w:szCs w:val="15"/>
          <w:b w:val="1"/>
          <w:bCs w:val="1"/>
          <w:color w:val="auto"/>
        </w:rPr>
        <w:t>(In thousands)</w:t>
      </w:r>
    </w:p>
    <w:p>
      <w:pPr>
        <w:sectPr>
          <w:pgSz w:w="11900" w:h="16838" w:orient="portrait"/>
          <w:cols w:equalWidth="0" w:num="1">
            <w:col w:w="10520"/>
          </w:cols>
          <w:pgMar w:left="240" w:top="319" w:right="1139" w:bottom="0" w:gutter="0" w:footer="0" w:header="0"/>
        </w:sectPr>
      </w:pPr>
    </w:p>
    <w:p>
      <w:pPr>
        <w:spacing w:after="0" w:line="362"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b w:val="1"/>
          <w:bCs w:val="1"/>
          <w:color w:val="auto"/>
        </w:rPr>
        <w:t>Common Stock</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b w:val="1"/>
          <w:bCs w:val="1"/>
          <w:color w:val="auto"/>
        </w:rPr>
        <w:t>--------------------------</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5"/>
          <w:szCs w:val="15"/>
          <w:b w:val="1"/>
          <w:bCs w:val="1"/>
          <w:color w:val="auto"/>
        </w:rPr>
        <w:t>Additional</w:t>
      </w:r>
    </w:p>
    <w:p>
      <w:pPr>
        <w:spacing w:after="0" w:line="8" w:lineRule="exact"/>
        <w:rPr>
          <w:sz w:val="20"/>
          <w:szCs w:val="20"/>
          <w:color w:val="auto"/>
        </w:rPr>
      </w:pPr>
    </w:p>
    <w:p>
      <w:pPr>
        <w:ind w:left="4240"/>
        <w:spacing w:after="0"/>
        <w:tabs>
          <w:tab w:leader="none" w:pos="5420" w:val="left"/>
          <w:tab w:leader="none" w:pos="6160" w:val="left"/>
        </w:tabs>
        <w:rPr>
          <w:sz w:val="20"/>
          <w:szCs w:val="20"/>
          <w:color w:val="auto"/>
        </w:rPr>
      </w:pPr>
      <w:r>
        <w:rPr>
          <w:rFonts w:ascii="Courier New" w:cs="Courier New" w:eastAsia="Courier New" w:hAnsi="Courier New"/>
          <w:sz w:val="15"/>
          <w:szCs w:val="15"/>
          <w:b w:val="1"/>
          <w:bCs w:val="1"/>
          <w:color w:val="auto"/>
        </w:rPr>
        <w:t>Number</w:t>
      </w:r>
      <w:r>
        <w:rPr>
          <w:sz w:val="20"/>
          <w:szCs w:val="20"/>
          <w:color w:val="auto"/>
        </w:rPr>
        <w:tab/>
      </w:r>
      <w:r>
        <w:rPr>
          <w:rFonts w:ascii="Courier New" w:cs="Courier New" w:eastAsia="Courier New" w:hAnsi="Courier New"/>
          <w:sz w:val="15"/>
          <w:szCs w:val="15"/>
          <w:b w:val="1"/>
          <w:bCs w:val="1"/>
          <w:color w:val="auto"/>
        </w:rPr>
        <w:t>Par</w:t>
      </w:r>
      <w:r>
        <w:rPr>
          <w:sz w:val="20"/>
          <w:szCs w:val="20"/>
          <w:color w:val="auto"/>
        </w:rPr>
        <w:tab/>
      </w:r>
      <w:r>
        <w:rPr>
          <w:rFonts w:ascii="Courier New" w:cs="Courier New" w:eastAsia="Courier New" w:hAnsi="Courier New"/>
          <w:sz w:val="15"/>
          <w:szCs w:val="15"/>
          <w:b w:val="1"/>
          <w:bCs w:val="1"/>
          <w:color w:val="auto"/>
        </w:rPr>
        <w:t>Paid-In</w:t>
      </w:r>
    </w:p>
    <w:p>
      <w:pPr>
        <w:spacing w:after="0" w:line="8" w:lineRule="exact"/>
        <w:rPr>
          <w:sz w:val="20"/>
          <w:szCs w:val="20"/>
          <w:color w:val="auto"/>
        </w:rPr>
      </w:pPr>
    </w:p>
    <w:p>
      <w:pPr>
        <w:ind w:left="4140"/>
        <w:spacing w:after="0"/>
        <w:tabs>
          <w:tab w:leader="none" w:pos="5320" w:val="left"/>
          <w:tab w:leader="none" w:pos="6160" w:val="left"/>
        </w:tabs>
        <w:rPr>
          <w:sz w:val="20"/>
          <w:szCs w:val="20"/>
          <w:color w:val="auto"/>
        </w:rPr>
      </w:pPr>
      <w:r>
        <w:rPr>
          <w:rFonts w:ascii="Courier New" w:cs="Courier New" w:eastAsia="Courier New" w:hAnsi="Courier New"/>
          <w:sz w:val="15"/>
          <w:szCs w:val="15"/>
          <w:b w:val="1"/>
          <w:bCs w:val="1"/>
          <w:color w:val="auto"/>
        </w:rPr>
        <w:t>of shares</w:t>
      </w:r>
      <w:r>
        <w:rPr>
          <w:sz w:val="20"/>
          <w:szCs w:val="20"/>
          <w:color w:val="auto"/>
        </w:rPr>
        <w:tab/>
      </w:r>
      <w:r>
        <w:rPr>
          <w:rFonts w:ascii="Courier New" w:cs="Courier New" w:eastAsia="Courier New" w:hAnsi="Courier New"/>
          <w:sz w:val="15"/>
          <w:szCs w:val="15"/>
          <w:b w:val="1"/>
          <w:bCs w:val="1"/>
          <w:color w:val="auto"/>
        </w:rPr>
        <w:t>Value</w:t>
      </w:r>
      <w:r>
        <w:rPr>
          <w:sz w:val="20"/>
          <w:szCs w:val="20"/>
          <w:color w:val="auto"/>
        </w:rPr>
        <w:tab/>
      </w:r>
      <w:r>
        <w:rPr>
          <w:rFonts w:ascii="Courier New" w:cs="Courier New" w:eastAsia="Courier New" w:hAnsi="Courier New"/>
          <w:sz w:val="15"/>
          <w:szCs w:val="15"/>
          <w:b w:val="1"/>
          <w:bCs w:val="1"/>
          <w:color w:val="auto"/>
        </w:rPr>
        <w:t>Capital</w:t>
      </w:r>
    </w:p>
    <w:p>
      <w:pPr>
        <w:spacing w:after="0" w:line="8" w:lineRule="exact"/>
        <w:rPr>
          <w:sz w:val="20"/>
          <w:szCs w:val="20"/>
          <w:color w:val="auto"/>
        </w:rPr>
      </w:pPr>
    </w:p>
    <w:p>
      <w:pPr>
        <w:ind w:left="4060"/>
        <w:spacing w:after="0"/>
        <w:tabs>
          <w:tab w:leader="none" w:pos="6060" w:val="left"/>
        </w:tabs>
        <w:rPr>
          <w:sz w:val="20"/>
          <w:szCs w:val="20"/>
          <w:color w:val="auto"/>
        </w:rPr>
      </w:pPr>
      <w:r>
        <w:rPr>
          <w:rFonts w:ascii="Courier New" w:cs="Courier New" w:eastAsia="Courier New" w:hAnsi="Courier New"/>
          <w:sz w:val="15"/>
          <w:szCs w:val="15"/>
          <w:b w:val="1"/>
          <w:bCs w:val="1"/>
          <w:color w:val="auto"/>
        </w:rPr>
        <w:t>------------ -------</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b w:val="1"/>
          <w:bCs w:val="1"/>
          <w:color w:val="auto"/>
        </w:rPr>
        <w:t>Accumulated</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b w:val="1"/>
          <w:bCs w:val="1"/>
          <w:color w:val="auto"/>
        </w:rPr>
        <w:t>Other</w:t>
      </w:r>
    </w:p>
    <w:p>
      <w:pPr>
        <w:spacing w:after="0" w:line="8" w:lineRule="exact"/>
        <w:rPr>
          <w:sz w:val="20"/>
          <w:szCs w:val="20"/>
          <w:color w:val="auto"/>
        </w:rPr>
      </w:pPr>
    </w:p>
    <w:p>
      <w:pPr>
        <w:ind w:left="100"/>
        <w:spacing w:after="0"/>
        <w:tabs>
          <w:tab w:leader="none" w:pos="1000" w:val="left"/>
        </w:tabs>
        <w:rPr>
          <w:sz w:val="20"/>
          <w:szCs w:val="20"/>
          <w:color w:val="auto"/>
        </w:rPr>
      </w:pPr>
      <w:r>
        <w:rPr>
          <w:rFonts w:ascii="Courier New" w:cs="Courier New" w:eastAsia="Courier New" w:hAnsi="Courier New"/>
          <w:sz w:val="15"/>
          <w:szCs w:val="15"/>
          <w:b w:val="1"/>
          <w:bCs w:val="1"/>
          <w:color w:val="auto"/>
        </w:rPr>
        <w:t>Retained</w:t>
        <w:tab/>
        <w:t>Comprehensive</w:t>
      </w:r>
    </w:p>
    <w:p>
      <w:pPr>
        <w:spacing w:after="0" w:line="8" w:lineRule="exact"/>
        <w:rPr>
          <w:sz w:val="20"/>
          <w:szCs w:val="20"/>
          <w:color w:val="auto"/>
        </w:rPr>
      </w:pPr>
    </w:p>
    <w:p>
      <w:pPr>
        <w:ind w:left="100"/>
        <w:spacing w:after="0"/>
        <w:tabs>
          <w:tab w:leader="none" w:pos="1360" w:val="left"/>
          <w:tab w:leader="none" w:pos="2560" w:val="left"/>
        </w:tabs>
        <w:rPr>
          <w:sz w:val="20"/>
          <w:szCs w:val="20"/>
          <w:color w:val="auto"/>
        </w:rPr>
      </w:pPr>
      <w:r>
        <w:rPr>
          <w:rFonts w:ascii="Courier New" w:cs="Courier New" w:eastAsia="Courier New" w:hAnsi="Courier New"/>
          <w:sz w:val="15"/>
          <w:szCs w:val="15"/>
          <w:b w:val="1"/>
          <w:bCs w:val="1"/>
          <w:color w:val="auto"/>
        </w:rPr>
        <w:t>Earnings</w:t>
      </w:r>
      <w:r>
        <w:rPr>
          <w:sz w:val="20"/>
          <w:szCs w:val="20"/>
          <w:color w:val="auto"/>
        </w:rPr>
        <w:tab/>
      </w:r>
      <w:r>
        <w:rPr>
          <w:rFonts w:ascii="Courier New" w:cs="Courier New" w:eastAsia="Courier New" w:hAnsi="Courier New"/>
          <w:sz w:val="15"/>
          <w:szCs w:val="15"/>
          <w:b w:val="1"/>
          <w:bCs w:val="1"/>
          <w:color w:val="auto"/>
        </w:rPr>
        <w:t>Loss</w:t>
      </w:r>
      <w:r>
        <w:rPr>
          <w:sz w:val="20"/>
          <w:szCs w:val="20"/>
          <w:color w:val="auto"/>
        </w:rPr>
        <w:tab/>
      </w:r>
      <w:r>
        <w:rPr>
          <w:rFonts w:ascii="Courier New" w:cs="Courier New" w:eastAsia="Courier New" w:hAnsi="Courier New"/>
          <w:sz w:val="15"/>
          <w:szCs w:val="15"/>
          <w:b w:val="1"/>
          <w:bCs w:val="1"/>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 ------------ ------------</w:t>
      </w:r>
    </w:p>
    <w:p>
      <w:pPr>
        <w:spacing w:after="0" w:line="185" w:lineRule="exact"/>
        <w:rPr>
          <w:sz w:val="20"/>
          <w:szCs w:val="20"/>
          <w:color w:val="auto"/>
        </w:rPr>
      </w:pPr>
    </w:p>
    <w:p>
      <w:pPr>
        <w:sectPr>
          <w:pgSz w:w="11900" w:h="16838" w:orient="portrait"/>
          <w:cols w:equalWidth="0" w:num="2">
            <w:col w:w="7100" w:space="0"/>
            <w:col w:w="3420"/>
          </w:cols>
          <w:pgMar w:left="240" w:top="319" w:right="1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 at December 31, 1998</w:t>
      </w:r>
    </w:p>
    <w:p>
      <w:pPr>
        <w:spacing w:after="0" w:line="20" w:lineRule="exact"/>
        <w:rPr>
          <w:sz w:val="20"/>
          <w:szCs w:val="20"/>
          <w:color w:val="auto"/>
        </w:rPr>
      </w:pPr>
      <w:r>
        <w:rPr>
          <w:sz w:val="20"/>
          <w:szCs w:val="20"/>
          <w:color w:val="auto"/>
        </w:rPr>
        <w:br w:type="column"/>
      </w:r>
    </w:p>
    <w:p>
      <w:pPr>
        <w:spacing w:after="0"/>
        <w:tabs>
          <w:tab w:leader="none" w:pos="800" w:val="left"/>
        </w:tabs>
        <w:rPr>
          <w:sz w:val="20"/>
          <w:szCs w:val="20"/>
          <w:color w:val="auto"/>
        </w:rPr>
      </w:pPr>
      <w:r>
        <w:rPr>
          <w:rFonts w:ascii="Courier New" w:cs="Courier New" w:eastAsia="Courier New" w:hAnsi="Courier New"/>
          <w:sz w:val="15"/>
          <w:szCs w:val="15"/>
          <w:color w:val="auto"/>
        </w:rPr>
        <w:t>14,804</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540" w:val="left"/>
        </w:tabs>
        <w:rPr>
          <w:sz w:val="20"/>
          <w:szCs w:val="20"/>
          <w:color w:val="auto"/>
        </w:rPr>
      </w:pPr>
      <w:r>
        <w:rPr>
          <w:rFonts w:ascii="Courier New" w:cs="Courier New" w:eastAsia="Courier New" w:hAnsi="Courier New"/>
          <w:sz w:val="15"/>
          <w:szCs w:val="15"/>
          <w:color w:val="auto"/>
        </w:rPr>
        <w:t>149</w:t>
      </w:r>
      <w:r>
        <w:rPr>
          <w:sz w:val="20"/>
          <w:szCs w:val="20"/>
          <w:color w:val="auto"/>
        </w:rPr>
        <w:tab/>
      </w:r>
      <w:r>
        <w:rPr>
          <w:rFonts w:ascii="Courier New" w:cs="Courier New" w:eastAsia="Courier New" w:hAnsi="Courier New"/>
          <w:sz w:val="15"/>
          <w:szCs w:val="15"/>
          <w:color w:val="auto"/>
        </w:rPr>
        <w:t>$ 27,902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$ 28,306</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5"/>
          <w:szCs w:val="15"/>
          <w:color w:val="auto"/>
        </w:rPr>
        <w:t>$</w:t>
        <w:tab/>
        <w:t>(115)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$ 56,242</w:t>
      </w:r>
    </w:p>
    <w:p>
      <w:pPr>
        <w:sectPr>
          <w:pgSz w:w="11900" w:h="16838" w:orient="portrait"/>
          <w:cols w:equalWidth="0" w:num="6">
            <w:col w:w="3620" w:space="720"/>
            <w:col w:w="920" w:space="360"/>
            <w:col w:w="1300" w:space="280"/>
            <w:col w:w="720" w:space="380"/>
            <w:col w:w="820" w:space="280"/>
            <w:col w:w="1120"/>
          </w:cols>
          <w:pgMar w:left="240" w:top="319" w:right="113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72"/>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Shares Issued</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440</w:t>
            </w:r>
          </w:p>
        </w:tc>
        <w:tc>
          <w:tcPr>
            <w:tcW w:w="380" w:type="dxa"/>
            <w:vAlign w:val="bottom"/>
          </w:tcPr>
          <w:p>
            <w:pPr>
              <w:spacing w:after="0"/>
              <w:rPr>
                <w:sz w:val="14"/>
                <w:szCs w:val="14"/>
                <w:color w:val="auto"/>
              </w:rPr>
            </w:pP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2,496</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2,500</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7,759</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7,759</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Dividends paid</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(4,810)</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(4,810)</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Cumulative translation loss</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(1,563)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(1,563)</w:t>
            </w:r>
          </w:p>
        </w:tc>
      </w:tr>
      <w:tr>
        <w:trPr>
          <w:trHeight w:val="177"/>
        </w:trPr>
        <w:tc>
          <w:tcPr>
            <w:tcW w:w="400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15,244</w:t>
            </w:r>
          </w:p>
        </w:tc>
        <w:tc>
          <w:tcPr>
            <w:tcW w:w="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153</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$ 30,398</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$ 31,255</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(1,678)</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$ 60,128</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Shares Issued</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9,987</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9,987</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Dividends paid</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(4,878)</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(4,878)</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Cumulative translation loss</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7"/>
        </w:trPr>
        <w:tc>
          <w:tcPr>
            <w:tcW w:w="400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Balance, December 31, 2000</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15,247</w:t>
            </w:r>
          </w:p>
        </w:tc>
        <w:tc>
          <w:tcPr>
            <w:tcW w:w="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153</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$ 30,414</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$ 36,364</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(1,685)</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$ 65,246</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Shares Issued</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70</w:t>
            </w:r>
          </w:p>
        </w:tc>
        <w:tc>
          <w:tcPr>
            <w:tcW w:w="380" w:type="dxa"/>
            <w:vAlign w:val="bottom"/>
          </w:tcPr>
          <w:p>
            <w:pPr>
              <w:spacing w:after="0"/>
              <w:rPr>
                <w:sz w:val="15"/>
                <w:szCs w:val="15"/>
                <w:color w:val="auto"/>
              </w:rPr>
            </w:pP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427</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428</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4,662</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4,662</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Dividends paid</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(4,887)</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(4,887)</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Additional minimum pension liability</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Cumulative translation loss</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5"/>
                <w:szCs w:val="15"/>
                <w:color w:val="auto"/>
              </w:rPr>
            </w:pP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(3,357)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(3,357)</w:t>
            </w:r>
          </w:p>
        </w:tc>
      </w:tr>
      <w:tr>
        <w:trPr>
          <w:trHeight w:val="177"/>
        </w:trPr>
        <w:tc>
          <w:tcPr>
            <w:tcW w:w="400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Balance, December 31, 2001</w:t>
            </w:r>
          </w:p>
        </w:tc>
        <w:tc>
          <w:tcPr>
            <w:tcW w:w="102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15,317</w:t>
            </w:r>
          </w:p>
        </w:tc>
        <w:tc>
          <w:tcPr>
            <w:tcW w:w="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154</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$ 30,841</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$ 36,139</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(5,095)</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$ 62,039</w:t>
            </w:r>
          </w:p>
        </w:tc>
      </w:tr>
      <w:tr>
        <w:trPr>
          <w:trHeight w:val="177"/>
        </w:trPr>
        <w:tc>
          <w:tcPr>
            <w:tcW w:w="400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b w:val="1"/>
          <w:bCs w:val="1"/>
          <w:color w:val="auto"/>
        </w:rPr>
        <w:t>See accompanying notes to consolidated financial statements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40" w:type="dxa"/>
            <w:vAlign w:val="bottom"/>
          </w:tcPr>
          <w:p>
            <w:pPr>
              <w:jc w:val="center"/>
              <w:ind w:left="5363"/>
              <w:spacing w:after="0"/>
              <w:rPr>
                <w:sz w:val="20"/>
                <w:szCs w:val="20"/>
                <w:color w:val="auto"/>
              </w:rPr>
            </w:pPr>
            <w:r>
              <w:rPr>
                <w:rFonts w:ascii="Courier New" w:cs="Courier New" w:eastAsia="Courier New" w:hAnsi="Courier New"/>
                <w:sz w:val="15"/>
                <w:szCs w:val="15"/>
                <w:b w:val="1"/>
                <w:bCs w:val="1"/>
                <w:color w:val="auto"/>
              </w:rPr>
              <w:t>NN, Inc.</w:t>
            </w: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7"/>
        </w:trPr>
        <w:tc>
          <w:tcPr>
            <w:tcW w:w="8200" w:type="dxa"/>
            <w:vAlign w:val="bottom"/>
            <w:gridSpan w:val="2"/>
          </w:tcPr>
          <w:p>
            <w:pPr>
              <w:jc w:val="right"/>
              <w:ind w:right="383"/>
              <w:spacing w:after="0"/>
              <w:rPr>
                <w:sz w:val="20"/>
                <w:szCs w:val="20"/>
                <w:color w:val="auto"/>
              </w:rPr>
            </w:pPr>
            <w:r>
              <w:rPr>
                <w:rFonts w:ascii="Courier New" w:cs="Courier New" w:eastAsia="Courier New" w:hAnsi="Courier New"/>
                <w:sz w:val="15"/>
                <w:szCs w:val="15"/>
                <w:b w:val="1"/>
                <w:bCs w:val="1"/>
                <w:color w:val="auto"/>
              </w:rPr>
              <w:t>Consolidated Statements of Cash Flows</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8200" w:type="dxa"/>
            <w:vAlign w:val="bottom"/>
            <w:gridSpan w:val="2"/>
          </w:tcPr>
          <w:p>
            <w:pPr>
              <w:jc w:val="center"/>
              <w:ind w:left="3903"/>
              <w:spacing w:after="0"/>
              <w:rPr>
                <w:sz w:val="20"/>
                <w:szCs w:val="20"/>
                <w:color w:val="auto"/>
              </w:rPr>
            </w:pPr>
            <w:r>
              <w:rPr>
                <w:rFonts w:ascii="Courier New" w:cs="Courier New" w:eastAsia="Courier New" w:hAnsi="Courier New"/>
                <w:sz w:val="15"/>
                <w:szCs w:val="15"/>
                <w:b w:val="1"/>
                <w:bCs w:val="1"/>
                <w:color w:val="auto"/>
              </w:rPr>
              <w:t>Years Ended December 31, 2001, 2000 and 1999</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740" w:type="dxa"/>
            <w:vAlign w:val="bottom"/>
          </w:tcPr>
          <w:p>
            <w:pPr>
              <w:jc w:val="center"/>
              <w:ind w:left="5363"/>
              <w:spacing w:after="0"/>
              <w:rPr>
                <w:sz w:val="20"/>
                <w:szCs w:val="20"/>
                <w:color w:val="auto"/>
              </w:rPr>
            </w:pPr>
            <w:r>
              <w:rPr>
                <w:rFonts w:ascii="Courier New" w:cs="Courier New" w:eastAsia="Courier New" w:hAnsi="Courier New"/>
                <w:sz w:val="15"/>
                <w:szCs w:val="15"/>
                <w:b w:val="1"/>
                <w:bCs w:val="1"/>
                <w:color w:val="auto"/>
              </w:rPr>
              <w:t>(In Thousands)</w:t>
            </w: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740" w:type="dxa"/>
            <w:vAlign w:val="bottom"/>
          </w:tcPr>
          <w:p>
            <w:pPr>
              <w:spacing w:after="0"/>
              <w:rPr>
                <w:sz w:val="15"/>
                <w:szCs w:val="15"/>
                <w:color w:val="auto"/>
              </w:rPr>
            </w:pPr>
          </w:p>
        </w:tc>
        <w:tc>
          <w:tcPr>
            <w:tcW w:w="146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2001</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b w:val="1"/>
                <w:bCs w:val="1"/>
                <w:color w:val="auto"/>
              </w:rPr>
              <w:t>2000</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1999</w:t>
            </w:r>
          </w:p>
        </w:tc>
      </w:tr>
      <w:tr>
        <w:trPr>
          <w:trHeight w:val="177"/>
        </w:trPr>
        <w:tc>
          <w:tcPr>
            <w:tcW w:w="6740" w:type="dxa"/>
            <w:vAlign w:val="bottom"/>
          </w:tcPr>
          <w:p>
            <w:pPr>
              <w:spacing w:after="0"/>
              <w:rPr>
                <w:sz w:val="15"/>
                <w:szCs w:val="15"/>
                <w:color w:val="auto"/>
              </w:rPr>
            </w:pPr>
          </w:p>
        </w:tc>
        <w:tc>
          <w:tcPr>
            <w:tcW w:w="3500" w:type="dxa"/>
            <w:vAlign w:val="bottom"/>
            <w:gridSpan w:val="3"/>
          </w:tcPr>
          <w:p>
            <w:pPr>
              <w:jc w:val="right"/>
              <w:ind w:right="203"/>
              <w:spacing w:after="0"/>
              <w:rPr>
                <w:sz w:val="20"/>
                <w:szCs w:val="20"/>
                <w:color w:val="auto"/>
              </w:rPr>
            </w:pPr>
            <w:r>
              <w:rPr>
                <w:rFonts w:ascii="Courier New" w:cs="Courier New" w:eastAsia="Courier New" w:hAnsi="Courier New"/>
                <w:sz w:val="15"/>
                <w:szCs w:val="15"/>
                <w:b w:val="1"/>
                <w:bCs w:val="1"/>
                <w:color w:val="auto"/>
              </w:rPr>
              <w:t>-----------  ----------- ----------</w:t>
            </w:r>
          </w:p>
        </w:tc>
      </w:tr>
      <w:tr>
        <w:trPr>
          <w:trHeight w:val="177"/>
        </w:trPr>
        <w:tc>
          <w:tcPr>
            <w:tcW w:w="6740" w:type="dxa"/>
            <w:vAlign w:val="bottom"/>
          </w:tcPr>
          <w:p>
            <w:pPr>
              <w:spacing w:after="0"/>
              <w:rPr>
                <w:sz w:val="20"/>
                <w:szCs w:val="20"/>
                <w:color w:val="auto"/>
              </w:rPr>
            </w:pPr>
            <w:r>
              <w:rPr>
                <w:rFonts w:ascii="Courier New" w:cs="Courier New" w:eastAsia="Courier New" w:hAnsi="Courier New"/>
                <w:sz w:val="15"/>
                <w:szCs w:val="15"/>
                <w:b w:val="1"/>
                <w:bCs w:val="1"/>
                <w:color w:val="auto"/>
              </w:rPr>
              <w:t>Cash flows from operating activities:</w:t>
            </w: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4,662</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9,987</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7,759</w:t>
            </w:r>
          </w:p>
        </w:tc>
      </w:tr>
      <w:tr>
        <w:trPr>
          <w:trHeight w:val="177"/>
        </w:trPr>
        <w:tc>
          <w:tcPr>
            <w:tcW w:w="82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Adjustments to reconcile net income to net cash provided by operating</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740" w:type="dxa"/>
            <w:vAlign w:val="bottom"/>
          </w:tcPr>
          <w:p>
            <w:pPr>
              <w:ind w:left="740"/>
              <w:spacing w:after="0"/>
              <w:rPr>
                <w:sz w:val="20"/>
                <w:szCs w:val="20"/>
                <w:color w:val="auto"/>
              </w:rPr>
            </w:pPr>
            <w:r>
              <w:rPr>
                <w:rFonts w:ascii="Courier New" w:cs="Courier New" w:eastAsia="Courier New" w:hAnsi="Courier New"/>
                <w:sz w:val="15"/>
                <w:szCs w:val="15"/>
                <w:color w:val="auto"/>
              </w:rPr>
              <w:t>activities:</w:t>
            </w: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13,340</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9,165</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6,131</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98</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Loss on disposals of property, plant and equipment</w:t>
            </w:r>
          </w:p>
        </w:tc>
        <w:tc>
          <w:tcPr>
            <w:tcW w:w="14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1,194</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Loss on sale of NNG</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222</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Equity in earnings of unconsolidated affiliates</w:t>
            </w:r>
          </w:p>
        </w:tc>
        <w:tc>
          <w:tcPr>
            <w:tcW w:w="14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Deferred income tax</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433</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1,185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Interest income on receivable from unconsolidated affiliates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(104)</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(159)</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Minority interest in consolidated subsidiary</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1,753</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660</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Restructuring costs and impairment costs</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2,312</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740" w:type="dxa"/>
            <w:vAlign w:val="bottom"/>
          </w:tcPr>
          <w:p>
            <w:pPr>
              <w:ind w:left="1380"/>
              <w:spacing w:after="0"/>
              <w:rPr>
                <w:sz w:val="20"/>
                <w:szCs w:val="20"/>
                <w:color w:val="auto"/>
              </w:rPr>
            </w:pPr>
            <w:r>
              <w:rPr>
                <w:rFonts w:ascii="Courier New" w:cs="Courier New" w:eastAsia="Courier New" w:hAnsi="Courier New"/>
                <w:sz w:val="15"/>
                <w:szCs w:val="15"/>
                <w:color w:val="auto"/>
              </w:rPr>
              <w:t>Accounts receivable</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6,838</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1,955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(641)</w:t>
            </w:r>
          </w:p>
        </w:tc>
      </w:tr>
      <w:tr>
        <w:trPr>
          <w:trHeight w:val="177"/>
        </w:trPr>
        <w:tc>
          <w:tcPr>
            <w:tcW w:w="6740" w:type="dxa"/>
            <w:vAlign w:val="bottom"/>
          </w:tcPr>
          <w:p>
            <w:pPr>
              <w:ind w:left="1380"/>
              <w:spacing w:after="0"/>
              <w:rPr>
                <w:sz w:val="20"/>
                <w:szCs w:val="20"/>
                <w:color w:val="auto"/>
              </w:rPr>
            </w:pPr>
            <w:r>
              <w:rPr>
                <w:rFonts w:ascii="Courier New" w:cs="Courier New" w:eastAsia="Courier New" w:hAnsi="Courier New"/>
                <w:sz w:val="15"/>
                <w:szCs w:val="15"/>
                <w:color w:val="auto"/>
              </w:rPr>
              <w:t>Inventories</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1,175</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(3,021)</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5,121</w:t>
            </w:r>
          </w:p>
        </w:tc>
      </w:tr>
      <w:tr>
        <w:trPr>
          <w:trHeight w:val="177"/>
        </w:trPr>
        <w:tc>
          <w:tcPr>
            <w:tcW w:w="6740" w:type="dxa"/>
            <w:vAlign w:val="bottom"/>
          </w:tcPr>
          <w:p>
            <w:pPr>
              <w:ind w:left="1380"/>
              <w:spacing w:after="0"/>
              <w:rPr>
                <w:sz w:val="20"/>
                <w:szCs w:val="20"/>
                <w:color w:val="auto"/>
              </w:rPr>
            </w:pPr>
            <w:r>
              <w:rPr>
                <w:rFonts w:ascii="Courier New" w:cs="Courier New" w:eastAsia="Courier New" w:hAnsi="Courier New"/>
                <w:sz w:val="15"/>
                <w:szCs w:val="15"/>
                <w:color w:val="auto"/>
              </w:rPr>
              <w:t>Other current assets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(1,461)</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(106)</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471</w:t>
            </w:r>
          </w:p>
        </w:tc>
      </w:tr>
      <w:tr>
        <w:trPr>
          <w:trHeight w:val="177"/>
        </w:trPr>
        <w:tc>
          <w:tcPr>
            <w:tcW w:w="6740" w:type="dxa"/>
            <w:vAlign w:val="bottom"/>
          </w:tcPr>
          <w:p>
            <w:pPr>
              <w:ind w:left="1380"/>
              <w:spacing w:after="0"/>
              <w:rPr>
                <w:sz w:val="20"/>
                <w:szCs w:val="20"/>
                <w:color w:val="auto"/>
              </w:rPr>
            </w:pPr>
            <w:r>
              <w:rPr>
                <w:rFonts w:ascii="Courier New" w:cs="Courier New" w:eastAsia="Courier New" w:hAnsi="Courier New"/>
                <w:sz w:val="15"/>
                <w:szCs w:val="15"/>
                <w:color w:val="auto"/>
              </w:rPr>
              <w:t>Other assets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(618)</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(1,719)</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w:t>
            </w:r>
          </w:p>
        </w:tc>
      </w:tr>
      <w:tr>
        <w:trPr>
          <w:trHeight w:val="177"/>
        </w:trPr>
        <w:tc>
          <w:tcPr>
            <w:tcW w:w="6740" w:type="dxa"/>
            <w:vAlign w:val="bottom"/>
          </w:tcPr>
          <w:p>
            <w:pPr>
              <w:ind w:left="1380"/>
              <w:spacing w:after="0"/>
              <w:rPr>
                <w:sz w:val="20"/>
                <w:szCs w:val="20"/>
                <w:color w:val="auto"/>
              </w:rPr>
            </w:pPr>
            <w:r>
              <w:rPr>
                <w:rFonts w:ascii="Courier New" w:cs="Courier New" w:eastAsia="Courier New" w:hAnsi="Courier New"/>
                <w:sz w:val="15"/>
                <w:szCs w:val="15"/>
                <w:color w:val="auto"/>
              </w:rPr>
              <w:t>Accounts payable</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(2,846)</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5,544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(1,439)</w:t>
            </w:r>
          </w:p>
        </w:tc>
      </w:tr>
      <w:tr>
        <w:trPr>
          <w:trHeight w:val="177"/>
        </w:trPr>
        <w:tc>
          <w:tcPr>
            <w:tcW w:w="6740" w:type="dxa"/>
            <w:vAlign w:val="bottom"/>
          </w:tcPr>
          <w:p>
            <w:pPr>
              <w:ind w:left="1380"/>
              <w:spacing w:after="0"/>
              <w:rPr>
                <w:sz w:val="20"/>
                <w:szCs w:val="20"/>
                <w:color w:val="auto"/>
              </w:rPr>
            </w:pPr>
            <w:r>
              <w:rPr>
                <w:rFonts w:ascii="Courier New" w:cs="Courier New" w:eastAsia="Courier New" w:hAnsi="Courier New"/>
                <w:sz w:val="15"/>
                <w:szCs w:val="15"/>
                <w:color w:val="auto"/>
              </w:rPr>
              <w:t>Other liabilities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(1,187)</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2,227</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750</w:t>
            </w:r>
          </w:p>
        </w:tc>
      </w:tr>
      <w:tr>
        <w:trPr>
          <w:trHeight w:val="177"/>
        </w:trPr>
        <w:tc>
          <w:tcPr>
            <w:tcW w:w="6740" w:type="dxa"/>
            <w:vAlign w:val="bottom"/>
          </w:tcPr>
          <w:p>
            <w:pPr>
              <w:spacing w:after="0"/>
              <w:rPr>
                <w:sz w:val="15"/>
                <w:szCs w:val="15"/>
                <w:color w:val="auto"/>
              </w:rPr>
            </w:pP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18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24,617</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26,864</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17,845</w:t>
            </w:r>
          </w:p>
        </w:tc>
      </w:tr>
      <w:tr>
        <w:trPr>
          <w:trHeight w:val="177"/>
        </w:trPr>
        <w:tc>
          <w:tcPr>
            <w:tcW w:w="6740" w:type="dxa"/>
            <w:vAlign w:val="bottom"/>
          </w:tcPr>
          <w:p>
            <w:pPr>
              <w:spacing w:after="0"/>
              <w:rPr>
                <w:sz w:val="15"/>
                <w:szCs w:val="15"/>
                <w:color w:val="auto"/>
              </w:rPr>
            </w:pP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740" w:type="dxa"/>
            <w:vAlign w:val="bottom"/>
          </w:tcPr>
          <w:p>
            <w:pPr>
              <w:spacing w:after="0"/>
              <w:rPr>
                <w:sz w:val="20"/>
                <w:szCs w:val="20"/>
                <w:color w:val="auto"/>
              </w:rPr>
            </w:pPr>
            <w:r>
              <w:rPr>
                <w:rFonts w:ascii="Courier New" w:cs="Courier New" w:eastAsia="Courier New" w:hAnsi="Courier New"/>
                <w:sz w:val="15"/>
                <w:szCs w:val="15"/>
                <w:b w:val="1"/>
                <w:bCs w:val="1"/>
                <w:color w:val="auto"/>
              </w:rPr>
              <w:t>Cash flows from investing activities:</w:t>
            </w: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Acquisition of businesses, net of cash acquired</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(23,496)</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(57,788)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(27,535)</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(6,314)</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(17,910)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(2,394)</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Sale of NNG</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622</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Long-term note receivable</w:t>
            </w:r>
          </w:p>
        </w:tc>
        <w:tc>
          <w:tcPr>
            <w:tcW w:w="14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(3,440)</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Investment in unconsolidated affiliates</w:t>
            </w:r>
          </w:p>
        </w:tc>
        <w:tc>
          <w:tcPr>
            <w:tcW w:w="14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(172)</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Proceeds from disposals of property, plant and equipment</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w:t>
            </w:r>
          </w:p>
        </w:tc>
      </w:tr>
      <w:tr>
        <w:trPr>
          <w:trHeight w:val="177"/>
        </w:trPr>
        <w:tc>
          <w:tcPr>
            <w:tcW w:w="6740" w:type="dxa"/>
            <w:vAlign w:val="bottom"/>
          </w:tcPr>
          <w:p>
            <w:pPr>
              <w:spacing w:after="0"/>
              <w:rPr>
                <w:sz w:val="15"/>
                <w:szCs w:val="15"/>
                <w:color w:val="auto"/>
              </w:rPr>
            </w:pP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1560"/>
              <w:spacing w:after="0"/>
              <w:rPr>
                <w:sz w:val="20"/>
                <w:szCs w:val="20"/>
                <w:color w:val="auto"/>
              </w:rPr>
            </w:pPr>
            <w:r>
              <w:rPr>
                <w:rFonts w:ascii="Courier New" w:cs="Courier New" w:eastAsia="Courier New" w:hAnsi="Courier New"/>
                <w:sz w:val="15"/>
                <w:szCs w:val="15"/>
                <w:color w:val="auto"/>
              </w:rPr>
              <w:t>Net cash used by investing activities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(29,082)</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(79,310)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(29,883)</w:t>
            </w:r>
          </w:p>
        </w:tc>
      </w:tr>
      <w:tr>
        <w:trPr>
          <w:trHeight w:val="177"/>
        </w:trPr>
        <w:tc>
          <w:tcPr>
            <w:tcW w:w="6740" w:type="dxa"/>
            <w:vAlign w:val="bottom"/>
          </w:tcPr>
          <w:p>
            <w:pPr>
              <w:spacing w:after="0"/>
              <w:rPr>
                <w:sz w:val="15"/>
                <w:szCs w:val="15"/>
                <w:color w:val="auto"/>
              </w:rPr>
            </w:pP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740" w:type="dxa"/>
            <w:vAlign w:val="bottom"/>
          </w:tcPr>
          <w:p>
            <w:pPr>
              <w:spacing w:after="0"/>
              <w:rPr>
                <w:sz w:val="20"/>
                <w:szCs w:val="20"/>
                <w:color w:val="auto"/>
              </w:rPr>
            </w:pPr>
            <w:r>
              <w:rPr>
                <w:rFonts w:ascii="Courier New" w:cs="Courier New" w:eastAsia="Courier New" w:hAnsi="Courier New"/>
                <w:sz w:val="15"/>
                <w:szCs w:val="15"/>
                <w:b w:val="1"/>
                <w:bCs w:val="1"/>
                <w:color w:val="auto"/>
              </w:rPr>
              <w:t>Cash flows from financing activities:</w:t>
            </w: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Net proceeds under revolving line of credit</w:t>
            </w:r>
          </w:p>
        </w:tc>
        <w:tc>
          <w:tcPr>
            <w:tcW w:w="14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7,547</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17,151</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Minority shareholders contributions</w:t>
            </w:r>
          </w:p>
        </w:tc>
        <w:tc>
          <w:tcPr>
            <w:tcW w:w="14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29,600</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Proceeds from long-term debt</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71,430</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25,817</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Bank overdrafts</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687</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(785)</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1,239</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Repayment of long-term debt</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(65,946)</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Proceeds (repayment) of short-term debt</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Proceeds from issuance of stock</w:t>
            </w: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428</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Cash dividends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(4,887)</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(4,878)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(4,810)</w:t>
            </w:r>
          </w:p>
        </w:tc>
      </w:tr>
      <w:tr>
        <w:trPr>
          <w:trHeight w:val="177"/>
        </w:trPr>
        <w:tc>
          <w:tcPr>
            <w:tcW w:w="6740" w:type="dxa"/>
            <w:vAlign w:val="bottom"/>
          </w:tcPr>
          <w:p>
            <w:pPr>
              <w:spacing w:after="0"/>
              <w:rPr>
                <w:sz w:val="15"/>
                <w:szCs w:val="15"/>
                <w:color w:val="auto"/>
              </w:rPr>
            </w:pP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740" w:type="dxa"/>
            <w:vAlign w:val="bottom"/>
          </w:tcPr>
          <w:p>
            <w:pPr>
              <w:ind w:left="1560"/>
              <w:spacing w:after="0"/>
              <w:rPr>
                <w:sz w:val="20"/>
                <w:szCs w:val="20"/>
                <w:color w:val="auto"/>
              </w:rPr>
            </w:pPr>
            <w:r>
              <w:rPr>
                <w:rFonts w:ascii="Courier New" w:cs="Courier New" w:eastAsia="Courier New" w:hAnsi="Courier New"/>
                <w:sz w:val="15"/>
                <w:szCs w:val="15"/>
                <w:color w:val="auto"/>
              </w:rPr>
              <w:t>Net cash provided (used) by financing activities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(288)</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59,317</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13,580</w:t>
            </w:r>
          </w:p>
        </w:tc>
      </w:tr>
      <w:tr>
        <w:trPr>
          <w:trHeight w:val="177"/>
        </w:trPr>
        <w:tc>
          <w:tcPr>
            <w:tcW w:w="6740" w:type="dxa"/>
            <w:vAlign w:val="bottom"/>
          </w:tcPr>
          <w:p>
            <w:pPr>
              <w:spacing w:after="0"/>
              <w:rPr>
                <w:sz w:val="15"/>
                <w:szCs w:val="15"/>
                <w:color w:val="auto"/>
              </w:rPr>
            </w:pPr>
          </w:p>
        </w:tc>
        <w:tc>
          <w:tcPr>
            <w:tcW w:w="14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Effect of exchange rate changes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(496)</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(1,563)</w:t>
            </w:r>
          </w:p>
        </w:tc>
      </w:tr>
      <w:tr>
        <w:trPr>
          <w:trHeight w:val="355"/>
        </w:trPr>
        <w:tc>
          <w:tcPr>
            <w:tcW w:w="6740" w:type="dxa"/>
            <w:vAlign w:val="bottom"/>
          </w:tcPr>
          <w:p>
            <w:pPr>
              <w:ind w:left="540"/>
              <w:spacing w:after="0"/>
              <w:rPr>
                <w:sz w:val="20"/>
                <w:szCs w:val="20"/>
                <w:color w:val="auto"/>
              </w:rPr>
            </w:pPr>
            <w:r>
              <w:rPr>
                <w:rFonts w:ascii="Courier New" w:cs="Courier New" w:eastAsia="Courier New" w:hAnsi="Courier New"/>
                <w:sz w:val="15"/>
                <w:szCs w:val="15"/>
                <w:color w:val="auto"/>
              </w:rPr>
              <w:t>Net change in cash and cash equivalents</w:t>
            </w:r>
          </w:p>
        </w:tc>
        <w:tc>
          <w:tcPr>
            <w:tcW w:w="1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(5,249)</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6,864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bl>
    <w:p>
      <w:pPr>
        <w:sectPr>
          <w:pgSz w:w="11900" w:h="16838" w:orient="portrait"/>
          <w:cols w:equalWidth="0" w:num="1">
            <w:col w:w="10240"/>
          </w:cols>
          <w:pgMar w:left="240" w:top="142" w:right="1419" w:bottom="0" w:gutter="0" w:footer="0" w:header="0"/>
        </w:sectPr>
      </w:pPr>
    </w:p>
    <w:bookmarkStart w:id="21" w:name="page22"/>
    <w:bookmarkEnd w:id="21"/>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780" w:type="dxa"/>
            <w:vAlign w:val="bottom"/>
          </w:tcPr>
          <w:p>
            <w:pPr>
              <w:ind w:left="540"/>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600" w:type="dxa"/>
            <w:vAlign w:val="bottom"/>
          </w:tcPr>
          <w:p>
            <w:pPr>
              <w:spacing w:after="0"/>
              <w:rPr>
                <w:sz w:val="14"/>
                <w:szCs w:val="14"/>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8,273</w:t>
            </w:r>
          </w:p>
        </w:tc>
        <w:tc>
          <w:tcPr>
            <w:tcW w:w="360" w:type="dxa"/>
            <w:vAlign w:val="bottom"/>
          </w:tcPr>
          <w:p>
            <w:pPr>
              <w:spacing w:after="0"/>
              <w:rPr>
                <w:sz w:val="14"/>
                <w:szCs w:val="14"/>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1,409</w:t>
            </w:r>
          </w:p>
        </w:tc>
        <w:tc>
          <w:tcPr>
            <w:tcW w:w="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1,430</w:t>
            </w:r>
          </w:p>
        </w:tc>
      </w:tr>
      <w:tr>
        <w:trPr>
          <w:trHeight w:val="177"/>
        </w:trPr>
        <w:tc>
          <w:tcPr>
            <w:tcW w:w="6780" w:type="dxa"/>
            <w:vAlign w:val="bottom"/>
          </w:tcPr>
          <w:p>
            <w:pPr>
              <w:spacing w:after="0"/>
              <w:rPr>
                <w:sz w:val="15"/>
                <w:szCs w:val="15"/>
                <w:color w:val="auto"/>
              </w:rPr>
            </w:pP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780" w:type="dxa"/>
            <w:vAlign w:val="bottom"/>
          </w:tcPr>
          <w:p>
            <w:pPr>
              <w:ind w:left="54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3,024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8,273</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1,409</w:t>
            </w:r>
          </w:p>
        </w:tc>
      </w:tr>
      <w:tr>
        <w:trPr>
          <w:trHeight w:val="177"/>
        </w:trPr>
        <w:tc>
          <w:tcPr>
            <w:tcW w:w="6780" w:type="dxa"/>
            <w:vAlign w:val="bottom"/>
          </w:tcPr>
          <w:p>
            <w:pPr>
              <w:spacing w:after="0"/>
              <w:rPr>
                <w:sz w:val="15"/>
                <w:szCs w:val="15"/>
                <w:color w:val="auto"/>
              </w:rPr>
            </w:pP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780" w:type="dxa"/>
            <w:vAlign w:val="bottom"/>
          </w:tcPr>
          <w:p>
            <w:pPr>
              <w:spacing w:after="0"/>
              <w:rPr>
                <w:sz w:val="20"/>
                <w:szCs w:val="20"/>
                <w:color w:val="auto"/>
              </w:rPr>
            </w:pPr>
            <w:r>
              <w:rPr>
                <w:rFonts w:ascii="Courier New" w:cs="Courier New" w:eastAsia="Courier New" w:hAnsi="Courier New"/>
                <w:sz w:val="15"/>
                <w:szCs w:val="15"/>
                <w:b w:val="1"/>
                <w:bCs w:val="1"/>
                <w:color w:val="auto"/>
              </w:rPr>
              <w:t>Supplemental schedule of non-cash investing and financing activities:</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7"/>
        </w:trPr>
        <w:tc>
          <w:tcPr>
            <w:tcW w:w="6780" w:type="dxa"/>
            <w:vAlign w:val="bottom"/>
          </w:tcPr>
          <w:p>
            <w:pPr>
              <w:ind w:left="540"/>
              <w:spacing w:after="0"/>
              <w:rPr>
                <w:sz w:val="20"/>
                <w:szCs w:val="20"/>
                <w:color w:val="auto"/>
              </w:rPr>
            </w:pPr>
            <w:r>
              <w:rPr>
                <w:rFonts w:ascii="Courier New" w:cs="Courier New" w:eastAsia="Courier New" w:hAnsi="Courier New"/>
                <w:sz w:val="15"/>
                <w:szCs w:val="15"/>
                <w:color w:val="auto"/>
              </w:rPr>
              <w:t>Note received related to sale of NNG</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3,300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80" w:type="dxa"/>
            <w:vAlign w:val="bottom"/>
          </w:tcPr>
          <w:p>
            <w:pPr>
              <w:spacing w:after="0"/>
              <w:rPr>
                <w:sz w:val="15"/>
                <w:szCs w:val="15"/>
                <w:color w:val="auto"/>
              </w:rPr>
            </w:pP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780" w:type="dxa"/>
            <w:vAlign w:val="bottom"/>
          </w:tcPr>
          <w:p>
            <w:pPr>
              <w:ind w:left="540"/>
              <w:spacing w:after="0"/>
              <w:rPr>
                <w:sz w:val="20"/>
                <w:szCs w:val="20"/>
                <w:color w:val="auto"/>
              </w:rPr>
            </w:pPr>
            <w:r>
              <w:rPr>
                <w:rFonts w:ascii="Courier New" w:cs="Courier New" w:eastAsia="Courier New" w:hAnsi="Courier New"/>
                <w:sz w:val="15"/>
                <w:szCs w:val="15"/>
                <w:color w:val="auto"/>
              </w:rPr>
              <w:t>Stock issued related to acquisition of IMC</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7"/>
        </w:trPr>
        <w:tc>
          <w:tcPr>
            <w:tcW w:w="6780" w:type="dxa"/>
            <w:vAlign w:val="bottom"/>
          </w:tcPr>
          <w:p>
            <w:pPr>
              <w:spacing w:after="0"/>
              <w:rPr>
                <w:sz w:val="15"/>
                <w:szCs w:val="15"/>
                <w:color w:val="auto"/>
              </w:rPr>
            </w:pPr>
          </w:p>
        </w:tc>
        <w:tc>
          <w:tcPr>
            <w:tcW w:w="13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b w:val="1"/>
          <w:bCs w:val="1"/>
          <w:color w:val="auto"/>
        </w:rPr>
        <w:t>See accompanying notes to consolidated financial statements</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5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95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b w:val="1"/>
          <w:bCs w:val="1"/>
          <w:color w:val="auto"/>
        </w:rPr>
        <w:t>(Continued)</w:t>
      </w:r>
    </w:p>
    <w:p>
      <w:pPr>
        <w:spacing w:after="0" w:line="8" w:lineRule="exact"/>
        <w:rPr>
          <w:sz w:val="20"/>
          <w:szCs w:val="20"/>
          <w:color w:val="auto"/>
        </w:rPr>
      </w:pPr>
    </w:p>
    <w:p>
      <w:pPr>
        <w:ind w:left="645" w:hanging="645"/>
        <w:spacing w:after="0"/>
        <w:tabs>
          <w:tab w:leader="none" w:pos="645" w:val="left"/>
        </w:tabs>
        <w:numPr>
          <w:ilvl w:val="0"/>
          <w:numId w:val="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Summary of Significant Accounting Policies and Practices</w:t>
      </w:r>
    </w:p>
    <w:p>
      <w:pPr>
        <w:spacing w:after="0" w:line="362" w:lineRule="exact"/>
        <w:rPr>
          <w:rFonts w:ascii="Courier New" w:cs="Courier New" w:eastAsia="Courier New" w:hAnsi="Courier New"/>
          <w:sz w:val="15"/>
          <w:szCs w:val="15"/>
          <w:b w:val="1"/>
          <w:bCs w:val="1"/>
          <w:color w:val="auto"/>
        </w:rPr>
      </w:pPr>
    </w:p>
    <w:p>
      <w:pPr>
        <w:ind w:left="1285" w:hanging="639"/>
        <w:spacing w:after="0"/>
        <w:tabs>
          <w:tab w:leader="none" w:pos="1285" w:val="left"/>
        </w:tabs>
        <w:numPr>
          <w:ilvl w:val="1"/>
          <w:numId w:val="3"/>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Description of Business</w:t>
      </w:r>
    </w:p>
    <w:p>
      <w:pPr>
        <w:spacing w:after="0" w:line="184" w:lineRule="exact"/>
        <w:rPr>
          <w:rFonts w:ascii="Courier New" w:cs="Courier New" w:eastAsia="Courier New" w:hAnsi="Courier New"/>
          <w:sz w:val="15"/>
          <w:szCs w:val="15"/>
          <w:i w:val="1"/>
          <w:iCs w:val="1"/>
          <w:color w:val="auto"/>
        </w:rPr>
      </w:pPr>
    </w:p>
    <w:p>
      <w:pPr>
        <w:ind w:left="1285" w:right="3960"/>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Company is a manufacturer of precision balls, rollers, plastic injection molded products, and precision bearing seals. The Company's balls, rollers, and bearing seals are used primarily in the domestic and international anti-friction bearing industry. The Company's plastic injection molded products are used in the bearing, automotive, instrumentation and fiber optic industries. The Domestic Ball and Roller Segment is comprised of two manufacturing facilities located in the eastern United States. The Company's Euroball Segment, which was acquired in July 2000, (see Note 2) is comprised of manufacturing facilities located in Kilkenny, Ireland, Eltmann, Germany, and Pinerolo, Italy. All of the facilities in the Euroball Segment are engaged in the production of precision balls and rollers. The Plastics Segment consists of IMC, acquired in July 1999, NN Arte, formed in August 2000 and Delta Rubber, acquired in February 2001. IMC has two production facilities in Texas, NN Arte has one production facility in Guadalajara, Mexico and Delta Rubber has two production facilities in Connecticut (see Note 2). All of the Company's segments sell to foreign and domestic customers.</w:t>
      </w:r>
    </w:p>
    <w:p>
      <w:pPr>
        <w:spacing w:after="0" w:line="185" w:lineRule="exact"/>
        <w:rPr>
          <w:rFonts w:ascii="Courier New" w:cs="Courier New" w:eastAsia="Courier New" w:hAnsi="Courier New"/>
          <w:sz w:val="15"/>
          <w:szCs w:val="15"/>
          <w:i w:val="1"/>
          <w:iCs w:val="1"/>
          <w:color w:val="auto"/>
        </w:rPr>
      </w:pPr>
    </w:p>
    <w:p>
      <w:pPr>
        <w:ind w:left="1285" w:hanging="639"/>
        <w:spacing w:after="0"/>
        <w:tabs>
          <w:tab w:leader="none" w:pos="1285" w:val="left"/>
        </w:tabs>
        <w:numPr>
          <w:ilvl w:val="1"/>
          <w:numId w:val="3"/>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Cash and Cash Equivalents</w:t>
      </w:r>
    </w:p>
    <w:p>
      <w:pPr>
        <w:spacing w:after="0" w:line="184" w:lineRule="exact"/>
        <w:rPr>
          <w:rFonts w:ascii="Courier New" w:cs="Courier New" w:eastAsia="Courier New" w:hAnsi="Courier New"/>
          <w:sz w:val="15"/>
          <w:szCs w:val="15"/>
          <w:i w:val="1"/>
          <w:iCs w:val="1"/>
          <w:color w:val="auto"/>
        </w:rPr>
      </w:pPr>
    </w:p>
    <w:p>
      <w:pPr>
        <w:ind w:left="1285" w:right="4340"/>
        <w:spacing w:after="0" w:line="253"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Company considers all highly liquid investments with an original maturity of three months or less as cash equivalents.</w:t>
      </w:r>
    </w:p>
    <w:p>
      <w:pPr>
        <w:spacing w:after="0" w:line="174" w:lineRule="exact"/>
        <w:rPr>
          <w:rFonts w:ascii="Courier New" w:cs="Courier New" w:eastAsia="Courier New" w:hAnsi="Courier New"/>
          <w:sz w:val="15"/>
          <w:szCs w:val="15"/>
          <w:i w:val="1"/>
          <w:iCs w:val="1"/>
          <w:color w:val="auto"/>
        </w:rPr>
      </w:pPr>
    </w:p>
    <w:p>
      <w:pPr>
        <w:ind w:left="1285" w:hanging="639"/>
        <w:spacing w:after="0"/>
        <w:tabs>
          <w:tab w:leader="none" w:pos="1285" w:val="left"/>
        </w:tabs>
        <w:numPr>
          <w:ilvl w:val="1"/>
          <w:numId w:val="3"/>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Inventories</w:t>
      </w:r>
    </w:p>
    <w:p>
      <w:pPr>
        <w:spacing w:after="0" w:line="184" w:lineRule="exact"/>
        <w:rPr>
          <w:rFonts w:ascii="Courier New" w:cs="Courier New" w:eastAsia="Courier New" w:hAnsi="Courier New"/>
          <w:sz w:val="15"/>
          <w:szCs w:val="15"/>
          <w:i w:val="1"/>
          <w:iCs w:val="1"/>
          <w:color w:val="auto"/>
        </w:rPr>
      </w:pPr>
    </w:p>
    <w:p>
      <w:pPr>
        <w:ind w:left="1285" w:right="4340"/>
        <w:spacing w:after="0" w:line="253"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Inventories are stated at the lower of cost or market. Cost is determined using the first-in, first-out method.</w:t>
      </w:r>
    </w:p>
    <w:p>
      <w:pPr>
        <w:spacing w:after="0" w:line="174" w:lineRule="exact"/>
        <w:rPr>
          <w:rFonts w:ascii="Courier New" w:cs="Courier New" w:eastAsia="Courier New" w:hAnsi="Courier New"/>
          <w:sz w:val="15"/>
          <w:szCs w:val="15"/>
          <w:i w:val="1"/>
          <w:iCs w:val="1"/>
          <w:color w:val="auto"/>
        </w:rPr>
      </w:pPr>
    </w:p>
    <w:p>
      <w:pPr>
        <w:ind w:left="1285" w:hanging="639"/>
        <w:spacing w:after="0"/>
        <w:tabs>
          <w:tab w:leader="none" w:pos="1285" w:val="left"/>
        </w:tabs>
        <w:numPr>
          <w:ilvl w:val="1"/>
          <w:numId w:val="3"/>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Property, Plant and Equipment</w:t>
      </w:r>
    </w:p>
    <w:p>
      <w:pPr>
        <w:spacing w:after="0" w:line="184" w:lineRule="exact"/>
        <w:rPr>
          <w:rFonts w:ascii="Courier New" w:cs="Courier New" w:eastAsia="Courier New" w:hAnsi="Courier New"/>
          <w:sz w:val="15"/>
          <w:szCs w:val="15"/>
          <w:i w:val="1"/>
          <w:iCs w:val="1"/>
          <w:color w:val="auto"/>
        </w:rPr>
      </w:pPr>
    </w:p>
    <w:p>
      <w:pPr>
        <w:ind w:left="1285" w:right="3960"/>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Property, plant and equipment are stated at cost less accumulated depreciation. Assets held for sale are stated at lower of cost or fair market value less selling cost. Expenditures for maintenance and repairs are charged to expense as incurred. Major renewals and betterments are capitalized. When a major property item is retired, its cost and related accumulated depreciation or amortization are removed from the property accounts and any</w:t>
      </w:r>
    </w:p>
    <w:p>
      <w:pPr>
        <w:spacing w:after="0" w:line="176"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5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95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40" w:lineRule="exact"/>
        <w:rPr>
          <w:sz w:val="20"/>
          <w:szCs w:val="20"/>
          <w:color w:val="auto"/>
        </w:rPr>
      </w:pPr>
    </w:p>
    <w:p>
      <w:pPr>
        <w:ind w:left="1285" w:right="3960"/>
        <w:spacing w:after="0" w:line="250" w:lineRule="auto"/>
        <w:rPr>
          <w:sz w:val="20"/>
          <w:szCs w:val="20"/>
          <w:color w:val="auto"/>
        </w:rPr>
      </w:pPr>
      <w:r>
        <w:rPr>
          <w:rFonts w:ascii="Courier New" w:cs="Courier New" w:eastAsia="Courier New" w:hAnsi="Courier New"/>
          <w:sz w:val="15"/>
          <w:szCs w:val="15"/>
          <w:color w:val="auto"/>
        </w:rPr>
        <w:t>gain or loss is recorded in income or expense, respectively. The Company reviews the carrying values of long-lived assets for impairment whenever events or changes in circumstances indicate the carrying amount of an asset may not be recoverable. During the year ended December 31, 2001, the Company incurred an impairment charge of $1,083 to write-down the land and building at the Walterboro, SC production facility to its net realizable value, which was based upon fair market value appraisals. The carrying value of this land and building of $1,692 has been classified as a component of assets held for sale in the accompanying financial</w:t>
      </w:r>
    </w:p>
    <w:p>
      <w:pPr>
        <w:sectPr>
          <w:pgSz w:w="11900" w:h="16838" w:orient="portrait"/>
          <w:cols w:equalWidth="0" w:num="1">
            <w:col w:w="11345"/>
          </w:cols>
          <w:pgMar w:left="235" w:top="142" w:right="319" w:bottom="0" w:gutter="0" w:footer="0" w:header="0"/>
        </w:sectPr>
      </w:pPr>
    </w:p>
    <w:bookmarkStart w:id="22" w:name="page23"/>
    <w:bookmarkEnd w:id="22"/>
    <w:p>
      <w:pPr>
        <w:ind w:left="640" w:right="3019"/>
        <w:spacing w:after="0" w:line="253" w:lineRule="auto"/>
        <w:rPr>
          <w:sz w:val="20"/>
          <w:szCs w:val="20"/>
          <w:color w:val="auto"/>
        </w:rPr>
      </w:pPr>
      <w:r>
        <w:rPr>
          <w:rFonts w:ascii="Courier New" w:cs="Courier New" w:eastAsia="Courier New" w:hAnsi="Courier New"/>
          <w:sz w:val="15"/>
          <w:szCs w:val="15"/>
          <w:color w:val="auto"/>
        </w:rPr>
        <w:t>statements. During the year ended December 31, 2000, the Company did not incur any impairment charges.</w:t>
      </w:r>
    </w:p>
    <w:p>
      <w:pPr>
        <w:spacing w:after="0" w:line="174" w:lineRule="exact"/>
        <w:rPr>
          <w:sz w:val="20"/>
          <w:szCs w:val="20"/>
          <w:color w:val="auto"/>
        </w:rPr>
      </w:pPr>
    </w:p>
    <w:p>
      <w:pPr>
        <w:ind w:left="640" w:right="2839"/>
        <w:spacing w:after="0" w:line="251" w:lineRule="auto"/>
        <w:rPr>
          <w:sz w:val="20"/>
          <w:szCs w:val="20"/>
          <w:color w:val="auto"/>
        </w:rPr>
      </w:pPr>
      <w:r>
        <w:rPr>
          <w:rFonts w:ascii="Courier New" w:cs="Courier New" w:eastAsia="Courier New" w:hAnsi="Courier New"/>
          <w:sz w:val="15"/>
          <w:szCs w:val="15"/>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176" w:lineRule="exact"/>
        <w:rPr>
          <w:sz w:val="20"/>
          <w:szCs w:val="20"/>
          <w:color w:val="auto"/>
        </w:rPr>
      </w:pPr>
    </w:p>
    <w:p>
      <w:pPr>
        <w:ind w:left="640" w:hanging="639"/>
        <w:spacing w:after="0"/>
        <w:tabs>
          <w:tab w:leader="none" w:pos="640" w:val="left"/>
        </w:tabs>
        <w:numPr>
          <w:ilvl w:val="0"/>
          <w:numId w:val="4"/>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Revenue Recognition</w:t>
      </w:r>
    </w:p>
    <w:p>
      <w:pPr>
        <w:spacing w:after="0" w:line="184" w:lineRule="exact"/>
        <w:rPr>
          <w:rFonts w:ascii="Courier New" w:cs="Courier New" w:eastAsia="Courier New" w:hAnsi="Courier New"/>
          <w:sz w:val="15"/>
          <w:szCs w:val="15"/>
          <w:i w:val="1"/>
          <w:iCs w:val="1"/>
          <w:color w:val="auto"/>
        </w:rPr>
      </w:pPr>
    </w:p>
    <w:p>
      <w:pPr>
        <w:ind w:left="640" w:right="283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Company generally recognizes a sale when goods are shipped and ownership is assumed by the customer. The Company has an inventory management program for certain major ball and roller customers whereby sales are recognized when products are used by the customer from consigned stock, rather than at the time of shipment.</w:t>
      </w:r>
    </w:p>
    <w:p>
      <w:pPr>
        <w:spacing w:after="0" w:line="353"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4"/>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Income Taxes</w:t>
      </w:r>
    </w:p>
    <w:p>
      <w:pPr>
        <w:spacing w:after="0" w:line="184" w:lineRule="exact"/>
        <w:rPr>
          <w:rFonts w:ascii="Courier New" w:cs="Courier New" w:eastAsia="Courier New" w:hAnsi="Courier New"/>
          <w:sz w:val="15"/>
          <w:szCs w:val="15"/>
          <w:i w:val="1"/>
          <w:iCs w:val="1"/>
          <w:color w:val="auto"/>
        </w:rPr>
      </w:pPr>
    </w:p>
    <w:p>
      <w:pPr>
        <w:ind w:left="640" w:right="28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2"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4"/>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Net Income Per Common Share</w:t>
      </w:r>
    </w:p>
    <w:p>
      <w:pPr>
        <w:spacing w:after="0" w:line="184" w:lineRule="exact"/>
        <w:rPr>
          <w:rFonts w:ascii="Courier New" w:cs="Courier New" w:eastAsia="Courier New" w:hAnsi="Courier New"/>
          <w:sz w:val="15"/>
          <w:szCs w:val="15"/>
          <w:i w:val="1"/>
          <w:iCs w:val="1"/>
          <w:color w:val="auto"/>
        </w:rPr>
      </w:pPr>
    </w:p>
    <w:p>
      <w:pPr>
        <w:ind w:left="640" w:right="293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Basic earnings per share reflect reported earnings divided by the weighted average number of common shares outstanding. Diluted earnings per share include the effect of dilutive stock options outstanding during the year.</w:t>
      </w:r>
    </w:p>
    <w:p>
      <w:pPr>
        <w:spacing w:after="0" w:line="176"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4"/>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Stock Incentive Plan</w:t>
      </w:r>
    </w:p>
    <w:p>
      <w:pPr>
        <w:spacing w:after="0" w:line="184" w:lineRule="exact"/>
        <w:rPr>
          <w:rFonts w:ascii="Courier New" w:cs="Courier New" w:eastAsia="Courier New" w:hAnsi="Courier New"/>
          <w:sz w:val="15"/>
          <w:szCs w:val="15"/>
          <w:i w:val="1"/>
          <w:iCs w:val="1"/>
          <w:color w:val="auto"/>
        </w:rPr>
      </w:pPr>
    </w:p>
    <w:p>
      <w:pPr>
        <w:ind w:left="640" w:right="28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Company applies the intrinsic value-based method of accounting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issued in March 2000, to account for its fixed plan stock options. Under this method, compensation expense is recorded on the date of grant only if the current market price of the underlying stock exceeds the exercise price. The Company also applies the provision of APB Opinion No. 25 to its variable stock options. Compensation expense is recognized for these awards if the current market price of the underlying stock exceeds $10.50. Statement of Financial Accounting Standards (SFAS) No. 123, "Accounting for Stock-Based Compensation," established accounting and disclosure requirements using a fair value-based method of accounting for stock-based employee compensation plans. As allowed by SFAS No. 123, the Company has elected to continue to apply the intrinsic value-based method of accounting described above, and has adopted the disclosure requirements of SFAS No. 123.</w:t>
      </w:r>
    </w:p>
    <w:p>
      <w:pPr>
        <w:spacing w:after="0" w:line="186"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4"/>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Principles of Consolidation</w:t>
      </w:r>
    </w:p>
    <w:p>
      <w:pPr>
        <w:spacing w:after="0" w:line="184" w:lineRule="exact"/>
        <w:rPr>
          <w:rFonts w:ascii="Courier New" w:cs="Courier New" w:eastAsia="Courier New" w:hAnsi="Courier New"/>
          <w:sz w:val="15"/>
          <w:szCs w:val="15"/>
          <w:i w:val="1"/>
          <w:iCs w:val="1"/>
          <w:color w:val="auto"/>
        </w:rPr>
      </w:pPr>
    </w:p>
    <w:p>
      <w:pPr>
        <w:ind w:left="640" w:right="283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Company's consolidated financial statements include the accounts of NN, Inc. and subsidiaries in which the Company owns more than 50% voting interest. Unconsolidated subsidiaries and investments where ownership is between 20% and 50% are accounted for under the equity method. All significant intercompany profits, transactions, and balances have been eliminated in consolidation. The ownership interests of other</w:t>
      </w:r>
    </w:p>
    <w:p>
      <w:pPr>
        <w:spacing w:after="0" w:line="176"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88265</wp:posOffset>
            </wp:positionV>
            <wp:extent cx="728916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0" w:right="3019"/>
        <w:spacing w:after="0" w:line="251" w:lineRule="auto"/>
        <w:rPr>
          <w:sz w:val="20"/>
          <w:szCs w:val="20"/>
          <w:color w:val="auto"/>
        </w:rPr>
      </w:pPr>
      <w:r>
        <w:rPr>
          <w:rFonts w:ascii="Courier New" w:cs="Courier New" w:eastAsia="Courier New" w:hAnsi="Courier New"/>
          <w:sz w:val="15"/>
          <w:szCs w:val="15"/>
          <w:color w:val="auto"/>
        </w:rPr>
        <w:t>shareholders in companies that are more than 50% owned, but less than 100% owned, are reflected as minority interests. Minority interest represents the minority shareholders interest of NN Euroball ApS and NN Arte.</w:t>
      </w:r>
    </w:p>
    <w:p>
      <w:pPr>
        <w:spacing w:after="0" w:line="176" w:lineRule="exact"/>
        <w:rPr>
          <w:sz w:val="20"/>
          <w:szCs w:val="20"/>
          <w:color w:val="auto"/>
        </w:rPr>
      </w:pPr>
    </w:p>
    <w:p>
      <w:pPr>
        <w:ind w:left="640" w:hanging="639"/>
        <w:spacing w:after="0"/>
        <w:tabs>
          <w:tab w:leader="none" w:pos="640" w:val="left"/>
        </w:tabs>
        <w:numPr>
          <w:ilvl w:val="0"/>
          <w:numId w:val="5"/>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Foreign Currency Translation</w:t>
      </w:r>
    </w:p>
    <w:p>
      <w:pPr>
        <w:spacing w:after="0" w:line="184" w:lineRule="exact"/>
        <w:rPr>
          <w:rFonts w:ascii="Courier New" w:cs="Courier New" w:eastAsia="Courier New" w:hAnsi="Courier New"/>
          <w:sz w:val="15"/>
          <w:szCs w:val="15"/>
          <w:i w:val="1"/>
          <w:iCs w:val="1"/>
          <w:color w:val="auto"/>
        </w:rPr>
      </w:pPr>
    </w:p>
    <w:p>
      <w:pPr>
        <w:ind w:left="640" w:right="301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Assets and liabilities of the Company's foreign subsidiary are translated at current exchange rates, while revenue and expenses are translated at average rates prevailing during the year. Translation adjustments are reported as a component of other</w:t>
      </w:r>
    </w:p>
    <w:p>
      <w:pPr>
        <w:sectPr>
          <w:pgSz w:w="11900" w:h="16838" w:orient="portrait"/>
          <w:cols w:equalWidth="0" w:num="1">
            <w:col w:w="9579"/>
          </w:cols>
          <w:pgMar w:left="880" w:top="142" w:right="1440" w:bottom="0" w:gutter="0" w:footer="0" w:header="0"/>
        </w:sectPr>
      </w:pPr>
    </w:p>
    <w:bookmarkStart w:id="23" w:name="page24"/>
    <w:bookmarkEnd w:id="23"/>
    <w:p>
      <w:pPr>
        <w:ind w:left="640"/>
        <w:spacing w:after="0"/>
        <w:rPr>
          <w:sz w:val="20"/>
          <w:szCs w:val="20"/>
          <w:color w:val="auto"/>
        </w:rPr>
      </w:pPr>
      <w:r>
        <w:rPr>
          <w:rFonts w:ascii="Courier New" w:cs="Courier New" w:eastAsia="Courier New" w:hAnsi="Courier New"/>
          <w:sz w:val="15"/>
          <w:szCs w:val="15"/>
          <w:color w:val="auto"/>
        </w:rPr>
        <w:t>comprehensive income.</w:t>
      </w:r>
    </w:p>
    <w:p>
      <w:pPr>
        <w:spacing w:after="0" w:line="185" w:lineRule="exact"/>
        <w:rPr>
          <w:sz w:val="20"/>
          <w:szCs w:val="20"/>
          <w:color w:val="auto"/>
        </w:rPr>
      </w:pPr>
    </w:p>
    <w:p>
      <w:pPr>
        <w:ind w:left="640" w:hanging="639"/>
        <w:spacing w:after="0"/>
        <w:tabs>
          <w:tab w:leader="none" w:pos="640" w:val="left"/>
        </w:tabs>
        <w:numPr>
          <w:ilvl w:val="0"/>
          <w:numId w:val="6"/>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Goodwill</w:t>
      </w:r>
    </w:p>
    <w:p>
      <w:pPr>
        <w:spacing w:after="0" w:line="184" w:lineRule="exact"/>
        <w:rPr>
          <w:rFonts w:ascii="Courier New" w:cs="Courier New" w:eastAsia="Courier New" w:hAnsi="Courier New"/>
          <w:sz w:val="15"/>
          <w:szCs w:val="15"/>
          <w:i w:val="1"/>
          <w:iCs w:val="1"/>
          <w:color w:val="auto"/>
        </w:rPr>
      </w:pPr>
    </w:p>
    <w:p>
      <w:pPr>
        <w:ind w:left="640" w:right="28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Goodwill, which represents the excess of purchase price over the fair value of net assets acquired, is amortized on a straight-line basis over the expected periods to be benefited, generally 20 years. The Company assesses the recoverability of this intangible asset by determining whether the amortization of the goodwill balance over its remaining life can be recovered through undiscounted future operating cash flows of the acquired operation. The amount of goodwill impairment, if any, is measured based on projected discounted future operating cash flows using a discount rate reflecting the Company's average cost of funds.</w:t>
      </w:r>
    </w:p>
    <w:p>
      <w:pPr>
        <w:spacing w:after="0" w:line="181"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6"/>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Impairment of Long-Lived Assets and Long-Lived Assets to Be Disposed Of</w:t>
      </w:r>
    </w:p>
    <w:p>
      <w:pPr>
        <w:spacing w:after="0" w:line="184" w:lineRule="exact"/>
        <w:rPr>
          <w:rFonts w:ascii="Courier New" w:cs="Courier New" w:eastAsia="Courier New" w:hAnsi="Courier New"/>
          <w:sz w:val="15"/>
          <w:szCs w:val="15"/>
          <w:i w:val="1"/>
          <w:iCs w:val="1"/>
          <w:color w:val="auto"/>
        </w:rPr>
      </w:pPr>
    </w:p>
    <w:p>
      <w:pPr>
        <w:ind w:left="640" w:right="28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Company accounts for long-lived assets in accordance with the provisions of SFAS No. 121, "Accounting for the Impairment of Long-Lived Assets and for Long-Lived Assets to Be Disposed Of." This Statement requires that long-lived assets and certain identifiable intangibles be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83"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6"/>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Use of Estimates in the Preparation of Financial Statements</w:t>
      </w:r>
    </w:p>
    <w:p>
      <w:pPr>
        <w:spacing w:after="0" w:line="184" w:lineRule="exact"/>
        <w:rPr>
          <w:rFonts w:ascii="Courier New" w:cs="Courier New" w:eastAsia="Courier New" w:hAnsi="Courier New"/>
          <w:sz w:val="15"/>
          <w:szCs w:val="15"/>
          <w:i w:val="1"/>
          <w:iCs w:val="1"/>
          <w:color w:val="auto"/>
        </w:rPr>
      </w:pPr>
    </w:p>
    <w:p>
      <w:pPr>
        <w:ind w:left="640" w:right="283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5"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6"/>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Reclassifications</w:t>
      </w:r>
    </w:p>
    <w:p>
      <w:pPr>
        <w:spacing w:after="0" w:line="184" w:lineRule="exact"/>
        <w:rPr>
          <w:rFonts w:ascii="Courier New" w:cs="Courier New" w:eastAsia="Courier New" w:hAnsi="Courier New"/>
          <w:sz w:val="15"/>
          <w:szCs w:val="15"/>
          <w:i w:val="1"/>
          <w:iCs w:val="1"/>
          <w:color w:val="auto"/>
        </w:rPr>
      </w:pPr>
    </w:p>
    <w:p>
      <w:pPr>
        <w:ind w:left="640" w:right="3119"/>
        <w:spacing w:after="0" w:line="253"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Certain 2000 and 1999 amounts have been reclassified to conform with the 2001 presentation.</w:t>
      </w:r>
    </w:p>
    <w:p>
      <w:pPr>
        <w:spacing w:after="0" w:line="174" w:lineRule="exact"/>
        <w:rPr>
          <w:rFonts w:ascii="Courier New" w:cs="Courier New" w:eastAsia="Courier New" w:hAnsi="Courier New"/>
          <w:sz w:val="15"/>
          <w:szCs w:val="15"/>
          <w:i w:val="1"/>
          <w:iCs w:val="1"/>
          <w:color w:val="auto"/>
        </w:rPr>
      </w:pPr>
    </w:p>
    <w:p>
      <w:pPr>
        <w:ind w:left="640" w:hanging="639"/>
        <w:spacing w:after="0"/>
        <w:tabs>
          <w:tab w:leader="none" w:pos="640" w:val="left"/>
        </w:tabs>
        <w:numPr>
          <w:ilvl w:val="0"/>
          <w:numId w:val="6"/>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Recently Issued Accounting Standards</w:t>
      </w:r>
    </w:p>
    <w:p>
      <w:pPr>
        <w:spacing w:after="0" w:line="184" w:lineRule="exact"/>
        <w:rPr>
          <w:rFonts w:ascii="Courier New" w:cs="Courier New" w:eastAsia="Courier New" w:hAnsi="Courier New"/>
          <w:sz w:val="15"/>
          <w:szCs w:val="15"/>
          <w:i w:val="1"/>
          <w:iCs w:val="1"/>
          <w:color w:val="auto"/>
        </w:rPr>
      </w:pPr>
    </w:p>
    <w:p>
      <w:pPr>
        <w:ind w:left="640" w:right="28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82" w:lineRule="exact"/>
        <w:rPr>
          <w:rFonts w:ascii="Courier New" w:cs="Courier New" w:eastAsia="Courier New" w:hAnsi="Courier New"/>
          <w:sz w:val="15"/>
          <w:szCs w:val="15"/>
          <w:i w:val="1"/>
          <w:iCs w:val="1"/>
          <w:color w:val="auto"/>
        </w:rPr>
      </w:pPr>
    </w:p>
    <w:p>
      <w:pPr>
        <w:ind w:left="640" w:right="29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In July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intangible assets acquired in a purchase method business combination must meet to be recognized and reported apart from goodwill. Statement No. 142 requires that goodwill and intangible assets</w:t>
      </w:r>
    </w:p>
    <w:p>
      <w:pPr>
        <w:spacing w:after="0" w:line="182"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(Continued)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88265</wp:posOffset>
            </wp:positionV>
            <wp:extent cx="72891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0" w:right="2939"/>
        <w:spacing w:after="0" w:line="251" w:lineRule="auto"/>
        <w:rPr>
          <w:sz w:val="20"/>
          <w:szCs w:val="20"/>
          <w:color w:val="auto"/>
        </w:rPr>
      </w:pPr>
      <w:r>
        <w:rPr>
          <w:rFonts w:ascii="Courier New" w:cs="Courier New" w:eastAsia="Courier New" w:hAnsi="Courier New"/>
          <w:sz w:val="15"/>
          <w:szCs w:val="15"/>
          <w:color w:val="auto"/>
        </w:rPr>
        <w:t>with indefinite useful lives no longer be amortized, but instead tested for impairment. The effective date of Statement No. 142 is January 1, 2002. As of the date of adoption, the Company expects to have unamortized goodwill of approximately $39.8 million, which will be subject to the provisions of Statement No. 142. Amortization expense related to goodwill was $1.8 million, $0.9 million and $0.4 million for the years ended December 31, 2001, 2000 and 1999, respectively. The Company is currently evaluating the impact of adoption of Statement No. 142.</w:t>
      </w:r>
    </w:p>
    <w:p>
      <w:pPr>
        <w:spacing w:after="0" w:line="17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In July 2001, the FASB issued Statement of Financial Accounting</w:t>
      </w:r>
    </w:p>
    <w:p>
      <w:pPr>
        <w:sectPr>
          <w:pgSz w:w="11900" w:h="16838" w:orient="portrait"/>
          <w:cols w:equalWidth="0" w:num="1">
            <w:col w:w="9579"/>
          </w:cols>
          <w:pgMar w:left="880" w:top="142" w:right="1440" w:bottom="0" w:gutter="0" w:footer="0" w:header="0"/>
        </w:sectPr>
      </w:pPr>
    </w:p>
    <w:bookmarkStart w:id="24" w:name="page25"/>
    <w:bookmarkEnd w:id="24"/>
    <w:p>
      <w:pPr>
        <w:ind w:left="1285" w:right="2839"/>
        <w:spacing w:after="0" w:line="251" w:lineRule="auto"/>
        <w:rPr>
          <w:sz w:val="20"/>
          <w:szCs w:val="20"/>
          <w:color w:val="auto"/>
        </w:rPr>
      </w:pPr>
      <w:r>
        <w:rPr>
          <w:rFonts w:ascii="Courier New" w:cs="Courier New" w:eastAsia="Courier New" w:hAnsi="Courier New"/>
          <w:sz w:val="15"/>
          <w:szCs w:val="15"/>
          <w:color w:val="auto"/>
        </w:rPr>
        <w:t>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the Statement is required for fiscal years beginning after June 15, 2002. The Company is currently evaluating the impact of adoption of Statement No. 143.</w:t>
      </w:r>
    </w:p>
    <w:p>
      <w:pPr>
        <w:spacing w:after="0" w:line="176" w:lineRule="exact"/>
        <w:rPr>
          <w:sz w:val="20"/>
          <w:szCs w:val="20"/>
          <w:color w:val="auto"/>
        </w:rPr>
      </w:pPr>
    </w:p>
    <w:p>
      <w:pPr>
        <w:ind w:left="1285" w:right="2939"/>
        <w:spacing w:after="0" w:line="251" w:lineRule="auto"/>
        <w:rPr>
          <w:sz w:val="20"/>
          <w:szCs w:val="20"/>
          <w:color w:val="auto"/>
        </w:rPr>
      </w:pPr>
      <w:r>
        <w:rPr>
          <w:rFonts w:ascii="Courier New" w:cs="Courier New" w:eastAsia="Courier New" w:hAnsi="Courier New"/>
          <w:sz w:val="15"/>
          <w:szCs w:val="15"/>
          <w:color w:val="auto"/>
        </w:rPr>
        <w:t>In October 2001, the FASB issued Statement of Financial Accounting Standards No. 144, "Accounting 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Company is currently evaluating the impact of Statement No. 144.</w:t>
      </w:r>
    </w:p>
    <w:p>
      <w:pPr>
        <w:spacing w:after="0" w:line="175" w:lineRule="exact"/>
        <w:rPr>
          <w:sz w:val="20"/>
          <w:szCs w:val="20"/>
          <w:color w:val="auto"/>
        </w:rPr>
      </w:pPr>
    </w:p>
    <w:p>
      <w:pPr>
        <w:ind w:left="1285" w:hanging="639"/>
        <w:spacing w:after="0"/>
        <w:tabs>
          <w:tab w:leader="none" w:pos="1285" w:val="left"/>
        </w:tabs>
        <w:numPr>
          <w:ilvl w:val="1"/>
          <w:numId w:val="7"/>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Derivative Financial Instruments</w:t>
      </w:r>
    </w:p>
    <w:p>
      <w:pPr>
        <w:spacing w:after="0" w:line="184" w:lineRule="exact"/>
        <w:rPr>
          <w:rFonts w:ascii="Courier New" w:cs="Courier New" w:eastAsia="Courier New" w:hAnsi="Courier New"/>
          <w:sz w:val="15"/>
          <w:szCs w:val="15"/>
          <w:i w:val="1"/>
          <w:iCs w:val="1"/>
          <w:color w:val="auto"/>
        </w:rPr>
      </w:pPr>
    </w:p>
    <w:p>
      <w:pPr>
        <w:ind w:left="1285" w:right="28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82" w:lineRule="exact"/>
        <w:rPr>
          <w:rFonts w:ascii="Courier New" w:cs="Courier New" w:eastAsia="Courier New" w:hAnsi="Courier New"/>
          <w:sz w:val="15"/>
          <w:szCs w:val="15"/>
          <w:i w:val="1"/>
          <w:iCs w:val="1"/>
          <w:color w:val="auto"/>
        </w:rPr>
      </w:pPr>
    </w:p>
    <w:p>
      <w:pPr>
        <w:ind w:left="1285" w:right="29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Company has an interest rate swap accounted for in accordance with Statement of Financial Accounting Standards (SFAS) No. 133, "Accounting for Derivative Instruments and Hedging Activities."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81" w:lineRule="exact"/>
        <w:rPr>
          <w:rFonts w:ascii="Courier New" w:cs="Courier New" w:eastAsia="Courier New" w:hAnsi="Courier New"/>
          <w:sz w:val="15"/>
          <w:szCs w:val="15"/>
          <w:i w:val="1"/>
          <w:iCs w:val="1"/>
          <w:color w:val="auto"/>
        </w:rPr>
      </w:pPr>
    </w:p>
    <w:p>
      <w:pPr>
        <w:ind w:left="1285" w:right="2939"/>
        <w:spacing w:after="0" w:line="250"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In connection with a variable EURIBOR rate debt financing in July 2000 the Company's 54% owned subsidiary, NN Euroball ApS entered into an interest rate swap with a notional amount of Euro 12.5 million for the purpose of fixing the interest rate on a portion of their debt financing. The interest rate swap provides for the Company to receive variable Euribor interest payments and pay</w:t>
      </w:r>
    </w:p>
    <w:p>
      <w:pPr>
        <w:spacing w:after="0" w:line="2" w:lineRule="exact"/>
        <w:rPr>
          <w:rFonts w:ascii="Courier New" w:cs="Courier New" w:eastAsia="Courier New" w:hAnsi="Courier New"/>
          <w:sz w:val="15"/>
          <w:szCs w:val="15"/>
          <w:i w:val="1"/>
          <w:iCs w:val="1"/>
          <w:color w:val="auto"/>
        </w:rPr>
      </w:pPr>
    </w:p>
    <w:p>
      <w:pPr>
        <w:ind w:left="1285" w:right="293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5.51% fixed interest. The interest rate swap agreement expires in July 2006 and the notional amount amortizes in relation to principal payments on the underlying debt over the life of the swap.</w:t>
      </w:r>
    </w:p>
    <w:p>
      <w:pPr>
        <w:spacing w:after="0" w:line="176" w:lineRule="exact"/>
        <w:rPr>
          <w:rFonts w:ascii="Courier New" w:cs="Courier New" w:eastAsia="Courier New" w:hAnsi="Courier New"/>
          <w:sz w:val="15"/>
          <w:szCs w:val="15"/>
          <w:i w:val="1"/>
          <w:iCs w:val="1"/>
          <w:color w:val="auto"/>
        </w:rPr>
      </w:pPr>
    </w:p>
    <w:p>
      <w:pPr>
        <w:ind w:left="1285" w:right="283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The cumulative effect of a change in accounting principles for the adoption of SFAS No. 133 effective January 1, 2001 resulted in a transition adjustment net loss of $98 which is net of an income tax benefit of $112 and the related minority interest impact of $84. The interest rate swap does not qualify for hedge accounting under the provisions of SFAS No. 133; therefore, the transition adjustment for adoption of SFAS No. 133 and any subsequent periodic changes in fair value of the interest rate swap are recorded in earnings.</w:t>
      </w:r>
    </w:p>
    <w:p>
      <w:pPr>
        <w:spacing w:after="0" w:line="175" w:lineRule="exact"/>
        <w:rPr>
          <w:rFonts w:ascii="Courier New" w:cs="Courier New" w:eastAsia="Courier New" w:hAnsi="Courier New"/>
          <w:sz w:val="15"/>
          <w:szCs w:val="15"/>
          <w:i w:val="1"/>
          <w:iCs w:val="1"/>
          <w:color w:val="auto"/>
        </w:rPr>
      </w:pPr>
    </w:p>
    <w:p>
      <w:pPr>
        <w:ind w:left="1285" w:right="2939"/>
        <w:spacing w:after="0" w:line="251"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As of December 31, 2001, the fair value of the swap is a before tax loss of approximately $374 which is recorded in other non-current liabilities. The change in fair value during the year ended December 31, 2001 was a loss of approximately $80 which has been included as a component of other (income) expense.</w:t>
      </w:r>
    </w:p>
    <w:p>
      <w:pPr>
        <w:spacing w:after="0" w:line="176" w:lineRule="exact"/>
        <w:rPr>
          <w:rFonts w:ascii="Courier New" w:cs="Courier New" w:eastAsia="Courier New" w:hAnsi="Courier New"/>
          <w:sz w:val="15"/>
          <w:szCs w:val="15"/>
          <w:i w:val="1"/>
          <w:iCs w:val="1"/>
          <w:color w:val="auto"/>
        </w:rPr>
      </w:pPr>
    </w:p>
    <w:p>
      <w:pPr>
        <w:ind w:left="465" w:hanging="465"/>
        <w:spacing w:after="0"/>
        <w:tabs>
          <w:tab w:leader="none" w:pos="465" w:val="left"/>
        </w:tabs>
        <w:numPr>
          <w:ilvl w:val="0"/>
          <w:numId w:val="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Acquisitions</w:t>
      </w:r>
    </w:p>
    <w:p>
      <w:pPr>
        <w:spacing w:after="0" w:line="184" w:lineRule="exact"/>
        <w:rPr>
          <w:rFonts w:ascii="Courier New" w:cs="Courier New" w:eastAsia="Courier New" w:hAnsi="Courier New"/>
          <w:sz w:val="15"/>
          <w:szCs w:val="15"/>
          <w:b w:val="1"/>
          <w:bCs w:val="1"/>
          <w:color w:val="auto"/>
        </w:rPr>
      </w:pPr>
    </w:p>
    <w:p>
      <w:pPr>
        <w:ind w:left="465" w:right="283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On February 16, 2001, the Company completed the acquisition of all of the outstanding stock of The Delta Rubber Company, ("Delta") a Connecticut corporation for $22,500 in cash, of which $500 was to be held in escrow for one year from the date of closing. Delta provides high quality engineered bearing seals and other precision-molded rubber products to original equipment manufacturers. The Company plans to continue the operation of the Delta business, which operates a manufacturing facility in Danielson, Connecticut. The excess of the purchase price over the fair value of the net identifiable</w:t>
      </w:r>
    </w:p>
    <w:p>
      <w:pPr>
        <w:spacing w:after="0" w:line="175"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ectPr>
          <w:pgSz w:w="11900" w:h="16838" w:orient="portrait"/>
          <w:cols w:equalWidth="0" w:num="1">
            <w:col w:w="10225"/>
          </w:cols>
          <w:pgMar w:left="235" w:top="142" w:right="1440" w:bottom="16" w:gutter="0" w:footer="0" w:header="0"/>
        </w:sectPr>
      </w:pPr>
    </w:p>
    <w:bookmarkStart w:id="25" w:name="page26"/>
    <w:bookmarkEnd w:id="25"/>
    <w:p>
      <w:pPr>
        <w:ind w:right="3219"/>
        <w:spacing w:after="0" w:line="253" w:lineRule="auto"/>
        <w:rPr>
          <w:sz w:val="20"/>
          <w:szCs w:val="20"/>
          <w:color w:val="auto"/>
        </w:rPr>
      </w:pPr>
      <w:r>
        <w:rPr>
          <w:rFonts w:ascii="Courier New" w:cs="Courier New" w:eastAsia="Courier New" w:hAnsi="Courier New"/>
          <w:sz w:val="15"/>
          <w:szCs w:val="15"/>
          <w:color w:val="auto"/>
        </w:rPr>
        <w:t>assets acquired of $14,107 has been recorded as goodwill and is being amortized on a straight-line basis over twenty years.</w:t>
      </w:r>
    </w:p>
    <w:p>
      <w:pPr>
        <w:spacing w:after="0" w:line="17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Effective July 31, 2000, the Company completed its Euroball transaction. Completion of the transaction required the Company to start a majority owned stand-alone company in Europe, NN Euroball ApS, for the manufacture and sale of precision steel balls used for ball bearings and other products. The Company owns 54% of the shares of NN Euroball, ApS, AB SKF (SKF), a Swedish Company, and FAG Kugelfischer Georg Schager AG (FAG), a German Company, own 23% each. NN Euroball ApS subsequently acquired the steel ball manufacturing facilities located in Pinerolo, Italy (previously owned by SKF), Eltmann, Germany (previously owned by FAG) and Kilkenny, Ireland (previously owned by the Company). NN Euroball ApS paid approximately $57,788 for the net assets acquired from SKF and FAG. The acquisitions of the Pinerolo, Italy and Eltmann, Germany ball manufacturing facilities have been accounted for by the purchase method of accounting and, accordingly, the results of operations of Euroball have been included in the Company's consolidated financial statements from July 31, 2000. The excess of the purchase price over the fair value of the net identifiable assets acquired of $15,507 has been recorded as goodwill and is being amortized on a straight-line basis over twenty years.</w:t>
      </w:r>
    </w:p>
    <w:p>
      <w:pPr>
        <w:spacing w:after="0" w:line="363"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Under the terms of a Shareholder Agreement between the Company, SKF and FAG, at any time after December 31, 2002, SKF and FAG can require the Company to purchase their shares of NN Euroball ApS. The purchase price of the shares is to be calculated using a purchase price formula specified in the Shareholder Agreement.</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following unaudited pro forma summary presents the financial information as if the Company's Euroball transaction and Delta acquisition had occurred on January 1, 2001 and 2000. These proforma results have been prepared for comparative purposes and do not purport to be indicative of what would have occurred had the acquisitions been made on January 1, 2001 and 2000, nor is it indicative of future results.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tcPr>
          <w:p>
            <w:pPr>
              <w:spacing w:after="0"/>
              <w:rPr>
                <w:sz w:val="14"/>
                <w:szCs w:val="14"/>
                <w:color w:val="auto"/>
              </w:rPr>
            </w:pPr>
          </w:p>
        </w:tc>
        <w:tc>
          <w:tcPr>
            <w:tcW w:w="2200" w:type="dxa"/>
            <w:vAlign w:val="bottom"/>
          </w:tcPr>
          <w:p>
            <w:pPr>
              <w:jc w:val="right"/>
              <w:ind w:right="423"/>
              <w:spacing w:after="0"/>
              <w:rPr>
                <w:sz w:val="20"/>
                <w:szCs w:val="20"/>
                <w:color w:val="auto"/>
              </w:rPr>
            </w:pPr>
            <w:r>
              <w:rPr>
                <w:rFonts w:ascii="Courier New" w:cs="Courier New" w:eastAsia="Courier New" w:hAnsi="Courier New"/>
                <w:sz w:val="15"/>
                <w:szCs w:val="15"/>
                <w:b w:val="1"/>
                <w:bCs w:val="1"/>
                <w:color w:val="auto"/>
              </w:rPr>
              <w:t>(Unaudited)</w:t>
            </w:r>
          </w:p>
        </w:tc>
        <w:tc>
          <w:tcPr>
            <w:tcW w:w="1800" w:type="dxa"/>
            <w:vAlign w:val="bottom"/>
          </w:tcPr>
          <w:p>
            <w:pPr>
              <w:jc w:val="right"/>
              <w:ind w:right="283"/>
              <w:spacing w:after="0"/>
              <w:rPr>
                <w:sz w:val="20"/>
                <w:szCs w:val="20"/>
                <w:color w:val="auto"/>
              </w:rPr>
            </w:pPr>
            <w:r>
              <w:rPr>
                <w:rFonts w:ascii="Courier New" w:cs="Courier New" w:eastAsia="Courier New" w:hAnsi="Courier New"/>
                <w:sz w:val="15"/>
                <w:szCs w:val="15"/>
                <w:b w:val="1"/>
                <w:bCs w:val="1"/>
                <w:color w:val="auto"/>
              </w:rPr>
              <w:t>(Unaudited)</w:t>
            </w:r>
          </w:p>
        </w:tc>
      </w:tr>
      <w:tr>
        <w:trPr>
          <w:trHeight w:val="177"/>
        </w:trPr>
        <w:tc>
          <w:tcPr>
            <w:tcW w:w="2820" w:type="dxa"/>
            <w:vAlign w:val="bottom"/>
          </w:tcPr>
          <w:p>
            <w:pPr>
              <w:spacing w:after="0"/>
              <w:rPr>
                <w:sz w:val="15"/>
                <w:szCs w:val="15"/>
                <w:color w:val="auto"/>
              </w:rPr>
            </w:pPr>
          </w:p>
        </w:tc>
        <w:tc>
          <w:tcPr>
            <w:tcW w:w="2200" w:type="dxa"/>
            <w:vAlign w:val="bottom"/>
          </w:tcPr>
          <w:p>
            <w:pPr>
              <w:ind w:left="400"/>
              <w:spacing w:after="0"/>
              <w:rPr>
                <w:sz w:val="20"/>
                <w:szCs w:val="20"/>
                <w:color w:val="auto"/>
              </w:rPr>
            </w:pPr>
            <w:r>
              <w:rPr>
                <w:rFonts w:ascii="Courier New" w:cs="Courier New" w:eastAsia="Courier New" w:hAnsi="Courier New"/>
                <w:sz w:val="15"/>
                <w:szCs w:val="15"/>
                <w:b w:val="1"/>
                <w:bCs w:val="1"/>
                <w:color w:val="auto"/>
              </w:rPr>
              <w:t>December 31, 2001</w:t>
            </w:r>
          </w:p>
        </w:tc>
        <w:tc>
          <w:tcPr>
            <w:tcW w:w="1800" w:type="dxa"/>
            <w:vAlign w:val="bottom"/>
          </w:tcPr>
          <w:p>
            <w:pPr>
              <w:ind w:left="140"/>
              <w:spacing w:after="0"/>
              <w:rPr>
                <w:sz w:val="20"/>
                <w:szCs w:val="20"/>
                <w:color w:val="auto"/>
              </w:rPr>
            </w:pPr>
            <w:r>
              <w:rPr>
                <w:rFonts w:ascii="Courier New" w:cs="Courier New" w:eastAsia="Courier New" w:hAnsi="Courier New"/>
                <w:sz w:val="15"/>
                <w:szCs w:val="15"/>
                <w:b w:val="1"/>
                <w:bCs w:val="1"/>
                <w:color w:val="auto"/>
              </w:rPr>
              <w:t>December 31, 2000</w:t>
            </w:r>
          </w:p>
        </w:tc>
      </w:tr>
      <w:tr>
        <w:trPr>
          <w:trHeight w:val="177"/>
        </w:trPr>
        <w:tc>
          <w:tcPr>
            <w:tcW w:w="2820" w:type="dxa"/>
            <w:vAlign w:val="bottom"/>
          </w:tcPr>
          <w:p>
            <w:pPr>
              <w:spacing w:after="0"/>
              <w:rPr>
                <w:sz w:val="15"/>
                <w:szCs w:val="15"/>
                <w:color w:val="auto"/>
              </w:rPr>
            </w:pPr>
          </w:p>
        </w:tc>
        <w:tc>
          <w:tcPr>
            <w:tcW w:w="2200" w:type="dxa"/>
            <w:vAlign w:val="bottom"/>
          </w:tcPr>
          <w:p>
            <w:pPr>
              <w:ind w:left="400"/>
              <w:spacing w:after="0"/>
              <w:rPr>
                <w:sz w:val="20"/>
                <w:szCs w:val="20"/>
                <w:color w:val="auto"/>
              </w:rPr>
            </w:pPr>
            <w:r>
              <w:rPr>
                <w:rFonts w:ascii="Courier New" w:cs="Courier New" w:eastAsia="Courier New" w:hAnsi="Courier New"/>
                <w:sz w:val="15"/>
                <w:szCs w:val="15"/>
                <w:b w:val="1"/>
                <w:bCs w:val="1"/>
                <w:color w:val="auto"/>
              </w:rPr>
              <w:t>------------------</w:t>
            </w:r>
          </w:p>
        </w:tc>
        <w:tc>
          <w:tcPr>
            <w:tcW w:w="1800" w:type="dxa"/>
            <w:vAlign w:val="bottom"/>
          </w:tcPr>
          <w:p>
            <w:pPr>
              <w:ind w:left="140"/>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$ 182,700</w:t>
            </w:r>
          </w:p>
        </w:tc>
        <w:tc>
          <w:tcPr>
            <w:tcW w:w="1800" w:type="dxa"/>
            <w:vAlign w:val="bottom"/>
          </w:tcPr>
          <w:p>
            <w:pPr>
              <w:jc w:val="right"/>
              <w:ind w:right="3"/>
              <w:spacing w:after="0"/>
              <w:rPr>
                <w:sz w:val="20"/>
                <w:szCs w:val="20"/>
                <w:color w:val="auto"/>
              </w:rPr>
            </w:pPr>
            <w:r>
              <w:rPr>
                <w:rFonts w:ascii="Courier New" w:cs="Courier New" w:eastAsia="Courier New" w:hAnsi="Courier New"/>
                <w:sz w:val="15"/>
                <w:szCs w:val="15"/>
                <w:color w:val="auto"/>
              </w:rPr>
              <w:t>$ 200,500</w:t>
            </w:r>
          </w:p>
        </w:tc>
      </w:tr>
      <w:tr>
        <w:trPr>
          <w:trHeight w:val="177"/>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4,800</w:t>
            </w:r>
          </w:p>
        </w:tc>
        <w:tc>
          <w:tcPr>
            <w:tcW w:w="18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11,800</w:t>
            </w:r>
          </w:p>
        </w:tc>
      </w:tr>
      <w:tr>
        <w:trPr>
          <w:trHeight w:val="177"/>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0.31</w:t>
            </w:r>
          </w:p>
        </w:tc>
        <w:tc>
          <w:tcPr>
            <w:tcW w:w="1800" w:type="dxa"/>
            <w:vAlign w:val="bottom"/>
          </w:tcPr>
          <w:p>
            <w:pPr>
              <w:jc w:val="right"/>
              <w:ind w:right="3"/>
              <w:spacing w:after="0"/>
              <w:rPr>
                <w:sz w:val="20"/>
                <w:szCs w:val="20"/>
                <w:color w:val="auto"/>
              </w:rPr>
            </w:pPr>
            <w:r>
              <w:rPr>
                <w:rFonts w:ascii="Courier New" w:cs="Courier New" w:eastAsia="Courier New" w:hAnsi="Courier New"/>
                <w:sz w:val="15"/>
                <w:szCs w:val="15"/>
                <w:color w:val="auto"/>
              </w:rPr>
              <w:t>0.77</w:t>
            </w:r>
          </w:p>
        </w:tc>
      </w:tr>
      <w:tr>
        <w:trPr>
          <w:trHeight w:val="177"/>
        </w:trPr>
        <w:tc>
          <w:tcPr>
            <w:tcW w:w="28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0.31</w:t>
            </w:r>
          </w:p>
        </w:tc>
        <w:tc>
          <w:tcPr>
            <w:tcW w:w="1800" w:type="dxa"/>
            <w:vAlign w:val="bottom"/>
          </w:tcPr>
          <w:p>
            <w:pPr>
              <w:jc w:val="right"/>
              <w:ind w:right="3"/>
              <w:spacing w:after="0"/>
              <w:rPr>
                <w:sz w:val="20"/>
                <w:szCs w:val="20"/>
                <w:color w:val="auto"/>
              </w:rPr>
            </w:pPr>
            <w:r>
              <w:rPr>
                <w:rFonts w:ascii="Courier New" w:cs="Courier New" w:eastAsia="Courier New" w:hAnsi="Courier New"/>
                <w:sz w:val="15"/>
                <w:szCs w:val="15"/>
                <w:color w:val="auto"/>
              </w:rPr>
              <w:t>0.76</w:t>
            </w:r>
          </w:p>
        </w:tc>
      </w:tr>
    </w:tbl>
    <w:p>
      <w:pPr>
        <w:spacing w:after="0" w:line="183"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Effective July 4, 1999, the Company acquired substantially all of the assets and assumed certain liabilities of Earsley Capital Corporation, a Nevada corporation and successor to and formerly known as Industrial Molding Corporation ("IMC"). IMC, located in Lubbock, Texas, operates as a premier full-service designer and manufacturer of precision plastic injection molded components. The Company paid consideration of approximately $30,000, consisting of $27,500 in cash and 440 shares of its common stock, for the net assets acquired from IMC. The Company has accounted for the IMC acquisition using the purchase method of accounting and, accordingly, the results of operations of IMC have been included in the Company's consolidated financial statements from July 4, 1999. The excess of the purchase price over the fair value of the net identifiable assets acquired of $13,200 has been recorded as goodwill, which is being amortized, on a straight-line basis over twenty years.</w:t>
      </w:r>
    </w:p>
    <w:p>
      <w:pPr>
        <w:spacing w:after="0" w:line="184" w:lineRule="exact"/>
        <w:rPr>
          <w:sz w:val="20"/>
          <w:szCs w:val="20"/>
          <w:color w:val="auto"/>
        </w:rPr>
      </w:pPr>
    </w:p>
    <w:p>
      <w:pPr>
        <w:ind w:left="4980"/>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88265</wp:posOffset>
            </wp:positionV>
            <wp:extent cx="72891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following unaudited pro forma summary presents the financial information as if the Company's acquisition of IMC had occurred on January 1, 1999. This unaudited pro forma summary does not include Euroball or Delta. These proforma results have been prepared for comparative purposes and do not purport to be indicative of what would have occurred had the acquisition been made on January 1, 1999, nor is it indicative of future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3000" w:type="dxa"/>
            <w:vAlign w:val="bottom"/>
          </w:tcPr>
          <w:p>
            <w:pPr>
              <w:jc w:val="right"/>
              <w:ind w:right="483"/>
              <w:spacing w:after="0"/>
              <w:rPr>
                <w:sz w:val="20"/>
                <w:szCs w:val="20"/>
                <w:color w:val="auto"/>
              </w:rPr>
            </w:pPr>
            <w:r>
              <w:rPr>
                <w:rFonts w:ascii="Courier New" w:cs="Courier New" w:eastAsia="Courier New" w:hAnsi="Courier New"/>
                <w:sz w:val="15"/>
                <w:szCs w:val="15"/>
                <w:b w:val="1"/>
                <w:bCs w:val="1"/>
                <w:color w:val="auto"/>
              </w:rPr>
              <w:t>(Unaudited)</w:t>
            </w:r>
          </w:p>
        </w:tc>
      </w:tr>
      <w:tr>
        <w:trPr>
          <w:trHeight w:val="177"/>
        </w:trPr>
        <w:tc>
          <w:tcPr>
            <w:tcW w:w="3460" w:type="dxa"/>
            <w:vAlign w:val="bottom"/>
          </w:tcPr>
          <w:p>
            <w:pPr>
              <w:spacing w:after="0"/>
              <w:rPr>
                <w:sz w:val="15"/>
                <w:szCs w:val="15"/>
                <w:color w:val="auto"/>
              </w:rPr>
            </w:pPr>
          </w:p>
        </w:tc>
        <w:tc>
          <w:tcPr>
            <w:tcW w:w="300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December 31, 1999</w:t>
            </w:r>
          </w:p>
        </w:tc>
      </w:tr>
      <w:tr>
        <w:trPr>
          <w:trHeight w:val="177"/>
        </w:trPr>
        <w:tc>
          <w:tcPr>
            <w:tcW w:w="3460" w:type="dxa"/>
            <w:vAlign w:val="bottom"/>
          </w:tcPr>
          <w:p>
            <w:pPr>
              <w:spacing w:after="0"/>
              <w:rPr>
                <w:sz w:val="15"/>
                <w:szCs w:val="15"/>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0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$ 101,562</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0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7,558</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0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0.50</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Dilutive earnings per share</w:t>
            </w:r>
          </w:p>
        </w:tc>
        <w:tc>
          <w:tcPr>
            <w:tcW w:w="30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0.50</w:t>
            </w:r>
          </w:p>
        </w:tc>
      </w:tr>
    </w:tbl>
    <w:p>
      <w:pPr>
        <w:sectPr>
          <w:pgSz w:w="11900" w:h="16838" w:orient="portrait"/>
          <w:cols w:equalWidth="0" w:num="1">
            <w:col w:w="9579"/>
          </w:cols>
          <w:pgMar w:left="880" w:top="319" w:right="1440" w:bottom="0" w:gutter="0" w:footer="0" w:header="0"/>
        </w:sectPr>
      </w:pPr>
    </w:p>
    <w:bookmarkStart w:id="26" w:name="page27"/>
    <w:bookmarkEnd w:id="26"/>
    <w:p>
      <w:pPr>
        <w:ind w:left="645" w:hanging="645"/>
        <w:spacing w:after="0"/>
        <w:tabs>
          <w:tab w:leader="none" w:pos="645" w:val="left"/>
        </w:tabs>
        <w:numPr>
          <w:ilvl w:val="0"/>
          <w:numId w:val="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Restructuring and Impairment Charges</w:t>
      </w:r>
    </w:p>
    <w:p>
      <w:pPr>
        <w:spacing w:after="0" w:line="184" w:lineRule="exact"/>
        <w:rPr>
          <w:rFonts w:ascii="Courier New" w:cs="Courier New" w:eastAsia="Courier New" w:hAnsi="Courier New"/>
          <w:sz w:val="15"/>
          <w:szCs w:val="15"/>
          <w:b w:val="1"/>
          <w:bCs w:val="1"/>
          <w:color w:val="auto"/>
        </w:rPr>
      </w:pPr>
    </w:p>
    <w:p>
      <w:pPr>
        <w:ind w:left="645" w:right="311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In September 2001, the Company announced the closure of its Walterboro, South Carolina ball manufacturing facility as a part of its ongoing strategy to locate manufacturing capacity in closer proximity to its customers. This facility is included in the Company's Domestic Ball and Roller Segment (see Note 10). The closure was substantially completed by December 31, 2001.</w:t>
      </w:r>
    </w:p>
    <w:p>
      <w:pPr>
        <w:spacing w:after="0" w:line="175" w:lineRule="exact"/>
        <w:rPr>
          <w:rFonts w:ascii="Courier New" w:cs="Courier New" w:eastAsia="Courier New" w:hAnsi="Courier New"/>
          <w:sz w:val="15"/>
          <w:szCs w:val="15"/>
          <w:b w:val="1"/>
          <w:bCs w:val="1"/>
          <w:color w:val="auto"/>
        </w:rPr>
      </w:pPr>
    </w:p>
    <w:p>
      <w:pPr>
        <w:ind w:left="645" w:right="3119"/>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Prior to December 31, 2001, production capacity and certain machinery and equipment was transferred from the Walterboro facility to the Company's two domestic ball facilities in Erwin, Tennessee and Mountain City, Tennessee. The plant closing resulted in the termination of approximately 80 full time hourly and salaried employees located at the Walterboro facility. The Company has recorded restructuring costs of $750 during the year ended December 31, 2001 for the severance payments. Additionally, prior to December 31, 2001, the Company decided to sell the Walterboro land, building and certain machinery. The Company incurred an impairment charge of $1,083 during 2001 to write-down the land and building at the Walterboro facility to its net realizable value of $1,697, which was based upon fair market value appraisals. The remaining equipment with a historical net book value of $2,656 is also held for sale. The amounts the Company will ultimately realize upon disposition of these assets could differ materially from the amounts assumed in arriving at the 2001 impairment loss. The Company anticipates selling the land, building and machinery during 2002. Approximately $290 of the severance payments were paid in 2001 and the remaining is expected to be paid in 2002.</w:t>
      </w:r>
    </w:p>
    <w:p>
      <w:pPr>
        <w:spacing w:after="0" w:line="185" w:lineRule="exact"/>
        <w:rPr>
          <w:rFonts w:ascii="Courier New" w:cs="Courier New" w:eastAsia="Courier New" w:hAnsi="Courier New"/>
          <w:sz w:val="15"/>
          <w:szCs w:val="15"/>
          <w:b w:val="1"/>
          <w:bCs w:val="1"/>
          <w:color w:val="auto"/>
        </w:rPr>
      </w:pPr>
    </w:p>
    <w:p>
      <w:pPr>
        <w:ind w:left="645" w:right="283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Accrued restructuring costs of $460 are included in other current liabilities as of December 31, 2001. The Company has charged expenses for moving machinery, equipment and inventory to other production facilities and other costs to close the facility, which will benefit future operations in the period they are incurred.</w:t>
      </w:r>
    </w:p>
    <w:p>
      <w:pPr>
        <w:spacing w:after="0" w:line="176" w:lineRule="exact"/>
        <w:rPr>
          <w:rFonts w:ascii="Courier New" w:cs="Courier New" w:eastAsia="Courier New" w:hAnsi="Courier New"/>
          <w:sz w:val="15"/>
          <w:szCs w:val="15"/>
          <w:b w:val="1"/>
          <w:bCs w:val="1"/>
          <w:color w:val="auto"/>
        </w:rPr>
      </w:pPr>
    </w:p>
    <w:p>
      <w:pPr>
        <w:ind w:left="645" w:right="293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In addition to this restructuring charge, the Company's Euroball subsidiary incurred restructuring charges of $479 for severance payments as a result of the termination of 15 hourly employees and 3 salaried employees at its Italy production facility. Approximately $426 of the severance payments were paid during 2001 and remaining accrued restructuring costs of $53 are included in other current liabilities as of December 31, 2001.</w:t>
      </w:r>
    </w:p>
    <w:p>
      <w:pPr>
        <w:spacing w:after="0" w:line="175" w:lineRule="exact"/>
        <w:rPr>
          <w:rFonts w:ascii="Courier New" w:cs="Courier New" w:eastAsia="Courier New" w:hAnsi="Courier New"/>
          <w:sz w:val="15"/>
          <w:szCs w:val="15"/>
          <w:b w:val="1"/>
          <w:bCs w:val="1"/>
          <w:color w:val="auto"/>
        </w:rPr>
      </w:pPr>
    </w:p>
    <w:p>
      <w:pPr>
        <w:ind w:left="645"/>
        <w:spacing w:after="0"/>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following summarizes the 2001 restructurings:</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Reserve</w:t>
            </w:r>
          </w:p>
        </w:tc>
      </w:tr>
      <w:tr>
        <w:trPr>
          <w:trHeight w:val="177"/>
        </w:trPr>
        <w:tc>
          <w:tcPr>
            <w:tcW w:w="3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Non-Cash</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Paid in</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Balance</w:t>
            </w:r>
          </w:p>
        </w:tc>
      </w:tr>
      <w:tr>
        <w:trPr>
          <w:trHeight w:val="177"/>
        </w:trPr>
        <w:tc>
          <w:tcPr>
            <w:tcW w:w="33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Charges</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Writedowns</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at 12/31/01</w:t>
            </w:r>
          </w:p>
        </w:tc>
      </w:tr>
      <w:tr>
        <w:trPr>
          <w:trHeight w:val="177"/>
        </w:trPr>
        <w:tc>
          <w:tcPr>
            <w:tcW w:w="3320" w:type="dxa"/>
            <w:vAlign w:val="bottom"/>
          </w:tcPr>
          <w:p>
            <w:pPr>
              <w:spacing w:after="0"/>
              <w:rPr>
                <w:sz w:val="15"/>
                <w:szCs w:val="15"/>
                <w:color w:val="auto"/>
              </w:rPr>
            </w:pPr>
          </w:p>
        </w:tc>
        <w:tc>
          <w:tcPr>
            <w:tcW w:w="20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 ----------</w:t>
            </w:r>
          </w:p>
        </w:tc>
        <w:tc>
          <w:tcPr>
            <w:tcW w:w="1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Asset impairments</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$1,083</w:t>
            </w:r>
          </w:p>
        </w:tc>
        <w:tc>
          <w:tcPr>
            <w:tcW w:w="110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$1,083</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Severance and other employee costs</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1,229</w:t>
            </w:r>
          </w:p>
        </w:tc>
        <w:tc>
          <w:tcPr>
            <w:tcW w:w="110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ind w:left="560"/>
              <w:spacing w:after="0"/>
              <w:rPr>
                <w:sz w:val="20"/>
                <w:szCs w:val="20"/>
                <w:color w:val="auto"/>
              </w:rPr>
            </w:pPr>
            <w:r>
              <w:rPr>
                <w:rFonts w:ascii="Courier New" w:cs="Courier New" w:eastAsia="Courier New" w:hAnsi="Courier New"/>
                <w:sz w:val="15"/>
                <w:szCs w:val="15"/>
                <w:color w:val="auto"/>
              </w:rPr>
              <w:t>716</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513</w:t>
            </w:r>
          </w:p>
        </w:tc>
      </w:tr>
      <w:tr>
        <w:trPr>
          <w:trHeight w:val="177"/>
        </w:trPr>
        <w:tc>
          <w:tcPr>
            <w:tcW w:w="33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$2,312</w:t>
            </w:r>
          </w:p>
        </w:tc>
        <w:tc>
          <w:tcPr>
            <w:tcW w:w="110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$1,083</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  716</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  513</w:t>
            </w:r>
          </w:p>
        </w:tc>
      </w:tr>
      <w:tr>
        <w:trPr>
          <w:trHeight w:val="177"/>
        </w:trPr>
        <w:tc>
          <w:tcPr>
            <w:tcW w:w="332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5" w:hanging="553"/>
        <w:spacing w:after="0"/>
        <w:tabs>
          <w:tab w:leader="none" w:pos="645" w:val="left"/>
        </w:tabs>
        <w:numPr>
          <w:ilvl w:val="0"/>
          <w:numId w:val="1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Investments in Affiliated Companies</w:t>
      </w:r>
    </w:p>
    <w:p>
      <w:pPr>
        <w:spacing w:after="0" w:line="184" w:lineRule="exact"/>
        <w:rPr>
          <w:rFonts w:ascii="Courier New" w:cs="Courier New" w:eastAsia="Courier New" w:hAnsi="Courier New"/>
          <w:sz w:val="15"/>
          <w:szCs w:val="15"/>
          <w:b w:val="1"/>
          <w:bCs w:val="1"/>
          <w:color w:val="auto"/>
        </w:rPr>
      </w:pPr>
    </w:p>
    <w:p>
      <w:pPr>
        <w:ind w:left="645" w:right="2659"/>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Investments in affiliated companies at December 31, 2000 consist of 50% of the member interest of NN General, LLC. NN General, LLC was formed in March 2000 between the Company and General Bearing Corporation. NN General, LLC owns 60% of the Jiangsu General Ball and Roller, Company, Ltd., a Chinese precision ball and roller manufacturer located in Rugao City, Jiangsu, Province, China. The Company's investment in NN General, LLC includes $215 of member equity and a note receivable of $3,440 at December 31, 2000 which are included in other non-current assets in the accompanying consolidated balance sheet. The note receivable bears interest at variable rates (6.24% at December 31, 2000) and is due December 31,</w:t>
      </w:r>
    </w:p>
    <w:p>
      <w:pPr>
        <w:spacing w:after="0" w:line="4" w:lineRule="exact"/>
        <w:rPr>
          <w:rFonts w:ascii="Courier New" w:cs="Courier New" w:eastAsia="Courier New" w:hAnsi="Courier New"/>
          <w:sz w:val="15"/>
          <w:szCs w:val="15"/>
          <w:b w:val="1"/>
          <w:bCs w:val="1"/>
          <w:color w:val="auto"/>
        </w:rPr>
      </w:pPr>
    </w:p>
    <w:p>
      <w:pPr>
        <w:ind w:left="645" w:right="2659"/>
        <w:spacing w:after="0" w:line="252"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2020. Accrued interest income on this note is $159 at December 31, 2000 and is included in other current assets in the accompanying consolidated balance sheet.</w:t>
      </w:r>
    </w:p>
    <w:p>
      <w:pPr>
        <w:spacing w:after="0" w:line="174" w:lineRule="exact"/>
        <w:rPr>
          <w:rFonts w:ascii="Courier New" w:cs="Courier New" w:eastAsia="Courier New" w:hAnsi="Courier New"/>
          <w:sz w:val="15"/>
          <w:szCs w:val="15"/>
          <w:b w:val="1"/>
          <w:bCs w:val="1"/>
          <w:color w:val="auto"/>
        </w:rPr>
      </w:pPr>
    </w:p>
    <w:p>
      <w:pPr>
        <w:ind w:left="645" w:right="321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Effective December 21, 2001, the Company sold its 50% ownership in NN General, LLC to its partner, General Bearing Corporation for cash of $622 and notes of $3,300. The notes are due in annual installments of $200 with the balance due on December 21, 2006. The notes bear interest at an average LIBOR (1.88% at December 31, 2001) plus 1.5%. In 2001, the Company recorded a non-cash loss on the sale of its investment in this joint venture of $144.</w:t>
      </w:r>
    </w:p>
    <w:p>
      <w:pPr>
        <w:sectPr>
          <w:pgSz w:w="11900" w:h="16838" w:orient="portrait"/>
          <w:cols w:equalWidth="0" w:num="1">
            <w:col w:w="10225"/>
          </w:cols>
          <w:pgMar w:left="235" w:top="142" w:right="1440" w:bottom="7"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Courier New" w:cs="Courier New" w:eastAsia="Courier New" w:hAnsi="Courier New"/>
                <w:sz w:val="15"/>
                <w:szCs w:val="15"/>
                <w:b w:val="1"/>
                <w:bCs w:val="1"/>
                <w:color w:val="auto"/>
              </w:rPr>
              <w:t>(5)</w:t>
            </w:r>
          </w:p>
        </w:tc>
        <w:tc>
          <w:tcPr>
            <w:tcW w:w="3200" w:type="dxa"/>
            <w:vAlign w:val="bottom"/>
          </w:tcPr>
          <w:p>
            <w:pPr>
              <w:ind w:left="100"/>
              <w:spacing w:after="0"/>
              <w:rPr>
                <w:sz w:val="20"/>
                <w:szCs w:val="20"/>
                <w:color w:val="auto"/>
              </w:rPr>
            </w:pPr>
            <w:r>
              <w:rPr>
                <w:rFonts w:ascii="Courier New" w:cs="Courier New" w:eastAsia="Courier New" w:hAnsi="Courier New"/>
                <w:sz w:val="15"/>
                <w:szCs w:val="15"/>
                <w:b w:val="1"/>
                <w:bCs w:val="1"/>
                <w:color w:val="auto"/>
              </w:rPr>
              <w:t>Accounts Receivable</w:t>
            </w: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55"/>
        </w:trPr>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7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31,</w:t>
            </w:r>
          </w:p>
        </w:tc>
      </w:tr>
      <w:tr>
        <w:trPr>
          <w:trHeight w:val="177"/>
        </w:trPr>
        <w:tc>
          <w:tcPr>
            <w:tcW w:w="5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2001</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2000</w:t>
            </w:r>
          </w:p>
        </w:tc>
      </w:tr>
      <w:tr>
        <w:trPr>
          <w:trHeight w:val="177"/>
        </w:trPr>
        <w:tc>
          <w:tcPr>
            <w:tcW w:w="5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540" w:type="dxa"/>
            <w:vAlign w:val="bottom"/>
          </w:tcPr>
          <w:p>
            <w:pPr>
              <w:spacing w:after="0"/>
              <w:rPr>
                <w:sz w:val="20"/>
                <w:szCs w:val="20"/>
                <w:color w:val="auto"/>
              </w:rPr>
            </w:pPr>
            <w:r>
              <w:rPr>
                <w:rFonts w:ascii="Courier New" w:cs="Courier New" w:eastAsia="Courier New" w:hAnsi="Courier New"/>
                <w:sz w:val="15"/>
                <w:szCs w:val="15"/>
                <w:color w:val="auto"/>
              </w:rPr>
              <w:t>Trade</w:t>
            </w:r>
          </w:p>
        </w:tc>
        <w:tc>
          <w:tcPr>
            <w:tcW w:w="3200" w:type="dxa"/>
            <w:vAlign w:val="bottom"/>
          </w:tcPr>
          <w:p>
            <w:pPr>
              <w:spacing w:after="0"/>
              <w:rPr>
                <w:sz w:val="24"/>
                <w:szCs w:val="24"/>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$26,613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$29,028</w:t>
            </w:r>
          </w:p>
        </w:tc>
      </w:tr>
      <w:tr>
        <w:trPr>
          <w:trHeight w:val="177"/>
        </w:trPr>
        <w:tc>
          <w:tcPr>
            <w:tcW w:w="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200" w:type="dxa"/>
            <w:vAlign w:val="bottom"/>
          </w:tcPr>
          <w:p>
            <w:pPr>
              <w:spacing w:after="0"/>
              <w:rPr>
                <w:sz w:val="15"/>
                <w:szCs w:val="15"/>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1,297</w:t>
            </w:r>
          </w:p>
        </w:tc>
      </w:tr>
      <w:tr>
        <w:trPr>
          <w:trHeight w:val="177"/>
        </w:trPr>
        <w:tc>
          <w:tcPr>
            <w:tcW w:w="5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26,623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30,325</w:t>
            </w:r>
          </w:p>
        </w:tc>
      </w:tr>
      <w:tr>
        <w:trPr>
          <w:trHeight w:val="177"/>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Less - Allowance for doubtful accounts</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1,791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776</w:t>
            </w:r>
          </w:p>
        </w:tc>
      </w:tr>
      <w:tr>
        <w:trPr>
          <w:trHeight w:val="177"/>
        </w:trPr>
        <w:tc>
          <w:tcPr>
            <w:tcW w:w="5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$24,832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$29,549</w:t>
            </w:r>
          </w:p>
        </w:tc>
      </w:tr>
      <w:tr>
        <w:trPr>
          <w:trHeight w:val="177"/>
        </w:trPr>
        <w:tc>
          <w:tcPr>
            <w:tcW w:w="5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Allowance for doubtful accounts is as follows:</w:t>
      </w:r>
    </w:p>
    <w:p>
      <w:pPr>
        <w:sectPr>
          <w:pgSz w:w="11900" w:h="16838" w:orient="portrait"/>
          <w:cols w:equalWidth="0" w:num="1">
            <w:col w:w="10219"/>
          </w:cols>
          <w:pgMar w:left="240" w:top="142" w:right="1440" w:bottom="0" w:gutter="0" w:footer="0" w:header="0"/>
        </w:sectPr>
      </w:pP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b w:val="1"/>
          <w:bCs w:val="1"/>
          <w:color w:val="auto"/>
        </w:rPr>
        <w:t>Description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firstLine="92"/>
        <w:spacing w:after="0" w:line="252" w:lineRule="auto"/>
        <w:rPr>
          <w:sz w:val="20"/>
          <w:szCs w:val="20"/>
          <w:color w:val="auto"/>
        </w:rPr>
      </w:pPr>
      <w:r>
        <w:rPr>
          <w:rFonts w:ascii="Courier New" w:cs="Courier New" w:eastAsia="Courier New" w:hAnsi="Courier New"/>
          <w:sz w:val="15"/>
          <w:szCs w:val="15"/>
          <w:b w:val="1"/>
          <w:bCs w:val="1"/>
          <w:color w:val="auto"/>
        </w:rPr>
        <w:t>Balance at beginning of year ------------------</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253" w:lineRule="auto"/>
        <w:rPr>
          <w:sz w:val="20"/>
          <w:szCs w:val="20"/>
          <w:color w:val="auto"/>
        </w:rPr>
      </w:pPr>
      <w:r>
        <w:rPr>
          <w:rFonts w:ascii="Courier New" w:cs="Courier New" w:eastAsia="Courier New" w:hAnsi="Courier New"/>
          <w:sz w:val="15"/>
          <w:szCs w:val="15"/>
          <w:b w:val="1"/>
          <w:bCs w:val="1"/>
          <w:color w:val="auto"/>
        </w:rPr>
        <w:t>Additions ---------</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both"/>
        <w:spacing w:after="0" w:line="253" w:lineRule="auto"/>
        <w:rPr>
          <w:sz w:val="20"/>
          <w:szCs w:val="20"/>
          <w:color w:val="auto"/>
        </w:rPr>
      </w:pPr>
      <w:r>
        <w:rPr>
          <w:rFonts w:ascii="Courier New" w:cs="Courier New" w:eastAsia="Courier New" w:hAnsi="Courier New"/>
          <w:sz w:val="15"/>
          <w:szCs w:val="15"/>
          <w:b w:val="1"/>
          <w:bCs w:val="1"/>
          <w:color w:val="auto"/>
        </w:rPr>
        <w:t>Write-offs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Balance at end</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b w:val="1"/>
          <w:bCs w:val="1"/>
          <w:color w:val="auto"/>
        </w:rPr>
        <w:t>of year</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b w:val="1"/>
          <w:bCs w:val="1"/>
          <w:color w:val="auto"/>
        </w:rPr>
        <w:t>--------------</w:t>
      </w:r>
    </w:p>
    <w:p>
      <w:pPr>
        <w:spacing w:after="0" w:line="184" w:lineRule="exact"/>
        <w:rPr>
          <w:sz w:val="20"/>
          <w:szCs w:val="20"/>
          <w:color w:val="auto"/>
        </w:rPr>
      </w:pPr>
    </w:p>
    <w:p>
      <w:pPr>
        <w:sectPr>
          <w:pgSz w:w="11900" w:h="16838" w:orient="portrait"/>
          <w:cols w:equalWidth="0" w:num="5">
            <w:col w:w="1480" w:space="540"/>
            <w:col w:w="1660" w:space="180"/>
            <w:col w:w="840" w:space="360"/>
            <w:col w:w="940" w:space="80"/>
            <w:col w:w="41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5"/>
          <w:szCs w:val="15"/>
          <w:b w:val="1"/>
          <w:bCs w:val="1"/>
          <w:color w:val="auto"/>
        </w:rPr>
        <w:t>December 31,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doubtful</w:t>
      </w:r>
    </w:p>
    <w:p>
      <w:pPr>
        <w:sectPr>
          <w:pgSz w:w="11900" w:h="16838" w:orient="portrait"/>
          <w:cols w:equalWidth="0" w:num="1">
            <w:col w:w="10219"/>
          </w:cols>
          <w:pgMar w:left="240" w:top="142" w:right="1440"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accounts</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586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320</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4"/>
          <w:szCs w:val="14"/>
          <w:color w:val="auto"/>
        </w:rPr>
        <w:t>$</w:t>
        <w:tab/>
        <w:t>906</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5">
            <w:col w:w="1860" w:space="720"/>
            <w:col w:w="560" w:space="540"/>
            <w:col w:w="920" w:space="560"/>
            <w:col w:w="740" w:space="560"/>
            <w:col w:w="37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5"/>
          <w:szCs w:val="15"/>
          <w:b w:val="1"/>
          <w:bCs w:val="1"/>
          <w:color w:val="auto"/>
        </w:rPr>
        <w:t>December 31,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doubtful</w:t>
      </w:r>
    </w:p>
    <w:p>
      <w:pPr>
        <w:sectPr>
          <w:pgSz w:w="11900" w:h="16838" w:orient="portrait"/>
          <w:cols w:equalWidth="0" w:num="1">
            <w:col w:w="10219"/>
          </w:cols>
          <w:pgMar w:left="240" w:top="142" w:right="1440"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accounts</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906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4"/>
          <w:szCs w:val="14"/>
          <w:color w:val="auto"/>
        </w:rPr>
        <w:t>$</w:t>
        <w:tab/>
        <w:t>776</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5">
            <w:col w:w="1860" w:space="720"/>
            <w:col w:w="560" w:space="540"/>
            <w:col w:w="920" w:space="560"/>
            <w:col w:w="740" w:space="560"/>
            <w:col w:w="37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5"/>
          <w:szCs w:val="15"/>
          <w:b w:val="1"/>
          <w:bCs w:val="1"/>
          <w:color w:val="auto"/>
        </w:rPr>
        <w:t>December 31, 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doubtful</w:t>
      </w:r>
    </w:p>
    <w:p>
      <w:pPr>
        <w:sectPr>
          <w:pgSz w:w="11900" w:h="16838" w:orient="portrait"/>
          <w:cols w:equalWidth="0" w:num="1">
            <w:col w:w="10219"/>
          </w:cols>
          <w:pgMar w:left="240" w:top="142" w:right="1440"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accounts</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776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1,668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653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5">
            <w:col w:w="1860" w:space="720"/>
            <w:col w:w="560" w:space="540"/>
            <w:col w:w="920" w:space="560"/>
            <w:col w:w="740" w:space="560"/>
            <w:col w:w="3759"/>
          </w:cols>
          <w:pgMar w:left="240" w:top="142" w:right="1440" w:bottom="0" w:gutter="0" w:footer="0" w:header="0"/>
          <w:type w:val="continuous"/>
        </w:sectPr>
      </w:pPr>
    </w:p>
    <w:p>
      <w:pPr>
        <w:spacing w:after="0" w:line="162" w:lineRule="exact"/>
        <w:rPr>
          <w:sz w:val="20"/>
          <w:szCs w:val="20"/>
          <w:color w:val="auto"/>
        </w:rPr>
      </w:pPr>
    </w:p>
    <w:p>
      <w:pPr>
        <w:ind w:left="5160"/>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0" w:right="2839"/>
        <w:spacing w:after="0" w:line="251" w:lineRule="auto"/>
        <w:rPr>
          <w:sz w:val="20"/>
          <w:szCs w:val="20"/>
          <w:color w:val="auto"/>
        </w:rPr>
      </w:pPr>
      <w:r>
        <w:rPr>
          <w:rFonts w:ascii="Courier New" w:cs="Courier New" w:eastAsia="Courier New" w:hAnsi="Courier New"/>
          <w:sz w:val="15"/>
          <w:szCs w:val="15"/>
          <w:color w:val="auto"/>
        </w:rPr>
        <w:t>On November 6, 2001, a customer of IMC filed for voluntary Chapter 7 bankruptcy. As of December 31, 2001, the Company had a trade accounts receivable balance of approximately $829 with this customer. For the year ended December 31, 2001, the Company recorded sales of approximately $1,900 to this customer. As of December 31, 2001, the Company has increased its allowance for doubtful accounts by approximately $829 as a result of this bankruptcy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20"/>
                <w:szCs w:val="20"/>
                <w:color w:val="auto"/>
              </w:rPr>
            </w:pPr>
            <w:r>
              <w:rPr>
                <w:rFonts w:ascii="Courier New" w:cs="Courier New" w:eastAsia="Courier New" w:hAnsi="Courier New"/>
                <w:sz w:val="15"/>
                <w:szCs w:val="15"/>
                <w:b w:val="1"/>
                <w:bCs w:val="1"/>
                <w:color w:val="auto"/>
              </w:rPr>
              <w:t>(6)</w:t>
            </w:r>
          </w:p>
        </w:tc>
        <w:tc>
          <w:tcPr>
            <w:tcW w:w="2340" w:type="dxa"/>
            <w:vAlign w:val="bottom"/>
          </w:tcPr>
          <w:p>
            <w:pPr>
              <w:ind w:left="180"/>
              <w:spacing w:after="0"/>
              <w:rPr>
                <w:sz w:val="20"/>
                <w:szCs w:val="20"/>
                <w:color w:val="auto"/>
              </w:rPr>
            </w:pPr>
            <w:r>
              <w:rPr>
                <w:rFonts w:ascii="Courier New" w:cs="Courier New" w:eastAsia="Courier New" w:hAnsi="Courier New"/>
                <w:sz w:val="15"/>
                <w:szCs w:val="15"/>
                <w:b w:val="1"/>
                <w:bCs w:val="1"/>
                <w:color w:val="auto"/>
              </w:rPr>
              <w:t>Inventories</w:t>
            </w:r>
          </w:p>
        </w:tc>
        <w:tc>
          <w:tcPr>
            <w:tcW w:w="18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355"/>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b w:val="1"/>
                <w:bCs w:val="1"/>
                <w:color w:val="auto"/>
              </w:rPr>
              <w:t>December 31,</w:t>
            </w:r>
          </w:p>
        </w:tc>
      </w:tr>
      <w:tr>
        <w:trPr>
          <w:trHeight w:val="177"/>
        </w:trPr>
        <w:tc>
          <w:tcPr>
            <w:tcW w:w="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2001</w:t>
            </w:r>
          </w:p>
        </w:tc>
        <w:tc>
          <w:tcPr>
            <w:tcW w:w="232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b w:val="1"/>
                <w:bCs w:val="1"/>
                <w:color w:val="auto"/>
              </w:rPr>
              <w:t>--------</w:t>
            </w:r>
          </w:p>
        </w:tc>
        <w:tc>
          <w:tcPr>
            <w:tcW w:w="232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Raw materials</w:t>
            </w: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5,494</w:t>
            </w:r>
          </w:p>
        </w:tc>
        <w:tc>
          <w:tcPr>
            <w:tcW w:w="2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4,431</w:t>
            </w: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Work in process</w:t>
            </w: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5,016</w:t>
            </w:r>
          </w:p>
        </w:tc>
        <w:tc>
          <w:tcPr>
            <w:tcW w:w="2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5,265</w:t>
            </w: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Finished goods</w:t>
            </w: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13,065</w:t>
            </w:r>
          </w:p>
        </w:tc>
        <w:tc>
          <w:tcPr>
            <w:tcW w:w="2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14,106</w:t>
            </w: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Less-inventory reserve</w:t>
            </w:r>
          </w:p>
        </w:tc>
        <w:tc>
          <w:tcPr>
            <w:tcW w:w="18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(157)</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7"/>
        </w:trPr>
        <w:tc>
          <w:tcPr>
            <w:tcW w:w="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$ 23,418</w:t>
            </w:r>
          </w:p>
        </w:tc>
        <w:tc>
          <w:tcPr>
            <w:tcW w:w="2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$ 23,742</w:t>
            </w:r>
          </w:p>
        </w:tc>
      </w:tr>
      <w:tr>
        <w:trPr>
          <w:trHeight w:val="177"/>
        </w:trPr>
        <w:tc>
          <w:tcPr>
            <w:tcW w:w="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right="2939" w:firstLine="646"/>
        <w:spacing w:after="0" w:line="253" w:lineRule="auto"/>
        <w:rPr>
          <w:sz w:val="20"/>
          <w:szCs w:val="20"/>
          <w:color w:val="auto"/>
        </w:rPr>
      </w:pPr>
      <w:r>
        <w:rPr>
          <w:rFonts w:ascii="Courier New" w:cs="Courier New" w:eastAsia="Courier New" w:hAnsi="Courier New"/>
          <w:sz w:val="15"/>
          <w:szCs w:val="15"/>
          <w:color w:val="auto"/>
        </w:rPr>
        <w:t>Inventory on consignment at December 31, 2001 and 2000 was approximately $ 2,908 and $4,083,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jc w:val="right"/>
              <w:ind w:right="43"/>
              <w:spacing w:after="0"/>
              <w:rPr>
                <w:sz w:val="20"/>
                <w:szCs w:val="20"/>
                <w:color w:val="auto"/>
              </w:rPr>
            </w:pPr>
            <w:r>
              <w:rPr>
                <w:rFonts w:ascii="Courier New" w:cs="Courier New" w:eastAsia="Courier New" w:hAnsi="Courier New"/>
                <w:sz w:val="15"/>
                <w:szCs w:val="15"/>
                <w:b w:val="1"/>
                <w:bCs w:val="1"/>
                <w:color w:val="auto"/>
                <w:w w:val="96"/>
              </w:rPr>
              <w:t>(7)</w:t>
            </w:r>
          </w:p>
        </w:tc>
        <w:tc>
          <w:tcPr>
            <w:tcW w:w="3240" w:type="dxa"/>
            <w:vAlign w:val="bottom"/>
          </w:tcPr>
          <w:p>
            <w:pPr>
              <w:ind w:left="240"/>
              <w:spacing w:after="0"/>
              <w:rPr>
                <w:sz w:val="20"/>
                <w:szCs w:val="20"/>
                <w:color w:val="auto"/>
              </w:rPr>
            </w:pPr>
            <w:r>
              <w:rPr>
                <w:rFonts w:ascii="Courier New" w:cs="Courier New" w:eastAsia="Courier New" w:hAnsi="Courier New"/>
                <w:sz w:val="15"/>
                <w:szCs w:val="15"/>
                <w:b w:val="1"/>
                <w:bCs w:val="1"/>
                <w:color w:val="auto"/>
              </w:rPr>
              <w:t>Property, Plant and Equipment</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55"/>
        </w:trPr>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20" w:type="dxa"/>
            <w:vAlign w:val="bottom"/>
          </w:tcPr>
          <w:p>
            <w:pPr>
              <w:ind w:left="600"/>
              <w:spacing w:after="0"/>
              <w:rPr>
                <w:sz w:val="20"/>
                <w:szCs w:val="20"/>
                <w:color w:val="auto"/>
              </w:rPr>
            </w:pPr>
            <w:r>
              <w:rPr>
                <w:rFonts w:ascii="Courier New" w:cs="Courier New" w:eastAsia="Courier New" w:hAnsi="Courier New"/>
                <w:sz w:val="15"/>
                <w:szCs w:val="15"/>
                <w:b w:val="1"/>
                <w:bCs w:val="1"/>
                <w:color w:val="auto"/>
              </w:rPr>
              <w:t>Estimated</w:t>
            </w:r>
          </w:p>
        </w:tc>
        <w:tc>
          <w:tcPr>
            <w:tcW w:w="3000" w:type="dxa"/>
            <w:vAlign w:val="bottom"/>
            <w:gridSpan w:val="2"/>
          </w:tcPr>
          <w:p>
            <w:pPr>
              <w:jc w:val="right"/>
              <w:ind w:right="923"/>
              <w:spacing w:after="0"/>
              <w:rPr>
                <w:sz w:val="20"/>
                <w:szCs w:val="20"/>
                <w:color w:val="auto"/>
              </w:rPr>
            </w:pPr>
            <w:r>
              <w:rPr>
                <w:rFonts w:ascii="Courier New" w:cs="Courier New" w:eastAsia="Courier New" w:hAnsi="Courier New"/>
                <w:sz w:val="15"/>
                <w:szCs w:val="15"/>
                <w:b w:val="1"/>
                <w:bCs w:val="1"/>
                <w:color w:val="auto"/>
              </w:rPr>
              <w:t>December 31,</w:t>
            </w:r>
          </w:p>
        </w:tc>
      </w:tr>
      <w:tr>
        <w:trPr>
          <w:trHeight w:val="177"/>
        </w:trPr>
        <w:tc>
          <w:tcPr>
            <w:tcW w:w="4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20" w:type="dxa"/>
            <w:vAlign w:val="bottom"/>
          </w:tcPr>
          <w:p>
            <w:pPr>
              <w:ind w:left="500"/>
              <w:spacing w:after="0"/>
              <w:rPr>
                <w:sz w:val="20"/>
                <w:szCs w:val="20"/>
                <w:color w:val="auto"/>
              </w:rPr>
            </w:pPr>
            <w:r>
              <w:rPr>
                <w:rFonts w:ascii="Courier New" w:cs="Courier New" w:eastAsia="Courier New" w:hAnsi="Courier New"/>
                <w:sz w:val="15"/>
                <w:szCs w:val="15"/>
                <w:b w:val="1"/>
                <w:bCs w:val="1"/>
                <w:color w:val="auto"/>
              </w:rPr>
              <w:t>Useful Life</w:t>
            </w:r>
          </w:p>
        </w:tc>
        <w:tc>
          <w:tcPr>
            <w:tcW w:w="1660" w:type="dxa"/>
            <w:vAlign w:val="bottom"/>
          </w:tcPr>
          <w:p>
            <w:pPr>
              <w:jc w:val="right"/>
              <w:ind w:right="603"/>
              <w:spacing w:after="0"/>
              <w:rPr>
                <w:sz w:val="20"/>
                <w:szCs w:val="20"/>
                <w:color w:val="auto"/>
              </w:rPr>
            </w:pPr>
            <w:r>
              <w:rPr>
                <w:rFonts w:ascii="Courier New" w:cs="Courier New" w:eastAsia="Courier New" w:hAnsi="Courier New"/>
                <w:sz w:val="15"/>
                <w:szCs w:val="15"/>
                <w:b w:val="1"/>
                <w:bCs w:val="1"/>
                <w:color w:val="auto"/>
              </w:rPr>
              <w:t>2001</w:t>
            </w:r>
          </w:p>
        </w:tc>
        <w:tc>
          <w:tcPr>
            <w:tcW w:w="1340" w:type="dxa"/>
            <w:vAlign w:val="bottom"/>
          </w:tcPr>
          <w:p>
            <w:pPr>
              <w:jc w:val="right"/>
              <w:ind w:right="463"/>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4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20" w:type="dxa"/>
            <w:vAlign w:val="bottom"/>
          </w:tcPr>
          <w:p>
            <w:pPr>
              <w:ind w:left="220"/>
              <w:spacing w:after="0"/>
              <w:rPr>
                <w:sz w:val="20"/>
                <w:szCs w:val="20"/>
                <w:color w:val="auto"/>
              </w:rPr>
            </w:pPr>
            <w:r>
              <w:rPr>
                <w:rFonts w:ascii="Courier New" w:cs="Courier New" w:eastAsia="Courier New" w:hAnsi="Courier New"/>
                <w:sz w:val="15"/>
                <w:szCs w:val="15"/>
                <w:b w:val="1"/>
                <w:bCs w:val="1"/>
                <w:color w:val="auto"/>
              </w:rPr>
              <w:t>------------------</w:t>
            </w:r>
          </w:p>
        </w:tc>
        <w:tc>
          <w:tcPr>
            <w:tcW w:w="1660" w:type="dxa"/>
            <w:vAlign w:val="bottom"/>
          </w:tcPr>
          <w:p>
            <w:pPr>
              <w:jc w:val="right"/>
              <w:ind w:right="43"/>
              <w:spacing w:after="0"/>
              <w:rPr>
                <w:sz w:val="20"/>
                <w:szCs w:val="20"/>
                <w:color w:val="auto"/>
              </w:rPr>
            </w:pPr>
            <w:r>
              <w:rPr>
                <w:rFonts w:ascii="Courier New" w:cs="Courier New" w:eastAsia="Courier New" w:hAnsi="Courier New"/>
                <w:sz w:val="15"/>
                <w:szCs w:val="15"/>
                <w:b w:val="1"/>
                <w:bCs w:val="1"/>
                <w:color w:val="auto"/>
              </w:rPr>
              <w:t>---------------</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400" w:type="dxa"/>
            <w:vAlign w:val="bottom"/>
          </w:tcPr>
          <w:p>
            <w:pPr>
              <w:spacing w:after="0"/>
              <w:rPr>
                <w:sz w:val="24"/>
                <w:szCs w:val="24"/>
                <w:color w:val="auto"/>
              </w:rPr>
            </w:pPr>
          </w:p>
        </w:tc>
        <w:tc>
          <w:tcPr>
            <w:tcW w:w="3240" w:type="dxa"/>
            <w:vAlign w:val="bottom"/>
          </w:tcPr>
          <w:p>
            <w:pPr>
              <w:ind w:left="140"/>
              <w:spacing w:after="0"/>
              <w:rPr>
                <w:sz w:val="20"/>
                <w:szCs w:val="20"/>
                <w:color w:val="auto"/>
              </w:rPr>
            </w:pPr>
            <w:r>
              <w:rPr>
                <w:rFonts w:ascii="Courier New" w:cs="Courier New" w:eastAsia="Courier New" w:hAnsi="Courier New"/>
                <w:sz w:val="15"/>
                <w:szCs w:val="15"/>
                <w:color w:val="auto"/>
              </w:rPr>
              <w:t>Land</w:t>
            </w:r>
          </w:p>
        </w:tc>
        <w:tc>
          <w:tcPr>
            <w:tcW w:w="2020" w:type="dxa"/>
            <w:vAlign w:val="bottom"/>
          </w:tcPr>
          <w:p>
            <w:pPr>
              <w:spacing w:after="0"/>
              <w:rPr>
                <w:sz w:val="24"/>
                <w:szCs w:val="24"/>
                <w:color w:val="auto"/>
              </w:rPr>
            </w:pP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1,830</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   2,202</w:t>
            </w:r>
          </w:p>
        </w:tc>
      </w:tr>
      <w:tr>
        <w:trPr>
          <w:trHeight w:val="177"/>
        </w:trPr>
        <w:tc>
          <w:tcPr>
            <w:tcW w:w="400" w:type="dxa"/>
            <w:vAlign w:val="bottom"/>
          </w:tcPr>
          <w:p>
            <w:pPr>
              <w:spacing w:after="0"/>
              <w:rPr>
                <w:sz w:val="15"/>
                <w:szCs w:val="15"/>
                <w:color w:val="auto"/>
              </w:rPr>
            </w:pPr>
          </w:p>
        </w:tc>
        <w:tc>
          <w:tcPr>
            <w:tcW w:w="3240" w:type="dxa"/>
            <w:vAlign w:val="bottom"/>
          </w:tcPr>
          <w:p>
            <w:pPr>
              <w:ind w:left="140"/>
              <w:spacing w:after="0"/>
              <w:rPr>
                <w:sz w:val="20"/>
                <w:szCs w:val="20"/>
                <w:color w:val="auto"/>
              </w:rPr>
            </w:pPr>
            <w:r>
              <w:rPr>
                <w:rFonts w:ascii="Courier New" w:cs="Courier New" w:eastAsia="Courier New" w:hAnsi="Courier New"/>
                <w:sz w:val="15"/>
                <w:szCs w:val="15"/>
                <w:color w:val="auto"/>
              </w:rPr>
              <w:t>Buildings and improvements</w:t>
            </w:r>
          </w:p>
        </w:tc>
        <w:tc>
          <w:tcPr>
            <w:tcW w:w="2020" w:type="dxa"/>
            <w:vAlign w:val="bottom"/>
          </w:tcPr>
          <w:p>
            <w:pPr>
              <w:ind w:left="500"/>
              <w:spacing w:after="0"/>
              <w:rPr>
                <w:sz w:val="20"/>
                <w:szCs w:val="20"/>
                <w:color w:val="auto"/>
              </w:rPr>
            </w:pPr>
            <w:r>
              <w:rPr>
                <w:rFonts w:ascii="Courier New" w:cs="Courier New" w:eastAsia="Courier New" w:hAnsi="Courier New"/>
                <w:sz w:val="15"/>
                <w:szCs w:val="15"/>
                <w:color w:val="auto"/>
              </w:rPr>
              <w:t>10-25 years</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20,286</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26,463</w:t>
            </w:r>
          </w:p>
        </w:tc>
      </w:tr>
      <w:tr>
        <w:trPr>
          <w:trHeight w:val="177"/>
        </w:trPr>
        <w:tc>
          <w:tcPr>
            <w:tcW w:w="400" w:type="dxa"/>
            <w:vAlign w:val="bottom"/>
          </w:tcPr>
          <w:p>
            <w:pPr>
              <w:spacing w:after="0"/>
              <w:rPr>
                <w:sz w:val="15"/>
                <w:szCs w:val="15"/>
                <w:color w:val="auto"/>
              </w:rPr>
            </w:pPr>
          </w:p>
        </w:tc>
        <w:tc>
          <w:tcPr>
            <w:tcW w:w="3240" w:type="dxa"/>
            <w:vAlign w:val="bottom"/>
          </w:tcPr>
          <w:p>
            <w:pPr>
              <w:ind w:left="140"/>
              <w:spacing w:after="0"/>
              <w:rPr>
                <w:sz w:val="20"/>
                <w:szCs w:val="20"/>
                <w:color w:val="auto"/>
              </w:rPr>
            </w:pPr>
            <w:r>
              <w:rPr>
                <w:rFonts w:ascii="Courier New" w:cs="Courier New" w:eastAsia="Courier New" w:hAnsi="Courier New"/>
                <w:sz w:val="15"/>
                <w:szCs w:val="15"/>
                <w:color w:val="auto"/>
              </w:rPr>
              <w:t>Machinery and equipment</w:t>
            </w:r>
          </w:p>
        </w:tc>
        <w:tc>
          <w:tcPr>
            <w:tcW w:w="2020" w:type="dxa"/>
            <w:vAlign w:val="bottom"/>
          </w:tcPr>
          <w:p>
            <w:pPr>
              <w:ind w:left="500"/>
              <w:spacing w:after="0"/>
              <w:rPr>
                <w:sz w:val="20"/>
                <w:szCs w:val="20"/>
                <w:color w:val="auto"/>
              </w:rPr>
            </w:pPr>
            <w:r>
              <w:rPr>
                <w:rFonts w:ascii="Courier New" w:cs="Courier New" w:eastAsia="Courier New" w:hAnsi="Courier New"/>
                <w:sz w:val="15"/>
                <w:szCs w:val="15"/>
                <w:color w:val="auto"/>
              </w:rPr>
              <w:t>3-10 years</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103,363</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92,810</w:t>
            </w:r>
          </w:p>
        </w:tc>
      </w:tr>
      <w:tr>
        <w:trPr>
          <w:trHeight w:val="177"/>
        </w:trPr>
        <w:tc>
          <w:tcPr>
            <w:tcW w:w="400" w:type="dxa"/>
            <w:vAlign w:val="bottom"/>
          </w:tcPr>
          <w:p>
            <w:pPr>
              <w:spacing w:after="0"/>
              <w:rPr>
                <w:sz w:val="15"/>
                <w:szCs w:val="15"/>
                <w:color w:val="auto"/>
              </w:rPr>
            </w:pPr>
          </w:p>
        </w:tc>
        <w:tc>
          <w:tcPr>
            <w:tcW w:w="3240" w:type="dxa"/>
            <w:vAlign w:val="bottom"/>
          </w:tcPr>
          <w:p>
            <w:pPr>
              <w:ind w:left="140"/>
              <w:spacing w:after="0"/>
              <w:rPr>
                <w:sz w:val="20"/>
                <w:szCs w:val="20"/>
                <w:color w:val="auto"/>
              </w:rPr>
            </w:pPr>
            <w:r>
              <w:rPr>
                <w:rFonts w:ascii="Courier New" w:cs="Courier New" w:eastAsia="Courier New" w:hAnsi="Courier New"/>
                <w:sz w:val="15"/>
                <w:szCs w:val="15"/>
                <w:color w:val="auto"/>
              </w:rPr>
              <w:t>Construction in process</w:t>
            </w:r>
          </w:p>
        </w:tc>
        <w:tc>
          <w:tcPr>
            <w:tcW w:w="2020" w:type="dxa"/>
            <w:vAlign w:val="bottom"/>
          </w:tcPr>
          <w:p>
            <w:pPr>
              <w:spacing w:after="0"/>
              <w:rPr>
                <w:sz w:val="15"/>
                <w:szCs w:val="15"/>
                <w:color w:val="auto"/>
              </w:rPr>
            </w:pP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1,577</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6,138</w:t>
            </w:r>
          </w:p>
        </w:tc>
      </w:tr>
      <w:tr>
        <w:trPr>
          <w:trHeight w:val="177"/>
        </w:trPr>
        <w:tc>
          <w:tcPr>
            <w:tcW w:w="4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127,056</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127,613</w:t>
            </w:r>
          </w:p>
        </w:tc>
      </w:tr>
      <w:tr>
        <w:trPr>
          <w:trHeight w:val="177"/>
        </w:trPr>
        <w:tc>
          <w:tcPr>
            <w:tcW w:w="400" w:type="dxa"/>
            <w:vAlign w:val="bottom"/>
          </w:tcPr>
          <w:p>
            <w:pPr>
              <w:spacing w:after="0"/>
              <w:rPr>
                <w:sz w:val="15"/>
                <w:szCs w:val="15"/>
                <w:color w:val="auto"/>
              </w:rPr>
            </w:pPr>
          </w:p>
        </w:tc>
        <w:tc>
          <w:tcPr>
            <w:tcW w:w="3240" w:type="dxa"/>
            <w:vAlign w:val="bottom"/>
          </w:tcPr>
          <w:p>
            <w:pPr>
              <w:ind w:left="140"/>
              <w:spacing w:after="0"/>
              <w:rPr>
                <w:sz w:val="20"/>
                <w:szCs w:val="20"/>
                <w:color w:val="auto"/>
              </w:rPr>
            </w:pPr>
            <w:r>
              <w:rPr>
                <w:rFonts w:ascii="Courier New" w:cs="Courier New" w:eastAsia="Courier New" w:hAnsi="Courier New"/>
                <w:sz w:val="15"/>
                <w:szCs w:val="15"/>
                <w:color w:val="auto"/>
              </w:rPr>
              <w:t>Less - accumulated depreciation</w:t>
            </w:r>
          </w:p>
        </w:tc>
        <w:tc>
          <w:tcPr>
            <w:tcW w:w="2020" w:type="dxa"/>
            <w:vAlign w:val="bottom"/>
          </w:tcPr>
          <w:p>
            <w:pPr>
              <w:spacing w:after="0"/>
              <w:rPr>
                <w:sz w:val="15"/>
                <w:szCs w:val="15"/>
                <w:color w:val="auto"/>
              </w:rPr>
            </w:pP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44,286</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35,920</w:t>
            </w:r>
          </w:p>
        </w:tc>
      </w:tr>
      <w:tr>
        <w:trPr>
          <w:trHeight w:val="177"/>
        </w:trPr>
        <w:tc>
          <w:tcPr>
            <w:tcW w:w="4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142" w:right="1440" w:bottom="0" w:gutter="0" w:footer="0" w:header="0"/>
          <w:type w:val="continuous"/>
        </w:sectPr>
      </w:pPr>
    </w:p>
    <w:bookmarkStart w:id="28" w:name="page29"/>
    <w:bookmarkEnd w:id="28"/>
    <w:p>
      <w:pPr>
        <w:ind w:left="6265"/>
        <w:spacing w:after="0"/>
        <w:rPr>
          <w:sz w:val="20"/>
          <w:szCs w:val="20"/>
          <w:color w:val="auto"/>
        </w:rPr>
      </w:pPr>
      <w:r>
        <w:rPr>
          <w:rFonts w:ascii="Courier New" w:cs="Courier New" w:eastAsia="Courier New" w:hAnsi="Courier New"/>
          <w:sz w:val="15"/>
          <w:szCs w:val="15"/>
          <w:color w:val="auto"/>
        </w:rPr>
        <w:t>$ 82,770</w:t>
      </w:r>
    </w:p>
    <w:p>
      <w:pPr>
        <w:spacing w:after="0" w:line="8" w:lineRule="exact"/>
        <w:rPr>
          <w:sz w:val="20"/>
          <w:szCs w:val="20"/>
          <w:color w:val="auto"/>
        </w:rPr>
      </w:pPr>
    </w:p>
    <w:p>
      <w:pPr>
        <w:ind w:left="580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60"/>
        <w:spacing w:after="0"/>
        <w:tabs>
          <w:tab w:leader="none" w:pos="620" w:val="left"/>
        </w:tabs>
        <w:rPr>
          <w:sz w:val="20"/>
          <w:szCs w:val="20"/>
          <w:color w:val="auto"/>
        </w:rPr>
      </w:pPr>
      <w:r>
        <w:rPr>
          <w:rFonts w:ascii="Courier New" w:cs="Courier New" w:eastAsia="Courier New" w:hAnsi="Courier New"/>
          <w:sz w:val="15"/>
          <w:szCs w:val="15"/>
          <w:color w:val="auto"/>
        </w:rPr>
        <w:t>$</w:t>
        <w:tab/>
        <w:t>91,693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7205" w:space="180"/>
            <w:col w:w="2839"/>
          </w:cols>
          <w:pgMar w:left="235" w:top="142" w:right="1440" w:bottom="0" w:gutter="0" w:footer="0" w:header="0"/>
        </w:sectPr>
      </w:pPr>
    </w:p>
    <w:p>
      <w:pPr>
        <w:ind w:left="645" w:right="2839"/>
        <w:spacing w:after="0" w:line="251" w:lineRule="auto"/>
        <w:rPr>
          <w:sz w:val="20"/>
          <w:szCs w:val="20"/>
          <w:color w:val="auto"/>
        </w:rPr>
      </w:pPr>
      <w:r>
        <w:rPr>
          <w:rFonts w:ascii="Courier New" w:cs="Courier New" w:eastAsia="Courier New" w:hAnsi="Courier New"/>
          <w:sz w:val="15"/>
          <w:szCs w:val="15"/>
          <w:color w:val="auto"/>
        </w:rPr>
        <w:t>On September 11, 2001, the Company announced the closing of its Walterboro, South Carolina ball manufacturing facility effective December 2001. As a result of that closing land and building with a carrying value of $1,692 and certain machinery and equipment with a carrying value of $2,656 are held for sale as of December 31, 2001.</w:t>
      </w:r>
    </w:p>
    <w:p>
      <w:pPr>
        <w:spacing w:after="0" w:line="176" w:lineRule="exact"/>
        <w:rPr>
          <w:sz w:val="20"/>
          <w:szCs w:val="20"/>
          <w:color w:val="auto"/>
        </w:rPr>
      </w:pPr>
    </w:p>
    <w:p>
      <w:pPr>
        <w:ind w:left="645" w:hanging="645"/>
        <w:spacing w:after="0"/>
        <w:tabs>
          <w:tab w:leader="none" w:pos="645" w:val="left"/>
        </w:tabs>
        <w:numPr>
          <w:ilvl w:val="0"/>
          <w:numId w:val="1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Debt</w:t>
      </w:r>
    </w:p>
    <w:p>
      <w:pPr>
        <w:spacing w:after="0" w:line="184" w:lineRule="exact"/>
        <w:rPr>
          <w:rFonts w:ascii="Courier New" w:cs="Courier New" w:eastAsia="Courier New" w:hAnsi="Courier New"/>
          <w:sz w:val="15"/>
          <w:szCs w:val="15"/>
          <w:b w:val="1"/>
          <w:bCs w:val="1"/>
          <w:color w:val="auto"/>
        </w:rPr>
      </w:pPr>
    </w:p>
    <w:p>
      <w:pPr>
        <w:ind w:left="1285" w:hanging="639"/>
        <w:spacing w:after="0"/>
        <w:tabs>
          <w:tab w:leader="none" w:pos="1285" w:val="left"/>
        </w:tabs>
        <w:numPr>
          <w:ilvl w:val="1"/>
          <w:numId w:val="11"/>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Short Term</w:t>
      </w:r>
    </w:p>
    <w:p>
      <w:pPr>
        <w:spacing w:after="0" w:line="184" w:lineRule="exact"/>
        <w:rPr>
          <w:rFonts w:ascii="Courier New" w:cs="Courier New" w:eastAsia="Courier New" w:hAnsi="Courier New"/>
          <w:sz w:val="15"/>
          <w:szCs w:val="15"/>
          <w:i w:val="1"/>
          <w:iCs w:val="1"/>
          <w:color w:val="auto"/>
        </w:rPr>
      </w:pPr>
    </w:p>
    <w:p>
      <w:pPr>
        <w:ind w:left="1285" w:right="2939"/>
        <w:spacing w:after="0" w:line="252" w:lineRule="auto"/>
        <w:rPr>
          <w:rFonts w:ascii="Courier New" w:cs="Courier New" w:eastAsia="Courier New" w:hAnsi="Courier New"/>
          <w:sz w:val="15"/>
          <w:szCs w:val="15"/>
          <w:i w:val="1"/>
          <w:iCs w:val="1"/>
          <w:color w:val="auto"/>
        </w:rPr>
      </w:pPr>
      <w:r>
        <w:rPr>
          <w:rFonts w:ascii="Courier New" w:cs="Courier New" w:eastAsia="Courier New" w:hAnsi="Courier New"/>
          <w:sz w:val="15"/>
          <w:szCs w:val="15"/>
          <w:color w:val="auto"/>
        </w:rPr>
        <w:t>At December 31, 2000, the Company had outstanding $2,000 of unsecured notes payable to banks bearing interest at 7.29%. These notes were repaid during 2001.</w:t>
      </w:r>
    </w:p>
    <w:p>
      <w:pPr>
        <w:spacing w:after="0" w:line="175"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1285" w:hanging="639"/>
        <w:spacing w:after="0"/>
        <w:tabs>
          <w:tab w:leader="none" w:pos="1285" w:val="left"/>
        </w:tabs>
        <w:numPr>
          <w:ilvl w:val="0"/>
          <w:numId w:val="12"/>
        </w:numPr>
        <w:rPr>
          <w:rFonts w:ascii="Courier New" w:cs="Courier New" w:eastAsia="Courier New" w:hAnsi="Courier New"/>
          <w:sz w:val="15"/>
          <w:szCs w:val="15"/>
          <w:i w:val="1"/>
          <w:iCs w:val="1"/>
          <w:color w:val="auto"/>
        </w:rPr>
      </w:pPr>
      <w:r>
        <w:rPr>
          <w:rFonts w:ascii="Courier New" w:cs="Courier New" w:eastAsia="Courier New" w:hAnsi="Courier New"/>
          <w:sz w:val="15"/>
          <w:szCs w:val="15"/>
          <w:i w:val="1"/>
          <w:iCs w:val="1"/>
          <w:color w:val="auto"/>
        </w:rPr>
        <w:t>Long-Term</w:t>
      </w:r>
    </w:p>
    <w:p>
      <w:pPr>
        <w:spacing w:after="0" w:line="185"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Long-term debt at December 31, 2001 and 2000 consists of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following:</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260" w:type="dxa"/>
            <w:vAlign w:val="bottom"/>
          </w:tcPr>
          <w:p>
            <w:pPr>
              <w:spacing w:after="0"/>
              <w:rPr>
                <w:sz w:val="14"/>
                <w:szCs w:val="14"/>
                <w:color w:val="auto"/>
              </w:rPr>
            </w:pPr>
          </w:p>
        </w:tc>
        <w:tc>
          <w:tcPr>
            <w:tcW w:w="1300" w:type="dxa"/>
            <w:vAlign w:val="bottom"/>
          </w:tcPr>
          <w:p>
            <w:pPr>
              <w:jc w:val="right"/>
              <w:ind w:right="663"/>
              <w:spacing w:after="0"/>
              <w:rPr>
                <w:sz w:val="20"/>
                <w:szCs w:val="20"/>
                <w:color w:val="auto"/>
              </w:rPr>
            </w:pPr>
            <w:r>
              <w:rPr>
                <w:rFonts w:ascii="Courier New" w:cs="Courier New" w:eastAsia="Courier New" w:hAnsi="Courier New"/>
                <w:sz w:val="15"/>
                <w:szCs w:val="15"/>
                <w:b w:val="1"/>
                <w:bCs w:val="1"/>
                <w:color w:val="auto"/>
              </w:rPr>
              <w:t>2001</w:t>
            </w: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8760" w:type="dxa"/>
            <w:vAlign w:val="bottom"/>
            <w:gridSpan w:val="3"/>
          </w:tcPr>
          <w:p>
            <w:pPr>
              <w:ind w:left="5800"/>
              <w:spacing w:after="0"/>
              <w:rPr>
                <w:sz w:val="20"/>
                <w:szCs w:val="20"/>
                <w:color w:val="auto"/>
              </w:rPr>
            </w:pPr>
            <w:r>
              <w:rPr>
                <w:rFonts w:ascii="Courier New" w:cs="Courier New" w:eastAsia="Courier New" w:hAnsi="Courier New"/>
                <w:sz w:val="15"/>
                <w:szCs w:val="15"/>
                <w:b w:val="1"/>
                <w:bCs w:val="1"/>
                <w:color w:val="auto"/>
              </w:rPr>
              <w:t>----------------- --------------</w:t>
            </w:r>
          </w:p>
        </w:tc>
      </w:tr>
      <w:tr>
        <w:trPr>
          <w:trHeight w:val="355"/>
        </w:trPr>
        <w:tc>
          <w:tcPr>
            <w:tcW w:w="6260" w:type="dxa"/>
            <w:vAlign w:val="bottom"/>
          </w:tcPr>
          <w:p>
            <w:pPr>
              <w:spacing w:after="0"/>
              <w:rPr>
                <w:sz w:val="20"/>
                <w:szCs w:val="20"/>
                <w:color w:val="auto"/>
              </w:rPr>
            </w:pPr>
            <w:r>
              <w:rPr>
                <w:rFonts w:ascii="Courier New" w:cs="Courier New" w:eastAsia="Courier New" w:hAnsi="Courier New"/>
                <w:sz w:val="15"/>
                <w:szCs w:val="15"/>
                <w:color w:val="auto"/>
              </w:rPr>
              <w:t>Borrowings under a revolving credit facility bearing interest at</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variable rates (3.24% - 4.75% at December 31, 2001) due</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July 25, 2003</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$ 9,805</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w:t>
            </w:r>
          </w:p>
        </w:tc>
      </w:tr>
      <w:tr>
        <w:trPr>
          <w:trHeight w:val="355"/>
        </w:trPr>
        <w:tc>
          <w:tcPr>
            <w:tcW w:w="6260" w:type="dxa"/>
            <w:vAlign w:val="bottom"/>
          </w:tcPr>
          <w:p>
            <w:pPr>
              <w:spacing w:after="0"/>
              <w:rPr>
                <w:sz w:val="20"/>
                <w:szCs w:val="20"/>
                <w:color w:val="auto"/>
              </w:rPr>
            </w:pPr>
            <w:r>
              <w:rPr>
                <w:rFonts w:ascii="Courier New" w:cs="Courier New" w:eastAsia="Courier New" w:hAnsi="Courier New"/>
                <w:sz w:val="15"/>
                <w:szCs w:val="15"/>
                <w:color w:val="auto"/>
              </w:rPr>
              <w:t>Borrowings under a revolving credit facility bearing interest a</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variable rates (7.29% at December 31, 2000) due July 25,</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2003.  Repaid in July 2001</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24,698</w:t>
            </w:r>
          </w:p>
        </w:tc>
      </w:tr>
      <w:tr>
        <w:trPr>
          <w:trHeight w:val="355"/>
        </w:trPr>
        <w:tc>
          <w:tcPr>
            <w:tcW w:w="6260" w:type="dxa"/>
            <w:vAlign w:val="bottom"/>
          </w:tcPr>
          <w:p>
            <w:pPr>
              <w:spacing w:after="0"/>
              <w:rPr>
                <w:sz w:val="20"/>
                <w:szCs w:val="20"/>
                <w:color w:val="auto"/>
              </w:rPr>
            </w:pPr>
            <w:r>
              <w:rPr>
                <w:rFonts w:ascii="Courier New" w:cs="Courier New" w:eastAsia="Courier New" w:hAnsi="Courier New"/>
                <w:sz w:val="15"/>
                <w:szCs w:val="15"/>
                <w:color w:val="auto"/>
              </w:rPr>
              <w:t>Termloan bearing interest at variable rates (3.24% at December 31,</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2001) payable in quarterly installments of $1,750</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beginning September 19, 2001 through July 1, 2006</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31,500</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6260" w:type="dxa"/>
            <w:vAlign w:val="bottom"/>
          </w:tcPr>
          <w:p>
            <w:pPr>
              <w:spacing w:after="0"/>
              <w:rPr>
                <w:sz w:val="20"/>
                <w:szCs w:val="20"/>
                <w:color w:val="auto"/>
              </w:rPr>
            </w:pPr>
            <w:r>
              <w:rPr>
                <w:rFonts w:ascii="Courier New" w:cs="Courier New" w:eastAsia="Courier New" w:hAnsi="Courier New"/>
                <w:sz w:val="15"/>
                <w:szCs w:val="15"/>
                <w:color w:val="auto"/>
              </w:rPr>
              <w:t>Borrowings under a Euro revolving credit facility bearing interest</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at variable rates (4.55% at December 31, 2001 and</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6.63% at December 31, 2000) due July 15, 2006</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942</w:t>
            </w:r>
          </w:p>
        </w:tc>
      </w:tr>
      <w:tr>
        <w:trPr>
          <w:trHeight w:val="355"/>
        </w:trPr>
        <w:tc>
          <w:tcPr>
            <w:tcW w:w="6260" w:type="dxa"/>
            <w:vAlign w:val="bottom"/>
          </w:tcPr>
          <w:p>
            <w:pPr>
              <w:spacing w:after="0"/>
              <w:rPr>
                <w:sz w:val="20"/>
                <w:szCs w:val="20"/>
                <w:color w:val="auto"/>
              </w:rPr>
            </w:pPr>
            <w:r>
              <w:rPr>
                <w:rFonts w:ascii="Courier New" w:cs="Courier New" w:eastAsia="Courier New" w:hAnsi="Courier New"/>
                <w:sz w:val="15"/>
                <w:szCs w:val="15"/>
                <w:color w:val="auto"/>
              </w:rPr>
              <w:t>Euroterm loans bearing interest at variable rates (4.55% at</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December 31, 2001and 6.63% at December 31, 2000) payable in</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quarterly installments of $1,781 beginning March 15, 2002</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through June 15, 2006</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13,356</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24,875</w:t>
            </w:r>
          </w:p>
        </w:tc>
      </w:tr>
      <w:tr>
        <w:trPr>
          <w:trHeight w:val="177"/>
        </w:trPr>
        <w:tc>
          <w:tcPr>
            <w:tcW w:w="626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260" w:type="dxa"/>
            <w:vAlign w:val="bottom"/>
          </w:tcPr>
          <w:p>
            <w:pPr>
              <w:ind w:left="540"/>
              <w:spacing w:after="0"/>
              <w:rPr>
                <w:sz w:val="20"/>
                <w:szCs w:val="20"/>
                <w:color w:val="auto"/>
              </w:rPr>
            </w:pPr>
            <w:r>
              <w:rPr>
                <w:rFonts w:ascii="Courier New" w:cs="Courier New" w:eastAsia="Courier New" w:hAnsi="Courier New"/>
                <w:sz w:val="15"/>
                <w:szCs w:val="15"/>
                <w:color w:val="auto"/>
              </w:rPr>
              <w:t>Total long-term debt</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54,661</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50,515</w:t>
            </w:r>
          </w:p>
        </w:tc>
      </w:tr>
      <w:tr>
        <w:trPr>
          <w:trHeight w:val="355"/>
        </w:trPr>
        <w:tc>
          <w:tcPr>
            <w:tcW w:w="6260" w:type="dxa"/>
            <w:vAlign w:val="bottom"/>
          </w:tcPr>
          <w:p>
            <w:pPr>
              <w:ind w:left="540"/>
              <w:spacing w:after="0"/>
              <w:rPr>
                <w:sz w:val="20"/>
                <w:szCs w:val="20"/>
                <w:color w:val="auto"/>
              </w:rPr>
            </w:pPr>
            <w:r>
              <w:rPr>
                <w:rFonts w:ascii="Courier New" w:cs="Courier New" w:eastAsia="Courier New" w:hAnsi="Courier New"/>
                <w:sz w:val="15"/>
                <w:szCs w:val="15"/>
                <w:color w:val="auto"/>
              </w:rPr>
              <w:t>Less current maturities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7,000</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626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6260" w:type="dxa"/>
            <w:vAlign w:val="bottom"/>
          </w:tcPr>
          <w:p>
            <w:pPr>
              <w:ind w:left="540"/>
              <w:spacing w:after="0"/>
              <w:rPr>
                <w:sz w:val="20"/>
                <w:szCs w:val="20"/>
                <w:color w:val="auto"/>
              </w:rPr>
            </w:pPr>
            <w:r>
              <w:rPr>
                <w:rFonts w:ascii="Courier New" w:cs="Courier New" w:eastAsia="Courier New" w:hAnsi="Courier New"/>
                <w:sz w:val="15"/>
                <w:szCs w:val="15"/>
                <w:color w:val="auto"/>
              </w:rPr>
              <w:t>Long-term debt, excluding current installments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$47,661</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$50,515</w:t>
            </w:r>
          </w:p>
        </w:tc>
      </w:tr>
      <w:tr>
        <w:trPr>
          <w:trHeight w:val="177"/>
        </w:trPr>
        <w:tc>
          <w:tcPr>
            <w:tcW w:w="626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1285" w:right="2839"/>
        <w:spacing w:after="0" w:line="250" w:lineRule="auto"/>
        <w:rPr>
          <w:sz w:val="20"/>
          <w:szCs w:val="20"/>
          <w:color w:val="auto"/>
        </w:rPr>
      </w:pPr>
      <w:r>
        <w:rPr>
          <w:rFonts w:ascii="Courier New" w:cs="Courier New" w:eastAsia="Courier New" w:hAnsi="Courier New"/>
          <w:sz w:val="15"/>
          <w:szCs w:val="15"/>
          <w:color w:val="auto"/>
        </w:rPr>
        <w:t>On July 20, 2001, the Company entered into a syndicated loan agreement with AmSouth Bank ("AmSouth") as the administrative agent for the lenders, for a senior non-secured revolving credit facility of up to $25,000, expiring on July 25, 2003 and a senior non-secured term loan for $35,000 expiring on July 1, 2006. These facilities include certain negative pledges. This credit facility replaces the $25,000 revolving credit facility that was temporarily extended and restated in February 2001 to $50,000 and the additional $2,000 of availability extended in March of 2001. Amounts outstanding under the revolving facility and term loan facility bear interest at a floating rate equal to LIBOR (1.88% at December 31, 2001) plus an applicable margin of 0.75% to 2.00% based upon calculated financial ratios. The loan agreement contains restrictive covenants which specify, among other things, restrictions on the incurrence of indebtedness, payment of dividends, capital expenditures, and the maintenance of certain financial ratios. The Company, as of December 31, 2001, was in compliance with all such covenants.</w:t>
      </w:r>
    </w:p>
    <w:p>
      <w:pPr>
        <w:spacing w:after="0" w:line="185" w:lineRule="exact"/>
        <w:rPr>
          <w:sz w:val="20"/>
          <w:szCs w:val="20"/>
          <w:color w:val="auto"/>
        </w:rPr>
      </w:pPr>
    </w:p>
    <w:p>
      <w:pPr>
        <w:ind w:left="1285" w:right="2839"/>
        <w:spacing w:after="0" w:line="251" w:lineRule="auto"/>
        <w:rPr>
          <w:sz w:val="20"/>
          <w:szCs w:val="20"/>
          <w:color w:val="auto"/>
        </w:rPr>
      </w:pPr>
      <w:r>
        <w:rPr>
          <w:rFonts w:ascii="Courier New" w:cs="Courier New" w:eastAsia="Courier New" w:hAnsi="Courier New"/>
          <w:sz w:val="15"/>
          <w:szCs w:val="15"/>
          <w:color w:val="auto"/>
        </w:rPr>
        <w:t>In connection with the Euroball transaction (see Note 2) the Company and NN Euroball ApS, entered into a Facility Agreement with a bank to provide up to Euro 36,000 in Term Loans and Euro 5,000 in revolving credit loans. The Company borrowed Euro 30,500 ($28,755) under the term loan facility and Euro 1,000 ($943) under the revolving credit facility. Amounts outstanding under the Facility Agreement are secured by inventory</w:t>
      </w:r>
    </w:p>
    <w:p>
      <w:pPr>
        <w:sectPr>
          <w:pgSz w:w="11900" w:h="16838" w:orient="portrait"/>
          <w:cols w:equalWidth="0" w:num="1">
            <w:col w:w="10225"/>
          </w:cols>
          <w:pgMar w:left="235" w:top="142" w:right="1440" w:bottom="0" w:gutter="0" w:footer="0" w:header="0"/>
          <w:type w:val="continuous"/>
        </w:sectPr>
      </w:pPr>
    </w:p>
    <w:bookmarkStart w:id="29" w:name="page30"/>
    <w:bookmarkEnd w:id="29"/>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1285" w:right="2939"/>
        <w:spacing w:after="0" w:line="251" w:lineRule="auto"/>
        <w:rPr>
          <w:sz w:val="20"/>
          <w:szCs w:val="20"/>
          <w:color w:val="auto"/>
        </w:rPr>
      </w:pPr>
      <w:r>
        <w:rPr>
          <w:rFonts w:ascii="Courier New" w:cs="Courier New" w:eastAsia="Courier New" w:hAnsi="Courier New"/>
          <w:sz w:val="15"/>
          <w:szCs w:val="15"/>
          <w:color w:val="auto"/>
        </w:rPr>
        <w:t>and accounts receivable and bear interest at EURIBOR (3.30% at December 31, 2001) plus an applicable margin between 1.125% and 2.25% based upon financial ratios. The shareholders of NN Euroball ApS have provided guarantees for the Facility Agreement. The Facility Agreement contains restrictive covenants, which specify, among other things, restrictions on the incurrence of indebtedness and the maintenance of certain financial ratios. Euroball was in compliance with all such covenants at December 31, 2001.</w:t>
      </w:r>
    </w:p>
    <w:p>
      <w:pPr>
        <w:spacing w:after="0" w:line="353" w:lineRule="exact"/>
        <w:rPr>
          <w:sz w:val="20"/>
          <w:szCs w:val="20"/>
          <w:color w:val="auto"/>
        </w:rPr>
      </w:pPr>
    </w:p>
    <w:p>
      <w:pPr>
        <w:ind w:left="1285" w:right="3119"/>
        <w:spacing w:after="0" w:line="253" w:lineRule="auto"/>
        <w:rPr>
          <w:sz w:val="20"/>
          <w:szCs w:val="20"/>
          <w:color w:val="auto"/>
        </w:rPr>
      </w:pPr>
      <w:r>
        <w:rPr>
          <w:rFonts w:ascii="Courier New" w:cs="Courier New" w:eastAsia="Courier New" w:hAnsi="Courier New"/>
          <w:sz w:val="15"/>
          <w:szCs w:val="15"/>
          <w:color w:val="auto"/>
        </w:rPr>
        <w:t>The aggregate maturities of long-term debt for each of the five years subsequent to December 31, 2001 are as follows:</w:t>
      </w:r>
    </w:p>
    <w:p>
      <w:pPr>
        <w:spacing w:after="0" w:line="174" w:lineRule="exact"/>
        <w:rPr>
          <w:sz w:val="20"/>
          <w:szCs w:val="20"/>
          <w:color w:val="auto"/>
        </w:rPr>
      </w:pPr>
    </w:p>
    <w:tbl>
      <w:tblPr>
        <w:tblLayout w:type="fixed"/>
        <w:tblInd w:w="3225" w:type="dxa"/>
        <w:tblCellMar>
          <w:top w:w="0" w:type="dxa"/>
          <w:left w:w="0" w:type="dxa"/>
          <w:bottom w:w="0" w:type="dxa"/>
          <w:right w:w="0" w:type="dxa"/>
        </w:tblCellMar>
      </w:tblPr>
      <w:tr>
        <w:trPr>
          <w:trHeight w:val="172"/>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$ 7,000</w:t>
            </w: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23,893</w:t>
            </w: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13,268</w:t>
            </w: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7"/>
        </w:trPr>
        <w:tc>
          <w:tcPr>
            <w:tcW w:w="7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7"/>
              </w:rPr>
              <w:t>Total</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$54,661</w:t>
            </w:r>
          </w:p>
        </w:tc>
      </w:tr>
      <w:tr>
        <w:trPr>
          <w:trHeight w:val="177"/>
        </w:trPr>
        <w:tc>
          <w:tcPr>
            <w:tcW w:w="7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 w:right="3219" w:firstLine="646"/>
        <w:spacing w:after="0" w:line="253" w:lineRule="auto"/>
        <w:rPr>
          <w:sz w:val="20"/>
          <w:szCs w:val="20"/>
          <w:color w:val="auto"/>
        </w:rPr>
      </w:pPr>
      <w:r>
        <w:rPr>
          <w:rFonts w:ascii="Courier New" w:cs="Courier New" w:eastAsia="Courier New" w:hAnsi="Courier New"/>
          <w:sz w:val="15"/>
          <w:szCs w:val="15"/>
          <w:color w:val="auto"/>
        </w:rPr>
        <w:t>Interest paid during 2001, 2000 and 1999 was $3,596, $1,917 and $519, respectively.</w:t>
      </w:r>
    </w:p>
    <w:p>
      <w:pPr>
        <w:spacing w:after="0" w:line="352" w:lineRule="exact"/>
        <w:rPr>
          <w:sz w:val="20"/>
          <w:szCs w:val="20"/>
          <w:color w:val="auto"/>
        </w:rPr>
      </w:pPr>
    </w:p>
    <w:p>
      <w:pPr>
        <w:ind w:left="645" w:hanging="645"/>
        <w:spacing w:after="0"/>
        <w:tabs>
          <w:tab w:leader="none" w:pos="645" w:val="left"/>
        </w:tabs>
        <w:numPr>
          <w:ilvl w:val="0"/>
          <w:numId w:val="1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Employee Benefit Plans</w:t>
      </w:r>
    </w:p>
    <w:p>
      <w:pPr>
        <w:spacing w:after="0" w:line="184" w:lineRule="exact"/>
        <w:rPr>
          <w:rFonts w:ascii="Courier New" w:cs="Courier New" w:eastAsia="Courier New" w:hAnsi="Courier New"/>
          <w:sz w:val="15"/>
          <w:szCs w:val="15"/>
          <w:b w:val="1"/>
          <w:bCs w:val="1"/>
          <w:color w:val="auto"/>
        </w:rPr>
      </w:pPr>
    </w:p>
    <w:p>
      <w:pPr>
        <w:ind w:left="645" w:right="2839"/>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Company has three defined contribution 401(k) profit sharing plans covering substantially all employees of the Domestic Ball and Roller and Plastics Segments. The plan in place for the Domestic Ball and Roller Segment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provides a matching contribution of the higher of $500 or 50% of the first 4% of eligible compensation per participant. The employer matching contribution is fully vested at all times. The contributions by the Company for the Domestic Ball and Roller Segment plan were $152, $106 and $120 in 2001, 2000 and 1999, respectively.</w:t>
      </w:r>
    </w:p>
    <w:p>
      <w:pPr>
        <w:spacing w:after="0" w:line="182" w:lineRule="exact"/>
        <w:rPr>
          <w:rFonts w:ascii="Courier New" w:cs="Courier New" w:eastAsia="Courier New" w:hAnsi="Courier New"/>
          <w:sz w:val="15"/>
          <w:szCs w:val="15"/>
          <w:b w:val="1"/>
          <w:bCs w:val="1"/>
          <w:color w:val="auto"/>
        </w:rPr>
      </w:pPr>
    </w:p>
    <w:p>
      <w:pPr>
        <w:ind w:left="645" w:right="2839"/>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plan in place for IMC covers all employees who have completed six months of service and have elected to participate in the plan. A participant may elect to contribute from 1% to 15% of his or her compensation to the plan, subject to a maximum deferral set forth in the Internal Revenue Code. The Company matches 25% of the first 6% of each employee's contribution to the plan and provides for a discretionary contribution at the end of each plan year. The contributions by the Company for IMC plan since acquisition in July 1999 were $58 in 2001, $70 in 2000 and $196 in 1999. Vesting occurs in equal increments over a period of five years.</w:t>
      </w:r>
    </w:p>
    <w:p>
      <w:pPr>
        <w:spacing w:after="0" w:line="181" w:lineRule="exact"/>
        <w:rPr>
          <w:rFonts w:ascii="Courier New" w:cs="Courier New" w:eastAsia="Courier New" w:hAnsi="Courier New"/>
          <w:sz w:val="15"/>
          <w:szCs w:val="15"/>
          <w:b w:val="1"/>
          <w:bCs w:val="1"/>
          <w:color w:val="auto"/>
        </w:rPr>
      </w:pPr>
    </w:p>
    <w:p>
      <w:pPr>
        <w:ind w:left="645" w:right="283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plan in place for Delta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matches 50% of the first 6% of each employee's contribution to the plan. The employee has 100% immediate vesting on all contributions made to his or her account. The contributions by the Company for the Delta plan since acquisition in February 2001 were $67. Vesting occurs in equal increments over a period of five years.</w:t>
      </w:r>
    </w:p>
    <w:p>
      <w:pPr>
        <w:spacing w:after="0" w:line="352"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5" w:right="2939"/>
        <w:spacing w:after="0" w:line="253" w:lineRule="auto"/>
        <w:rPr>
          <w:sz w:val="20"/>
          <w:szCs w:val="20"/>
          <w:color w:val="auto"/>
        </w:rPr>
      </w:pPr>
      <w:r>
        <w:rPr>
          <w:rFonts w:ascii="Courier New" w:cs="Courier New" w:eastAsia="Courier New" w:hAnsi="Courier New"/>
          <w:sz w:val="15"/>
          <w:szCs w:val="15"/>
          <w:color w:val="auto"/>
        </w:rPr>
        <w:t>The Company has a defined benefit pension plan covering its Eltmann, Germany facility employees (a Euroball division). The benefits are based</w:t>
      </w:r>
    </w:p>
    <w:p>
      <w:pPr>
        <w:sectPr>
          <w:pgSz w:w="11900" w:h="16838" w:orient="portrait"/>
          <w:cols w:equalWidth="0" w:num="1">
            <w:col w:w="10225"/>
          </w:cols>
          <w:pgMar w:left="235" w:top="141" w:right="1440" w:bottom="0" w:gutter="0" w:footer="0" w:header="0"/>
        </w:sectPr>
      </w:pPr>
    </w:p>
    <w:bookmarkStart w:id="30" w:name="page31"/>
    <w:bookmarkEnd w:id="30"/>
    <w:p>
      <w:pPr>
        <w:ind w:left="645" w:right="4160"/>
        <w:spacing w:after="0" w:line="253" w:lineRule="auto"/>
        <w:rPr>
          <w:sz w:val="20"/>
          <w:szCs w:val="20"/>
          <w:color w:val="auto"/>
        </w:rPr>
      </w:pPr>
      <w:r>
        <w:rPr>
          <w:rFonts w:ascii="Courier New" w:cs="Courier New" w:eastAsia="Courier New" w:hAnsi="Courier New"/>
          <w:sz w:val="15"/>
          <w:szCs w:val="15"/>
          <w:color w:val="auto"/>
        </w:rPr>
        <w:t>on the expected years of service including the rate of compensation increase. The plan is unfunded.</w:t>
      </w:r>
    </w:p>
    <w:p>
      <w:pPr>
        <w:spacing w:after="0" w:line="174" w:lineRule="exact"/>
        <w:rPr>
          <w:sz w:val="20"/>
          <w:szCs w:val="20"/>
          <w:color w:val="auto"/>
        </w:rPr>
      </w:pPr>
    </w:p>
    <w:p>
      <w:pPr>
        <w:ind w:left="645" w:right="3600"/>
        <w:spacing w:after="0" w:line="253" w:lineRule="auto"/>
        <w:rPr>
          <w:sz w:val="20"/>
          <w:szCs w:val="20"/>
          <w:color w:val="auto"/>
        </w:rPr>
      </w:pPr>
      <w:r>
        <w:rPr>
          <w:rFonts w:ascii="Courier New" w:cs="Courier New" w:eastAsia="Courier New" w:hAnsi="Courier New"/>
          <w:sz w:val="15"/>
          <w:szCs w:val="15"/>
          <w:color w:val="auto"/>
        </w:rPr>
        <w:t>Following is a summary of the changes in the projected benefit obligation for the defined benefit pension plan during 2001 and 2000:</w:t>
      </w:r>
    </w:p>
    <w:p>
      <w:pPr>
        <w:spacing w:after="0" w:line="174" w:lineRule="exact"/>
        <w:rPr>
          <w:sz w:val="20"/>
          <w:szCs w:val="20"/>
          <w:color w:val="auto"/>
        </w:rPr>
      </w:pPr>
    </w:p>
    <w:tbl>
      <w:tblPr>
        <w:tblLayout w:type="fixed"/>
        <w:tblInd w:w="925" w:type="dxa"/>
        <w:tblCellMar>
          <w:top w:w="0" w:type="dxa"/>
          <w:left w:w="0" w:type="dxa"/>
          <w:bottom w:w="0" w:type="dxa"/>
          <w:right w:w="0" w:type="dxa"/>
        </w:tblCellMar>
      </w:tblPr>
      <w:tr>
        <w:trPr>
          <w:trHeight w:val="172"/>
        </w:trPr>
        <w:tc>
          <w:tcPr>
            <w:tcW w:w="4100" w:type="dxa"/>
            <w:vAlign w:val="bottom"/>
          </w:tcPr>
          <w:p>
            <w:pPr>
              <w:spacing w:after="0"/>
              <w:rPr>
                <w:sz w:val="14"/>
                <w:szCs w:val="14"/>
                <w:color w:val="auto"/>
              </w:rPr>
            </w:pP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2001</w:t>
            </w:r>
          </w:p>
        </w:tc>
        <w:tc>
          <w:tcPr>
            <w:tcW w:w="128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w w:val="99"/>
              </w:rPr>
              <w:t>2000</w:t>
            </w:r>
          </w:p>
        </w:tc>
      </w:tr>
      <w:tr>
        <w:trPr>
          <w:trHeight w:val="177"/>
        </w:trPr>
        <w:tc>
          <w:tcPr>
            <w:tcW w:w="4100" w:type="dxa"/>
            <w:vAlign w:val="bottom"/>
          </w:tcPr>
          <w:p>
            <w:pPr>
              <w:spacing w:after="0"/>
              <w:rPr>
                <w:sz w:val="15"/>
                <w:szCs w:val="15"/>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 --------------</w:t>
            </w:r>
          </w:p>
        </w:tc>
      </w:tr>
      <w:tr>
        <w:trPr>
          <w:trHeight w:val="355"/>
        </w:trPr>
        <w:tc>
          <w:tcPr>
            <w:tcW w:w="4100" w:type="dxa"/>
            <w:vAlign w:val="bottom"/>
          </w:tcPr>
          <w:p>
            <w:pPr>
              <w:spacing w:after="0"/>
              <w:rPr>
                <w:sz w:val="20"/>
                <w:szCs w:val="20"/>
                <w:color w:val="auto"/>
              </w:rPr>
            </w:pPr>
            <w:r>
              <w:rPr>
                <w:rFonts w:ascii="Courier New" w:cs="Courier New" w:eastAsia="Courier New" w:hAnsi="Courier New"/>
                <w:sz w:val="15"/>
                <w:szCs w:val="15"/>
                <w:b w:val="1"/>
                <w:bCs w:val="1"/>
                <w:color w:val="auto"/>
              </w:rPr>
              <w:t>Change in projected benefit obligation:</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Benefit obligation at beginning of year</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$ 2,133</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$ 1,886</w:t>
            </w: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Service cost</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77</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33</w:t>
            </w: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Interest cost</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116</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62</w:t>
            </w: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Benefits paid</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Effect of currency translation</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(196)</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Actuarial loss</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265</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152</w:t>
            </w:r>
          </w:p>
        </w:tc>
      </w:tr>
      <w:tr>
        <w:trPr>
          <w:trHeight w:val="177"/>
        </w:trPr>
        <w:tc>
          <w:tcPr>
            <w:tcW w:w="410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355"/>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Benefit obligation at December 31</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$ 2,390</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$ 2,133</w:t>
            </w:r>
          </w:p>
        </w:tc>
      </w:tr>
      <w:tr>
        <w:trPr>
          <w:trHeight w:val="177"/>
        </w:trPr>
        <w:tc>
          <w:tcPr>
            <w:tcW w:w="410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tbl>
      <w:tblPr>
        <w:tblLayout w:type="fixed"/>
        <w:tblInd w:w="925"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1380" w:type="dxa"/>
            <w:vAlign w:val="bottom"/>
          </w:tcPr>
          <w:p>
            <w:pPr>
              <w:jc w:val="right"/>
              <w:ind w:right="323"/>
              <w:spacing w:after="0"/>
              <w:rPr>
                <w:sz w:val="20"/>
                <w:szCs w:val="20"/>
                <w:color w:val="auto"/>
              </w:rPr>
            </w:pPr>
            <w:r>
              <w:rPr>
                <w:rFonts w:ascii="Courier New" w:cs="Courier New" w:eastAsia="Courier New" w:hAnsi="Courier New"/>
                <w:sz w:val="15"/>
                <w:szCs w:val="15"/>
                <w:b w:val="1"/>
                <w:bCs w:val="1"/>
                <w:color w:val="auto"/>
              </w:rPr>
              <w:t>2001</w:t>
            </w: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4560" w:type="dxa"/>
            <w:vAlign w:val="bottom"/>
          </w:tcPr>
          <w:p>
            <w:pPr>
              <w:spacing w:after="0"/>
              <w:rPr>
                <w:sz w:val="15"/>
                <w:szCs w:val="15"/>
                <w:color w:val="auto"/>
              </w:rPr>
            </w:pPr>
          </w:p>
        </w:tc>
        <w:tc>
          <w:tcPr>
            <w:tcW w:w="1380" w:type="dxa"/>
            <w:vAlign w:val="bottom"/>
          </w:tcPr>
          <w:p>
            <w:pPr>
              <w:jc w:val="right"/>
              <w:ind w:right="43"/>
              <w:spacing w:after="0"/>
              <w:rPr>
                <w:sz w:val="20"/>
                <w:szCs w:val="20"/>
                <w:color w:val="auto"/>
              </w:rPr>
            </w:pPr>
            <w:r>
              <w:rPr>
                <w:rFonts w:ascii="Courier New" w:cs="Courier New" w:eastAsia="Courier New" w:hAnsi="Courier New"/>
                <w:sz w:val="15"/>
                <w:szCs w:val="15"/>
                <w:b w:val="1"/>
                <w:bCs w:val="1"/>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4560" w:type="dxa"/>
            <w:vAlign w:val="bottom"/>
          </w:tcPr>
          <w:p>
            <w:pPr>
              <w:spacing w:after="0"/>
              <w:rPr>
                <w:sz w:val="20"/>
                <w:szCs w:val="20"/>
                <w:color w:val="auto"/>
              </w:rPr>
            </w:pPr>
            <w:r>
              <w:rPr>
                <w:rFonts w:ascii="Courier New" w:cs="Courier New" w:eastAsia="Courier New" w:hAnsi="Courier New"/>
                <w:sz w:val="15"/>
                <w:szCs w:val="15"/>
                <w:b w:val="1"/>
                <w:bCs w:val="1"/>
                <w:color w:val="auto"/>
              </w:rPr>
              <w:t>Weighted-average assumptions as of December 31:</w:t>
            </w: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4560" w:type="dxa"/>
            <w:vAlign w:val="bottom"/>
          </w:tcPr>
          <w:p>
            <w:pPr>
              <w:ind w:left="360"/>
              <w:spacing w:after="0"/>
              <w:rPr>
                <w:sz w:val="20"/>
                <w:szCs w:val="20"/>
                <w:color w:val="auto"/>
              </w:rPr>
            </w:pPr>
            <w:r>
              <w:rPr>
                <w:rFonts w:ascii="Courier New" w:cs="Courier New" w:eastAsia="Courier New" w:hAnsi="Courier New"/>
                <w:sz w:val="15"/>
                <w:szCs w:val="15"/>
                <w:color w:val="auto"/>
              </w:rPr>
              <w:t>Discount rate</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6.0%</w:t>
            </w:r>
          </w:p>
        </w:tc>
      </w:tr>
      <w:tr>
        <w:trPr>
          <w:trHeight w:val="177"/>
        </w:trPr>
        <w:tc>
          <w:tcPr>
            <w:tcW w:w="4560" w:type="dxa"/>
            <w:vAlign w:val="bottom"/>
          </w:tcPr>
          <w:p>
            <w:pPr>
              <w:ind w:left="360"/>
              <w:spacing w:after="0"/>
              <w:rPr>
                <w:sz w:val="20"/>
                <w:szCs w:val="20"/>
                <w:color w:val="auto"/>
              </w:rPr>
            </w:pPr>
            <w:r>
              <w:rPr>
                <w:rFonts w:ascii="Courier New" w:cs="Courier New" w:eastAsia="Courier New" w:hAnsi="Courier New"/>
                <w:sz w:val="15"/>
                <w:szCs w:val="15"/>
                <w:color w:val="auto"/>
              </w:rPr>
              <w:t>Rate of compensation increase</w:t>
            </w:r>
          </w:p>
        </w:tc>
        <w:tc>
          <w:tcPr>
            <w:tcW w:w="13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1.5% - 2.1</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w:t>
            </w:r>
          </w:p>
        </w:tc>
      </w:tr>
    </w:tbl>
    <w:p>
      <w:pPr>
        <w:spacing w:after="0" w:line="360" w:lineRule="exact"/>
        <w:rPr>
          <w:sz w:val="20"/>
          <w:szCs w:val="20"/>
          <w:color w:val="auto"/>
        </w:rPr>
      </w:pPr>
    </w:p>
    <w:tbl>
      <w:tblPr>
        <w:tblLayout w:type="fixed"/>
        <w:tblInd w:w="925" w:type="dxa"/>
        <w:tblCellMar>
          <w:top w:w="0" w:type="dxa"/>
          <w:left w:w="0" w:type="dxa"/>
          <w:bottom w:w="0" w:type="dxa"/>
          <w:right w:w="0" w:type="dxa"/>
        </w:tblCellMar>
      </w:tblPr>
      <w:tr>
        <w:trPr>
          <w:trHeight w:val="172"/>
        </w:trPr>
        <w:tc>
          <w:tcPr>
            <w:tcW w:w="4700" w:type="dxa"/>
            <w:vAlign w:val="bottom"/>
          </w:tcPr>
          <w:p>
            <w:pPr>
              <w:spacing w:after="0"/>
              <w:rPr>
                <w:sz w:val="14"/>
                <w:szCs w:val="14"/>
                <w:color w:val="auto"/>
              </w:rPr>
            </w:pP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b w:val="1"/>
                <w:bCs w:val="1"/>
                <w:color w:val="auto"/>
              </w:rPr>
              <w:t>2001</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470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 --------</w:t>
            </w:r>
          </w:p>
        </w:tc>
      </w:tr>
      <w:tr>
        <w:trPr>
          <w:trHeight w:val="355"/>
        </w:trPr>
        <w:tc>
          <w:tcPr>
            <w:tcW w:w="4700" w:type="dxa"/>
            <w:vAlign w:val="bottom"/>
          </w:tcPr>
          <w:p>
            <w:pPr>
              <w:spacing w:after="0"/>
              <w:rPr>
                <w:sz w:val="20"/>
                <w:szCs w:val="20"/>
                <w:color w:val="auto"/>
              </w:rPr>
            </w:pPr>
            <w:r>
              <w:rPr>
                <w:rFonts w:ascii="Courier New" w:cs="Courier New" w:eastAsia="Courier New" w:hAnsi="Courier New"/>
                <w:sz w:val="15"/>
                <w:szCs w:val="15"/>
                <w:b w:val="1"/>
                <w:bCs w:val="1"/>
                <w:color w:val="auto"/>
              </w:rPr>
              <w:t>Components of net periodic benefit cost:</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7"/>
        </w:trPr>
        <w:tc>
          <w:tcPr>
            <w:tcW w:w="4700" w:type="dxa"/>
            <w:vAlign w:val="bottom"/>
          </w:tcPr>
          <w:p>
            <w:pPr>
              <w:ind w:left="360"/>
              <w:spacing w:after="0"/>
              <w:rPr>
                <w:sz w:val="20"/>
                <w:szCs w:val="20"/>
                <w:color w:val="auto"/>
              </w:rPr>
            </w:pPr>
            <w:r>
              <w:rPr>
                <w:rFonts w:ascii="Courier New" w:cs="Courier New" w:eastAsia="Courier New" w:hAnsi="Courier New"/>
                <w:sz w:val="15"/>
                <w:szCs w:val="15"/>
                <w:color w:val="auto"/>
              </w:rPr>
              <w:t>Service cost</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$ 77</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$ 33</w:t>
            </w:r>
          </w:p>
        </w:tc>
      </w:tr>
      <w:tr>
        <w:trPr>
          <w:trHeight w:val="177"/>
        </w:trPr>
        <w:tc>
          <w:tcPr>
            <w:tcW w:w="4700" w:type="dxa"/>
            <w:vAlign w:val="bottom"/>
          </w:tcPr>
          <w:p>
            <w:pPr>
              <w:ind w:left="360"/>
              <w:spacing w:after="0"/>
              <w:rPr>
                <w:sz w:val="20"/>
                <w:szCs w:val="20"/>
                <w:color w:val="auto"/>
              </w:rPr>
            </w:pPr>
            <w:r>
              <w:rPr>
                <w:rFonts w:ascii="Courier New" w:cs="Courier New" w:eastAsia="Courier New" w:hAnsi="Courier New"/>
                <w:sz w:val="15"/>
                <w:szCs w:val="15"/>
                <w:color w:val="auto"/>
              </w:rPr>
              <w:t>Interest cost on projected benefit obligation</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116</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62</w:t>
            </w:r>
          </w:p>
        </w:tc>
      </w:tr>
      <w:tr>
        <w:trPr>
          <w:trHeight w:val="177"/>
        </w:trPr>
        <w:tc>
          <w:tcPr>
            <w:tcW w:w="4700" w:type="dxa"/>
            <w:vAlign w:val="bottom"/>
          </w:tcPr>
          <w:p>
            <w:pPr>
              <w:spacing w:after="0"/>
              <w:rPr>
                <w:sz w:val="15"/>
                <w:szCs w:val="15"/>
                <w:color w:val="auto"/>
              </w:rPr>
            </w:pP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700" w:type="dxa"/>
            <w:vAlign w:val="bottom"/>
          </w:tcPr>
          <w:p>
            <w:pPr>
              <w:ind w:left="360"/>
              <w:spacing w:after="0"/>
              <w:rPr>
                <w:sz w:val="20"/>
                <w:szCs w:val="20"/>
                <w:color w:val="auto"/>
              </w:rPr>
            </w:pPr>
            <w:r>
              <w:rPr>
                <w:rFonts w:ascii="Courier New" w:cs="Courier New" w:eastAsia="Courier New" w:hAnsi="Courier New"/>
                <w:sz w:val="15"/>
                <w:szCs w:val="15"/>
                <w:color w:val="auto"/>
              </w:rPr>
              <w:t>Net periodic pension cost</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$193</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$ 95</w:t>
            </w:r>
          </w:p>
        </w:tc>
      </w:tr>
      <w:tr>
        <w:trPr>
          <w:trHeight w:val="177"/>
        </w:trPr>
        <w:tc>
          <w:tcPr>
            <w:tcW w:w="4700" w:type="dxa"/>
            <w:vAlign w:val="bottom"/>
          </w:tcPr>
          <w:p>
            <w:pPr>
              <w:spacing w:after="0"/>
              <w:rPr>
                <w:sz w:val="15"/>
                <w:szCs w:val="15"/>
                <w:color w:val="auto"/>
              </w:rPr>
            </w:pP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tbl>
      <w:tblPr>
        <w:tblLayout w:type="fixed"/>
        <w:tblInd w:w="645" w:type="dxa"/>
        <w:tblCellMar>
          <w:top w:w="0" w:type="dxa"/>
          <w:left w:w="0" w:type="dxa"/>
          <w:bottom w:w="0" w:type="dxa"/>
          <w:right w:w="0" w:type="dxa"/>
        </w:tblCellMar>
      </w:tblPr>
      <w:tr>
        <w:trPr>
          <w:trHeight w:val="172"/>
        </w:trPr>
        <w:tc>
          <w:tcPr>
            <w:tcW w:w="6140" w:type="dxa"/>
            <w:vAlign w:val="bottom"/>
          </w:tcPr>
          <w:p>
            <w:pPr>
              <w:spacing w:after="0"/>
              <w:rPr>
                <w:sz w:val="20"/>
                <w:szCs w:val="20"/>
                <w:color w:val="auto"/>
              </w:rPr>
            </w:pPr>
            <w:r>
              <w:rPr>
                <w:rFonts w:ascii="Courier New" w:cs="Courier New" w:eastAsia="Courier New" w:hAnsi="Courier New"/>
                <w:sz w:val="15"/>
                <w:szCs w:val="15"/>
                <w:color w:val="auto"/>
              </w:rPr>
              <w:t>Amounts recognized in the Consolidated Balance Sheets consist of:</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55"/>
        </w:trPr>
        <w:tc>
          <w:tcPr>
            <w:tcW w:w="6140" w:type="dxa"/>
            <w:vAlign w:val="bottom"/>
          </w:tcPr>
          <w:p>
            <w:pPr>
              <w:spacing w:after="0"/>
              <w:rPr>
                <w:sz w:val="24"/>
                <w:szCs w:val="24"/>
                <w:color w:val="auto"/>
              </w:rPr>
            </w:pPr>
          </w:p>
        </w:tc>
        <w:tc>
          <w:tcPr>
            <w:tcW w:w="1660" w:type="dxa"/>
            <w:vAlign w:val="bottom"/>
          </w:tcPr>
          <w:p>
            <w:pPr>
              <w:jc w:val="right"/>
              <w:ind w:right="523"/>
              <w:spacing w:after="0"/>
              <w:rPr>
                <w:sz w:val="20"/>
                <w:szCs w:val="20"/>
                <w:color w:val="auto"/>
              </w:rPr>
            </w:pPr>
            <w:r>
              <w:rPr>
                <w:rFonts w:ascii="Courier New" w:cs="Courier New" w:eastAsia="Courier New" w:hAnsi="Courier New"/>
                <w:sz w:val="15"/>
                <w:szCs w:val="15"/>
                <w:b w:val="1"/>
                <w:bCs w:val="1"/>
                <w:color w:val="auto"/>
              </w:rPr>
              <w:t>2001</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6140" w:type="dxa"/>
            <w:vAlign w:val="bottom"/>
          </w:tcPr>
          <w:p>
            <w:pPr>
              <w:spacing w:after="0"/>
              <w:rPr>
                <w:sz w:val="15"/>
                <w:szCs w:val="15"/>
                <w:color w:val="auto"/>
              </w:rPr>
            </w:pPr>
          </w:p>
        </w:tc>
        <w:tc>
          <w:tcPr>
            <w:tcW w:w="1660" w:type="dxa"/>
            <w:vAlign w:val="bottom"/>
          </w:tcPr>
          <w:p>
            <w:pPr>
              <w:jc w:val="right"/>
              <w:ind w:right="163"/>
              <w:spacing w:after="0"/>
              <w:rPr>
                <w:sz w:val="20"/>
                <w:szCs w:val="20"/>
                <w:color w:val="auto"/>
              </w:rPr>
            </w:pPr>
            <w:r>
              <w:rPr>
                <w:rFonts w:ascii="Courier New" w:cs="Courier New" w:eastAsia="Courier New" w:hAnsi="Courier New"/>
                <w:sz w:val="15"/>
                <w:szCs w:val="15"/>
                <w:b w:val="1"/>
                <w:bCs w:val="1"/>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6140" w:type="dxa"/>
            <w:vAlign w:val="bottom"/>
          </w:tcPr>
          <w:p>
            <w:pPr>
              <w:ind w:left="280"/>
              <w:spacing w:after="0"/>
              <w:rPr>
                <w:sz w:val="20"/>
                <w:szCs w:val="20"/>
                <w:color w:val="auto"/>
              </w:rPr>
            </w:pPr>
            <w:r>
              <w:rPr>
                <w:rFonts w:ascii="Courier New" w:cs="Courier New" w:eastAsia="Courier New" w:hAnsi="Courier New"/>
                <w:sz w:val="15"/>
                <w:szCs w:val="15"/>
                <w:color w:val="auto"/>
              </w:rPr>
              <w:t>Accrued benefit liability</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$2,390</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$2,133</w:t>
            </w:r>
          </w:p>
        </w:tc>
      </w:tr>
      <w:tr>
        <w:trPr>
          <w:trHeight w:val="177"/>
        </w:trPr>
        <w:tc>
          <w:tcPr>
            <w:tcW w:w="6140" w:type="dxa"/>
            <w:vAlign w:val="bottom"/>
          </w:tcPr>
          <w:p>
            <w:pPr>
              <w:ind w:left="280"/>
              <w:spacing w:after="0"/>
              <w:rPr>
                <w:sz w:val="20"/>
                <w:szCs w:val="20"/>
                <w:color w:val="auto"/>
              </w:rPr>
            </w:pPr>
            <w:r>
              <w:rPr>
                <w:rFonts w:ascii="Courier New" w:cs="Courier New" w:eastAsia="Courier New" w:hAnsi="Courier New"/>
                <w:sz w:val="15"/>
                <w:szCs w:val="15"/>
                <w:color w:val="auto"/>
              </w:rPr>
              <w:t>Accumulated other comprehensive loss, net of tax</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(53)</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140" w:type="dxa"/>
            <w:vAlign w:val="bottom"/>
          </w:tcPr>
          <w:p>
            <w:pPr>
              <w:spacing w:after="0"/>
              <w:rPr>
                <w:sz w:val="15"/>
                <w:szCs w:val="15"/>
                <w:color w:val="auto"/>
              </w:rPr>
            </w:pPr>
          </w:p>
        </w:tc>
        <w:tc>
          <w:tcPr>
            <w:tcW w:w="16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140" w:type="dxa"/>
            <w:vAlign w:val="bottom"/>
          </w:tcPr>
          <w:p>
            <w:pPr>
              <w:ind w:left="460"/>
              <w:spacing w:after="0"/>
              <w:rPr>
                <w:sz w:val="20"/>
                <w:szCs w:val="20"/>
                <w:color w:val="auto"/>
              </w:rPr>
            </w:pPr>
            <w:r>
              <w:rPr>
                <w:rFonts w:ascii="Courier New" w:cs="Courier New" w:eastAsia="Courier New" w:hAnsi="Courier New"/>
                <w:sz w:val="15"/>
                <w:szCs w:val="15"/>
                <w:color w:val="auto"/>
              </w:rPr>
              <w:t>Net amount recognized</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$2,337</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$2,133</w:t>
            </w:r>
          </w:p>
        </w:tc>
      </w:tr>
      <w:tr>
        <w:trPr>
          <w:trHeight w:val="177"/>
        </w:trPr>
        <w:tc>
          <w:tcPr>
            <w:tcW w:w="6140" w:type="dxa"/>
            <w:vAlign w:val="bottom"/>
          </w:tcPr>
          <w:p>
            <w:pPr>
              <w:spacing w:after="0"/>
              <w:rPr>
                <w:sz w:val="15"/>
                <w:szCs w:val="15"/>
                <w:color w:val="auto"/>
              </w:rPr>
            </w:pPr>
          </w:p>
        </w:tc>
        <w:tc>
          <w:tcPr>
            <w:tcW w:w="16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645" w:hanging="645"/>
        <w:spacing w:after="0"/>
        <w:tabs>
          <w:tab w:leader="none" w:pos="645" w:val="left"/>
        </w:tabs>
        <w:numPr>
          <w:ilvl w:val="0"/>
          <w:numId w:val="1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Stock Incentive Plan</w:t>
      </w:r>
    </w:p>
    <w:p>
      <w:pPr>
        <w:spacing w:after="0" w:line="362" w:lineRule="exact"/>
        <w:rPr>
          <w:rFonts w:ascii="Courier New" w:cs="Courier New" w:eastAsia="Courier New" w:hAnsi="Courier New"/>
          <w:sz w:val="15"/>
          <w:szCs w:val="15"/>
          <w:b w:val="1"/>
          <w:bCs w:val="1"/>
          <w:color w:val="auto"/>
        </w:rPr>
      </w:pPr>
    </w:p>
    <w:p>
      <w:pPr>
        <w:ind w:left="645" w:right="3600"/>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Effective March 2, 1994, the Company adopted the NN, Inc. Stock Incentive Plan under which 1,125 shares of the Company's Common Stock were reserved for issuance to officers and key employees of the Company. During 1999 and 2000, the plan was amended to increase the number of shares available for issuance pursuant to awards made under the plan from 1,125 to 1,625. Awards or grants under the plan may be made in the form of incentive and nonqualified stock options, stock appreciation rights and restricted stock. The stock options and stock appreciation rights must be issued with an exercise price not less than the fair market value of the Common Stock on the date of</w:t>
      </w:r>
    </w:p>
    <w:p>
      <w:pPr>
        <w:spacing w:after="0" w:line="182"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59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59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5" w:right="3780"/>
        <w:spacing w:after="0" w:line="252" w:lineRule="auto"/>
        <w:rPr>
          <w:sz w:val="20"/>
          <w:szCs w:val="20"/>
          <w:color w:val="auto"/>
        </w:rPr>
      </w:pPr>
      <w:r>
        <w:rPr>
          <w:rFonts w:ascii="Courier New" w:cs="Courier New" w:eastAsia="Courier New" w:hAnsi="Courier New"/>
          <w:sz w:val="15"/>
          <w:szCs w:val="15"/>
          <w:color w:val="auto"/>
        </w:rPr>
        <w:t>grant. The awards or grants under the plan may have various vesting and expiration periods as determined at the discretion of the committee administering the plan.</w:t>
      </w:r>
    </w:p>
    <w:p>
      <w:pPr>
        <w:spacing w:after="0" w:line="175" w:lineRule="exact"/>
        <w:rPr>
          <w:sz w:val="20"/>
          <w:szCs w:val="20"/>
          <w:color w:val="auto"/>
        </w:rPr>
      </w:pPr>
    </w:p>
    <w:p>
      <w:pPr>
        <w:ind w:left="645" w:right="3780"/>
        <w:spacing w:after="0" w:line="252" w:lineRule="auto"/>
        <w:rPr>
          <w:sz w:val="20"/>
          <w:szCs w:val="20"/>
          <w:color w:val="auto"/>
        </w:rPr>
      </w:pPr>
      <w:r>
        <w:rPr>
          <w:rFonts w:ascii="Courier New" w:cs="Courier New" w:eastAsia="Courier New" w:hAnsi="Courier New"/>
          <w:sz w:val="15"/>
          <w:szCs w:val="15"/>
          <w:color w:val="auto"/>
        </w:rPr>
        <w:t>A summary of the status of the Company's stock option plan as described above as of December 31, 2001, 2000 and 1999, and changes during the years ending on those dates is presented below:</w:t>
      </w:r>
    </w:p>
    <w:p>
      <w:pPr>
        <w:spacing w:after="0" w:line="352" w:lineRule="exact"/>
        <w:rPr>
          <w:sz w:val="20"/>
          <w:szCs w:val="20"/>
          <w:color w:val="auto"/>
        </w:rPr>
      </w:pPr>
    </w:p>
    <w:p>
      <w:pPr>
        <w:ind w:left="3965"/>
        <w:spacing w:after="0"/>
        <w:tabs>
          <w:tab w:leader="none" w:pos="6725" w:val="left"/>
          <w:tab w:leader="none" w:pos="9385" w:val="left"/>
        </w:tabs>
        <w:rPr>
          <w:sz w:val="20"/>
          <w:szCs w:val="20"/>
          <w:color w:val="auto"/>
        </w:rPr>
      </w:pPr>
      <w:r>
        <w:rPr>
          <w:rFonts w:ascii="Courier New" w:cs="Courier New" w:eastAsia="Courier New" w:hAnsi="Courier New"/>
          <w:sz w:val="15"/>
          <w:szCs w:val="15"/>
          <w:b w:val="1"/>
          <w:bCs w:val="1"/>
          <w:color w:val="auto"/>
        </w:rPr>
        <w:t>2001</w:t>
      </w:r>
      <w:r>
        <w:rPr>
          <w:sz w:val="20"/>
          <w:szCs w:val="20"/>
          <w:color w:val="auto"/>
        </w:rPr>
        <w:tab/>
      </w:r>
      <w:r>
        <w:rPr>
          <w:rFonts w:ascii="Courier New" w:cs="Courier New" w:eastAsia="Courier New" w:hAnsi="Courier New"/>
          <w:sz w:val="15"/>
          <w:szCs w:val="15"/>
          <w:b w:val="1"/>
          <w:bCs w:val="1"/>
          <w:color w:val="auto"/>
        </w:rPr>
        <w:t>2000</w:t>
      </w:r>
      <w:r>
        <w:rPr>
          <w:sz w:val="20"/>
          <w:szCs w:val="20"/>
          <w:color w:val="auto"/>
        </w:rPr>
        <w:tab/>
      </w:r>
      <w:r>
        <w:rPr>
          <w:rFonts w:ascii="Courier New" w:cs="Courier New" w:eastAsia="Courier New" w:hAnsi="Courier New"/>
          <w:sz w:val="15"/>
          <w:szCs w:val="15"/>
          <w:b w:val="1"/>
          <w:bCs w:val="1"/>
          <w:color w:val="auto"/>
        </w:rPr>
        <w:t>1999</w:t>
      </w:r>
    </w:p>
    <w:p>
      <w:pPr>
        <w:spacing w:after="0" w:line="8" w:lineRule="exact"/>
        <w:rPr>
          <w:sz w:val="20"/>
          <w:szCs w:val="20"/>
          <w:color w:val="auto"/>
        </w:rPr>
      </w:pPr>
    </w:p>
    <w:p>
      <w:pPr>
        <w:ind w:left="2945"/>
        <w:spacing w:after="0"/>
        <w:tabs>
          <w:tab w:leader="none" w:pos="5705" w:val="left"/>
          <w:tab w:leader="none" w:pos="8465" w:val="left"/>
        </w:tabs>
        <w:rPr>
          <w:sz w:val="20"/>
          <w:szCs w:val="20"/>
          <w:color w:val="auto"/>
        </w:rPr>
      </w:pPr>
      <w:r>
        <w:rPr>
          <w:rFonts w:ascii="Courier New" w:cs="Courier New" w:eastAsia="Courier New" w:hAnsi="Courier New"/>
          <w:sz w:val="15"/>
          <w:szCs w:val="15"/>
          <w:b w:val="1"/>
          <w:bCs w:val="1"/>
          <w:color w:val="auto"/>
        </w:rPr>
        <w:t>----------------------------</w:t>
        <w:tab/>
        <w:t>----------------------------</w:t>
        <w:tab/>
        <w:t>---------------------------</w:t>
      </w:r>
    </w:p>
    <w:p>
      <w:pPr>
        <w:spacing w:after="0" w:line="8" w:lineRule="exact"/>
        <w:rPr>
          <w:sz w:val="20"/>
          <w:szCs w:val="20"/>
          <w:color w:val="auto"/>
        </w:rPr>
      </w:pPr>
    </w:p>
    <w:p>
      <w:pPr>
        <w:ind w:left="4145"/>
        <w:spacing w:after="0"/>
        <w:tabs>
          <w:tab w:leader="none" w:pos="6905" w:val="left"/>
          <w:tab w:leader="none" w:pos="9485" w:val="left"/>
        </w:tabs>
        <w:rPr>
          <w:sz w:val="20"/>
          <w:szCs w:val="20"/>
          <w:color w:val="auto"/>
        </w:rPr>
      </w:pPr>
      <w:r>
        <w:rPr>
          <w:rFonts w:ascii="Courier New" w:cs="Courier New" w:eastAsia="Courier New" w:hAnsi="Courier New"/>
          <w:sz w:val="15"/>
          <w:szCs w:val="15"/>
          <w:b w:val="1"/>
          <w:bCs w:val="1"/>
          <w:color w:val="auto"/>
        </w:rPr>
        <w:t>Weighted-average</w:t>
      </w:r>
      <w:r>
        <w:rPr>
          <w:sz w:val="20"/>
          <w:szCs w:val="20"/>
          <w:color w:val="auto"/>
        </w:rPr>
        <w:tab/>
      </w:r>
      <w:r>
        <w:rPr>
          <w:rFonts w:ascii="Courier New" w:cs="Courier New" w:eastAsia="Courier New" w:hAnsi="Courier New"/>
          <w:sz w:val="15"/>
          <w:szCs w:val="15"/>
          <w:b w:val="1"/>
          <w:bCs w:val="1"/>
          <w:color w:val="auto"/>
        </w:rPr>
        <w:t>Weighted-average</w:t>
      </w:r>
      <w:r>
        <w:rPr>
          <w:sz w:val="20"/>
          <w:szCs w:val="20"/>
          <w:color w:val="auto"/>
        </w:rPr>
        <w:tab/>
      </w:r>
      <w:r>
        <w:rPr>
          <w:rFonts w:ascii="Courier New" w:cs="Courier New" w:eastAsia="Courier New" w:hAnsi="Courier New"/>
          <w:sz w:val="15"/>
          <w:szCs w:val="15"/>
          <w:b w:val="1"/>
          <w:bCs w:val="1"/>
          <w:color w:val="auto"/>
        </w:rPr>
        <w:t>Weighted-average</w:t>
      </w:r>
    </w:p>
    <w:p>
      <w:pPr>
        <w:spacing w:after="0" w:line="8" w:lineRule="exact"/>
        <w:rPr>
          <w:sz w:val="20"/>
          <w:szCs w:val="20"/>
          <w:color w:val="auto"/>
        </w:rPr>
      </w:pPr>
    </w:p>
    <w:p>
      <w:pPr>
        <w:ind w:left="3145"/>
        <w:spacing w:after="0"/>
        <w:tabs>
          <w:tab w:leader="none" w:pos="4125" w:val="left"/>
          <w:tab w:leader="none" w:pos="5885" w:val="left"/>
          <w:tab w:leader="none" w:pos="6905" w:val="left"/>
          <w:tab w:leader="none" w:pos="8645" w:val="left"/>
          <w:tab w:leader="none" w:pos="9585" w:val="left"/>
        </w:tabs>
        <w:rPr>
          <w:sz w:val="20"/>
          <w:szCs w:val="20"/>
          <w:color w:val="auto"/>
        </w:rPr>
      </w:pPr>
      <w:r>
        <w:rPr>
          <w:rFonts w:ascii="Courier New" w:cs="Courier New" w:eastAsia="Courier New" w:hAnsi="Courier New"/>
          <w:sz w:val="15"/>
          <w:szCs w:val="15"/>
          <w:b w:val="1"/>
          <w:bCs w:val="1"/>
          <w:color w:val="auto"/>
        </w:rPr>
        <w:t>Shares</w:t>
      </w:r>
      <w:r>
        <w:rPr>
          <w:sz w:val="20"/>
          <w:szCs w:val="20"/>
          <w:color w:val="auto"/>
        </w:rPr>
        <w:tab/>
      </w:r>
      <w:r>
        <w:rPr>
          <w:rFonts w:ascii="Courier New" w:cs="Courier New" w:eastAsia="Courier New" w:hAnsi="Courier New"/>
          <w:sz w:val="15"/>
          <w:szCs w:val="15"/>
          <w:b w:val="1"/>
          <w:bCs w:val="1"/>
          <w:color w:val="auto"/>
        </w:rPr>
        <w:t>exercise price</w:t>
      </w:r>
      <w:r>
        <w:rPr>
          <w:sz w:val="20"/>
          <w:szCs w:val="20"/>
          <w:color w:val="auto"/>
        </w:rPr>
        <w:tab/>
      </w:r>
      <w:r>
        <w:rPr>
          <w:rFonts w:ascii="Courier New" w:cs="Courier New" w:eastAsia="Courier New" w:hAnsi="Courier New"/>
          <w:sz w:val="15"/>
          <w:szCs w:val="15"/>
          <w:b w:val="1"/>
          <w:bCs w:val="1"/>
          <w:color w:val="auto"/>
        </w:rPr>
        <w:t>Shares</w:t>
      </w:r>
      <w:r>
        <w:rPr>
          <w:sz w:val="20"/>
          <w:szCs w:val="20"/>
          <w:color w:val="auto"/>
        </w:rPr>
        <w:tab/>
      </w:r>
      <w:r>
        <w:rPr>
          <w:rFonts w:ascii="Courier New" w:cs="Courier New" w:eastAsia="Courier New" w:hAnsi="Courier New"/>
          <w:sz w:val="15"/>
          <w:szCs w:val="15"/>
          <w:b w:val="1"/>
          <w:bCs w:val="1"/>
          <w:color w:val="auto"/>
        </w:rPr>
        <w:t>exercise price</w:t>
      </w:r>
      <w:r>
        <w:rPr>
          <w:sz w:val="20"/>
          <w:szCs w:val="20"/>
          <w:color w:val="auto"/>
        </w:rPr>
        <w:tab/>
      </w:r>
      <w:r>
        <w:rPr>
          <w:rFonts w:ascii="Courier New" w:cs="Courier New" w:eastAsia="Courier New" w:hAnsi="Courier New"/>
          <w:sz w:val="15"/>
          <w:szCs w:val="15"/>
          <w:b w:val="1"/>
          <w:bCs w:val="1"/>
          <w:color w:val="auto"/>
        </w:rPr>
        <w:t>Shares</w:t>
      </w:r>
      <w:r>
        <w:rPr>
          <w:sz w:val="20"/>
          <w:szCs w:val="20"/>
          <w:color w:val="auto"/>
        </w:rPr>
        <w:tab/>
      </w:r>
      <w:r>
        <w:rPr>
          <w:rFonts w:ascii="Courier New" w:cs="Courier New" w:eastAsia="Courier New" w:hAnsi="Courier New"/>
          <w:sz w:val="15"/>
          <w:szCs w:val="15"/>
          <w:b w:val="1"/>
          <w:bCs w:val="1"/>
          <w:color w:val="auto"/>
        </w:rPr>
        <w:t>exercise price</w:t>
      </w:r>
    </w:p>
    <w:p>
      <w:pPr>
        <w:spacing w:after="0" w:line="8" w:lineRule="exact"/>
        <w:rPr>
          <w:sz w:val="20"/>
          <w:szCs w:val="20"/>
          <w:color w:val="auto"/>
        </w:rPr>
      </w:pPr>
    </w:p>
    <w:p>
      <w:pPr>
        <w:ind w:left="2945"/>
        <w:spacing w:after="0"/>
        <w:tabs>
          <w:tab w:leader="none" w:pos="4125" w:val="left"/>
          <w:tab w:leader="none" w:pos="5705" w:val="left"/>
          <w:tab w:leader="none" w:pos="6905" w:val="left"/>
          <w:tab w:leader="none" w:pos="8465" w:val="left"/>
          <w:tab w:leader="none" w:pos="9585" w:val="left"/>
        </w:tabs>
        <w:rPr>
          <w:sz w:val="20"/>
          <w:szCs w:val="20"/>
          <w:color w:val="auto"/>
        </w:rPr>
      </w:pPr>
      <w:r>
        <w:rPr>
          <w:rFonts w:ascii="Courier New" w:cs="Courier New" w:eastAsia="Courier New" w:hAnsi="Courier New"/>
          <w:sz w:val="15"/>
          <w:szCs w:val="15"/>
          <w:b w:val="1"/>
          <w:bCs w:val="1"/>
          <w:color w:val="auto"/>
        </w:rPr>
        <w:t>-----------</w:t>
        <w:tab/>
        <w:t>---------------</w:t>
        <w:tab/>
        <w:t>-----------</w:t>
        <w:tab/>
        <w:t>---------------</w:t>
        <w:tab/>
        <w:t>----------</w:t>
        <w:tab/>
        <w:t>---------------</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Outstanding at beginning</w:t>
      </w:r>
    </w:p>
    <w:p>
      <w:pPr>
        <w:sectPr>
          <w:pgSz w:w="11900" w:h="16838" w:orient="portrait"/>
          <w:cols w:equalWidth="0" w:num="1">
            <w:col w:w="10985"/>
          </w:cols>
          <w:pgMar w:left="235" w:top="142" w:right="67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2"/>
        </w:trPr>
        <w:tc>
          <w:tcPr>
            <w:tcW w:w="18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of year</w:t>
            </w:r>
          </w:p>
        </w:tc>
        <w:tc>
          <w:tcPr>
            <w:tcW w:w="2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1,091</w:t>
            </w:r>
          </w:p>
        </w:tc>
        <w:tc>
          <w:tcPr>
            <w:tcW w:w="84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6.87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1,049</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8.53</w:t>
            </w:r>
          </w:p>
        </w:tc>
        <w:tc>
          <w:tcPr>
            <w:tcW w:w="6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548</w:t>
            </w:r>
          </w:p>
        </w:tc>
        <w:tc>
          <w:tcPr>
            <w:tcW w:w="7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11.53</w:t>
            </w:r>
          </w:p>
        </w:tc>
      </w:tr>
      <w:tr>
        <w:trPr>
          <w:trHeight w:val="355"/>
        </w:trPr>
        <w:tc>
          <w:tcPr>
            <w:tcW w:w="1880" w:type="dxa"/>
            <w:vAlign w:val="bottom"/>
          </w:tcPr>
          <w:p>
            <w:pPr>
              <w:ind w:left="460"/>
              <w:spacing w:after="0"/>
              <w:rPr>
                <w:sz w:val="20"/>
                <w:szCs w:val="20"/>
                <w:color w:val="auto"/>
              </w:rPr>
            </w:pPr>
            <w:r>
              <w:rPr>
                <w:rFonts w:ascii="Courier New" w:cs="Courier New" w:eastAsia="Courier New" w:hAnsi="Courier New"/>
                <w:sz w:val="15"/>
                <w:szCs w:val="15"/>
                <w:color w:val="auto"/>
              </w:rPr>
              <w:t>Granted</w:t>
            </w:r>
          </w:p>
        </w:tc>
        <w:tc>
          <w:tcPr>
            <w:tcW w:w="2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396</w:t>
            </w:r>
          </w:p>
        </w:tc>
        <w:tc>
          <w:tcPr>
            <w:tcW w:w="840" w:type="dxa"/>
            <w:vAlign w:val="bottom"/>
          </w:tcPr>
          <w:p>
            <w:pPr>
              <w:spacing w:after="0"/>
              <w:rPr>
                <w:sz w:val="24"/>
                <w:szCs w:val="24"/>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8.09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555</w:t>
            </w:r>
          </w:p>
        </w:tc>
        <w:tc>
          <w:tcPr>
            <w:tcW w:w="1200" w:type="dxa"/>
            <w:vAlign w:val="bottom"/>
          </w:tcPr>
          <w:p>
            <w:pPr>
              <w:spacing w:after="0"/>
              <w:rPr>
                <w:sz w:val="24"/>
                <w:szCs w:val="2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7.63</w:t>
            </w:r>
          </w:p>
        </w:tc>
        <w:tc>
          <w:tcPr>
            <w:tcW w:w="6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539</w:t>
            </w:r>
          </w:p>
        </w:tc>
        <w:tc>
          <w:tcPr>
            <w:tcW w:w="740" w:type="dxa"/>
            <w:vAlign w:val="bottom"/>
          </w:tcPr>
          <w:p>
            <w:pPr>
              <w:spacing w:after="0"/>
              <w:rPr>
                <w:sz w:val="24"/>
                <w:szCs w:val="24"/>
                <w:color w:val="auto"/>
              </w:rPr>
            </w:pP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5.93</w:t>
            </w:r>
          </w:p>
        </w:tc>
      </w:tr>
      <w:tr>
        <w:trPr>
          <w:trHeight w:val="355"/>
        </w:trPr>
        <w:tc>
          <w:tcPr>
            <w:tcW w:w="1880" w:type="dxa"/>
            <w:vAlign w:val="bottom"/>
          </w:tcPr>
          <w:p>
            <w:pPr>
              <w:ind w:left="460"/>
              <w:spacing w:after="0"/>
              <w:rPr>
                <w:sz w:val="20"/>
                <w:szCs w:val="20"/>
                <w:color w:val="auto"/>
              </w:rPr>
            </w:pPr>
            <w:r>
              <w:rPr>
                <w:rFonts w:ascii="Courier New" w:cs="Courier New" w:eastAsia="Courier New" w:hAnsi="Courier New"/>
                <w:sz w:val="15"/>
                <w:szCs w:val="15"/>
                <w:color w:val="auto"/>
              </w:rPr>
              <w:t>Exercised</w:t>
            </w:r>
          </w:p>
        </w:tc>
        <w:tc>
          <w:tcPr>
            <w:tcW w:w="2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w:t>
            </w:r>
          </w:p>
        </w:tc>
        <w:tc>
          <w:tcPr>
            <w:tcW w:w="840" w:type="dxa"/>
            <w:vAlign w:val="bottom"/>
          </w:tcPr>
          <w:p>
            <w:pPr>
              <w:spacing w:after="0"/>
              <w:rPr>
                <w:sz w:val="24"/>
                <w:szCs w:val="24"/>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6.09</w:t>
            </w:r>
          </w:p>
        </w:tc>
        <w:tc>
          <w:tcPr>
            <w:tcW w:w="1860" w:type="dxa"/>
            <w:vAlign w:val="bottom"/>
            <w:gridSpan w:val="2"/>
          </w:tcPr>
          <w:p>
            <w:pPr>
              <w:jc w:val="right"/>
              <w:ind w:right="1043"/>
              <w:spacing w:after="0"/>
              <w:rPr>
                <w:sz w:val="20"/>
                <w:szCs w:val="20"/>
                <w:color w:val="auto"/>
              </w:rPr>
            </w:pPr>
            <w:r>
              <w:rPr>
                <w:rFonts w:ascii="Courier New" w:cs="Courier New" w:eastAsia="Courier New" w:hAnsi="Courier New"/>
                <w:sz w:val="15"/>
                <w:szCs w:val="15"/>
                <w:color w:val="auto"/>
              </w:rPr>
              <w:t>(2)</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5.87</w:t>
            </w:r>
          </w:p>
        </w:tc>
        <w:tc>
          <w:tcPr>
            <w:tcW w:w="6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1880" w:type="dxa"/>
            <w:vAlign w:val="bottom"/>
          </w:tcPr>
          <w:p>
            <w:pPr>
              <w:ind w:left="460"/>
              <w:spacing w:after="0"/>
              <w:rPr>
                <w:sz w:val="20"/>
                <w:szCs w:val="20"/>
                <w:color w:val="auto"/>
              </w:rPr>
            </w:pPr>
            <w:r>
              <w:rPr>
                <w:rFonts w:ascii="Courier New" w:cs="Courier New" w:eastAsia="Courier New" w:hAnsi="Courier New"/>
                <w:sz w:val="15"/>
                <w:szCs w:val="15"/>
                <w:color w:val="auto"/>
              </w:rPr>
              <w:t>Forfeited</w:t>
            </w:r>
          </w:p>
        </w:tc>
        <w:tc>
          <w:tcPr>
            <w:tcW w:w="2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w:t>
            </w:r>
          </w:p>
        </w:tc>
        <w:tc>
          <w:tcPr>
            <w:tcW w:w="840" w:type="dxa"/>
            <w:vAlign w:val="bottom"/>
          </w:tcPr>
          <w:p>
            <w:pPr>
              <w:spacing w:after="0"/>
              <w:rPr>
                <w:sz w:val="24"/>
                <w:szCs w:val="24"/>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6.78</w:t>
            </w:r>
          </w:p>
        </w:tc>
        <w:tc>
          <w:tcPr>
            <w:tcW w:w="1860" w:type="dxa"/>
            <w:vAlign w:val="bottom"/>
            <w:gridSpan w:val="2"/>
          </w:tcPr>
          <w:p>
            <w:pPr>
              <w:jc w:val="right"/>
              <w:ind w:right="1043"/>
              <w:spacing w:after="0"/>
              <w:rPr>
                <w:sz w:val="20"/>
                <w:szCs w:val="20"/>
                <w:color w:val="auto"/>
              </w:rPr>
            </w:pPr>
            <w:r>
              <w:rPr>
                <w:rFonts w:ascii="Courier New" w:cs="Courier New" w:eastAsia="Courier New" w:hAnsi="Courier New"/>
                <w:sz w:val="15"/>
                <w:szCs w:val="15"/>
                <w:color w:val="auto"/>
              </w:rPr>
              <w:t>(511)</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10.95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74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12.28</w:t>
            </w:r>
          </w:p>
        </w:tc>
      </w:tr>
      <w:tr>
        <w:trPr>
          <w:trHeight w:val="177"/>
        </w:trPr>
        <w:tc>
          <w:tcPr>
            <w:tcW w:w="1880" w:type="dxa"/>
            <w:vAlign w:val="bottom"/>
          </w:tcPr>
          <w:p>
            <w:pPr>
              <w:spacing w:after="0"/>
              <w:rPr>
                <w:sz w:val="15"/>
                <w:szCs w:val="15"/>
                <w:color w:val="auto"/>
              </w:rPr>
            </w:pPr>
          </w:p>
        </w:tc>
        <w:tc>
          <w:tcPr>
            <w:tcW w:w="2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6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55"/>
        </w:trPr>
        <w:tc>
          <w:tcPr>
            <w:tcW w:w="39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Outstanding at end of</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7"/>
        </w:trPr>
        <w:tc>
          <w:tcPr>
            <w:tcW w:w="188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year</w:t>
            </w:r>
          </w:p>
        </w:tc>
        <w:tc>
          <w:tcPr>
            <w:tcW w:w="2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1,373</w:t>
            </w:r>
          </w:p>
        </w:tc>
        <w:tc>
          <w:tcPr>
            <w:tcW w:w="84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7.25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1,091</w:t>
            </w:r>
          </w:p>
        </w:tc>
        <w:tc>
          <w:tcPr>
            <w:tcW w:w="1200" w:type="dxa"/>
            <w:vAlign w:val="bottom"/>
          </w:tcPr>
          <w:p>
            <w:pPr>
              <w:spacing w:after="0"/>
              <w:rPr>
                <w:sz w:val="15"/>
                <w:szCs w:val="15"/>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6.87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1,049</w:t>
            </w:r>
          </w:p>
        </w:tc>
        <w:tc>
          <w:tcPr>
            <w:tcW w:w="74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8.53</w:t>
            </w:r>
          </w:p>
        </w:tc>
      </w:tr>
      <w:tr>
        <w:trPr>
          <w:trHeight w:val="177"/>
        </w:trPr>
        <w:tc>
          <w:tcPr>
            <w:tcW w:w="1880" w:type="dxa"/>
            <w:vAlign w:val="bottom"/>
          </w:tcPr>
          <w:p>
            <w:pPr>
              <w:spacing w:after="0"/>
              <w:rPr>
                <w:sz w:val="15"/>
                <w:szCs w:val="15"/>
                <w:color w:val="auto"/>
              </w:rPr>
            </w:pPr>
          </w:p>
        </w:tc>
        <w:tc>
          <w:tcPr>
            <w:tcW w:w="2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55"/>
        </w:trPr>
        <w:tc>
          <w:tcPr>
            <w:tcW w:w="39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Options exercisable at</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7"/>
        </w:trPr>
        <w:tc>
          <w:tcPr>
            <w:tcW w:w="18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year-end</w:t>
            </w:r>
          </w:p>
        </w:tc>
        <w:tc>
          <w:tcPr>
            <w:tcW w:w="2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528</w:t>
            </w:r>
          </w:p>
        </w:tc>
        <w:tc>
          <w:tcPr>
            <w:tcW w:w="84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6.59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290</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6.09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345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11.53</w:t>
            </w:r>
          </w:p>
        </w:tc>
      </w:tr>
      <w:tr>
        <w:trPr>
          <w:trHeight w:val="355"/>
        </w:trPr>
        <w:tc>
          <w:tcPr>
            <w:tcW w:w="7200" w:type="dxa"/>
            <w:vAlign w:val="bottom"/>
            <w:gridSpan w:val="6"/>
          </w:tcPr>
          <w:p>
            <w:pPr>
              <w:jc w:val="right"/>
              <w:ind w:right="763"/>
              <w:spacing w:after="0"/>
              <w:rPr>
                <w:sz w:val="20"/>
                <w:szCs w:val="20"/>
                <w:color w:val="auto"/>
              </w:rPr>
            </w:pPr>
            <w:r>
              <w:rPr>
                <w:rFonts w:ascii="Courier New" w:cs="Courier New" w:eastAsia="Courier New" w:hAnsi="Courier New"/>
                <w:sz w:val="15"/>
                <w:szCs w:val="15"/>
                <w:color w:val="auto"/>
              </w:rPr>
              <w:t>The following table summarizes information about stock options</w:t>
            </w: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7"/>
        </w:trPr>
        <w:tc>
          <w:tcPr>
            <w:tcW w:w="396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outstanding at December 31, 2001:</w:t>
            </w: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55"/>
        </w:trPr>
        <w:tc>
          <w:tcPr>
            <w:tcW w:w="1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40" w:type="dxa"/>
            <w:vAlign w:val="bottom"/>
            <w:gridSpan w:val="4"/>
          </w:tcPr>
          <w:p>
            <w:pPr>
              <w:jc w:val="right"/>
              <w:ind w:right="943"/>
              <w:spacing w:after="0"/>
              <w:rPr>
                <w:sz w:val="20"/>
                <w:szCs w:val="20"/>
                <w:color w:val="auto"/>
              </w:rPr>
            </w:pPr>
            <w:r>
              <w:rPr>
                <w:rFonts w:ascii="Courier New" w:cs="Courier New" w:eastAsia="Courier New" w:hAnsi="Courier New"/>
                <w:sz w:val="15"/>
                <w:szCs w:val="15"/>
                <w:b w:val="1"/>
                <w:bCs w:val="1"/>
                <w:color w:val="auto"/>
              </w:rPr>
              <w:t>Options outstanding</w:t>
            </w:r>
          </w:p>
        </w:tc>
        <w:tc>
          <w:tcPr>
            <w:tcW w:w="1520" w:type="dxa"/>
            <w:vAlign w:val="bottom"/>
          </w:tcPr>
          <w:p>
            <w:pPr>
              <w:spacing w:after="0"/>
              <w:rPr>
                <w:sz w:val="24"/>
                <w:szCs w:val="24"/>
                <w:color w:val="auto"/>
              </w:rPr>
            </w:pPr>
          </w:p>
        </w:tc>
        <w:tc>
          <w:tcPr>
            <w:tcW w:w="2060" w:type="dxa"/>
            <w:vAlign w:val="bottom"/>
            <w:gridSpan w:val="3"/>
          </w:tcPr>
          <w:p>
            <w:pPr>
              <w:jc w:val="center"/>
              <w:ind w:right="143"/>
              <w:spacing w:after="0"/>
              <w:rPr>
                <w:sz w:val="20"/>
                <w:szCs w:val="20"/>
                <w:color w:val="auto"/>
              </w:rPr>
            </w:pPr>
            <w:r>
              <w:rPr>
                <w:rFonts w:ascii="Courier New" w:cs="Courier New" w:eastAsia="Courier New" w:hAnsi="Courier New"/>
                <w:sz w:val="15"/>
                <w:szCs w:val="15"/>
                <w:b w:val="1"/>
                <w:bCs w:val="1"/>
                <w:color w:val="auto"/>
              </w:rPr>
              <w:t>Options exercisable</w:t>
            </w:r>
          </w:p>
        </w:tc>
      </w:tr>
      <w:tr>
        <w:trPr>
          <w:trHeight w:val="177"/>
        </w:trPr>
        <w:tc>
          <w:tcPr>
            <w:tcW w:w="1880" w:type="dxa"/>
            <w:vAlign w:val="bottom"/>
          </w:tcPr>
          <w:p>
            <w:pPr>
              <w:spacing w:after="0"/>
              <w:rPr>
                <w:sz w:val="15"/>
                <w:szCs w:val="15"/>
                <w:color w:val="auto"/>
              </w:rPr>
            </w:pPr>
          </w:p>
        </w:tc>
        <w:tc>
          <w:tcPr>
            <w:tcW w:w="2920" w:type="dxa"/>
            <w:vAlign w:val="bottom"/>
            <w:gridSpan w:val="2"/>
          </w:tcPr>
          <w:p>
            <w:pPr>
              <w:ind w:left="140"/>
              <w:spacing w:after="0"/>
              <w:rPr>
                <w:sz w:val="20"/>
                <w:szCs w:val="20"/>
                <w:color w:val="auto"/>
              </w:rPr>
            </w:pPr>
            <w:r>
              <w:rPr>
                <w:rFonts w:ascii="Courier New" w:cs="Courier New" w:eastAsia="Courier New" w:hAnsi="Courier New"/>
                <w:sz w:val="12"/>
                <w:szCs w:val="12"/>
                <w:b w:val="1"/>
                <w:bCs w:val="1"/>
                <w:color w:val="auto"/>
                <w:w w:val="70"/>
              </w:rPr>
              <w:t>------------------------------------------------------</w:t>
            </w: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580" w:type="dxa"/>
            <w:vAlign w:val="bottom"/>
            <w:gridSpan w:val="4"/>
          </w:tcPr>
          <w:p>
            <w:pPr>
              <w:ind w:left="80"/>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18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gridSpan w:val="2"/>
          </w:tcPr>
          <w:p>
            <w:pPr>
              <w:jc w:val="center"/>
              <w:ind w:right="283"/>
              <w:spacing w:after="0"/>
              <w:rPr>
                <w:sz w:val="20"/>
                <w:szCs w:val="20"/>
                <w:color w:val="auto"/>
              </w:rPr>
            </w:pPr>
            <w:r>
              <w:rPr>
                <w:rFonts w:ascii="Courier New" w:cs="Courier New" w:eastAsia="Courier New" w:hAnsi="Courier New"/>
                <w:sz w:val="15"/>
                <w:szCs w:val="15"/>
                <w:b w:val="1"/>
                <w:bCs w:val="1"/>
                <w:color w:val="auto"/>
              </w:rPr>
              <w:t>Weighted-</w:t>
            </w: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7"/>
        </w:trPr>
        <w:tc>
          <w:tcPr>
            <w:tcW w:w="18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40" w:type="dxa"/>
            <w:vAlign w:val="bottom"/>
          </w:tcPr>
          <w:p>
            <w:pPr>
              <w:jc w:val="center"/>
              <w:ind w:left="103"/>
              <w:spacing w:after="0"/>
              <w:rPr>
                <w:sz w:val="20"/>
                <w:szCs w:val="20"/>
                <w:color w:val="auto"/>
              </w:rPr>
            </w:pPr>
            <w:r>
              <w:rPr>
                <w:rFonts w:ascii="Courier New" w:cs="Courier New" w:eastAsia="Courier New" w:hAnsi="Courier New"/>
                <w:sz w:val="15"/>
                <w:szCs w:val="15"/>
                <w:b w:val="1"/>
                <w:bCs w:val="1"/>
                <w:color w:val="auto"/>
              </w:rPr>
              <w:t>average</w:t>
            </w: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7"/>
        </w:trPr>
        <w:tc>
          <w:tcPr>
            <w:tcW w:w="1880" w:type="dxa"/>
            <w:vAlign w:val="bottom"/>
          </w:tcPr>
          <w:p>
            <w:pPr>
              <w:spacing w:after="0"/>
              <w:rPr>
                <w:sz w:val="15"/>
                <w:szCs w:val="15"/>
                <w:color w:val="auto"/>
              </w:rPr>
            </w:pPr>
          </w:p>
        </w:tc>
        <w:tc>
          <w:tcPr>
            <w:tcW w:w="2080" w:type="dxa"/>
            <w:vAlign w:val="bottom"/>
          </w:tcPr>
          <w:p>
            <w:pPr>
              <w:ind w:left="600"/>
              <w:spacing w:after="0"/>
              <w:rPr>
                <w:sz w:val="20"/>
                <w:szCs w:val="20"/>
                <w:color w:val="auto"/>
              </w:rPr>
            </w:pPr>
            <w:r>
              <w:rPr>
                <w:rFonts w:ascii="Courier New" w:cs="Courier New" w:eastAsia="Courier New" w:hAnsi="Courier New"/>
                <w:sz w:val="15"/>
                <w:szCs w:val="15"/>
                <w:b w:val="1"/>
                <w:bCs w:val="1"/>
                <w:color w:val="auto"/>
              </w:rPr>
              <w:t>Number</w:t>
            </w:r>
          </w:p>
        </w:tc>
        <w:tc>
          <w:tcPr>
            <w:tcW w:w="1380" w:type="dxa"/>
            <w:vAlign w:val="bottom"/>
            <w:gridSpan w:val="2"/>
          </w:tcPr>
          <w:p>
            <w:pPr>
              <w:jc w:val="center"/>
              <w:ind w:right="283"/>
              <w:spacing w:after="0"/>
              <w:rPr>
                <w:sz w:val="20"/>
                <w:szCs w:val="20"/>
                <w:color w:val="auto"/>
              </w:rPr>
            </w:pPr>
            <w:r>
              <w:rPr>
                <w:rFonts w:ascii="Courier New" w:cs="Courier New" w:eastAsia="Courier New" w:hAnsi="Courier New"/>
                <w:sz w:val="15"/>
                <w:szCs w:val="15"/>
                <w:b w:val="1"/>
                <w:bCs w:val="1"/>
                <w:color w:val="auto"/>
              </w:rPr>
              <w:t>remaining</w:t>
            </w:r>
          </w:p>
        </w:tc>
        <w:tc>
          <w:tcPr>
            <w:tcW w:w="1860" w:type="dxa"/>
            <w:vAlign w:val="bottom"/>
            <w:gridSpan w:val="2"/>
          </w:tcPr>
          <w:p>
            <w:pPr>
              <w:jc w:val="right"/>
              <w:ind w:right="583"/>
              <w:spacing w:after="0"/>
              <w:rPr>
                <w:sz w:val="20"/>
                <w:szCs w:val="20"/>
                <w:color w:val="auto"/>
              </w:rPr>
            </w:pPr>
            <w:r>
              <w:rPr>
                <w:rFonts w:ascii="Courier New" w:cs="Courier New" w:eastAsia="Courier New" w:hAnsi="Courier New"/>
                <w:sz w:val="15"/>
                <w:szCs w:val="15"/>
                <w:b w:val="1"/>
                <w:bCs w:val="1"/>
                <w:color w:val="auto"/>
              </w:rPr>
              <w:t>Weighted-</w:t>
            </w:r>
          </w:p>
        </w:tc>
        <w:tc>
          <w:tcPr>
            <w:tcW w:w="1520" w:type="dxa"/>
            <w:vAlign w:val="bottom"/>
          </w:tcPr>
          <w:p>
            <w:pPr>
              <w:ind w:left="360"/>
              <w:spacing w:after="0"/>
              <w:rPr>
                <w:sz w:val="20"/>
                <w:szCs w:val="20"/>
                <w:color w:val="auto"/>
              </w:rPr>
            </w:pPr>
            <w:r>
              <w:rPr>
                <w:rFonts w:ascii="Courier New" w:cs="Courier New" w:eastAsia="Courier New" w:hAnsi="Courier New"/>
                <w:sz w:val="15"/>
                <w:szCs w:val="15"/>
                <w:b w:val="1"/>
                <w:bCs w:val="1"/>
                <w:color w:val="auto"/>
              </w:rPr>
              <w:t>Number</w:t>
            </w:r>
          </w:p>
        </w:tc>
        <w:tc>
          <w:tcPr>
            <w:tcW w:w="1380" w:type="dxa"/>
            <w:vAlign w:val="bottom"/>
            <w:gridSpan w:val="2"/>
          </w:tcPr>
          <w:p>
            <w:pPr>
              <w:jc w:val="center"/>
              <w:ind w:left="383"/>
              <w:spacing w:after="0"/>
              <w:rPr>
                <w:sz w:val="20"/>
                <w:szCs w:val="20"/>
                <w:color w:val="auto"/>
              </w:rPr>
            </w:pPr>
            <w:r>
              <w:rPr>
                <w:rFonts w:ascii="Courier New" w:cs="Courier New" w:eastAsia="Courier New" w:hAnsi="Courier New"/>
                <w:sz w:val="15"/>
                <w:szCs w:val="15"/>
                <w:b w:val="1"/>
                <w:bCs w:val="1"/>
                <w:color w:val="auto"/>
              </w:rPr>
              <w:t>Weighted-</w:t>
            </w:r>
          </w:p>
        </w:tc>
        <w:tc>
          <w:tcPr>
            <w:tcW w:w="680" w:type="dxa"/>
            <w:vAlign w:val="bottom"/>
          </w:tcPr>
          <w:p>
            <w:pPr>
              <w:spacing w:after="0"/>
              <w:rPr>
                <w:sz w:val="15"/>
                <w:szCs w:val="15"/>
                <w:color w:val="auto"/>
              </w:rPr>
            </w:pPr>
          </w:p>
        </w:tc>
      </w:tr>
      <w:tr>
        <w:trPr>
          <w:trHeight w:val="177"/>
        </w:trPr>
        <w:tc>
          <w:tcPr>
            <w:tcW w:w="1880" w:type="dxa"/>
            <w:vAlign w:val="bottom"/>
          </w:tcPr>
          <w:p>
            <w:pPr>
              <w:jc w:val="right"/>
              <w:ind w:right="63"/>
              <w:spacing w:after="0"/>
              <w:rPr>
                <w:sz w:val="20"/>
                <w:szCs w:val="20"/>
                <w:color w:val="auto"/>
              </w:rPr>
            </w:pPr>
            <w:r>
              <w:rPr>
                <w:rFonts w:ascii="Courier New" w:cs="Courier New" w:eastAsia="Courier New" w:hAnsi="Courier New"/>
                <w:sz w:val="15"/>
                <w:szCs w:val="15"/>
                <w:b w:val="1"/>
                <w:bCs w:val="1"/>
                <w:color w:val="auto"/>
              </w:rPr>
              <w:t>Range of exercise</w:t>
            </w:r>
          </w:p>
        </w:tc>
        <w:tc>
          <w:tcPr>
            <w:tcW w:w="2080" w:type="dxa"/>
            <w:vAlign w:val="bottom"/>
          </w:tcPr>
          <w:p>
            <w:pPr>
              <w:jc w:val="right"/>
              <w:ind w:right="484"/>
              <w:spacing w:after="0"/>
              <w:rPr>
                <w:sz w:val="20"/>
                <w:szCs w:val="20"/>
                <w:color w:val="auto"/>
              </w:rPr>
            </w:pPr>
            <w:r>
              <w:rPr>
                <w:rFonts w:ascii="Courier New" w:cs="Courier New" w:eastAsia="Courier New" w:hAnsi="Courier New"/>
                <w:sz w:val="15"/>
                <w:szCs w:val="15"/>
                <w:b w:val="1"/>
                <w:bCs w:val="1"/>
                <w:color w:val="auto"/>
              </w:rPr>
              <w:t>outstanding at</w:t>
            </w:r>
          </w:p>
        </w:tc>
        <w:tc>
          <w:tcPr>
            <w:tcW w:w="1380" w:type="dxa"/>
            <w:vAlign w:val="bottom"/>
            <w:gridSpan w:val="2"/>
          </w:tcPr>
          <w:p>
            <w:pPr>
              <w:jc w:val="center"/>
              <w:ind w:right="283"/>
              <w:spacing w:after="0"/>
              <w:rPr>
                <w:sz w:val="20"/>
                <w:szCs w:val="20"/>
                <w:color w:val="auto"/>
              </w:rPr>
            </w:pPr>
            <w:r>
              <w:rPr>
                <w:rFonts w:ascii="Courier New" w:cs="Courier New" w:eastAsia="Courier New" w:hAnsi="Courier New"/>
                <w:sz w:val="15"/>
                <w:szCs w:val="15"/>
                <w:b w:val="1"/>
                <w:bCs w:val="1"/>
                <w:color w:val="auto"/>
              </w:rPr>
              <w:t>contractual</w:t>
            </w:r>
          </w:p>
        </w:tc>
        <w:tc>
          <w:tcPr>
            <w:tcW w:w="1860" w:type="dxa"/>
            <w:vAlign w:val="bottom"/>
            <w:gridSpan w:val="2"/>
          </w:tcPr>
          <w:p>
            <w:pPr>
              <w:jc w:val="right"/>
              <w:ind w:right="663"/>
              <w:spacing w:after="0"/>
              <w:rPr>
                <w:sz w:val="20"/>
                <w:szCs w:val="20"/>
                <w:color w:val="auto"/>
              </w:rPr>
            </w:pPr>
            <w:r>
              <w:rPr>
                <w:rFonts w:ascii="Courier New" w:cs="Courier New" w:eastAsia="Courier New" w:hAnsi="Courier New"/>
                <w:sz w:val="15"/>
                <w:szCs w:val="15"/>
                <w:b w:val="1"/>
                <w:bCs w:val="1"/>
                <w:color w:val="auto"/>
              </w:rPr>
              <w:t>average</w:t>
            </w:r>
          </w:p>
        </w:tc>
        <w:tc>
          <w:tcPr>
            <w:tcW w:w="1520" w:type="dxa"/>
            <w:vAlign w:val="bottom"/>
          </w:tcPr>
          <w:p>
            <w:pPr>
              <w:jc w:val="center"/>
              <w:ind w:right="63"/>
              <w:spacing w:after="0"/>
              <w:rPr>
                <w:sz w:val="20"/>
                <w:szCs w:val="20"/>
                <w:color w:val="auto"/>
              </w:rPr>
            </w:pPr>
            <w:r>
              <w:rPr>
                <w:rFonts w:ascii="Courier New" w:cs="Courier New" w:eastAsia="Courier New" w:hAnsi="Courier New"/>
                <w:sz w:val="15"/>
                <w:szCs w:val="15"/>
                <w:b w:val="1"/>
                <w:bCs w:val="1"/>
                <w:color w:val="auto"/>
              </w:rPr>
              <w:t>exercisable</w:t>
            </w:r>
          </w:p>
        </w:tc>
        <w:tc>
          <w:tcPr>
            <w:tcW w:w="2060" w:type="dxa"/>
            <w:vAlign w:val="bottom"/>
            <w:gridSpan w:val="3"/>
          </w:tcPr>
          <w:p>
            <w:pPr>
              <w:ind w:left="140"/>
              <w:spacing w:after="0"/>
              <w:rPr>
                <w:sz w:val="20"/>
                <w:szCs w:val="20"/>
                <w:color w:val="auto"/>
              </w:rPr>
            </w:pPr>
            <w:r>
              <w:rPr>
                <w:rFonts w:ascii="Courier New" w:cs="Courier New" w:eastAsia="Courier New" w:hAnsi="Courier New"/>
                <w:sz w:val="15"/>
                <w:szCs w:val="15"/>
                <w:b w:val="1"/>
                <w:bCs w:val="1"/>
                <w:color w:val="auto"/>
              </w:rPr>
              <w:t>average exercise</w:t>
            </w:r>
          </w:p>
        </w:tc>
      </w:tr>
      <w:tr>
        <w:trPr>
          <w:trHeight w:val="177"/>
        </w:trPr>
        <w:tc>
          <w:tcPr>
            <w:tcW w:w="1880" w:type="dxa"/>
            <w:vAlign w:val="bottom"/>
          </w:tcPr>
          <w:p>
            <w:pPr>
              <w:jc w:val="right"/>
              <w:ind w:right="603"/>
              <w:spacing w:after="0"/>
              <w:rPr>
                <w:sz w:val="20"/>
                <w:szCs w:val="20"/>
                <w:color w:val="auto"/>
              </w:rPr>
            </w:pPr>
            <w:r>
              <w:rPr>
                <w:rFonts w:ascii="Courier New" w:cs="Courier New" w:eastAsia="Courier New" w:hAnsi="Courier New"/>
                <w:sz w:val="15"/>
                <w:szCs w:val="15"/>
                <w:b w:val="1"/>
                <w:bCs w:val="1"/>
                <w:color w:val="auto"/>
              </w:rPr>
              <w:t>prices</w:t>
            </w:r>
          </w:p>
        </w:tc>
        <w:tc>
          <w:tcPr>
            <w:tcW w:w="2080" w:type="dxa"/>
            <w:vAlign w:val="bottom"/>
          </w:tcPr>
          <w:p>
            <w:pPr>
              <w:jc w:val="right"/>
              <w:ind w:right="664"/>
              <w:spacing w:after="0"/>
              <w:rPr>
                <w:sz w:val="20"/>
                <w:szCs w:val="20"/>
                <w:color w:val="auto"/>
              </w:rPr>
            </w:pPr>
            <w:r>
              <w:rPr>
                <w:rFonts w:ascii="Courier New" w:cs="Courier New" w:eastAsia="Courier New" w:hAnsi="Courier New"/>
                <w:sz w:val="15"/>
                <w:szCs w:val="15"/>
                <w:b w:val="1"/>
                <w:bCs w:val="1"/>
                <w:color w:val="auto"/>
              </w:rPr>
              <w:t>12/31/2001</w:t>
            </w:r>
          </w:p>
        </w:tc>
        <w:tc>
          <w:tcPr>
            <w:tcW w:w="840" w:type="dxa"/>
            <w:vAlign w:val="bottom"/>
          </w:tcPr>
          <w:p>
            <w:pPr>
              <w:ind w:left="280"/>
              <w:spacing w:after="0"/>
              <w:rPr>
                <w:sz w:val="20"/>
                <w:szCs w:val="20"/>
                <w:color w:val="auto"/>
              </w:rPr>
            </w:pPr>
            <w:r>
              <w:rPr>
                <w:rFonts w:ascii="Courier New" w:cs="Courier New" w:eastAsia="Courier New" w:hAnsi="Courier New"/>
                <w:sz w:val="15"/>
                <w:szCs w:val="15"/>
                <w:b w:val="1"/>
                <w:bCs w:val="1"/>
                <w:color w:val="auto"/>
              </w:rPr>
              <w:t>life</w:t>
            </w:r>
          </w:p>
        </w:tc>
        <w:tc>
          <w:tcPr>
            <w:tcW w:w="540" w:type="dxa"/>
            <w:vAlign w:val="bottom"/>
          </w:tcPr>
          <w:p>
            <w:pPr>
              <w:spacing w:after="0"/>
              <w:rPr>
                <w:sz w:val="15"/>
                <w:szCs w:val="15"/>
                <w:color w:val="auto"/>
              </w:rPr>
            </w:pPr>
          </w:p>
        </w:tc>
        <w:tc>
          <w:tcPr>
            <w:tcW w:w="1860" w:type="dxa"/>
            <w:vAlign w:val="bottom"/>
            <w:gridSpan w:val="2"/>
          </w:tcPr>
          <w:p>
            <w:pPr>
              <w:jc w:val="right"/>
              <w:ind w:right="303"/>
              <w:spacing w:after="0"/>
              <w:rPr>
                <w:sz w:val="20"/>
                <w:szCs w:val="20"/>
                <w:color w:val="auto"/>
              </w:rPr>
            </w:pPr>
            <w:r>
              <w:rPr>
                <w:rFonts w:ascii="Courier New" w:cs="Courier New" w:eastAsia="Courier New" w:hAnsi="Courier New"/>
                <w:sz w:val="15"/>
                <w:szCs w:val="15"/>
                <w:b w:val="1"/>
                <w:bCs w:val="1"/>
                <w:color w:val="auto"/>
              </w:rPr>
              <w:t>exercise price</w:t>
            </w:r>
          </w:p>
        </w:tc>
        <w:tc>
          <w:tcPr>
            <w:tcW w:w="1520" w:type="dxa"/>
            <w:vAlign w:val="bottom"/>
          </w:tcPr>
          <w:p>
            <w:pPr>
              <w:jc w:val="center"/>
              <w:ind w:right="83"/>
              <w:spacing w:after="0"/>
              <w:rPr>
                <w:sz w:val="20"/>
                <w:szCs w:val="20"/>
                <w:color w:val="auto"/>
              </w:rPr>
            </w:pPr>
            <w:r>
              <w:rPr>
                <w:rFonts w:ascii="Courier New" w:cs="Courier New" w:eastAsia="Courier New" w:hAnsi="Courier New"/>
                <w:sz w:val="15"/>
                <w:szCs w:val="15"/>
                <w:b w:val="1"/>
                <w:bCs w:val="1"/>
                <w:color w:val="auto"/>
              </w:rPr>
              <w:t>at 12/31/2001</w:t>
            </w:r>
          </w:p>
        </w:tc>
        <w:tc>
          <w:tcPr>
            <w:tcW w:w="640" w:type="dxa"/>
            <w:vAlign w:val="bottom"/>
          </w:tcPr>
          <w:p>
            <w:pPr>
              <w:spacing w:after="0"/>
              <w:rPr>
                <w:sz w:val="15"/>
                <w:szCs w:val="15"/>
                <w:color w:val="auto"/>
              </w:rPr>
            </w:pPr>
          </w:p>
        </w:tc>
        <w:tc>
          <w:tcPr>
            <w:tcW w:w="740" w:type="dxa"/>
            <w:vAlign w:val="bottom"/>
          </w:tcPr>
          <w:p>
            <w:pPr>
              <w:jc w:val="center"/>
              <w:ind w:right="123"/>
              <w:spacing w:after="0"/>
              <w:rPr>
                <w:sz w:val="20"/>
                <w:szCs w:val="20"/>
                <w:color w:val="auto"/>
              </w:rPr>
            </w:pPr>
            <w:r>
              <w:rPr>
                <w:rFonts w:ascii="Courier New" w:cs="Courier New" w:eastAsia="Courier New" w:hAnsi="Courier New"/>
                <w:sz w:val="15"/>
                <w:szCs w:val="15"/>
                <w:b w:val="1"/>
                <w:bCs w:val="1"/>
                <w:color w:val="auto"/>
              </w:rPr>
              <w:t>price</w:t>
            </w:r>
          </w:p>
        </w:tc>
        <w:tc>
          <w:tcPr>
            <w:tcW w:w="680" w:type="dxa"/>
            <w:vAlign w:val="bottom"/>
          </w:tcPr>
          <w:p>
            <w:pPr>
              <w:spacing w:after="0"/>
              <w:rPr>
                <w:sz w:val="15"/>
                <w:szCs w:val="15"/>
                <w:color w:val="auto"/>
              </w:rPr>
            </w:pPr>
          </w:p>
        </w:tc>
      </w:tr>
      <w:tr>
        <w:trPr>
          <w:trHeight w:val="177"/>
        </w:trPr>
        <w:tc>
          <w:tcPr>
            <w:tcW w:w="1880" w:type="dxa"/>
            <w:vAlign w:val="bottom"/>
          </w:tcPr>
          <w:p>
            <w:pPr>
              <w:spacing w:after="0"/>
              <w:rPr>
                <w:sz w:val="15"/>
                <w:szCs w:val="15"/>
                <w:color w:val="auto"/>
              </w:rPr>
            </w:pPr>
          </w:p>
        </w:tc>
        <w:tc>
          <w:tcPr>
            <w:tcW w:w="3460" w:type="dxa"/>
            <w:vAlign w:val="bottom"/>
            <w:gridSpan w:val="3"/>
          </w:tcPr>
          <w:p>
            <w:pPr>
              <w:ind w:left="140"/>
              <w:spacing w:after="0"/>
              <w:rPr>
                <w:sz w:val="20"/>
                <w:szCs w:val="20"/>
                <w:color w:val="auto"/>
              </w:rPr>
            </w:pPr>
            <w:r>
              <w:rPr>
                <w:rFonts w:ascii="Courier New" w:cs="Courier New" w:eastAsia="Courier New" w:hAnsi="Courier New"/>
                <w:sz w:val="15"/>
                <w:szCs w:val="15"/>
                <w:b w:val="1"/>
                <w:bCs w:val="1"/>
                <w:color w:val="auto"/>
              </w:rPr>
              <w:t>-----------------  ----------------</w:t>
            </w:r>
          </w:p>
        </w:tc>
        <w:tc>
          <w:tcPr>
            <w:tcW w:w="1860" w:type="dxa"/>
            <w:vAlign w:val="bottom"/>
            <w:gridSpan w:val="2"/>
          </w:tcPr>
          <w:p>
            <w:pPr>
              <w:jc w:val="right"/>
              <w:ind w:right="123"/>
              <w:spacing w:after="0"/>
              <w:rPr>
                <w:sz w:val="20"/>
                <w:szCs w:val="20"/>
                <w:color w:val="auto"/>
              </w:rPr>
            </w:pPr>
            <w:r>
              <w:rPr>
                <w:rFonts w:ascii="Courier New" w:cs="Courier New" w:eastAsia="Courier New" w:hAnsi="Courier New"/>
                <w:sz w:val="15"/>
                <w:szCs w:val="15"/>
                <w:b w:val="1"/>
                <w:bCs w:val="1"/>
                <w:color w:val="auto"/>
              </w:rPr>
              <w:t>-----------------</w:t>
            </w:r>
          </w:p>
        </w:tc>
        <w:tc>
          <w:tcPr>
            <w:tcW w:w="1520" w:type="dxa"/>
            <w:vAlign w:val="bottom"/>
          </w:tcPr>
          <w:p>
            <w:pPr>
              <w:ind w:left="80"/>
              <w:spacing w:after="0"/>
              <w:rPr>
                <w:sz w:val="20"/>
                <w:szCs w:val="20"/>
                <w:color w:val="auto"/>
              </w:rPr>
            </w:pPr>
            <w:r>
              <w:rPr>
                <w:rFonts w:ascii="Courier New" w:cs="Courier New" w:eastAsia="Courier New" w:hAnsi="Courier New"/>
                <w:sz w:val="15"/>
                <w:szCs w:val="15"/>
                <w:b w:val="1"/>
                <w:bCs w:val="1"/>
                <w:color w:val="auto"/>
              </w:rPr>
              <w:t>---------------</w:t>
            </w:r>
          </w:p>
        </w:tc>
        <w:tc>
          <w:tcPr>
            <w:tcW w:w="2060" w:type="dxa"/>
            <w:vAlign w:val="bottom"/>
            <w:gridSpan w:val="3"/>
          </w:tcPr>
          <w:p>
            <w:pPr>
              <w:ind w:left="140"/>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188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$5.94 - $6.50</w:t>
            </w:r>
          </w:p>
        </w:tc>
        <w:tc>
          <w:tcPr>
            <w:tcW w:w="2080" w:type="dxa"/>
            <w:vAlign w:val="bottom"/>
          </w:tcPr>
          <w:p>
            <w:pPr>
              <w:ind w:left="600"/>
              <w:spacing w:after="0"/>
              <w:rPr>
                <w:sz w:val="20"/>
                <w:szCs w:val="20"/>
                <w:color w:val="auto"/>
              </w:rPr>
            </w:pPr>
            <w:r>
              <w:rPr>
                <w:rFonts w:ascii="Courier New" w:cs="Courier New" w:eastAsia="Courier New" w:hAnsi="Courier New"/>
                <w:sz w:val="15"/>
                <w:szCs w:val="15"/>
                <w:color w:val="auto"/>
              </w:rPr>
              <w:t>431</w:t>
            </w:r>
          </w:p>
        </w:tc>
        <w:tc>
          <w:tcPr>
            <w:tcW w:w="1380" w:type="dxa"/>
            <w:vAlign w:val="bottom"/>
            <w:gridSpan w:val="2"/>
          </w:tcPr>
          <w:p>
            <w:pPr>
              <w:jc w:val="center"/>
              <w:ind w:right="283"/>
              <w:spacing w:after="0"/>
              <w:rPr>
                <w:sz w:val="20"/>
                <w:szCs w:val="20"/>
                <w:color w:val="auto"/>
              </w:rPr>
            </w:pPr>
            <w:r>
              <w:rPr>
                <w:rFonts w:ascii="Courier New" w:cs="Courier New" w:eastAsia="Courier New" w:hAnsi="Courier New"/>
                <w:sz w:val="15"/>
                <w:szCs w:val="15"/>
                <w:color w:val="auto"/>
              </w:rPr>
              <w:t>7.5 years</w:t>
            </w:r>
          </w:p>
        </w:tc>
        <w:tc>
          <w:tcPr>
            <w:tcW w:w="6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63"/>
              <w:spacing w:after="0"/>
              <w:rPr>
                <w:sz w:val="20"/>
                <w:szCs w:val="20"/>
                <w:color w:val="auto"/>
              </w:rPr>
            </w:pPr>
            <w:r>
              <w:rPr>
                <w:rFonts w:ascii="Courier New" w:cs="Courier New" w:eastAsia="Courier New" w:hAnsi="Courier New"/>
                <w:sz w:val="15"/>
                <w:szCs w:val="15"/>
                <w:color w:val="auto"/>
                <w:w w:val="94"/>
              </w:rPr>
              <w:t>6.84</w:t>
            </w:r>
          </w:p>
        </w:tc>
        <w:tc>
          <w:tcPr>
            <w:tcW w:w="152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341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5.97</w:t>
            </w:r>
          </w:p>
        </w:tc>
        <w:tc>
          <w:tcPr>
            <w:tcW w:w="680" w:type="dxa"/>
            <w:vAlign w:val="bottom"/>
          </w:tcPr>
          <w:p>
            <w:pPr>
              <w:spacing w:after="0"/>
              <w:rPr>
                <w:sz w:val="24"/>
                <w:szCs w:val="24"/>
                <w:color w:val="auto"/>
              </w:rPr>
            </w:pPr>
          </w:p>
        </w:tc>
      </w:tr>
      <w:tr>
        <w:trPr>
          <w:trHeight w:val="355"/>
        </w:trPr>
        <w:tc>
          <w:tcPr>
            <w:tcW w:w="188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$7.63 - $8.09</w:t>
            </w:r>
          </w:p>
        </w:tc>
        <w:tc>
          <w:tcPr>
            <w:tcW w:w="2080" w:type="dxa"/>
            <w:vAlign w:val="bottom"/>
          </w:tcPr>
          <w:p>
            <w:pPr>
              <w:ind w:left="600"/>
              <w:spacing w:after="0"/>
              <w:rPr>
                <w:sz w:val="20"/>
                <w:szCs w:val="20"/>
                <w:color w:val="auto"/>
              </w:rPr>
            </w:pPr>
            <w:r>
              <w:rPr>
                <w:rFonts w:ascii="Courier New" w:cs="Courier New" w:eastAsia="Courier New" w:hAnsi="Courier New"/>
                <w:sz w:val="15"/>
                <w:szCs w:val="15"/>
                <w:color w:val="auto"/>
              </w:rPr>
              <w:t>942</w:t>
            </w:r>
          </w:p>
        </w:tc>
        <w:tc>
          <w:tcPr>
            <w:tcW w:w="1380" w:type="dxa"/>
            <w:vAlign w:val="bottom"/>
            <w:gridSpan w:val="2"/>
          </w:tcPr>
          <w:p>
            <w:pPr>
              <w:jc w:val="center"/>
              <w:ind w:right="283"/>
              <w:spacing w:after="0"/>
              <w:rPr>
                <w:sz w:val="20"/>
                <w:szCs w:val="20"/>
                <w:color w:val="auto"/>
              </w:rPr>
            </w:pPr>
            <w:r>
              <w:rPr>
                <w:rFonts w:ascii="Courier New" w:cs="Courier New" w:eastAsia="Courier New" w:hAnsi="Courier New"/>
                <w:sz w:val="15"/>
                <w:szCs w:val="15"/>
                <w:color w:val="auto"/>
              </w:rPr>
              <w:t>9.2 years</w:t>
            </w:r>
          </w:p>
        </w:tc>
        <w:tc>
          <w:tcPr>
            <w:tcW w:w="1860" w:type="dxa"/>
            <w:vAlign w:val="bottom"/>
            <w:gridSpan w:val="2"/>
          </w:tcPr>
          <w:p>
            <w:pPr>
              <w:jc w:val="right"/>
              <w:ind w:right="763"/>
              <w:spacing w:after="0"/>
              <w:rPr>
                <w:sz w:val="20"/>
                <w:szCs w:val="20"/>
                <w:color w:val="auto"/>
              </w:rPr>
            </w:pPr>
            <w:r>
              <w:rPr>
                <w:rFonts w:ascii="Courier New" w:cs="Courier New" w:eastAsia="Courier New" w:hAnsi="Courier New"/>
                <w:sz w:val="15"/>
                <w:szCs w:val="15"/>
                <w:color w:val="auto"/>
              </w:rPr>
              <w:t>$  10.38</w:t>
            </w:r>
          </w:p>
        </w:tc>
        <w:tc>
          <w:tcPr>
            <w:tcW w:w="152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187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7.71</w:t>
            </w:r>
          </w:p>
        </w:tc>
        <w:tc>
          <w:tcPr>
            <w:tcW w:w="680" w:type="dxa"/>
            <w:vAlign w:val="bottom"/>
          </w:tcPr>
          <w:p>
            <w:pPr>
              <w:spacing w:after="0"/>
              <w:rPr>
                <w:sz w:val="24"/>
                <w:szCs w:val="24"/>
                <w:color w:val="auto"/>
              </w:rPr>
            </w:pPr>
          </w:p>
        </w:tc>
      </w:tr>
    </w:tbl>
    <w:p>
      <w:pPr>
        <w:spacing w:after="0" w:line="183" w:lineRule="exact"/>
        <w:rPr>
          <w:sz w:val="20"/>
          <w:szCs w:val="20"/>
          <w:color w:val="auto"/>
        </w:rPr>
      </w:pPr>
    </w:p>
    <w:p>
      <w:pPr>
        <w:ind w:left="640" w:right="3400"/>
        <w:spacing w:after="0" w:line="250" w:lineRule="auto"/>
        <w:rPr>
          <w:sz w:val="20"/>
          <w:szCs w:val="20"/>
          <w:color w:val="auto"/>
        </w:rPr>
      </w:pPr>
      <w:r>
        <w:rPr>
          <w:rFonts w:ascii="Courier New" w:cs="Courier New" w:eastAsia="Courier New" w:hAnsi="Courier New"/>
          <w:sz w:val="15"/>
          <w:szCs w:val="15"/>
          <w:color w:val="auto"/>
        </w:rPr>
        <w:t>On December 7, 1998, the Company granted a total of 20 options to the members of its Board of Directors. These options carry an exercise price equal to the market price on the date of issuance and vest equally over a period of three years, beginning one year from date of grant. The maximum term of these options is 10 years. On July 4, 1999, the Company granted and additional 20 options to the members of its Board of Directors. These options carry an exercise price equal to the market price on the date of issuance and vest six months from the date of grant. The maximum term of these options is 10 years. On October 10, 2000, the Company granted an additional 15 options to the members of its Board of Directors. These options carry an exercise price equal to the market price on the date of issuance and vest 100% one year from date of grant. The maximum term of these options is 10 years. On September 17, 2001, the Company granted an additional 50 options to the members of the Board of Directors. These options carry an exercise price equal to the market price on the date of issuance and vest 100% one year from date of grant. The maximum term of these options is 10 years.</w:t>
      </w:r>
    </w:p>
    <w:p>
      <w:pPr>
        <w:spacing w:after="0" w:line="185" w:lineRule="exact"/>
        <w:rPr>
          <w:sz w:val="20"/>
          <w:szCs w:val="20"/>
          <w:color w:val="auto"/>
        </w:rPr>
      </w:pPr>
    </w:p>
    <w:p>
      <w:pPr>
        <w:ind w:left="640" w:right="3400"/>
        <w:spacing w:after="0" w:line="251" w:lineRule="auto"/>
        <w:rPr>
          <w:sz w:val="20"/>
          <w:szCs w:val="20"/>
          <w:color w:val="auto"/>
        </w:rPr>
      </w:pPr>
      <w:r>
        <w:rPr>
          <w:rFonts w:ascii="Courier New" w:cs="Courier New" w:eastAsia="Courier New" w:hAnsi="Courier New"/>
          <w:sz w:val="15"/>
          <w:szCs w:val="15"/>
          <w:color w:val="auto"/>
        </w:rPr>
        <w:t>On August 4, 1998 the Company's Board of Directors authorized the repurchase of up to 740 shares of its Common Stock, equaling 5% of the company's issued and outstanding shares as of August 4, 1998. The program may be</w:t>
      </w:r>
    </w:p>
    <w:p>
      <w:pPr>
        <w:spacing w:after="0" w:line="176"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extended or discontinued at any time, and there is no assurance</w:t>
      </w:r>
    </w:p>
    <w:p>
      <w:pPr>
        <w:spacing w:after="0" w:line="8" w:lineRule="exact"/>
        <w:rPr>
          <w:sz w:val="20"/>
          <w:szCs w:val="20"/>
          <w:color w:val="auto"/>
        </w:rPr>
      </w:pPr>
    </w:p>
    <w:p>
      <w:pPr>
        <w:ind w:left="640" w:right="3500"/>
        <w:spacing w:after="0" w:line="252" w:lineRule="auto"/>
        <w:rPr>
          <w:sz w:val="20"/>
          <w:szCs w:val="20"/>
          <w:color w:val="auto"/>
        </w:rPr>
      </w:pPr>
      <w:r>
        <w:rPr>
          <w:rFonts w:ascii="Courier New" w:cs="Courier New" w:eastAsia="Courier New" w:hAnsi="Courier New"/>
          <w:sz w:val="15"/>
          <w:szCs w:val="15"/>
          <w:color w:val="auto"/>
        </w:rPr>
        <w:t>that the Company will purchase any or all of the full amount authorized. The Company has not repurchased any shares under this program through December 31, 2001.</w:t>
      </w:r>
    </w:p>
    <w:p>
      <w:pPr>
        <w:spacing w:after="0" w:line="175" w:lineRule="exact"/>
        <w:rPr>
          <w:sz w:val="20"/>
          <w:szCs w:val="20"/>
          <w:color w:val="auto"/>
        </w:rPr>
      </w:pPr>
    </w:p>
    <w:p>
      <w:pPr>
        <w:ind w:left="640" w:right="3400"/>
        <w:spacing w:after="0" w:line="250" w:lineRule="auto"/>
        <w:rPr>
          <w:sz w:val="20"/>
          <w:szCs w:val="20"/>
          <w:color w:val="auto"/>
        </w:rPr>
      </w:pPr>
      <w:r>
        <w:rPr>
          <w:rFonts w:ascii="Courier New" w:cs="Courier New" w:eastAsia="Courier New" w:hAnsi="Courier New"/>
          <w:sz w:val="15"/>
          <w:szCs w:val="15"/>
          <w:color w:val="auto"/>
        </w:rPr>
        <w:t>All options granted in the period January 1, 1999 through December 31, 2001, except those granted to the Company's Board of Directors as described above, vest ratably over three years, beginning one year from date of grant. The exercise price of each option equals the market price of the Company's stock on the date of grant, and an option's maximum term is 10 years. All options granted in the period January 1, 1995 through December 31, 1998, except those granted to the Company's Board of Directors as described above, vest 20% - 33% annually beginning one year from date of grant. The exercise price of each option equals the market price of the Company's stock on the date of grant, and an option's maximum term is 10 years. Certain options granted in July 1999 were deemed to be repriced options under the applicable accounting requirements. These options, which were fully vested as of the effective date of FASB Interpretation No. 44, are treated under variable accounting. Accordingly, compensation expense will be recognized, to the extent the market price of the Company's stock exceeds $10.50. The Company recognized compensation expense of $108 during 2001 related to these options.</w:t>
      </w:r>
    </w:p>
    <w:p>
      <w:pPr>
        <w:spacing w:after="0" w:line="362" w:lineRule="exact"/>
        <w:rPr>
          <w:sz w:val="20"/>
          <w:szCs w:val="20"/>
          <w:color w:val="auto"/>
        </w:rPr>
      </w:pPr>
    </w:p>
    <w:p>
      <w:pPr>
        <w:ind w:left="640" w:right="3580"/>
        <w:spacing w:after="0" w:line="253" w:lineRule="auto"/>
        <w:rPr>
          <w:sz w:val="20"/>
          <w:szCs w:val="20"/>
          <w:color w:val="auto"/>
        </w:rPr>
      </w:pPr>
      <w:r>
        <w:rPr>
          <w:rFonts w:ascii="Courier New" w:cs="Courier New" w:eastAsia="Courier New" w:hAnsi="Courier New"/>
          <w:sz w:val="15"/>
          <w:szCs w:val="15"/>
          <w:color w:val="auto"/>
        </w:rPr>
        <w:t>The Company has adopted the provisions of Statement of Financial Accounting Standards No. 123, "Accounting for Stock-Based Compensation"</w:t>
      </w:r>
    </w:p>
    <w:p>
      <w:pPr>
        <w:sectPr>
          <w:pgSz w:w="11900" w:h="16838" w:orient="portrait"/>
          <w:cols w:equalWidth="0" w:num="1">
            <w:col w:w="10780"/>
          </w:cols>
          <w:pgMar w:left="240" w:top="142" w:right="879" w:bottom="0" w:gutter="0" w:footer="0" w:header="0"/>
        </w:sectPr>
      </w:pPr>
    </w:p>
    <w:bookmarkStart w:id="32" w:name="page33"/>
    <w:bookmarkEnd w:id="32"/>
    <w:p>
      <w:pPr>
        <w:ind w:left="645" w:right="4240"/>
        <w:spacing w:after="0" w:line="250" w:lineRule="auto"/>
        <w:rPr>
          <w:sz w:val="20"/>
          <w:szCs w:val="20"/>
          <w:color w:val="auto"/>
        </w:rPr>
      </w:pPr>
      <w:r>
        <w:rPr>
          <w:rFonts w:ascii="Courier New" w:cs="Courier New" w:eastAsia="Courier New" w:hAnsi="Courier New"/>
          <w:sz w:val="15"/>
          <w:szCs w:val="15"/>
          <w:color w:val="auto"/>
        </w:rPr>
        <w:t>(SFAS 123). SFAS 123 encourages but does not require a fair value based method of accounting for stock compensation plans. The Company has elected to continue accounting for its stock compensation plan using the intrinsic value based method under APB Opinion No. 25 and, accordingly, has not recorded compensation expense for each of the three years ended December 31, 2001, except as discussed above. Had compensation cost for the Company's stock compensation plan been determined based on the fair value at the option grant dates, the Company's net income and earnings per share would have been reduced to the proforma amounts indicated below:</w:t>
      </w:r>
    </w:p>
    <w:p>
      <w:pPr>
        <w:spacing w:after="0" w:line="182" w:lineRule="exact"/>
        <w:rPr>
          <w:sz w:val="20"/>
          <w:szCs w:val="20"/>
          <w:color w:val="auto"/>
        </w:rPr>
      </w:pPr>
    </w:p>
    <w:tbl>
      <w:tblPr>
        <w:tblLayout w:type="fixed"/>
        <w:tblInd w:w="645" w:type="dxa"/>
        <w:tblCellMar>
          <w:top w:w="0" w:type="dxa"/>
          <w:left w:w="0" w:type="dxa"/>
          <w:bottom w:w="0" w:type="dxa"/>
          <w:right w:w="0" w:type="dxa"/>
        </w:tblCellMar>
      </w:tblPr>
      <w:tr>
        <w:trPr>
          <w:trHeight w:val="172"/>
        </w:trPr>
        <w:tc>
          <w:tcPr>
            <w:tcW w:w="2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80" w:type="dxa"/>
            <w:vAlign w:val="bottom"/>
            <w:gridSpan w:val="3"/>
          </w:tcPr>
          <w:p>
            <w:pPr>
              <w:ind w:left="80"/>
              <w:spacing w:after="0"/>
              <w:rPr>
                <w:sz w:val="20"/>
                <w:szCs w:val="20"/>
                <w:color w:val="auto"/>
              </w:rPr>
            </w:pPr>
            <w:r>
              <w:rPr>
                <w:rFonts w:ascii="Courier New" w:cs="Courier New" w:eastAsia="Courier New" w:hAnsi="Courier New"/>
                <w:sz w:val="15"/>
                <w:szCs w:val="15"/>
                <w:b w:val="1"/>
                <w:bCs w:val="1"/>
                <w:color w:val="auto"/>
              </w:rPr>
              <w:t>Year ended December 31,</w:t>
            </w:r>
          </w:p>
        </w:tc>
        <w:tc>
          <w:tcPr>
            <w:tcW w:w="1100" w:type="dxa"/>
            <w:vAlign w:val="bottom"/>
          </w:tcPr>
          <w:p>
            <w:pPr>
              <w:spacing w:after="0"/>
              <w:rPr>
                <w:sz w:val="14"/>
                <w:szCs w:val="14"/>
                <w:color w:val="auto"/>
              </w:rPr>
            </w:pPr>
          </w:p>
        </w:tc>
      </w:tr>
      <w:tr>
        <w:trPr>
          <w:trHeight w:val="177"/>
        </w:trPr>
        <w:tc>
          <w:tcPr>
            <w:tcW w:w="2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b w:val="1"/>
                <w:bCs w:val="1"/>
                <w:color w:val="auto"/>
                <w:w w:val="94"/>
              </w:rPr>
              <w:t>2001</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jc w:val="right"/>
              <w:ind w:right="703"/>
              <w:spacing w:after="0"/>
              <w:rPr>
                <w:sz w:val="20"/>
                <w:szCs w:val="20"/>
                <w:color w:val="auto"/>
              </w:rPr>
            </w:pPr>
            <w:r>
              <w:rPr>
                <w:rFonts w:ascii="Courier New" w:cs="Courier New" w:eastAsia="Courier New" w:hAnsi="Courier New"/>
                <w:sz w:val="15"/>
                <w:szCs w:val="15"/>
                <w:b w:val="1"/>
                <w:bCs w:val="1"/>
                <w:color w:val="auto"/>
                <w:w w:val="94"/>
              </w:rPr>
              <w:t>2000</w:t>
            </w:r>
          </w:p>
        </w:tc>
        <w:tc>
          <w:tcPr>
            <w:tcW w:w="700" w:type="dxa"/>
            <w:vAlign w:val="bottom"/>
          </w:tcPr>
          <w:p>
            <w:pPr>
              <w:spacing w:after="0"/>
              <w:rPr>
                <w:sz w:val="15"/>
                <w:szCs w:val="15"/>
                <w:color w:val="auto"/>
              </w:rPr>
            </w:pPr>
          </w:p>
        </w:tc>
        <w:tc>
          <w:tcPr>
            <w:tcW w:w="1100" w:type="dxa"/>
            <w:vAlign w:val="bottom"/>
          </w:tcPr>
          <w:p>
            <w:pPr>
              <w:jc w:val="right"/>
              <w:ind w:right="663"/>
              <w:spacing w:after="0"/>
              <w:rPr>
                <w:sz w:val="20"/>
                <w:szCs w:val="20"/>
                <w:color w:val="auto"/>
              </w:rPr>
            </w:pPr>
            <w:r>
              <w:rPr>
                <w:rFonts w:ascii="Courier New" w:cs="Courier New" w:eastAsia="Courier New" w:hAnsi="Courier New"/>
                <w:sz w:val="15"/>
                <w:szCs w:val="15"/>
                <w:b w:val="1"/>
                <w:bCs w:val="1"/>
                <w:color w:val="auto"/>
                <w:w w:val="94"/>
              </w:rPr>
              <w:t>1999</w:t>
            </w:r>
          </w:p>
        </w:tc>
      </w:tr>
      <w:tr>
        <w:trPr>
          <w:trHeight w:val="177"/>
        </w:trPr>
        <w:tc>
          <w:tcPr>
            <w:tcW w:w="2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0" w:type="dxa"/>
            <w:vAlign w:val="bottom"/>
            <w:gridSpan w:val="3"/>
          </w:tcPr>
          <w:p>
            <w:pPr>
              <w:ind w:left="240"/>
              <w:spacing w:after="0"/>
              <w:rPr>
                <w:sz w:val="20"/>
                <w:szCs w:val="20"/>
                <w:color w:val="auto"/>
              </w:rPr>
            </w:pPr>
            <w:r>
              <w:rPr>
                <w:rFonts w:ascii="Courier New" w:cs="Courier New" w:eastAsia="Courier New" w:hAnsi="Courier New"/>
                <w:sz w:val="15"/>
                <w:szCs w:val="15"/>
                <w:b w:val="1"/>
                <w:bCs w:val="1"/>
                <w:color w:val="auto"/>
              </w:rPr>
              <w:t>------------------</w:t>
            </w:r>
          </w:p>
        </w:tc>
        <w:tc>
          <w:tcPr>
            <w:tcW w:w="1880" w:type="dxa"/>
            <w:vAlign w:val="bottom"/>
            <w:gridSpan w:val="2"/>
          </w:tcPr>
          <w:p>
            <w:pPr>
              <w:ind w:left="80"/>
              <w:spacing w:after="0"/>
              <w:rPr>
                <w:sz w:val="20"/>
                <w:szCs w:val="20"/>
                <w:color w:val="auto"/>
              </w:rPr>
            </w:pPr>
            <w:r>
              <w:rPr>
                <w:rFonts w:ascii="Courier New" w:cs="Courier New" w:eastAsia="Courier New" w:hAnsi="Courier New"/>
                <w:sz w:val="15"/>
                <w:szCs w:val="15"/>
                <w:b w:val="1"/>
                <w:bCs w:val="1"/>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2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4,662</w:t>
            </w:r>
          </w:p>
        </w:tc>
        <w:tc>
          <w:tcPr>
            <w:tcW w:w="52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9,987</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7,759</w:t>
            </w:r>
          </w:p>
        </w:tc>
      </w:tr>
      <w:tr>
        <w:trPr>
          <w:trHeight w:val="177"/>
        </w:trPr>
        <w:tc>
          <w:tcPr>
            <w:tcW w:w="21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Proforma</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4,347</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9,804</w:t>
            </w:r>
          </w:p>
        </w:tc>
        <w:tc>
          <w:tcPr>
            <w:tcW w:w="7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7,627</w:t>
            </w:r>
          </w:p>
        </w:tc>
      </w:tr>
      <w:tr>
        <w:trPr>
          <w:trHeight w:val="355"/>
        </w:trPr>
        <w:tc>
          <w:tcPr>
            <w:tcW w:w="21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c>
          <w:tcPr>
            <w:tcW w:w="52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0.66</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21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Proforma</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0.28</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0.64</w:t>
            </w:r>
          </w:p>
        </w:tc>
        <w:tc>
          <w:tcPr>
            <w:tcW w:w="7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0.51</w:t>
            </w:r>
          </w:p>
        </w:tc>
      </w:tr>
      <w:tr>
        <w:trPr>
          <w:trHeight w:val="355"/>
        </w:trPr>
        <w:tc>
          <w:tcPr>
            <w:tcW w:w="2120" w:type="dxa"/>
            <w:vAlign w:val="bottom"/>
          </w:tcPr>
          <w:p>
            <w:pPr>
              <w:spacing w:after="0"/>
              <w:rPr>
                <w:sz w:val="20"/>
                <w:szCs w:val="20"/>
                <w:color w:val="auto"/>
              </w:rPr>
            </w:pPr>
            <w:r>
              <w:rPr>
                <w:rFonts w:ascii="Courier New" w:cs="Courier New" w:eastAsia="Courier New" w:hAnsi="Courier New"/>
                <w:sz w:val="15"/>
                <w:szCs w:val="15"/>
                <w:color w:val="auto"/>
              </w:rPr>
              <w:t>Earnings per</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share-assuming</w:t>
            </w: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dilution</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c>
          <w:tcPr>
            <w:tcW w:w="52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0.64</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21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Proforma</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0.28</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0.63</w:t>
            </w:r>
          </w:p>
        </w:tc>
        <w:tc>
          <w:tcPr>
            <w:tcW w:w="7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0.51</w:t>
            </w:r>
          </w:p>
        </w:tc>
      </w:tr>
      <w:tr>
        <w:trPr>
          <w:trHeight w:val="355"/>
        </w:trPr>
        <w:tc>
          <w:tcPr>
            <w:tcW w:w="6100" w:type="dxa"/>
            <w:vAlign w:val="bottom"/>
            <w:gridSpan w:val="6"/>
          </w:tcPr>
          <w:p>
            <w:pPr>
              <w:spacing w:after="0"/>
              <w:rPr>
                <w:sz w:val="20"/>
                <w:szCs w:val="20"/>
                <w:color w:val="auto"/>
              </w:rPr>
            </w:pPr>
            <w:r>
              <w:rPr>
                <w:rFonts w:ascii="Courier New" w:cs="Courier New" w:eastAsia="Courier New" w:hAnsi="Courier New"/>
                <w:sz w:val="15"/>
                <w:szCs w:val="15"/>
                <w:color w:val="auto"/>
              </w:rPr>
              <w:t>The fair value of each option grant was estimated based on actual</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7240" w:type="dxa"/>
            <w:vAlign w:val="bottom"/>
            <w:gridSpan w:val="7"/>
          </w:tcPr>
          <w:p>
            <w:pPr>
              <w:spacing w:after="0"/>
              <w:rPr>
                <w:sz w:val="20"/>
                <w:szCs w:val="20"/>
                <w:color w:val="auto"/>
              </w:rPr>
            </w:pPr>
            <w:r>
              <w:rPr>
                <w:rFonts w:ascii="Courier New" w:cs="Courier New" w:eastAsia="Courier New" w:hAnsi="Courier New"/>
                <w:sz w:val="15"/>
                <w:szCs w:val="15"/>
                <w:color w:val="auto"/>
              </w:rPr>
              <w:t>information available through December 31, 2001, 2000 and 1999 using the</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6100" w:type="dxa"/>
            <w:vAlign w:val="bottom"/>
            <w:gridSpan w:val="6"/>
          </w:tcPr>
          <w:p>
            <w:pPr>
              <w:spacing w:after="0"/>
              <w:rPr>
                <w:sz w:val="20"/>
                <w:szCs w:val="20"/>
                <w:color w:val="auto"/>
              </w:rPr>
            </w:pPr>
            <w:r>
              <w:rPr>
                <w:rFonts w:ascii="Courier New" w:cs="Courier New" w:eastAsia="Courier New" w:hAnsi="Courier New"/>
                <w:sz w:val="15"/>
                <w:szCs w:val="15"/>
                <w:color w:val="auto"/>
              </w:rPr>
              <w:t>Black Scholes option-pricing model with the following assumptions:</w:t>
            </w: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5"/>
        </w:trPr>
        <w:tc>
          <w:tcPr>
            <w:tcW w:w="212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240" w:type="dxa"/>
            <w:vAlign w:val="bottom"/>
          </w:tcPr>
          <w:p>
            <w:pPr>
              <w:spacing w:after="0"/>
              <w:rPr>
                <w:sz w:val="24"/>
                <w:szCs w:val="24"/>
                <w:color w:val="auto"/>
              </w:rPr>
            </w:pPr>
          </w:p>
        </w:tc>
        <w:tc>
          <w:tcPr>
            <w:tcW w:w="2000" w:type="dxa"/>
            <w:vAlign w:val="bottom"/>
            <w:gridSpan w:val="3"/>
          </w:tcPr>
          <w:p>
            <w:pPr>
              <w:ind w:left="420"/>
              <w:spacing w:after="0"/>
              <w:rPr>
                <w:sz w:val="20"/>
                <w:szCs w:val="20"/>
                <w:color w:val="auto"/>
              </w:rPr>
            </w:pPr>
            <w:r>
              <w:rPr>
                <w:rFonts w:ascii="Courier New" w:cs="Courier New" w:eastAsia="Courier New" w:hAnsi="Courier New"/>
                <w:sz w:val="15"/>
                <w:szCs w:val="15"/>
                <w:color w:val="auto"/>
              </w:rPr>
              <w:t>Vesting Period</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Risk free interest rate</w:t>
            </w:r>
          </w:p>
        </w:tc>
        <w:tc>
          <w:tcPr>
            <w:tcW w:w="1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3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and 6.5% for 2001, 2000 and 1999,</w:t>
            </w:r>
          </w:p>
        </w:tc>
        <w:tc>
          <w:tcPr>
            <w:tcW w:w="1100" w:type="dxa"/>
            <w:vAlign w:val="bottom"/>
          </w:tcPr>
          <w:p>
            <w:pPr>
              <w:spacing w:after="0"/>
              <w:rPr>
                <w:sz w:val="15"/>
                <w:szCs w:val="15"/>
                <w:color w:val="auto"/>
              </w:rPr>
            </w:pPr>
          </w:p>
        </w:tc>
      </w:tr>
      <w:tr>
        <w:trPr>
          <w:trHeight w:val="177"/>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respectively Dividend yield</w:t>
            </w:r>
          </w:p>
        </w:tc>
        <w:tc>
          <w:tcPr>
            <w:tcW w:w="4580" w:type="dxa"/>
            <w:vAlign w:val="bottom"/>
            <w:gridSpan w:val="6"/>
          </w:tcPr>
          <w:p>
            <w:pPr>
              <w:ind w:left="420"/>
              <w:spacing w:after="0"/>
              <w:rPr>
                <w:sz w:val="20"/>
                <w:szCs w:val="20"/>
                <w:color w:val="auto"/>
              </w:rPr>
            </w:pPr>
            <w:r>
              <w:rPr>
                <w:rFonts w:ascii="Courier New" w:cs="Courier New" w:eastAsia="Courier New" w:hAnsi="Courier New"/>
                <w:sz w:val="15"/>
                <w:szCs w:val="15"/>
                <w:color w:val="auto"/>
              </w:rPr>
              <w:t>2.8%, 3.6%, and 4.4% annually for 2001, 2000</w:t>
            </w:r>
          </w:p>
        </w:tc>
        <w:tc>
          <w:tcPr>
            <w:tcW w:w="1100" w:type="dxa"/>
            <w:vAlign w:val="bottom"/>
          </w:tcPr>
          <w:p>
            <w:pPr>
              <w:spacing w:after="0"/>
              <w:rPr>
                <w:sz w:val="15"/>
                <w:szCs w:val="15"/>
                <w:color w:val="auto"/>
              </w:rPr>
            </w:pPr>
          </w:p>
        </w:tc>
      </w:tr>
      <w:tr>
        <w:trPr>
          <w:trHeight w:val="177"/>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and 1999, respectively Volatility</w:t>
            </w:r>
          </w:p>
        </w:tc>
        <w:tc>
          <w:tcPr>
            <w:tcW w:w="3880" w:type="dxa"/>
            <w:vAlign w:val="bottom"/>
            <w:gridSpan w:val="5"/>
          </w:tcPr>
          <w:p>
            <w:pPr>
              <w:ind w:left="420"/>
              <w:spacing w:after="0"/>
              <w:rPr>
                <w:sz w:val="20"/>
                <w:szCs w:val="20"/>
                <w:color w:val="auto"/>
              </w:rPr>
            </w:pPr>
            <w:r>
              <w:rPr>
                <w:rFonts w:ascii="Courier New" w:cs="Courier New" w:eastAsia="Courier New" w:hAnsi="Courier New"/>
                <w:sz w:val="15"/>
                <w:szCs w:val="15"/>
                <w:color w:val="auto"/>
              </w:rPr>
              <w:t>40.7%, 39.5% and 39.5% for 2001, 2000</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gridSpan w:val="4"/>
          </w:tcPr>
          <w:p>
            <w:pPr>
              <w:ind w:left="420"/>
              <w:spacing w:after="0"/>
              <w:rPr>
                <w:sz w:val="20"/>
                <w:szCs w:val="20"/>
                <w:color w:val="auto"/>
              </w:rPr>
            </w:pPr>
            <w:r>
              <w:rPr>
                <w:rFonts w:ascii="Courier New" w:cs="Courier New" w:eastAsia="Courier New" w:hAnsi="Courier New"/>
                <w:sz w:val="15"/>
                <w:szCs w:val="15"/>
                <w:color w:val="auto"/>
              </w:rPr>
              <w:t>and 1999, respectively</w:t>
            </w: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83" w:lineRule="exact"/>
        <w:rPr>
          <w:sz w:val="20"/>
          <w:szCs w:val="20"/>
          <w:color w:val="auto"/>
        </w:rPr>
      </w:pPr>
    </w:p>
    <w:p>
      <w:pPr>
        <w:ind w:left="645" w:hanging="645"/>
        <w:spacing w:after="0"/>
        <w:tabs>
          <w:tab w:leader="none" w:pos="645" w:val="left"/>
        </w:tabs>
        <w:numPr>
          <w:ilvl w:val="0"/>
          <w:numId w:val="1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Segment Information</w:t>
      </w:r>
    </w:p>
    <w:p>
      <w:pPr>
        <w:spacing w:after="0" w:line="362" w:lineRule="exact"/>
        <w:rPr>
          <w:rFonts w:ascii="Courier New" w:cs="Courier New" w:eastAsia="Courier New" w:hAnsi="Courier New"/>
          <w:sz w:val="15"/>
          <w:szCs w:val="15"/>
          <w:b w:val="1"/>
          <w:bCs w:val="1"/>
          <w:color w:val="auto"/>
        </w:rPr>
      </w:pPr>
    </w:p>
    <w:p>
      <w:pPr>
        <w:ind w:left="645" w:right="4140"/>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Company adopted the provisions of SFAS No. 131, "Disclosures about Segments of an Enterprise and Related Information," effective with its December 31, 1998 reporting and identified its reportable segments based upon the geographic location of its business units. During 2001, the Company's reportable segments are based on differences in product lines and geographic locations and are divided among Domestic Ball and Roller, Euroball and Plastics. The Domestic Ball and Roller Segment is comprised of two manufacturing facilities in the eastern United States. The Euroball Segment acquired in July 2000, is comprised of manufacturing facilities located in Kilkenny, Ireland, Eltmann, Germany and Pinerolo, Italy. All of the facilities in the Domestic Ball and Roller and Euroball Segments are engaged in the production of precision balls and rollers used primarily in the bearing industry. The Plastics Segment</w:t>
      </w:r>
    </w:p>
    <w:p>
      <w:pPr>
        <w:spacing w:after="0" w:line="183"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13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413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5" w:right="4140"/>
        <w:spacing w:after="0" w:line="251" w:lineRule="auto"/>
        <w:rPr>
          <w:sz w:val="20"/>
          <w:szCs w:val="20"/>
          <w:color w:val="auto"/>
        </w:rPr>
      </w:pPr>
      <w:r>
        <w:rPr>
          <w:rFonts w:ascii="Courier New" w:cs="Courier New" w:eastAsia="Courier New" w:hAnsi="Courier New"/>
          <w:sz w:val="15"/>
          <w:szCs w:val="15"/>
          <w:color w:val="auto"/>
        </w:rPr>
        <w:t>is compromised of five facilities: two located in Lubbock, Texas, which represents the IMC business acquired in July 1999; two facilities located in Danielson, Connecticut, which represents the Delta business acquired in February 2001, and one facility located in Guadalajara, Mexico, which represents the NN-Arte business. These facilities are engaged in the production of plastic injection molded products for the bearing, automotive, instrumentation and fiber optic markets and precision rubber bearing seals for the bearing, automotive, industrial, agricultural and aerospace markets.</w:t>
      </w:r>
    </w:p>
    <w:p>
      <w:pPr>
        <w:spacing w:after="0" w:line="175" w:lineRule="exact"/>
        <w:rPr>
          <w:sz w:val="20"/>
          <w:szCs w:val="20"/>
          <w:color w:val="auto"/>
        </w:rPr>
      </w:pPr>
    </w:p>
    <w:p>
      <w:pPr>
        <w:ind w:left="645" w:right="4240"/>
        <w:spacing w:after="0" w:line="251"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the summary of significant accounting policies. The Company evaluates segment performance based on profit or loss from operations after income taxes not including nonrecurring gains and losses. The Company accounts for intersegment sales and transfers at current market prices; however, the Company did not have any material intersegment transactions during 2001, 2000 or 1999.</w:t>
      </w:r>
    </w:p>
    <w:p>
      <w:pPr>
        <w:sectPr>
          <w:pgSz w:w="11900" w:h="16838" w:orient="portrait"/>
          <w:cols w:equalWidth="0" w:num="1">
            <w:col w:w="11525"/>
          </w:cols>
          <w:pgMar w:left="235" w:top="142"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5"/>
        <w:spacing w:after="0" w:line="251" w:lineRule="auto"/>
        <w:rPr>
          <w:sz w:val="20"/>
          <w:szCs w:val="20"/>
          <w:color w:val="auto"/>
        </w:rPr>
      </w:pPr>
      <w:r>
        <w:rPr>
          <w:rFonts w:ascii="Courier New" w:cs="Courier New" w:eastAsia="Courier New" w:hAnsi="Courier New"/>
          <w:sz w:val="15"/>
          <w:szCs w:val="15"/>
          <w:color w:val="auto"/>
        </w:rPr>
        <w:t>Net sales Interest expense Depreciation &amp; amortization Income tax expense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840"/>
        <w:spacing w:after="0"/>
        <w:tabs>
          <w:tab w:leader="none" w:pos="4240" w:val="left"/>
          <w:tab w:leader="none" w:pos="7000" w:val="left"/>
        </w:tabs>
        <w:rPr>
          <w:sz w:val="20"/>
          <w:szCs w:val="20"/>
          <w:color w:val="auto"/>
        </w:rPr>
      </w:pPr>
      <w:r>
        <w:rPr>
          <w:rFonts w:ascii="Courier New" w:cs="Courier New" w:eastAsia="Courier New" w:hAnsi="Courier New"/>
          <w:sz w:val="15"/>
          <w:szCs w:val="15"/>
          <w:b w:val="1"/>
          <w:bCs w:val="1"/>
          <w:color w:val="auto"/>
        </w:rPr>
        <w:t>December 31, 2001</w:t>
      </w:r>
      <w:r>
        <w:rPr>
          <w:sz w:val="20"/>
          <w:szCs w:val="20"/>
          <w:color w:val="auto"/>
        </w:rPr>
        <w:tab/>
      </w:r>
      <w:r>
        <w:rPr>
          <w:rFonts w:ascii="Courier New" w:cs="Courier New" w:eastAsia="Courier New" w:hAnsi="Courier New"/>
          <w:sz w:val="15"/>
          <w:szCs w:val="15"/>
          <w:b w:val="1"/>
          <w:bCs w:val="1"/>
          <w:color w:val="auto"/>
        </w:rPr>
        <w:t>December 31, 2000</w:t>
      </w:r>
      <w:r>
        <w:rPr>
          <w:sz w:val="20"/>
          <w:szCs w:val="20"/>
          <w:color w:val="auto"/>
        </w:rPr>
        <w:tab/>
      </w:r>
      <w:r>
        <w:rPr>
          <w:rFonts w:ascii="Courier New" w:cs="Courier New" w:eastAsia="Courier New" w:hAnsi="Courier New"/>
          <w:sz w:val="15"/>
          <w:szCs w:val="15"/>
          <w:b w:val="1"/>
          <w:bCs w:val="1"/>
          <w:color w:val="auto"/>
        </w:rPr>
        <w:t>December 31,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 -------------------------------------------------------------</w:t>
      </w:r>
    </w:p>
    <w:p>
      <w:pPr>
        <w:spacing w:after="0" w:line="8" w:lineRule="exact"/>
        <w:rPr>
          <w:sz w:val="20"/>
          <w:szCs w:val="20"/>
          <w:color w:val="auto"/>
        </w:rPr>
      </w:pPr>
    </w:p>
    <w:p>
      <w:pPr>
        <w:spacing w:after="0"/>
        <w:tabs>
          <w:tab w:leader="none" w:pos="2300" w:val="left"/>
          <w:tab w:leader="none" w:pos="3300" w:val="left"/>
          <w:tab w:leader="none" w:pos="5620" w:val="left"/>
          <w:tab w:leader="none" w:pos="6620" w:val="left"/>
          <w:tab w:leader="none" w:pos="7920" w:val="left"/>
        </w:tabs>
        <w:rPr>
          <w:sz w:val="20"/>
          <w:szCs w:val="20"/>
          <w:color w:val="auto"/>
        </w:rPr>
      </w:pPr>
      <w:r>
        <w:rPr>
          <w:rFonts w:ascii="Courier New" w:cs="Courier New" w:eastAsia="Courier New" w:hAnsi="Courier New"/>
          <w:sz w:val="15"/>
          <w:szCs w:val="15"/>
          <w:b w:val="1"/>
          <w:bCs w:val="1"/>
          <w:color w:val="auto"/>
        </w:rPr>
        <w:t>DomesticBall Euroball</w:t>
      </w:r>
      <w:r>
        <w:rPr>
          <w:sz w:val="20"/>
          <w:szCs w:val="20"/>
          <w:color w:val="auto"/>
        </w:rPr>
        <w:tab/>
      </w:r>
      <w:r>
        <w:rPr>
          <w:rFonts w:ascii="Courier New" w:cs="Courier New" w:eastAsia="Courier New" w:hAnsi="Courier New"/>
          <w:sz w:val="15"/>
          <w:szCs w:val="15"/>
          <w:b w:val="1"/>
          <w:bCs w:val="1"/>
          <w:color w:val="auto"/>
        </w:rPr>
        <w:t>Plastics</w:t>
        <w:tab/>
        <w:t>DomesticBall Euroball</w:t>
      </w:r>
      <w:r>
        <w:rPr>
          <w:sz w:val="20"/>
          <w:szCs w:val="20"/>
          <w:color w:val="auto"/>
        </w:rPr>
        <w:tab/>
      </w:r>
      <w:r>
        <w:rPr>
          <w:rFonts w:ascii="Courier New" w:cs="Courier New" w:eastAsia="Courier New" w:hAnsi="Courier New"/>
          <w:sz w:val="15"/>
          <w:szCs w:val="15"/>
          <w:b w:val="1"/>
          <w:bCs w:val="1"/>
          <w:color w:val="auto"/>
        </w:rPr>
        <w:t>Plastics</w:t>
        <w:tab/>
        <w:t>DomesticBall</w:t>
        <w:tab/>
        <w:t>Plastics</w:t>
      </w:r>
    </w:p>
    <w:p>
      <w:pPr>
        <w:spacing w:after="0" w:line="8" w:lineRule="exact"/>
        <w:rPr>
          <w:sz w:val="20"/>
          <w:szCs w:val="20"/>
          <w:color w:val="auto"/>
        </w:rPr>
      </w:pPr>
    </w:p>
    <w:p>
      <w:pPr>
        <w:spacing w:after="0"/>
        <w:tabs>
          <w:tab w:leader="none" w:pos="3300" w:val="left"/>
          <w:tab w:leader="none" w:pos="6620" w:val="left"/>
        </w:tabs>
        <w:rPr>
          <w:sz w:val="20"/>
          <w:szCs w:val="20"/>
          <w:color w:val="auto"/>
        </w:rPr>
      </w:pPr>
      <w:r>
        <w:rPr>
          <w:rFonts w:ascii="Courier New" w:cs="Courier New" w:eastAsia="Courier New" w:hAnsi="Courier New"/>
          <w:sz w:val="15"/>
          <w:szCs w:val="15"/>
          <w:b w:val="1"/>
          <w:bCs w:val="1"/>
          <w:color w:val="auto"/>
        </w:rPr>
        <w:t>and Roller</w:t>
      </w:r>
      <w:r>
        <w:rPr>
          <w:sz w:val="20"/>
          <w:szCs w:val="20"/>
          <w:color w:val="auto"/>
        </w:rPr>
        <w:tab/>
      </w:r>
      <w:r>
        <w:rPr>
          <w:rFonts w:ascii="Courier New" w:cs="Courier New" w:eastAsia="Courier New" w:hAnsi="Courier New"/>
          <w:sz w:val="15"/>
          <w:szCs w:val="15"/>
          <w:b w:val="1"/>
          <w:bCs w:val="1"/>
          <w:color w:val="auto"/>
        </w:rPr>
        <w:t>and Roller</w:t>
      </w:r>
      <w:r>
        <w:rPr>
          <w:sz w:val="20"/>
          <w:szCs w:val="20"/>
          <w:color w:val="auto"/>
        </w:rPr>
        <w:tab/>
      </w:r>
      <w:r>
        <w:rPr>
          <w:rFonts w:ascii="Courier New" w:cs="Courier New" w:eastAsia="Courier New" w:hAnsi="Courier New"/>
          <w:sz w:val="15"/>
          <w:szCs w:val="15"/>
          <w:b w:val="1"/>
          <w:bCs w:val="1"/>
          <w:color w:val="auto"/>
        </w:rPr>
        <w:t>and Roller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w:t>
      </w:r>
    </w:p>
    <w:p>
      <w:pPr>
        <w:spacing w:after="0" w:line="8" w:lineRule="exact"/>
        <w:rPr>
          <w:sz w:val="20"/>
          <w:szCs w:val="20"/>
          <w:color w:val="auto"/>
        </w:rPr>
      </w:pPr>
    </w:p>
    <w:p>
      <w:pPr>
        <w:ind w:left="100"/>
        <w:spacing w:after="0"/>
        <w:tabs>
          <w:tab w:leader="none" w:pos="360" w:val="left"/>
          <w:tab w:leader="none" w:pos="1180" w:val="left"/>
          <w:tab w:leader="none" w:pos="1460" w:val="left"/>
          <w:tab w:leader="none" w:pos="2200" w:val="left"/>
          <w:tab w:leader="none" w:pos="2480" w:val="left"/>
          <w:tab w:leader="none" w:pos="3300" w:val="left"/>
          <w:tab w:leader="none" w:pos="4140" w:val="left"/>
          <w:tab w:leader="none" w:pos="4420" w:val="left"/>
          <w:tab w:leader="none" w:pos="5240" w:val="left"/>
          <w:tab w:leader="none" w:pos="5520" w:val="left"/>
          <w:tab w:leader="none" w:pos="6360" w:val="left"/>
          <w:tab w:leader="none" w:pos="6620" w:val="left"/>
          <w:tab w:leader="none" w:pos="7560" w:val="left"/>
          <w:tab w:leader="none" w:pos="7820" w:val="left"/>
        </w:tabs>
        <w:rPr>
          <w:sz w:val="20"/>
          <w:szCs w:val="20"/>
          <w:color w:val="auto"/>
        </w:rPr>
      </w:pPr>
      <w:r>
        <w:rPr>
          <w:rFonts w:ascii="Courier New" w:cs="Courier New" w:eastAsia="Courier New" w:hAnsi="Courier New"/>
          <w:sz w:val="15"/>
          <w:szCs w:val="15"/>
          <w:color w:val="auto"/>
        </w:rPr>
        <w:t>$</w:t>
        <w:tab/>
        <w:t>52,692</w:t>
      </w:r>
      <w:r>
        <w:rPr>
          <w:sz w:val="20"/>
          <w:szCs w:val="20"/>
          <w:color w:val="auto"/>
        </w:rPr>
        <w:tab/>
      </w:r>
      <w:r>
        <w:rPr>
          <w:rFonts w:ascii="Courier New" w:cs="Courier New" w:eastAsia="Courier New" w:hAnsi="Courier New"/>
          <w:sz w:val="15"/>
          <w:szCs w:val="15"/>
          <w:color w:val="auto"/>
        </w:rPr>
        <w:t>$</w:t>
        <w:tab/>
        <w:t>86,719</w:t>
        <w:tab/>
        <w:t>$</w:t>
        <w:tab/>
        <w:t>40,74$</w:t>
        <w:tab/>
        <w:t>67,637</w:t>
      </w:r>
      <w:r>
        <w:rPr>
          <w:sz w:val="20"/>
          <w:szCs w:val="20"/>
          <w:color w:val="auto"/>
        </w:rPr>
        <w:tab/>
      </w:r>
      <w:r>
        <w:rPr>
          <w:rFonts w:ascii="Courier New" w:cs="Courier New" w:eastAsia="Courier New" w:hAnsi="Courier New"/>
          <w:sz w:val="15"/>
          <w:szCs w:val="15"/>
          <w:color w:val="auto"/>
        </w:rPr>
        <w:t>$</w:t>
        <w:tab/>
        <w:t>33,988</w:t>
      </w:r>
      <w:r>
        <w:rPr>
          <w:sz w:val="20"/>
          <w:szCs w:val="20"/>
          <w:color w:val="auto"/>
        </w:rPr>
        <w:tab/>
      </w:r>
      <w:r>
        <w:rPr>
          <w:rFonts w:ascii="Courier New" w:cs="Courier New" w:eastAsia="Courier New" w:hAnsi="Courier New"/>
          <w:sz w:val="15"/>
          <w:szCs w:val="15"/>
          <w:color w:val="auto"/>
        </w:rPr>
        <w:t>$</w:t>
        <w:tab/>
        <w:t>30,504</w:t>
      </w:r>
      <w:r>
        <w:rPr>
          <w:sz w:val="20"/>
          <w:szCs w:val="20"/>
          <w:color w:val="auto"/>
        </w:rPr>
        <w:tab/>
      </w:r>
      <w:r>
        <w:rPr>
          <w:rFonts w:ascii="Courier New" w:cs="Courier New" w:eastAsia="Courier New" w:hAnsi="Courier New"/>
          <w:sz w:val="15"/>
          <w:szCs w:val="15"/>
          <w:color w:val="auto"/>
        </w:rPr>
        <w:t>$</w:t>
        <w:tab/>
        <w:t>67,736</w:t>
      </w:r>
      <w:r>
        <w:rPr>
          <w:sz w:val="20"/>
          <w:szCs w:val="20"/>
          <w:color w:val="auto"/>
        </w:rPr>
        <w:tab/>
      </w:r>
      <w:r>
        <w:rPr>
          <w:rFonts w:ascii="Courier New" w:cs="Courier New" w:eastAsia="Courier New" w:hAnsi="Courier New"/>
          <w:sz w:val="15"/>
          <w:szCs w:val="15"/>
          <w:color w:val="auto"/>
        </w:rPr>
        <w:t>$</w:t>
        <w:tab/>
        <w:t>17,558</w:t>
      </w:r>
    </w:p>
    <w:p>
      <w:pPr>
        <w:spacing w:after="0" w:line="8" w:lineRule="exact"/>
        <w:rPr>
          <w:sz w:val="20"/>
          <w:szCs w:val="20"/>
          <w:color w:val="auto"/>
        </w:rPr>
      </w:pPr>
    </w:p>
    <w:p>
      <w:pPr>
        <w:ind w:left="660"/>
        <w:spacing w:after="0"/>
        <w:tabs>
          <w:tab w:leader="none" w:pos="1560" w:val="left"/>
          <w:tab w:leader="none" w:pos="2560" w:val="left"/>
          <w:tab w:leader="none" w:pos="3580" w:val="left"/>
          <w:tab w:leader="none" w:pos="4700" w:val="left"/>
          <w:tab w:leader="none" w:pos="5800" w:val="left"/>
          <w:tab w:leader="none" w:pos="7000" w:val="left"/>
          <w:tab w:leader="none" w:pos="8100"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5"/>
          <w:szCs w:val="15"/>
          <w:color w:val="auto"/>
        </w:rPr>
        <w:t>1,574</w:t>
      </w:r>
      <w:r>
        <w:rPr>
          <w:sz w:val="20"/>
          <w:szCs w:val="20"/>
          <w:color w:val="auto"/>
        </w:rPr>
        <w:tab/>
      </w:r>
      <w:r>
        <w:rPr>
          <w:rFonts w:ascii="Courier New" w:cs="Courier New" w:eastAsia="Courier New" w:hAnsi="Courier New"/>
          <w:sz w:val="15"/>
          <w:szCs w:val="15"/>
          <w:color w:val="auto"/>
        </w:rPr>
        <w:t>2,194</w:t>
      </w:r>
      <w:r>
        <w:rPr>
          <w:sz w:val="20"/>
          <w:szCs w:val="20"/>
          <w:color w:val="auto"/>
        </w:rPr>
        <w:tab/>
      </w:r>
      <w:r>
        <w:rPr>
          <w:rFonts w:ascii="Courier New" w:cs="Courier New" w:eastAsia="Courier New" w:hAnsi="Courier New"/>
          <w:sz w:val="15"/>
          <w:szCs w:val="15"/>
          <w:color w:val="auto"/>
        </w:rPr>
        <w:t>385</w:t>
      </w:r>
      <w:r>
        <w:rPr>
          <w:sz w:val="20"/>
          <w:szCs w:val="20"/>
          <w:color w:val="auto"/>
        </w:rPr>
        <w:tab/>
      </w:r>
      <w:r>
        <w:rPr>
          <w:rFonts w:ascii="Courier New" w:cs="Courier New" w:eastAsia="Courier New" w:hAnsi="Courier New"/>
          <w:sz w:val="15"/>
          <w:szCs w:val="15"/>
          <w:color w:val="auto"/>
        </w:rPr>
        <w:t>622</w:t>
      </w:r>
      <w:r>
        <w:rPr>
          <w:sz w:val="20"/>
          <w:szCs w:val="20"/>
          <w:color w:val="auto"/>
        </w:rPr>
        <w:tab/>
      </w:r>
      <w:r>
        <w:rPr>
          <w:rFonts w:ascii="Courier New" w:cs="Courier New" w:eastAsia="Courier New" w:hAnsi="Courier New"/>
          <w:sz w:val="15"/>
          <w:szCs w:val="15"/>
          <w:color w:val="auto"/>
        </w:rPr>
        <w:t>766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523</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spacing w:after="0"/>
        <w:tabs>
          <w:tab w:leader="none" w:pos="1560" w:val="left"/>
          <w:tab w:leader="none" w:pos="2560" w:val="left"/>
          <w:tab w:leader="none" w:pos="3400" w:val="left"/>
          <w:tab w:leader="none" w:pos="4500" w:val="left"/>
          <w:tab w:leader="none" w:pos="5620" w:val="left"/>
          <w:tab w:leader="none" w:pos="6720" w:val="left"/>
          <w:tab w:leader="none" w:pos="7920" w:val="left"/>
        </w:tabs>
        <w:rPr>
          <w:sz w:val="20"/>
          <w:szCs w:val="20"/>
          <w:color w:val="auto"/>
        </w:rPr>
      </w:pPr>
      <w:r>
        <w:rPr>
          <w:rFonts w:ascii="Courier New" w:cs="Courier New" w:eastAsia="Courier New" w:hAnsi="Courier New"/>
          <w:sz w:val="15"/>
          <w:szCs w:val="15"/>
          <w:color w:val="auto"/>
        </w:rPr>
        <w:t>4,439</w:t>
      </w:r>
      <w:r>
        <w:rPr>
          <w:sz w:val="20"/>
          <w:szCs w:val="20"/>
          <w:color w:val="auto"/>
        </w:rPr>
        <w:tab/>
      </w:r>
      <w:r>
        <w:rPr>
          <w:rFonts w:ascii="Courier New" w:cs="Courier New" w:eastAsia="Courier New" w:hAnsi="Courier New"/>
          <w:sz w:val="15"/>
          <w:szCs w:val="15"/>
          <w:color w:val="auto"/>
        </w:rPr>
        <w:t>5,426</w:t>
      </w:r>
      <w:r>
        <w:rPr>
          <w:sz w:val="20"/>
          <w:szCs w:val="20"/>
          <w:color w:val="auto"/>
        </w:rPr>
        <w:tab/>
      </w:r>
      <w:r>
        <w:rPr>
          <w:rFonts w:ascii="Courier New" w:cs="Courier New" w:eastAsia="Courier New" w:hAnsi="Courier New"/>
          <w:sz w:val="15"/>
          <w:szCs w:val="15"/>
          <w:color w:val="auto"/>
        </w:rPr>
        <w:t>3 475</w:t>
      </w:r>
      <w:r>
        <w:rPr>
          <w:sz w:val="20"/>
          <w:szCs w:val="20"/>
          <w:color w:val="auto"/>
        </w:rPr>
        <w:tab/>
      </w:r>
      <w:r>
        <w:rPr>
          <w:rFonts w:ascii="Courier New" w:cs="Courier New" w:eastAsia="Courier New" w:hAnsi="Courier New"/>
          <w:sz w:val="15"/>
          <w:szCs w:val="15"/>
          <w:color w:val="auto"/>
        </w:rPr>
        <w:t>4,796</w:t>
      </w:r>
      <w:r>
        <w:rPr>
          <w:sz w:val="20"/>
          <w:szCs w:val="20"/>
          <w:color w:val="auto"/>
        </w:rPr>
        <w:tab/>
      </w:r>
      <w:r>
        <w:rPr>
          <w:rFonts w:ascii="Courier New" w:cs="Courier New" w:eastAsia="Courier New" w:hAnsi="Courier New"/>
          <w:sz w:val="15"/>
          <w:szCs w:val="15"/>
          <w:color w:val="auto"/>
        </w:rPr>
        <w:t>2,123</w:t>
      </w:r>
      <w:r>
        <w:rPr>
          <w:sz w:val="20"/>
          <w:szCs w:val="20"/>
          <w:color w:val="auto"/>
        </w:rPr>
        <w:tab/>
      </w:r>
      <w:r>
        <w:rPr>
          <w:rFonts w:ascii="Courier New" w:cs="Courier New" w:eastAsia="Courier New" w:hAnsi="Courier New"/>
          <w:sz w:val="15"/>
          <w:szCs w:val="15"/>
          <w:color w:val="auto"/>
        </w:rPr>
        <w:t>2,246</w:t>
      </w:r>
      <w:r>
        <w:rPr>
          <w:sz w:val="20"/>
          <w:szCs w:val="20"/>
          <w:color w:val="auto"/>
        </w:rPr>
        <w:tab/>
      </w:r>
      <w:r>
        <w:rPr>
          <w:rFonts w:ascii="Courier New" w:cs="Courier New" w:eastAsia="Courier New" w:hAnsi="Courier New"/>
          <w:sz w:val="15"/>
          <w:szCs w:val="15"/>
          <w:color w:val="auto"/>
        </w:rPr>
        <w:t>4,932</w:t>
      </w:r>
      <w:r>
        <w:rPr>
          <w:sz w:val="20"/>
          <w:szCs w:val="20"/>
          <w:color w:val="auto"/>
        </w:rPr>
        <w:tab/>
      </w:r>
      <w:r>
        <w:rPr>
          <w:rFonts w:ascii="Courier New" w:cs="Courier New" w:eastAsia="Courier New" w:hAnsi="Courier New"/>
          <w:sz w:val="15"/>
          <w:szCs w:val="15"/>
          <w:color w:val="auto"/>
        </w:rPr>
        <w:t>1,199</w:t>
      </w:r>
    </w:p>
    <w:p>
      <w:pPr>
        <w:spacing w:after="0" w:line="8" w:lineRule="exact"/>
        <w:rPr>
          <w:sz w:val="20"/>
          <w:szCs w:val="20"/>
          <w:color w:val="auto"/>
        </w:rPr>
      </w:pPr>
    </w:p>
    <w:p>
      <w:pPr>
        <w:ind w:left="460"/>
        <w:spacing w:after="0"/>
        <w:tabs>
          <w:tab w:leader="none" w:pos="1560" w:val="left"/>
          <w:tab w:leader="none" w:pos="2660" w:val="left"/>
          <w:tab w:leader="none" w:pos="3400" w:val="left"/>
          <w:tab w:leader="none" w:pos="4500" w:val="left"/>
          <w:tab w:leader="none" w:pos="5800" w:val="left"/>
          <w:tab w:leader="none" w:pos="6720" w:val="left"/>
          <w:tab w:leader="none" w:pos="8100" w:val="left"/>
        </w:tabs>
        <w:rPr>
          <w:sz w:val="20"/>
          <w:szCs w:val="20"/>
          <w:color w:val="auto"/>
        </w:rPr>
      </w:pPr>
      <w:r>
        <w:rPr>
          <w:rFonts w:ascii="Courier New" w:cs="Courier New" w:eastAsia="Courier New" w:hAnsi="Courier New"/>
          <w:sz w:val="15"/>
          <w:szCs w:val="15"/>
          <w:color w:val="auto"/>
        </w:rPr>
        <w:t>2,435</w:t>
      </w:r>
      <w:r>
        <w:rPr>
          <w:sz w:val="20"/>
          <w:szCs w:val="20"/>
          <w:color w:val="auto"/>
        </w:rPr>
        <w:tab/>
      </w:r>
      <w:r>
        <w:rPr>
          <w:rFonts w:ascii="Courier New" w:cs="Courier New" w:eastAsia="Courier New" w:hAnsi="Courier New"/>
          <w:sz w:val="15"/>
          <w:szCs w:val="15"/>
          <w:color w:val="auto"/>
        </w:rPr>
        <w:t>2,474</w:t>
      </w:r>
      <w:r>
        <w:rPr>
          <w:sz w:val="20"/>
          <w:szCs w:val="20"/>
          <w:color w:val="auto"/>
        </w:rPr>
        <w:tab/>
      </w:r>
      <w:r>
        <w:rPr>
          <w:rFonts w:ascii="Courier New" w:cs="Courier New" w:eastAsia="Courier New" w:hAnsi="Courier New"/>
          <w:sz w:val="15"/>
          <w:szCs w:val="15"/>
          <w:color w:val="auto"/>
        </w:rPr>
        <w:t>(815)</w:t>
      </w:r>
      <w:r>
        <w:rPr>
          <w:sz w:val="20"/>
          <w:szCs w:val="20"/>
          <w:color w:val="auto"/>
        </w:rPr>
        <w:tab/>
      </w:r>
      <w:r>
        <w:rPr>
          <w:rFonts w:ascii="Courier New" w:cs="Courier New" w:eastAsia="Courier New" w:hAnsi="Courier New"/>
          <w:sz w:val="15"/>
          <w:szCs w:val="15"/>
          <w:color w:val="auto"/>
        </w:rPr>
        <w:t>4,284</w:t>
      </w:r>
      <w:r>
        <w:rPr>
          <w:sz w:val="20"/>
          <w:szCs w:val="20"/>
          <w:color w:val="auto"/>
        </w:rPr>
        <w:tab/>
      </w:r>
      <w:r>
        <w:rPr>
          <w:rFonts w:ascii="Courier New" w:cs="Courier New" w:eastAsia="Courier New" w:hAnsi="Courier New"/>
          <w:sz w:val="15"/>
          <w:szCs w:val="15"/>
          <w:color w:val="auto"/>
        </w:rPr>
        <w:t>1,408</w:t>
      </w:r>
      <w:r>
        <w:rPr>
          <w:sz w:val="20"/>
          <w:szCs w:val="20"/>
          <w:color w:val="auto"/>
        </w:rPr>
        <w:tab/>
      </w:r>
      <w:r>
        <w:rPr>
          <w:rFonts w:ascii="Courier New" w:cs="Courier New" w:eastAsia="Courier New" w:hAnsi="Courier New"/>
          <w:sz w:val="15"/>
          <w:szCs w:val="15"/>
          <w:color w:val="auto"/>
        </w:rPr>
        <w:t>267</w:t>
      </w:r>
      <w:r>
        <w:rPr>
          <w:sz w:val="20"/>
          <w:szCs w:val="20"/>
          <w:color w:val="auto"/>
        </w:rPr>
        <w:tab/>
      </w:r>
      <w:r>
        <w:rPr>
          <w:rFonts w:ascii="Courier New" w:cs="Courier New" w:eastAsia="Courier New" w:hAnsi="Courier New"/>
          <w:sz w:val="15"/>
          <w:szCs w:val="15"/>
          <w:color w:val="auto"/>
        </w:rPr>
        <w:t>3,816</w:t>
      </w:r>
      <w:r>
        <w:rPr>
          <w:sz w:val="20"/>
          <w:szCs w:val="20"/>
          <w:color w:val="auto"/>
        </w:rPr>
        <w:tab/>
      </w:r>
      <w:r>
        <w:rPr>
          <w:rFonts w:ascii="Courier New" w:cs="Courier New" w:eastAsia="Courier New" w:hAnsi="Courier New"/>
          <w:sz w:val="15"/>
          <w:szCs w:val="15"/>
          <w:color w:val="auto"/>
        </w:rPr>
        <w:t>244</w:t>
      </w:r>
    </w:p>
    <w:p>
      <w:pPr>
        <w:sectPr>
          <w:pgSz w:w="11900" w:h="16838" w:orient="portrait"/>
          <w:cols w:equalWidth="0" w:num="2">
            <w:col w:w="2305" w:space="180"/>
            <w:col w:w="9040"/>
          </w:cols>
          <w:pgMar w:left="235" w:top="142" w:right="139" w:bottom="0" w:gutter="0" w:footer="0" w:header="0"/>
          <w:type w:val="continuous"/>
        </w:sectPr>
      </w:pPr>
    </w:p>
    <w:bookmarkStart w:id="33" w:name="page34"/>
    <w:bookmarkEnd w:id="33"/>
    <w:tbl>
      <w:tblPr>
        <w:tblLayout w:type="fixed"/>
        <w:tblInd w:w="465" w:type="dxa"/>
        <w:tblCellMar>
          <w:top w:w="0" w:type="dxa"/>
          <w:left w:w="0" w:type="dxa"/>
          <w:bottom w:w="0" w:type="dxa"/>
          <w:right w:w="0" w:type="dxa"/>
        </w:tblCellMar>
      </w:tblPr>
      <w:tr>
        <w:trPr>
          <w:trHeight w:val="172"/>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Segment profit</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7"/>
        </w:trPr>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(loss)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4,498</w:t>
            </w:r>
          </w:p>
        </w:tc>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1,962</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(1 798)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8,314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898</w:t>
            </w:r>
          </w:p>
        </w:tc>
        <w:tc>
          <w:tcPr>
            <w:tcW w:w="1480" w:type="dxa"/>
            <w:vAlign w:val="bottom"/>
          </w:tcPr>
          <w:p>
            <w:pPr>
              <w:ind w:left="560"/>
              <w:spacing w:after="0"/>
              <w:rPr>
                <w:sz w:val="20"/>
                <w:szCs w:val="20"/>
                <w:color w:val="auto"/>
              </w:rPr>
            </w:pPr>
            <w:r>
              <w:rPr>
                <w:rFonts w:ascii="Courier New" w:cs="Courier New" w:eastAsia="Courier New" w:hAnsi="Courier New"/>
                <w:sz w:val="15"/>
                <w:szCs w:val="15"/>
                <w:color w:val="auto"/>
              </w:rPr>
              <w:t>7,293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466</w:t>
            </w:r>
          </w:p>
        </w:tc>
      </w:tr>
      <w:tr>
        <w:trPr>
          <w:trHeight w:val="177"/>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Segment assets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62,978</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68,288</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55,721</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62,574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91,392</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33,842</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58,557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31,811</w:t>
            </w:r>
          </w:p>
        </w:tc>
      </w:tr>
      <w:tr>
        <w:trPr>
          <w:trHeight w:val="177"/>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Expenditures for</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long- lived</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1,117</w:t>
            </w:r>
          </w:p>
        </w:tc>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3,537</w:t>
            </w:r>
          </w:p>
        </w:tc>
        <w:tc>
          <w:tcPr>
            <w:tcW w:w="8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1 660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9,319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3,737</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4,854</w:t>
            </w:r>
          </w:p>
        </w:tc>
        <w:tc>
          <w:tcPr>
            <w:tcW w:w="1480" w:type="dxa"/>
            <w:vAlign w:val="bottom"/>
          </w:tcPr>
          <w:p>
            <w:pPr>
              <w:ind w:left="560"/>
              <w:spacing w:after="0"/>
              <w:rPr>
                <w:sz w:val="20"/>
                <w:szCs w:val="20"/>
                <w:color w:val="auto"/>
              </w:rPr>
            </w:pPr>
            <w:r>
              <w:rPr>
                <w:rFonts w:ascii="Courier New" w:cs="Courier New" w:eastAsia="Courier New" w:hAnsi="Courier New"/>
                <w:sz w:val="15"/>
                <w:szCs w:val="15"/>
                <w:color w:val="auto"/>
              </w:rPr>
              <w:t>1,723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671</w:t>
            </w:r>
          </w:p>
        </w:tc>
      </w:tr>
      <w:tr>
        <w:trPr>
          <w:trHeight w:val="355"/>
        </w:trPr>
        <w:tc>
          <w:tcPr>
            <w:tcW w:w="7060" w:type="dxa"/>
            <w:vAlign w:val="bottom"/>
            <w:gridSpan w:val="7"/>
          </w:tcPr>
          <w:p>
            <w:pPr>
              <w:ind w:left="180"/>
              <w:spacing w:after="0"/>
              <w:rPr>
                <w:sz w:val="20"/>
                <w:szCs w:val="20"/>
                <w:color w:val="auto"/>
              </w:rPr>
            </w:pPr>
            <w:r>
              <w:rPr>
                <w:rFonts w:ascii="Courier New" w:cs="Courier New" w:eastAsia="Courier New" w:hAnsi="Courier New"/>
                <w:sz w:val="15"/>
                <w:szCs w:val="15"/>
                <w:color w:val="auto"/>
              </w:rPr>
              <w:t>Sales to external customers and long-lived assets utilized by the Company</w:t>
            </w: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534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were concentrated in the following geographical regions:</w:t>
            </w: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5"/>
        </w:trPr>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2"/>
          </w:tcPr>
          <w:p>
            <w:pPr>
              <w:jc w:val="right"/>
              <w:ind w:right="523"/>
              <w:spacing w:after="0"/>
              <w:rPr>
                <w:sz w:val="20"/>
                <w:szCs w:val="20"/>
                <w:color w:val="auto"/>
              </w:rPr>
            </w:pPr>
            <w:r>
              <w:rPr>
                <w:rFonts w:ascii="Courier New" w:cs="Courier New" w:eastAsia="Courier New" w:hAnsi="Courier New"/>
                <w:sz w:val="15"/>
                <w:szCs w:val="15"/>
                <w:b w:val="1"/>
                <w:bCs w:val="1"/>
                <w:color w:val="auto"/>
              </w:rPr>
              <w:t>December 31, 2001</w:t>
            </w:r>
          </w:p>
        </w:tc>
        <w:tc>
          <w:tcPr>
            <w:tcW w:w="2580" w:type="dxa"/>
            <w:vAlign w:val="bottom"/>
            <w:gridSpan w:val="3"/>
          </w:tcPr>
          <w:p>
            <w:pPr>
              <w:jc w:val="right"/>
              <w:ind w:right="343"/>
              <w:spacing w:after="0"/>
              <w:rPr>
                <w:sz w:val="20"/>
                <w:szCs w:val="20"/>
                <w:color w:val="auto"/>
              </w:rPr>
            </w:pPr>
            <w:r>
              <w:rPr>
                <w:rFonts w:ascii="Courier New" w:cs="Courier New" w:eastAsia="Courier New" w:hAnsi="Courier New"/>
                <w:sz w:val="15"/>
                <w:szCs w:val="15"/>
                <w:b w:val="1"/>
                <w:bCs w:val="1"/>
                <w:color w:val="auto"/>
              </w:rPr>
              <w:t>December 31, 2000</w:t>
            </w:r>
          </w:p>
        </w:tc>
        <w:tc>
          <w:tcPr>
            <w:tcW w:w="2620" w:type="dxa"/>
            <w:vAlign w:val="bottom"/>
            <w:gridSpan w:val="2"/>
          </w:tcPr>
          <w:p>
            <w:pPr>
              <w:jc w:val="right"/>
              <w:ind w:right="563"/>
              <w:spacing w:after="0"/>
              <w:rPr>
                <w:sz w:val="20"/>
                <w:szCs w:val="20"/>
                <w:color w:val="auto"/>
              </w:rPr>
            </w:pPr>
            <w:r>
              <w:rPr>
                <w:rFonts w:ascii="Courier New" w:cs="Courier New" w:eastAsia="Courier New" w:hAnsi="Courier New"/>
                <w:sz w:val="15"/>
                <w:szCs w:val="15"/>
                <w:b w:val="1"/>
                <w:bCs w:val="1"/>
                <w:color w:val="auto"/>
              </w:rPr>
              <w:t>December 31, 1999</w:t>
            </w:r>
          </w:p>
        </w:tc>
        <w:tc>
          <w:tcPr>
            <w:tcW w:w="740" w:type="dxa"/>
            <w:vAlign w:val="bottom"/>
          </w:tcPr>
          <w:p>
            <w:pPr>
              <w:spacing w:after="0"/>
              <w:rPr>
                <w:sz w:val="24"/>
                <w:szCs w:val="24"/>
                <w:color w:val="auto"/>
              </w:rPr>
            </w:pPr>
          </w:p>
        </w:tc>
      </w:tr>
      <w:tr>
        <w:trPr>
          <w:trHeight w:val="177"/>
        </w:trPr>
        <w:tc>
          <w:tcPr>
            <w:tcW w:w="1700" w:type="dxa"/>
            <w:vAlign w:val="bottom"/>
          </w:tcPr>
          <w:p>
            <w:pPr>
              <w:spacing w:after="0"/>
              <w:rPr>
                <w:sz w:val="15"/>
                <w:szCs w:val="15"/>
                <w:color w:val="auto"/>
              </w:rPr>
            </w:pPr>
          </w:p>
        </w:tc>
        <w:tc>
          <w:tcPr>
            <w:tcW w:w="7980" w:type="dxa"/>
            <w:vAlign w:val="bottom"/>
            <w:gridSpan w:val="8"/>
          </w:tcPr>
          <w:p>
            <w:pPr>
              <w:jc w:val="right"/>
              <w:ind w:right="103"/>
              <w:spacing w:after="0"/>
              <w:rPr>
                <w:sz w:val="20"/>
                <w:szCs w:val="20"/>
                <w:color w:val="auto"/>
              </w:rPr>
            </w:pPr>
            <w:r>
              <w:rPr>
                <w:rFonts w:ascii="Courier New" w:cs="Courier New" w:eastAsia="Courier New" w:hAnsi="Courier New"/>
                <w:sz w:val="15"/>
                <w:szCs w:val="15"/>
                <w:b w:val="1"/>
                <w:bCs w:val="1"/>
                <w:color w:val="auto"/>
              </w:rPr>
              <w:t>------------------------------- -------------------------- -------------------------</w:t>
            </w:r>
          </w:p>
        </w:tc>
        <w:tc>
          <w:tcPr>
            <w:tcW w:w="740" w:type="dxa"/>
            <w:vAlign w:val="bottom"/>
          </w:tcPr>
          <w:p>
            <w:pPr>
              <w:spacing w:after="0"/>
              <w:rPr>
                <w:sz w:val="15"/>
                <w:szCs w:val="15"/>
                <w:color w:val="auto"/>
              </w:rPr>
            </w:pPr>
          </w:p>
        </w:tc>
      </w:tr>
      <w:tr>
        <w:trPr>
          <w:trHeight w:val="177"/>
        </w:trPr>
        <w:tc>
          <w:tcPr>
            <w:tcW w:w="1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tcPr>
          <w:p>
            <w:pPr>
              <w:jc w:val="right"/>
              <w:ind w:right="263"/>
              <w:spacing w:after="0"/>
              <w:rPr>
                <w:sz w:val="20"/>
                <w:szCs w:val="20"/>
                <w:color w:val="auto"/>
              </w:rPr>
            </w:pPr>
            <w:r>
              <w:rPr>
                <w:rFonts w:ascii="Courier New" w:cs="Courier New" w:eastAsia="Courier New" w:hAnsi="Courier New"/>
                <w:sz w:val="15"/>
                <w:szCs w:val="15"/>
                <w:b w:val="1"/>
                <w:bCs w:val="1"/>
                <w:color w:val="auto"/>
              </w:rPr>
              <w:t>Long-lived</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b w:val="1"/>
                <w:bCs w:val="1"/>
                <w:color w:val="auto"/>
              </w:rPr>
              <w:t>Long-lived</w:t>
            </w:r>
          </w:p>
        </w:tc>
        <w:tc>
          <w:tcPr>
            <w:tcW w:w="1140" w:type="dxa"/>
            <w:vAlign w:val="bottom"/>
          </w:tcPr>
          <w:p>
            <w:pPr>
              <w:spacing w:after="0"/>
              <w:rPr>
                <w:sz w:val="15"/>
                <w:szCs w:val="15"/>
                <w:color w:val="auto"/>
              </w:rPr>
            </w:pP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Long-lived</w:t>
            </w:r>
          </w:p>
        </w:tc>
        <w:tc>
          <w:tcPr>
            <w:tcW w:w="740" w:type="dxa"/>
            <w:vAlign w:val="bottom"/>
          </w:tcPr>
          <w:p>
            <w:pPr>
              <w:spacing w:after="0"/>
              <w:rPr>
                <w:sz w:val="15"/>
                <w:szCs w:val="15"/>
                <w:color w:val="auto"/>
              </w:rPr>
            </w:pPr>
          </w:p>
        </w:tc>
      </w:tr>
      <w:tr>
        <w:trPr>
          <w:trHeight w:val="177"/>
        </w:trPr>
        <w:tc>
          <w:tcPr>
            <w:tcW w:w="1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43"/>
              <w:spacing w:after="0"/>
              <w:rPr>
                <w:sz w:val="20"/>
                <w:szCs w:val="20"/>
                <w:color w:val="auto"/>
              </w:rPr>
            </w:pPr>
            <w:r>
              <w:rPr>
                <w:rFonts w:ascii="Courier New" w:cs="Courier New" w:eastAsia="Courier New" w:hAnsi="Courier New"/>
                <w:sz w:val="15"/>
                <w:szCs w:val="15"/>
                <w:b w:val="1"/>
                <w:bCs w:val="1"/>
                <w:color w:val="auto"/>
                <w:w w:val="97"/>
              </w:rPr>
              <w:t>Sales</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b w:val="1"/>
                <w:bCs w:val="1"/>
                <w:color w:val="auto"/>
              </w:rPr>
              <w:t>assets</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b w:val="1"/>
                <w:bCs w:val="1"/>
                <w:color w:val="auto"/>
              </w:rPr>
              <w:t>Sales</w:t>
            </w:r>
          </w:p>
        </w:tc>
        <w:tc>
          <w:tcPr>
            <w:tcW w:w="560" w:type="dxa"/>
            <w:vAlign w:val="bottom"/>
          </w:tcPr>
          <w:p>
            <w:pPr>
              <w:spacing w:after="0"/>
              <w:rPr>
                <w:sz w:val="15"/>
                <w:szCs w:val="15"/>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b w:val="1"/>
                <w:bCs w:val="1"/>
                <w:color w:val="auto"/>
              </w:rPr>
              <w:t>assets</w:t>
            </w:r>
          </w:p>
        </w:tc>
        <w:tc>
          <w:tcPr>
            <w:tcW w:w="114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Sales</w:t>
            </w:r>
          </w:p>
        </w:tc>
        <w:tc>
          <w:tcPr>
            <w:tcW w:w="1480" w:type="dxa"/>
            <w:vAlign w:val="bottom"/>
          </w:tcPr>
          <w:p>
            <w:pPr>
              <w:jc w:val="right"/>
              <w:ind w:right="563"/>
              <w:spacing w:after="0"/>
              <w:rPr>
                <w:sz w:val="20"/>
                <w:szCs w:val="20"/>
                <w:color w:val="auto"/>
              </w:rPr>
            </w:pPr>
            <w:r>
              <w:rPr>
                <w:rFonts w:ascii="Courier New" w:cs="Courier New" w:eastAsia="Courier New" w:hAnsi="Courier New"/>
                <w:sz w:val="15"/>
                <w:szCs w:val="15"/>
                <w:b w:val="1"/>
                <w:bCs w:val="1"/>
                <w:color w:val="auto"/>
              </w:rPr>
              <w:t>assets</w:t>
            </w:r>
          </w:p>
        </w:tc>
        <w:tc>
          <w:tcPr>
            <w:tcW w:w="740" w:type="dxa"/>
            <w:vAlign w:val="bottom"/>
          </w:tcPr>
          <w:p>
            <w:pPr>
              <w:spacing w:after="0"/>
              <w:rPr>
                <w:sz w:val="15"/>
                <w:szCs w:val="15"/>
                <w:color w:val="auto"/>
              </w:rPr>
            </w:pPr>
          </w:p>
        </w:tc>
      </w:tr>
      <w:tr>
        <w:trPr>
          <w:trHeight w:val="177"/>
        </w:trPr>
        <w:tc>
          <w:tcPr>
            <w:tcW w:w="17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b w:val="1"/>
                <w:bCs w:val="1"/>
                <w:color w:val="auto"/>
              </w:rPr>
              <w:t>-------------</w:t>
            </w:r>
          </w:p>
        </w:tc>
        <w:tc>
          <w:tcPr>
            <w:tcW w:w="2300" w:type="dxa"/>
            <w:vAlign w:val="bottom"/>
            <w:gridSpan w:val="2"/>
          </w:tcPr>
          <w:p>
            <w:pPr>
              <w:jc w:val="right"/>
              <w:ind w:right="183"/>
              <w:spacing w:after="0"/>
              <w:rPr>
                <w:sz w:val="20"/>
                <w:szCs w:val="20"/>
                <w:color w:val="auto"/>
              </w:rPr>
            </w:pPr>
            <w:r>
              <w:rPr>
                <w:rFonts w:ascii="Courier New" w:cs="Courier New" w:eastAsia="Courier New" w:hAnsi="Courier New"/>
                <w:sz w:val="15"/>
                <w:szCs w:val="15"/>
                <w:b w:val="1"/>
                <w:bCs w:val="1"/>
                <w:color w:val="auto"/>
              </w:rPr>
              <w:t>------------- --------</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b w:val="1"/>
                <w:bCs w:val="1"/>
                <w:color w:val="auto"/>
              </w:rPr>
              <w:t>-------------</w:t>
            </w:r>
          </w:p>
        </w:tc>
        <w:tc>
          <w:tcPr>
            <w:tcW w:w="740" w:type="dxa"/>
            <w:vAlign w:val="bottom"/>
          </w:tcPr>
          <w:p>
            <w:pPr>
              <w:spacing w:after="0"/>
              <w:rPr>
                <w:sz w:val="15"/>
                <w:szCs w:val="15"/>
                <w:color w:val="auto"/>
              </w:rPr>
            </w:pPr>
          </w:p>
        </w:tc>
      </w:tr>
      <w:tr>
        <w:trPr>
          <w:trHeight w:val="355"/>
        </w:trPr>
        <w:tc>
          <w:tcPr>
            <w:tcW w:w="170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59,813</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$ 38,900</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$ 62,094</w:t>
            </w:r>
          </w:p>
        </w:tc>
        <w:tc>
          <w:tcPr>
            <w:tcW w:w="1720" w:type="dxa"/>
            <w:vAlign w:val="bottom"/>
            <w:gridSpan w:val="2"/>
          </w:tcPr>
          <w:p>
            <w:pPr>
              <w:jc w:val="right"/>
              <w:ind w:right="443"/>
              <w:spacing w:after="0"/>
              <w:rPr>
                <w:sz w:val="20"/>
                <w:szCs w:val="20"/>
                <w:color w:val="auto"/>
              </w:rPr>
            </w:pPr>
            <w:r>
              <w:rPr>
                <w:rFonts w:ascii="Courier New" w:cs="Courier New" w:eastAsia="Courier New" w:hAnsi="Courier New"/>
                <w:sz w:val="15"/>
                <w:szCs w:val="15"/>
                <w:color w:val="auto"/>
              </w:rPr>
              <w:t>$ 44,137</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$ 52,907</w:t>
            </w:r>
          </w:p>
        </w:tc>
        <w:tc>
          <w:tcPr>
            <w:tcW w:w="14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$ 36,842</w:t>
            </w:r>
          </w:p>
        </w:tc>
        <w:tc>
          <w:tcPr>
            <w:tcW w:w="740" w:type="dxa"/>
            <w:vAlign w:val="bottom"/>
          </w:tcPr>
          <w:p>
            <w:pPr>
              <w:spacing w:after="0"/>
              <w:rPr>
                <w:sz w:val="24"/>
                <w:szCs w:val="24"/>
                <w:color w:val="auto"/>
              </w:rPr>
            </w:pPr>
          </w:p>
        </w:tc>
      </w:tr>
      <w:tr>
        <w:trPr>
          <w:trHeight w:val="355"/>
        </w:trPr>
        <w:tc>
          <w:tcPr>
            <w:tcW w:w="170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320" w:type="dxa"/>
            <w:vAlign w:val="bottom"/>
          </w:tcPr>
          <w:p>
            <w:pPr>
              <w:spacing w:after="0"/>
              <w:rPr>
                <w:sz w:val="24"/>
                <w:szCs w:val="24"/>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88,649</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42,799</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46,697</w:t>
            </w:r>
          </w:p>
        </w:tc>
        <w:tc>
          <w:tcPr>
            <w:tcW w:w="560" w:type="dxa"/>
            <w:vAlign w:val="bottom"/>
          </w:tcPr>
          <w:p>
            <w:pPr>
              <w:spacing w:after="0"/>
              <w:rPr>
                <w:sz w:val="24"/>
                <w:szCs w:val="24"/>
                <w:color w:val="auto"/>
              </w:rPr>
            </w:pPr>
          </w:p>
        </w:tc>
        <w:tc>
          <w:tcPr>
            <w:tcW w:w="11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46,216</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21,064</w:t>
            </w:r>
          </w:p>
        </w:tc>
        <w:tc>
          <w:tcPr>
            <w:tcW w:w="14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6,610</w:t>
            </w:r>
          </w:p>
        </w:tc>
        <w:tc>
          <w:tcPr>
            <w:tcW w:w="740" w:type="dxa"/>
            <w:vAlign w:val="bottom"/>
          </w:tcPr>
          <w:p>
            <w:pPr>
              <w:spacing w:after="0"/>
              <w:rPr>
                <w:sz w:val="24"/>
                <w:szCs w:val="24"/>
                <w:color w:val="auto"/>
              </w:rPr>
            </w:pPr>
          </w:p>
        </w:tc>
      </w:tr>
      <w:tr>
        <w:trPr>
          <w:trHeight w:val="355"/>
        </w:trPr>
        <w:tc>
          <w:tcPr>
            <w:tcW w:w="170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320" w:type="dxa"/>
            <w:vAlign w:val="bottom"/>
          </w:tcPr>
          <w:p>
            <w:pPr>
              <w:spacing w:after="0"/>
              <w:rPr>
                <w:sz w:val="24"/>
                <w:szCs w:val="24"/>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8,278</w:t>
            </w:r>
          </w:p>
        </w:tc>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6,449</w:t>
            </w:r>
          </w:p>
        </w:tc>
        <w:tc>
          <w:tcPr>
            <w:tcW w:w="560" w:type="dxa"/>
            <w:vAlign w:val="bottom"/>
          </w:tcPr>
          <w:p>
            <w:pPr>
              <w:spacing w:after="0"/>
              <w:rPr>
                <w:sz w:val="24"/>
                <w:szCs w:val="2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5,918</w:t>
            </w:r>
          </w:p>
        </w:tc>
        <w:tc>
          <w:tcPr>
            <w:tcW w:w="148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r>
      <w:tr>
        <w:trPr>
          <w:trHeight w:val="355"/>
        </w:trPr>
        <w:tc>
          <w:tcPr>
            <w:tcW w:w="1700" w:type="dxa"/>
            <w:vAlign w:val="bottom"/>
          </w:tcPr>
          <w:p>
            <w:pPr>
              <w:spacing w:after="0"/>
              <w:rPr>
                <w:sz w:val="20"/>
                <w:szCs w:val="20"/>
                <w:color w:val="auto"/>
              </w:rPr>
            </w:pPr>
            <w:r>
              <w:rPr>
                <w:rFonts w:ascii="Courier New" w:cs="Courier New" w:eastAsia="Courier New" w:hAnsi="Courier New"/>
                <w:sz w:val="15"/>
                <w:szCs w:val="15"/>
                <w:color w:val="auto"/>
              </w:rPr>
              <w:t>Latin/S.America</w:t>
            </w:r>
          </w:p>
        </w:tc>
        <w:tc>
          <w:tcPr>
            <w:tcW w:w="320" w:type="dxa"/>
            <w:vAlign w:val="bottom"/>
          </w:tcPr>
          <w:p>
            <w:pPr>
              <w:spacing w:after="0"/>
              <w:rPr>
                <w:sz w:val="24"/>
                <w:szCs w:val="24"/>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8,157</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1,071</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6,100</w:t>
            </w:r>
          </w:p>
        </w:tc>
        <w:tc>
          <w:tcPr>
            <w:tcW w:w="560" w:type="dxa"/>
            <w:vAlign w:val="bottom"/>
          </w:tcPr>
          <w:p>
            <w:pPr>
              <w:spacing w:after="0"/>
              <w:rPr>
                <w:sz w:val="24"/>
                <w:szCs w:val="24"/>
                <w:color w:val="auto"/>
              </w:rPr>
            </w:pPr>
          </w:p>
        </w:tc>
        <w:tc>
          <w:tcPr>
            <w:tcW w:w="11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1,340</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2,903</w:t>
            </w:r>
          </w:p>
        </w:tc>
        <w:tc>
          <w:tcPr>
            <w:tcW w:w="148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r>
      <w:tr>
        <w:trPr>
          <w:trHeight w:val="355"/>
        </w:trPr>
        <w:tc>
          <w:tcPr>
            <w:tcW w:w="1700" w:type="dxa"/>
            <w:vAlign w:val="bottom"/>
          </w:tcPr>
          <w:p>
            <w:pPr>
              <w:spacing w:after="0"/>
              <w:rPr>
                <w:sz w:val="20"/>
                <w:szCs w:val="20"/>
                <w:color w:val="auto"/>
              </w:rPr>
            </w:pPr>
            <w:r>
              <w:rPr>
                <w:rFonts w:ascii="Courier New" w:cs="Courier New" w:eastAsia="Courier New" w:hAnsi="Courier New"/>
                <w:sz w:val="15"/>
                <w:szCs w:val="15"/>
                <w:color w:val="auto"/>
              </w:rPr>
              <w:t>Other export</w:t>
            </w:r>
          </w:p>
        </w:tc>
        <w:tc>
          <w:tcPr>
            <w:tcW w:w="320" w:type="dxa"/>
            <w:vAlign w:val="bottom"/>
          </w:tcPr>
          <w:p>
            <w:pPr>
              <w:spacing w:after="0"/>
              <w:rPr>
                <w:sz w:val="24"/>
                <w:szCs w:val="24"/>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15,254</w:t>
            </w:r>
          </w:p>
        </w:tc>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10,789</w:t>
            </w:r>
          </w:p>
        </w:tc>
        <w:tc>
          <w:tcPr>
            <w:tcW w:w="560" w:type="dxa"/>
            <w:vAlign w:val="bottom"/>
          </w:tcPr>
          <w:p>
            <w:pPr>
              <w:spacing w:after="0"/>
              <w:rPr>
                <w:sz w:val="24"/>
                <w:szCs w:val="2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2,502</w:t>
            </w:r>
          </w:p>
        </w:tc>
        <w:tc>
          <w:tcPr>
            <w:tcW w:w="148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r>
      <w:tr>
        <w:trPr>
          <w:trHeight w:val="177"/>
        </w:trPr>
        <w:tc>
          <w:tcPr>
            <w:tcW w:w="1700" w:type="dxa"/>
            <w:vAlign w:val="bottom"/>
          </w:tcPr>
          <w:p>
            <w:pPr>
              <w:spacing w:after="0"/>
              <w:rPr>
                <w:sz w:val="15"/>
                <w:szCs w:val="15"/>
                <w:color w:val="auto"/>
              </w:rPr>
            </w:pPr>
          </w:p>
        </w:tc>
        <w:tc>
          <w:tcPr>
            <w:tcW w:w="130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177"/>
        </w:trPr>
        <w:tc>
          <w:tcPr>
            <w:tcW w:w="1700" w:type="dxa"/>
            <w:vAlign w:val="bottom"/>
          </w:tcPr>
          <w:p>
            <w:pPr>
              <w:spacing w:after="0"/>
              <w:rPr>
                <w:sz w:val="20"/>
                <w:szCs w:val="20"/>
                <w:color w:val="auto"/>
              </w:rPr>
            </w:pPr>
            <w:r>
              <w:rPr>
                <w:rFonts w:ascii="Courier New" w:cs="Courier New" w:eastAsia="Courier New" w:hAnsi="Courier New"/>
                <w:sz w:val="15"/>
                <w:szCs w:val="15"/>
                <w:color w:val="auto"/>
              </w:rPr>
              <w:t>All foreign</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countries</w:t>
            </w:r>
          </w:p>
        </w:tc>
        <w:tc>
          <w:tcPr>
            <w:tcW w:w="32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120,338</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43,870</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70,035</w:t>
            </w:r>
          </w:p>
        </w:tc>
        <w:tc>
          <w:tcPr>
            <w:tcW w:w="560" w:type="dxa"/>
            <w:vAlign w:val="bottom"/>
          </w:tcPr>
          <w:p>
            <w:pPr>
              <w:spacing w:after="0"/>
              <w:rPr>
                <w:sz w:val="15"/>
                <w:szCs w:val="15"/>
                <w:color w:val="auto"/>
              </w:rPr>
            </w:pPr>
          </w:p>
        </w:tc>
        <w:tc>
          <w:tcPr>
            <w:tcW w:w="11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47,556</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32,387</w:t>
            </w:r>
          </w:p>
        </w:tc>
        <w:tc>
          <w:tcPr>
            <w:tcW w:w="14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6,610</w:t>
            </w:r>
          </w:p>
        </w:tc>
        <w:tc>
          <w:tcPr>
            <w:tcW w:w="740" w:type="dxa"/>
            <w:vAlign w:val="bottom"/>
          </w:tcPr>
          <w:p>
            <w:pPr>
              <w:spacing w:after="0"/>
              <w:rPr>
                <w:sz w:val="15"/>
                <w:szCs w:val="15"/>
                <w:color w:val="auto"/>
              </w:rPr>
            </w:pPr>
          </w:p>
        </w:tc>
      </w:tr>
      <w:tr>
        <w:trPr>
          <w:trHeight w:val="177"/>
        </w:trPr>
        <w:tc>
          <w:tcPr>
            <w:tcW w:w="1700" w:type="dxa"/>
            <w:vAlign w:val="bottom"/>
          </w:tcPr>
          <w:p>
            <w:pPr>
              <w:spacing w:after="0"/>
              <w:rPr>
                <w:sz w:val="15"/>
                <w:szCs w:val="15"/>
                <w:color w:val="auto"/>
              </w:rPr>
            </w:pPr>
          </w:p>
        </w:tc>
        <w:tc>
          <w:tcPr>
            <w:tcW w:w="130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355"/>
        </w:trPr>
        <w:tc>
          <w:tcPr>
            <w:tcW w:w="17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180,151</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$ 82,770</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$132,129</w:t>
            </w:r>
          </w:p>
        </w:tc>
        <w:tc>
          <w:tcPr>
            <w:tcW w:w="1720" w:type="dxa"/>
            <w:vAlign w:val="bottom"/>
            <w:gridSpan w:val="2"/>
          </w:tcPr>
          <w:p>
            <w:pPr>
              <w:jc w:val="right"/>
              <w:ind w:right="443"/>
              <w:spacing w:after="0"/>
              <w:rPr>
                <w:sz w:val="20"/>
                <w:szCs w:val="20"/>
                <w:color w:val="auto"/>
              </w:rPr>
            </w:pPr>
            <w:r>
              <w:rPr>
                <w:rFonts w:ascii="Courier New" w:cs="Courier New" w:eastAsia="Courier New" w:hAnsi="Courier New"/>
                <w:sz w:val="15"/>
                <w:szCs w:val="15"/>
                <w:color w:val="auto"/>
              </w:rPr>
              <w:t>$ 91,693</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$ 85,294</w:t>
            </w:r>
          </w:p>
        </w:tc>
        <w:tc>
          <w:tcPr>
            <w:tcW w:w="14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$ 43,452</w:t>
            </w:r>
          </w:p>
        </w:tc>
        <w:tc>
          <w:tcPr>
            <w:tcW w:w="740" w:type="dxa"/>
            <w:vAlign w:val="bottom"/>
          </w:tcPr>
          <w:p>
            <w:pPr>
              <w:spacing w:after="0"/>
              <w:rPr>
                <w:sz w:val="24"/>
                <w:szCs w:val="24"/>
                <w:color w:val="auto"/>
              </w:rPr>
            </w:pPr>
          </w:p>
        </w:tc>
      </w:tr>
      <w:tr>
        <w:trPr>
          <w:trHeight w:val="177"/>
        </w:trPr>
        <w:tc>
          <w:tcPr>
            <w:tcW w:w="1700" w:type="dxa"/>
            <w:vAlign w:val="bottom"/>
          </w:tcPr>
          <w:p>
            <w:pPr>
              <w:spacing w:after="0"/>
              <w:rPr>
                <w:sz w:val="15"/>
                <w:szCs w:val="15"/>
                <w:color w:val="auto"/>
              </w:rPr>
            </w:pPr>
          </w:p>
        </w:tc>
        <w:tc>
          <w:tcPr>
            <w:tcW w:w="130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bl>
    <w:p>
      <w:pPr>
        <w:spacing w:after="0" w:line="183" w:lineRule="exact"/>
        <w:rPr>
          <w:sz w:val="20"/>
          <w:szCs w:val="20"/>
          <w:color w:val="auto"/>
        </w:rPr>
      </w:pPr>
    </w:p>
    <w:p>
      <w:pPr>
        <w:jc w:val="both"/>
        <w:ind w:left="645" w:right="3600"/>
        <w:spacing w:after="0" w:line="252" w:lineRule="auto"/>
        <w:rPr>
          <w:sz w:val="20"/>
          <w:szCs w:val="20"/>
          <w:color w:val="auto"/>
        </w:rPr>
      </w:pPr>
      <w:r>
        <w:rPr>
          <w:rFonts w:ascii="Courier New" w:cs="Courier New" w:eastAsia="Courier New" w:hAnsi="Courier New"/>
          <w:sz w:val="15"/>
          <w:szCs w:val="15"/>
          <w:color w:val="auto"/>
        </w:rPr>
        <w:t>Two customers comprised 49%, 49% and 46% of the Domestic Ball and Roller Segments sales during the years ended December 31, 2001, 2000, and 1999, respectively (see Note 18). Two customers comprised 76% of the</w:t>
      </w:r>
    </w:p>
    <w:p>
      <w:pPr>
        <w:spacing w:after="0" w:line="175"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201295</wp:posOffset>
            </wp:positionV>
            <wp:extent cx="72891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49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349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62" w:lineRule="exact"/>
        <w:rPr>
          <w:sz w:val="20"/>
          <w:szCs w:val="20"/>
          <w:color w:val="auto"/>
        </w:rPr>
      </w:pPr>
    </w:p>
    <w:p>
      <w:pPr>
        <w:ind w:left="645" w:right="3500"/>
        <w:spacing w:after="0" w:line="251" w:lineRule="auto"/>
        <w:rPr>
          <w:sz w:val="20"/>
          <w:szCs w:val="20"/>
          <w:color w:val="auto"/>
        </w:rPr>
      </w:pPr>
      <w:r>
        <w:rPr>
          <w:rFonts w:ascii="Courier New" w:cs="Courier New" w:eastAsia="Courier New" w:hAnsi="Courier New"/>
          <w:sz w:val="15"/>
          <w:szCs w:val="15"/>
          <w:color w:val="auto"/>
        </w:rPr>
        <w:t>Euroball Segments sales during the year ended December 31, 2001. One customer comprised 5% and 20% of IMC's sales for the years ended December 31, 2001 and 2000, respectively. Accounts receivable concentrations as of December 31, 2001 are generally reflective of sales concentrations during 2001.</w:t>
      </w:r>
    </w:p>
    <w:p>
      <w:pPr>
        <w:spacing w:after="0" w:line="176" w:lineRule="exact"/>
        <w:rPr>
          <w:sz w:val="20"/>
          <w:szCs w:val="20"/>
          <w:color w:val="auto"/>
        </w:rPr>
      </w:pPr>
    </w:p>
    <w:p>
      <w:pPr>
        <w:ind w:left="745" w:hanging="745"/>
        <w:spacing w:after="0"/>
        <w:tabs>
          <w:tab w:leader="none" w:pos="745" w:val="left"/>
        </w:tabs>
        <w:numPr>
          <w:ilvl w:val="0"/>
          <w:numId w:val="1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Income Taxes</w:t>
      </w:r>
    </w:p>
    <w:p>
      <w:pPr>
        <w:spacing w:after="0" w:line="184" w:lineRule="exact"/>
        <w:rPr>
          <w:rFonts w:ascii="Courier New" w:cs="Courier New" w:eastAsia="Courier New" w:hAnsi="Courier New"/>
          <w:sz w:val="15"/>
          <w:szCs w:val="15"/>
          <w:b w:val="1"/>
          <w:bCs w:val="1"/>
          <w:color w:val="auto"/>
        </w:rPr>
      </w:pPr>
    </w:p>
    <w:p>
      <w:pPr>
        <w:ind w:left="745" w:right="3880"/>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Total income taxes (benefits) for the years ended December 31, 2001, 2000, and 1999 are allocated as follows:</w:t>
      </w:r>
    </w:p>
    <w:p>
      <w:pPr>
        <w:sectPr>
          <w:pgSz w:w="11900" w:h="16838" w:orient="portrait"/>
          <w:cols w:equalWidth="0" w:num="1">
            <w:col w:w="10885"/>
          </w:cols>
          <w:pgMar w:left="235" w:top="142" w:right="779" w:bottom="0" w:gutter="0" w:footer="0" w:header="0"/>
        </w:sectPr>
      </w:pPr>
    </w:p>
    <w:p>
      <w:pPr>
        <w:spacing w:after="0" w:line="178" w:lineRule="exact"/>
        <w:rPr>
          <w:sz w:val="20"/>
          <w:szCs w:val="20"/>
          <w:color w:val="auto"/>
        </w:rPr>
      </w:pPr>
    </w:p>
    <w:p>
      <w:pPr>
        <w:ind w:left="5445"/>
        <w:spacing w:after="0"/>
        <w:rPr>
          <w:sz w:val="20"/>
          <w:szCs w:val="20"/>
          <w:color w:val="auto"/>
        </w:rPr>
      </w:pPr>
      <w:r>
        <w:rPr>
          <w:rFonts w:ascii="Courier New" w:cs="Courier New" w:eastAsia="Courier New" w:hAnsi="Courier New"/>
          <w:sz w:val="15"/>
          <w:szCs w:val="15"/>
          <w:b w:val="1"/>
          <w:bCs w:val="1"/>
          <w:color w:val="auto"/>
        </w:rPr>
        <w:t>2001</w:t>
      </w:r>
    </w:p>
    <w:p>
      <w:pPr>
        <w:spacing w:after="0" w:line="8" w:lineRule="exact"/>
        <w:rPr>
          <w:sz w:val="20"/>
          <w:szCs w:val="20"/>
          <w:color w:val="auto"/>
        </w:rPr>
      </w:pPr>
    </w:p>
    <w:p>
      <w:pPr>
        <w:ind w:left="4805"/>
        <w:spacing w:after="0"/>
        <w:rPr>
          <w:sz w:val="20"/>
          <w:szCs w:val="20"/>
          <w:color w:val="auto"/>
        </w:rPr>
      </w:pPr>
      <w:r>
        <w:rPr>
          <w:rFonts w:ascii="Courier New" w:cs="Courier New" w:eastAsia="Courier New" w:hAnsi="Courier New"/>
          <w:sz w:val="15"/>
          <w:szCs w:val="15"/>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b w:val="1"/>
          <w:bCs w:val="1"/>
          <w:color w:val="auto"/>
        </w:rPr>
        <w:t>Year ended December 31,</w:t>
      </w:r>
    </w:p>
    <w:p>
      <w:pPr>
        <w:spacing w:after="0" w:line="8" w:lineRule="exact"/>
        <w:rPr>
          <w:sz w:val="20"/>
          <w:szCs w:val="20"/>
          <w:color w:val="auto"/>
        </w:rPr>
      </w:pPr>
    </w:p>
    <w:p>
      <w:pPr>
        <w:ind w:left="920"/>
        <w:spacing w:after="0"/>
        <w:tabs>
          <w:tab w:leader="none" w:pos="3020" w:val="left"/>
        </w:tabs>
        <w:rPr>
          <w:sz w:val="20"/>
          <w:szCs w:val="20"/>
          <w:color w:val="auto"/>
        </w:rPr>
      </w:pPr>
      <w:r>
        <w:rPr>
          <w:rFonts w:ascii="Courier New" w:cs="Courier New" w:eastAsia="Courier New" w:hAnsi="Courier New"/>
          <w:sz w:val="15"/>
          <w:szCs w:val="15"/>
          <w:b w:val="1"/>
          <w:bCs w:val="1"/>
          <w:color w:val="auto"/>
        </w:rPr>
        <w:t>2000</w:t>
      </w:r>
      <w:r>
        <w:rPr>
          <w:sz w:val="20"/>
          <w:szCs w:val="20"/>
          <w:color w:val="auto"/>
        </w:rPr>
        <w:tab/>
      </w:r>
      <w:r>
        <w:rPr>
          <w:rFonts w:ascii="Courier New" w:cs="Courier New" w:eastAsia="Courier New" w:hAnsi="Courier New"/>
          <w:sz w:val="15"/>
          <w:szCs w:val="15"/>
          <w:b w:val="1"/>
          <w:bCs w:val="1"/>
          <w:color w:val="auto"/>
        </w:rPr>
        <w:t>1999</w:t>
      </w:r>
    </w:p>
    <w:p>
      <w:pPr>
        <w:spacing w:after="0" w:line="8"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b w:val="1"/>
          <w:bCs w:val="1"/>
          <w:color w:val="auto"/>
        </w:rPr>
        <w:t>-------------------</w:t>
        <w:tab/>
        <w:t>-------------------</w:t>
      </w:r>
    </w:p>
    <w:p>
      <w:pPr>
        <w:spacing w:after="0" w:line="185" w:lineRule="exact"/>
        <w:rPr>
          <w:sz w:val="20"/>
          <w:szCs w:val="20"/>
          <w:color w:val="auto"/>
        </w:rPr>
      </w:pPr>
    </w:p>
    <w:p>
      <w:pPr>
        <w:sectPr>
          <w:pgSz w:w="11900" w:h="16838" w:orient="portrait"/>
          <w:cols w:equalWidth="0" w:num="2">
            <w:col w:w="6545" w:space="100"/>
            <w:col w:w="4240"/>
          </w:cols>
          <w:pgMar w:left="235" w:top="142" w:right="779" w:bottom="0" w:gutter="0" w:footer="0" w:header="0"/>
          <w:type w:val="continuous"/>
        </w:sectPr>
      </w:pPr>
    </w:p>
    <w:p>
      <w:pPr>
        <w:ind w:left="545"/>
        <w:spacing w:after="0"/>
        <w:rPr>
          <w:sz w:val="20"/>
          <w:szCs w:val="20"/>
          <w:color w:val="auto"/>
        </w:rPr>
      </w:pPr>
      <w:r>
        <w:rPr>
          <w:rFonts w:ascii="Courier New" w:cs="Courier New" w:eastAsia="Courier New" w:hAnsi="Courier New"/>
          <w:sz w:val="15"/>
          <w:szCs w:val="15"/>
          <w:color w:val="auto"/>
        </w:rPr>
        <w:t>Income from continuing operations: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4,094</w:t>
      </w:r>
    </w:p>
    <w:p>
      <w:pPr>
        <w:spacing w:after="0" w:line="20" w:lineRule="exact"/>
        <w:rPr>
          <w:sz w:val="20"/>
          <w:szCs w:val="20"/>
          <w:color w:val="auto"/>
        </w:rPr>
      </w:pPr>
      <w:r>
        <w:rPr>
          <w:sz w:val="20"/>
          <w:szCs w:val="20"/>
          <w:color w:val="auto"/>
        </w:rPr>
        <w:br w:type="column"/>
      </w:r>
    </w:p>
    <w:p>
      <w:pPr>
        <w:jc w:val="center"/>
        <w:ind w:right="480"/>
        <w:spacing w:after="0"/>
        <w:tabs>
          <w:tab w:leader="none" w:pos="160" w:val="left"/>
        </w:tabs>
        <w:rPr>
          <w:sz w:val="20"/>
          <w:szCs w:val="20"/>
          <w:color w:val="auto"/>
        </w:rPr>
      </w:pPr>
      <w:r>
        <w:rPr>
          <w:rFonts w:ascii="Courier New" w:cs="Courier New" w:eastAsia="Courier New" w:hAnsi="Courier New"/>
          <w:sz w:val="15"/>
          <w:szCs w:val="15"/>
          <w:color w:val="auto"/>
        </w:rPr>
        <w:t>$</w:t>
        <w:tab/>
        <w:t>5,959</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4,060</w:t>
      </w:r>
    </w:p>
    <w:p>
      <w:pPr>
        <w:spacing w:after="0" w:line="8" w:lineRule="exact"/>
        <w:rPr>
          <w:sz w:val="20"/>
          <w:szCs w:val="20"/>
          <w:color w:val="auto"/>
        </w:rPr>
      </w:pPr>
    </w:p>
    <w:p>
      <w:pPr>
        <w:sectPr>
          <w:pgSz w:w="11900" w:h="16838" w:orient="portrait"/>
          <w:cols w:equalWidth="0" w:num="4">
            <w:col w:w="4825" w:space="720"/>
            <w:col w:w="1200" w:space="720"/>
            <w:col w:w="1220" w:space="720"/>
            <w:col w:w="1480"/>
          </w:cols>
          <w:pgMar w:left="235" w:top="142" w:right="779" w:bottom="0" w:gutter="0" w:footer="0" w:header="0"/>
          <w:type w:val="continuous"/>
        </w:sectPr>
      </w:pPr>
    </w:p>
    <w:p>
      <w:pPr>
        <w:ind w:left="545"/>
        <w:spacing w:after="0"/>
        <w:rPr>
          <w:sz w:val="20"/>
          <w:szCs w:val="20"/>
          <w:color w:val="auto"/>
        </w:rPr>
      </w:pPr>
      <w:r>
        <w:rPr>
          <w:rFonts w:ascii="Courier New" w:cs="Courier New" w:eastAsia="Courier New" w:hAnsi="Courier New"/>
          <w:sz w:val="15"/>
          <w:szCs w:val="15"/>
          <w:color w:val="auto"/>
        </w:rPr>
        <w:t>Cumulative effect of change in accounting</w:t>
      </w:r>
    </w:p>
    <w:p>
      <w:pPr>
        <w:sectPr>
          <w:pgSz w:w="11900" w:h="16838" w:orient="portrait"/>
          <w:cols w:equalWidth="0" w:num="1">
            <w:col w:w="10885"/>
          </w:cols>
          <w:pgMar w:left="235" w:top="142" w:right="779" w:bottom="0" w:gutter="0" w:footer="0" w:header="0"/>
          <w:type w:val="continuous"/>
        </w:sectPr>
      </w:pP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principle</w:t>
      </w:r>
    </w:p>
    <w:p>
      <w:pPr>
        <w:spacing w:after="0" w:line="8" w:lineRule="exact"/>
        <w:rPr>
          <w:sz w:val="20"/>
          <w:szCs w:val="20"/>
          <w:color w:val="auto"/>
        </w:rPr>
      </w:pPr>
    </w:p>
    <w:p>
      <w:pPr>
        <w:ind w:left="545"/>
        <w:spacing w:after="0"/>
        <w:rPr>
          <w:sz w:val="20"/>
          <w:szCs w:val="20"/>
          <w:color w:val="auto"/>
        </w:rPr>
      </w:pPr>
      <w:r>
        <w:rPr>
          <w:rFonts w:ascii="Courier New" w:cs="Courier New" w:eastAsia="Courier New" w:hAnsi="Courier New"/>
          <w:sz w:val="15"/>
          <w:szCs w:val="15"/>
          <w:color w:val="auto"/>
        </w:rPr>
        <w:t>Accumulated other comprehensive income</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Courier New" w:cs="Courier New" w:eastAsia="Courier New" w:hAnsi="Courier New"/>
          <w:sz w:val="15"/>
          <w:szCs w:val="15"/>
          <w:color w:val="auto"/>
        </w:rPr>
        <w:t>(112)</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740"/>
        <w:spacing w:after="0"/>
        <w:tabs>
          <w:tab w:leader="none" w:pos="980" w:val="left"/>
        </w:tabs>
        <w:rPr>
          <w:sz w:val="20"/>
          <w:szCs w:val="20"/>
          <w:color w:val="auto"/>
        </w:rPr>
      </w:pPr>
      <w:r>
        <w:rPr>
          <w:rFonts w:ascii="Courier New" w:cs="Courier New" w:eastAsia="Courier New" w:hAnsi="Courier New"/>
          <w:sz w:val="15"/>
          <w:szCs w:val="15"/>
          <w:color w:val="auto"/>
        </w:rPr>
        <w:t>$</w:t>
        <w:tab/>
        <w:t>3,951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720"/>
        <w:spacing w:after="0"/>
        <w:tabs>
          <w:tab w:leader="none" w:pos="980" w:val="left"/>
        </w:tabs>
        <w:rPr>
          <w:sz w:val="20"/>
          <w:szCs w:val="20"/>
          <w:color w:val="auto"/>
        </w:rPr>
      </w:pPr>
      <w:r>
        <w:rPr>
          <w:rFonts w:ascii="Courier New" w:cs="Courier New" w:eastAsia="Courier New" w:hAnsi="Courier New"/>
          <w:sz w:val="15"/>
          <w:szCs w:val="15"/>
          <w:color w:val="auto"/>
        </w:rPr>
        <w:t>$</w:t>
        <w:tab/>
        <w:t>5,959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740"/>
        <w:spacing w:after="0"/>
        <w:tabs>
          <w:tab w:leader="none" w:pos="1000" w:val="left"/>
        </w:tabs>
        <w:rPr>
          <w:sz w:val="20"/>
          <w:szCs w:val="20"/>
          <w:color w:val="auto"/>
        </w:rPr>
      </w:pPr>
      <w:r>
        <w:rPr>
          <w:rFonts w:ascii="Courier New" w:cs="Courier New" w:eastAsia="Courier New" w:hAnsi="Courier New"/>
          <w:sz w:val="15"/>
          <w:szCs w:val="15"/>
          <w:color w:val="auto"/>
        </w:rPr>
        <w:t>$</w:t>
        <w:tab/>
        <w:t>4,060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4">
            <w:col w:w="4085" w:space="720"/>
            <w:col w:w="1740" w:space="200"/>
            <w:col w:w="1740" w:space="180"/>
            <w:col w:w="2220"/>
          </w:cols>
          <w:pgMar w:left="235" w:top="142" w:right="779" w:bottom="0" w:gutter="0" w:footer="0" w:header="0"/>
          <w:type w:val="continuous"/>
        </w:sectPr>
      </w:pPr>
    </w:p>
    <w:p>
      <w:pPr>
        <w:ind w:left="465" w:right="4140"/>
        <w:spacing w:after="0" w:line="253" w:lineRule="auto"/>
        <w:rPr>
          <w:sz w:val="20"/>
          <w:szCs w:val="20"/>
          <w:color w:val="auto"/>
        </w:rPr>
      </w:pPr>
      <w:r>
        <w:rPr>
          <w:rFonts w:ascii="Courier New" w:cs="Courier New" w:eastAsia="Courier New" w:hAnsi="Courier New"/>
          <w:sz w:val="15"/>
          <w:szCs w:val="15"/>
          <w:color w:val="auto"/>
        </w:rPr>
        <w:t>Income tax expense attributable to income from continuing operations consists of:</w:t>
      </w:r>
    </w:p>
    <w:p>
      <w:pPr>
        <w:sectPr>
          <w:pgSz w:w="11900" w:h="16838" w:orient="portrait"/>
          <w:cols w:equalWidth="0" w:num="1">
            <w:col w:w="10885"/>
          </w:cols>
          <w:pgMar w:left="235" w:top="142" w:right="779" w:bottom="0" w:gutter="0" w:footer="0" w:header="0"/>
          <w:type w:val="continuous"/>
        </w:sectPr>
      </w:pPr>
    </w:p>
    <w:p>
      <w:pPr>
        <w:spacing w:after="0" w:line="174" w:lineRule="exact"/>
        <w:rPr>
          <w:sz w:val="20"/>
          <w:szCs w:val="20"/>
          <w:color w:val="auto"/>
        </w:rPr>
      </w:pPr>
    </w:p>
    <w:tbl>
      <w:tblPr>
        <w:tblLayout w:type="fixed"/>
        <w:tblInd w:w="465"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3500" w:type="dxa"/>
            <w:vAlign w:val="bottom"/>
            <w:gridSpan w:val="3"/>
          </w:tcPr>
          <w:p>
            <w:pPr>
              <w:jc w:val="right"/>
              <w:ind w:right="483"/>
              <w:spacing w:after="0"/>
              <w:rPr>
                <w:sz w:val="20"/>
                <w:szCs w:val="20"/>
                <w:color w:val="auto"/>
              </w:rPr>
            </w:pPr>
            <w:r>
              <w:rPr>
                <w:rFonts w:ascii="Courier New" w:cs="Courier New" w:eastAsia="Courier New" w:hAnsi="Courier New"/>
                <w:sz w:val="15"/>
                <w:szCs w:val="15"/>
                <w:b w:val="1"/>
                <w:bCs w:val="1"/>
                <w:color w:val="auto"/>
              </w:rPr>
              <w:t>Year ended December 31,</w:t>
            </w:r>
          </w:p>
        </w:tc>
      </w:tr>
      <w:tr>
        <w:trPr>
          <w:trHeight w:val="177"/>
        </w:trPr>
        <w:tc>
          <w:tcPr>
            <w:tcW w:w="360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2001</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b w:val="1"/>
                <w:bCs w:val="1"/>
                <w:color w:val="auto"/>
              </w:rPr>
              <w:t>2000</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1999</w:t>
            </w:r>
          </w:p>
        </w:tc>
      </w:tr>
      <w:tr>
        <w:trPr>
          <w:trHeight w:val="177"/>
        </w:trPr>
        <w:tc>
          <w:tcPr>
            <w:tcW w:w="3600" w:type="dxa"/>
            <w:vAlign w:val="bottom"/>
          </w:tcPr>
          <w:p>
            <w:pPr>
              <w:spacing w:after="0"/>
              <w:rPr>
                <w:sz w:val="15"/>
                <w:szCs w:val="15"/>
                <w:color w:val="auto"/>
              </w:rPr>
            </w:pPr>
          </w:p>
        </w:tc>
        <w:tc>
          <w:tcPr>
            <w:tcW w:w="128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b w:val="1"/>
                <w:bCs w:val="1"/>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600" w:type="dxa"/>
            <w:vAlign w:val="bottom"/>
          </w:tcPr>
          <w:p>
            <w:pPr>
              <w:ind w:left="360"/>
              <w:spacing w:after="0"/>
              <w:rPr>
                <w:sz w:val="20"/>
                <w:szCs w:val="20"/>
                <w:color w:val="auto"/>
              </w:rPr>
            </w:pPr>
            <w:r>
              <w:rPr>
                <w:rFonts w:ascii="Courier New" w:cs="Courier New" w:eastAsia="Courier New" w:hAnsi="Courier New"/>
                <w:sz w:val="15"/>
                <w:szCs w:val="15"/>
                <w:color w:val="auto"/>
              </w:rPr>
              <w:t>U.S. Federal</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$ 1,025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$ 3,496</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$ 3,960</w:t>
            </w:r>
          </w:p>
        </w:tc>
      </w:tr>
      <w:tr>
        <w:trPr>
          <w:trHeight w:val="177"/>
        </w:trPr>
        <w:tc>
          <w:tcPr>
            <w:tcW w:w="3600" w:type="dxa"/>
            <w:vAlign w:val="bottom"/>
          </w:tcPr>
          <w:p>
            <w:pPr>
              <w:ind w:left="360"/>
              <w:spacing w:after="0"/>
              <w:rPr>
                <w:sz w:val="20"/>
                <w:szCs w:val="20"/>
                <w:color w:val="auto"/>
              </w:rPr>
            </w:pPr>
            <w:r>
              <w:rPr>
                <w:rFonts w:ascii="Courier New" w:cs="Courier New" w:eastAsia="Courier New" w:hAnsi="Courier New"/>
                <w:sz w:val="15"/>
                <w:szCs w:val="15"/>
                <w:color w:val="auto"/>
              </w:rPr>
              <w:t>State</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146</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452</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469</w:t>
            </w:r>
          </w:p>
        </w:tc>
      </w:tr>
      <w:tr>
        <w:trPr>
          <w:trHeight w:val="177"/>
        </w:trPr>
        <w:tc>
          <w:tcPr>
            <w:tcW w:w="3600" w:type="dxa"/>
            <w:vAlign w:val="bottom"/>
          </w:tcPr>
          <w:p>
            <w:pPr>
              <w:ind w:left="360"/>
              <w:spacing w:after="0"/>
              <w:rPr>
                <w:sz w:val="20"/>
                <w:szCs w:val="20"/>
                <w:color w:val="auto"/>
              </w:rPr>
            </w:pPr>
            <w:r>
              <w:rPr>
                <w:rFonts w:ascii="Courier New" w:cs="Courier New" w:eastAsia="Courier New" w:hAnsi="Courier New"/>
                <w:sz w:val="15"/>
                <w:szCs w:val="15"/>
                <w:color w:val="auto"/>
              </w:rPr>
              <w:t>Non-U.S</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2,490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826</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360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60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3,661</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4,774</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4,429</w:t>
            </w:r>
          </w:p>
        </w:tc>
      </w:tr>
      <w:tr>
        <w:trPr>
          <w:trHeight w:val="177"/>
        </w:trPr>
        <w:tc>
          <w:tcPr>
            <w:tcW w:w="360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600" w:type="dxa"/>
            <w:vAlign w:val="bottom"/>
          </w:tcPr>
          <w:p>
            <w:pPr>
              <w:ind w:left="360"/>
              <w:spacing w:after="0"/>
              <w:rPr>
                <w:sz w:val="20"/>
                <w:szCs w:val="20"/>
                <w:color w:val="auto"/>
              </w:rPr>
            </w:pPr>
            <w:r>
              <w:rPr>
                <w:rFonts w:ascii="Courier New" w:cs="Courier New" w:eastAsia="Courier New" w:hAnsi="Courier New"/>
                <w:sz w:val="15"/>
                <w:szCs w:val="15"/>
                <w:color w:val="auto"/>
              </w:rPr>
              <w:t>U.S. Federal</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557</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r>
      <w:tr>
        <w:trPr>
          <w:trHeight w:val="177"/>
        </w:trPr>
        <w:tc>
          <w:tcPr>
            <w:tcW w:w="3600" w:type="dxa"/>
            <w:vAlign w:val="bottom"/>
          </w:tcPr>
          <w:p>
            <w:pPr>
              <w:ind w:left="360"/>
              <w:spacing w:after="0"/>
              <w:rPr>
                <w:sz w:val="20"/>
                <w:szCs w:val="20"/>
                <w:color w:val="auto"/>
              </w:rPr>
            </w:pPr>
            <w:r>
              <w:rPr>
                <w:rFonts w:ascii="Courier New" w:cs="Courier New" w:eastAsia="Courier New" w:hAnsi="Courier New"/>
                <w:sz w:val="15"/>
                <w:szCs w:val="15"/>
                <w:color w:val="auto"/>
              </w:rPr>
              <w:t>State</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57</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7"/>
        </w:trPr>
        <w:tc>
          <w:tcPr>
            <w:tcW w:w="3600" w:type="dxa"/>
            <w:vAlign w:val="bottom"/>
          </w:tcPr>
          <w:p>
            <w:pPr>
              <w:ind w:left="360"/>
              <w:spacing w:after="0"/>
              <w:rPr>
                <w:sz w:val="20"/>
                <w:szCs w:val="20"/>
                <w:color w:val="auto"/>
              </w:rPr>
            </w:pPr>
            <w:r>
              <w:rPr>
                <w:rFonts w:ascii="Courier New" w:cs="Courier New" w:eastAsia="Courier New" w:hAnsi="Courier New"/>
                <w:sz w:val="15"/>
                <w:szCs w:val="15"/>
                <w:color w:val="auto"/>
              </w:rPr>
              <w:t>Non-U.S</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(181)</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626</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360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600" w:type="dxa"/>
            <w:vAlign w:val="bottom"/>
          </w:tcPr>
          <w:p>
            <w:pPr>
              <w:ind w:left="1280"/>
              <w:spacing w:after="0"/>
              <w:rPr>
                <w:sz w:val="20"/>
                <w:szCs w:val="20"/>
                <w:color w:val="auto"/>
              </w:rPr>
            </w:pPr>
            <w:r>
              <w:rPr>
                <w:rFonts w:ascii="Courier New" w:cs="Courier New" w:eastAsia="Courier New" w:hAnsi="Courier New"/>
                <w:sz w:val="15"/>
                <w:szCs w:val="15"/>
                <w:color w:val="auto"/>
              </w:rPr>
              <w:t>Total deferred expense</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433</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1,185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r>
      <w:tr>
        <w:trPr>
          <w:trHeight w:val="177"/>
        </w:trPr>
        <w:tc>
          <w:tcPr>
            <w:tcW w:w="360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885"/>
          </w:cols>
          <w:pgMar w:left="235" w:top="142" w:right="779" w:bottom="0" w:gutter="0" w:footer="0" w:header="0"/>
          <w:type w:val="continuous"/>
        </w:sectPr>
      </w:pPr>
    </w:p>
    <w:bookmarkStart w:id="34" w:name="page35"/>
    <w:bookmarkEnd w:id="34"/>
    <w:p>
      <w:pPr>
        <w:ind w:left="4340"/>
        <w:spacing w:after="0"/>
        <w:rPr>
          <w:sz w:val="20"/>
          <w:szCs w:val="20"/>
          <w:color w:val="auto"/>
        </w:rPr>
      </w:pPr>
      <w:r>
        <w:rPr>
          <w:rFonts w:ascii="Courier New" w:cs="Courier New" w:eastAsia="Courier New" w:hAnsi="Courier New"/>
          <w:sz w:val="15"/>
          <w:szCs w:val="15"/>
          <w:color w:val="auto"/>
        </w:rPr>
        <w:t>$ 4,094</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$ 5,959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$ 4,060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980" w:space="640"/>
            <w:col w:w="640" w:space="560"/>
            <w:col w:w="3399"/>
          </w:cols>
          <w:pgMar w:left="240" w:top="142" w:right="1440" w:bottom="0" w:gutter="0" w:footer="0" w:header="0"/>
        </w:sectPr>
      </w:pPr>
    </w:p>
    <w:p>
      <w:pPr>
        <w:spacing w:after="0" w:line="162"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(Continued)</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5" w:lineRule="exact"/>
        <w:rPr>
          <w:sz w:val="20"/>
          <w:szCs w:val="20"/>
          <w:color w:val="auto"/>
        </w:rPr>
      </w:pPr>
    </w:p>
    <w:p>
      <w:pPr>
        <w:ind w:left="640" w:right="2839"/>
        <w:spacing w:after="0" w:line="252" w:lineRule="auto"/>
        <w:rPr>
          <w:sz w:val="20"/>
          <w:szCs w:val="20"/>
          <w:color w:val="auto"/>
        </w:rPr>
      </w:pPr>
      <w:r>
        <w:rPr>
          <w:rFonts w:ascii="Courier New" w:cs="Courier New" w:eastAsia="Courier New" w:hAnsi="Courier New"/>
          <w:sz w:val="15"/>
          <w:szCs w:val="15"/>
          <w:color w:val="auto"/>
        </w:rPr>
        <w:t>A reconciliation of taxes based on the U.S. federal statutory rate of 34% for the years ended December 31, 2001, 2000 and 1999 is summarized as follows:</w:t>
      </w:r>
    </w:p>
    <w:p>
      <w:pPr>
        <w:spacing w:after="0" w:line="352"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Year ended December 31,</w:t>
            </w:r>
          </w:p>
        </w:tc>
        <w:tc>
          <w:tcPr>
            <w:tcW w:w="740" w:type="dxa"/>
            <w:vAlign w:val="bottom"/>
          </w:tcPr>
          <w:p>
            <w:pPr>
              <w:spacing w:after="0"/>
              <w:rPr>
                <w:sz w:val="14"/>
                <w:szCs w:val="14"/>
                <w:color w:val="auto"/>
              </w:rPr>
            </w:pPr>
          </w:p>
        </w:tc>
      </w:tr>
      <w:tr>
        <w:trPr>
          <w:trHeight w:val="177"/>
        </w:trPr>
        <w:tc>
          <w:tcPr>
            <w:tcW w:w="4140" w:type="dxa"/>
            <w:vAlign w:val="bottom"/>
          </w:tcPr>
          <w:p>
            <w:pPr>
              <w:spacing w:after="0"/>
              <w:rPr>
                <w:sz w:val="15"/>
                <w:szCs w:val="15"/>
                <w:color w:val="auto"/>
              </w:rPr>
            </w:pP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2001</w:t>
            </w:r>
          </w:p>
        </w:tc>
        <w:tc>
          <w:tcPr>
            <w:tcW w:w="1560" w:type="dxa"/>
            <w:vAlign w:val="bottom"/>
          </w:tcPr>
          <w:p>
            <w:pPr>
              <w:jc w:val="right"/>
              <w:ind w:right="643"/>
              <w:spacing w:after="0"/>
              <w:rPr>
                <w:sz w:val="20"/>
                <w:szCs w:val="20"/>
                <w:color w:val="auto"/>
              </w:rPr>
            </w:pPr>
            <w:r>
              <w:rPr>
                <w:rFonts w:ascii="Courier New" w:cs="Courier New" w:eastAsia="Courier New" w:hAnsi="Courier New"/>
                <w:sz w:val="15"/>
                <w:szCs w:val="15"/>
                <w:b w:val="1"/>
                <w:bCs w:val="1"/>
                <w:color w:val="auto"/>
              </w:rPr>
              <w:t>2000</w:t>
            </w: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1999</w:t>
            </w:r>
          </w:p>
        </w:tc>
      </w:tr>
      <w:tr>
        <w:trPr>
          <w:trHeight w:val="177"/>
        </w:trPr>
        <w:tc>
          <w:tcPr>
            <w:tcW w:w="4140" w:type="dxa"/>
            <w:vAlign w:val="bottom"/>
          </w:tcPr>
          <w:p>
            <w:pPr>
              <w:spacing w:after="0"/>
              <w:rPr>
                <w:sz w:val="15"/>
                <w:szCs w:val="15"/>
                <w:color w:val="auto"/>
              </w:rPr>
            </w:pP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w:t>
            </w:r>
          </w:p>
        </w:tc>
        <w:tc>
          <w:tcPr>
            <w:tcW w:w="1560" w:type="dxa"/>
            <w:vAlign w:val="bottom"/>
          </w:tcPr>
          <w:p>
            <w:pPr>
              <w:jc w:val="right"/>
              <w:ind w:right="643"/>
              <w:spacing w:after="0"/>
              <w:rPr>
                <w:sz w:val="20"/>
                <w:szCs w:val="20"/>
                <w:color w:val="auto"/>
              </w:rPr>
            </w:pPr>
            <w:r>
              <w:rPr>
                <w:rFonts w:ascii="Courier New" w:cs="Courier New" w:eastAsia="Courier New" w:hAnsi="Courier New"/>
                <w:sz w:val="15"/>
                <w:szCs w:val="15"/>
                <w:b w:val="1"/>
                <w:bCs w:val="1"/>
                <w:color w:val="auto"/>
              </w:rPr>
              <w:t>----</w:t>
            </w: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taxes at the federal statutory rate</w:t>
            </w: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$ 3,606</w:t>
            </w:r>
          </w:p>
        </w:tc>
        <w:tc>
          <w:tcPr>
            <w:tcW w:w="15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$ 5,646</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$ 4,006</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benefit</w:t>
            </w: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134</w:t>
            </w:r>
          </w:p>
        </w:tc>
        <w:tc>
          <w:tcPr>
            <w:tcW w:w="15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340</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289</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Foreign sales corporation benefit, net of</w:t>
            </w:r>
          </w:p>
        </w:tc>
        <w:tc>
          <w:tcPr>
            <w:tcW w:w="1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4140" w:type="dxa"/>
            <w:vAlign w:val="bottom"/>
          </w:tcPr>
          <w:p>
            <w:pPr>
              <w:ind w:left="360"/>
              <w:spacing w:after="0"/>
              <w:rPr>
                <w:sz w:val="20"/>
                <w:szCs w:val="20"/>
                <w:color w:val="auto"/>
              </w:rPr>
            </w:pPr>
            <w:r>
              <w:rPr>
                <w:rFonts w:ascii="Courier New" w:cs="Courier New" w:eastAsia="Courier New" w:hAnsi="Courier New"/>
                <w:sz w:val="15"/>
                <w:szCs w:val="15"/>
                <w:color w:val="auto"/>
              </w:rPr>
              <w:t>liability</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(95)</w:t>
            </w:r>
          </w:p>
        </w:tc>
        <w:tc>
          <w:tcPr>
            <w:tcW w:w="15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(183)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Non-US earnings taxed at different rates</w:t>
            </w: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395</w:t>
            </w:r>
          </w:p>
        </w:tc>
        <w:tc>
          <w:tcPr>
            <w:tcW w:w="15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337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54</w:t>
            </w:r>
          </w:p>
        </w:tc>
        <w:tc>
          <w:tcPr>
            <w:tcW w:w="15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(181)</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203</w:t>
            </w:r>
          </w:p>
        </w:tc>
      </w:tr>
      <w:tr>
        <w:trPr>
          <w:trHeight w:val="177"/>
        </w:trPr>
        <w:tc>
          <w:tcPr>
            <w:tcW w:w="4140" w:type="dxa"/>
            <w:vAlign w:val="bottom"/>
          </w:tcPr>
          <w:p>
            <w:pPr>
              <w:spacing w:after="0"/>
              <w:rPr>
                <w:sz w:val="15"/>
                <w:szCs w:val="15"/>
                <w:color w:val="auto"/>
              </w:rPr>
            </w:pP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15"/>
                <w:szCs w:val="15"/>
                <w:color w:val="auto"/>
              </w:rPr>
            </w:pP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$ 4,094</w:t>
            </w:r>
          </w:p>
        </w:tc>
        <w:tc>
          <w:tcPr>
            <w:tcW w:w="15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$ 5,959</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$ 4,060</w:t>
            </w:r>
          </w:p>
        </w:tc>
      </w:tr>
      <w:tr>
        <w:trPr>
          <w:trHeight w:val="177"/>
        </w:trPr>
        <w:tc>
          <w:tcPr>
            <w:tcW w:w="4140" w:type="dxa"/>
            <w:vAlign w:val="bottom"/>
          </w:tcPr>
          <w:p>
            <w:pPr>
              <w:spacing w:after="0"/>
              <w:rPr>
                <w:sz w:val="15"/>
                <w:szCs w:val="15"/>
                <w:color w:val="auto"/>
              </w:rPr>
            </w:pP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The tax effects of the temporary differences are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Year ended December 31,</w:t>
            </w:r>
          </w:p>
        </w:tc>
      </w:tr>
      <w:tr>
        <w:trPr>
          <w:trHeight w:val="177"/>
        </w:trPr>
        <w:tc>
          <w:tcPr>
            <w:tcW w:w="4280" w:type="dxa"/>
            <w:vAlign w:val="bottom"/>
          </w:tcPr>
          <w:p>
            <w:pPr>
              <w:spacing w:after="0"/>
              <w:rPr>
                <w:sz w:val="15"/>
                <w:szCs w:val="15"/>
                <w:color w:val="auto"/>
              </w:rPr>
            </w:pPr>
          </w:p>
        </w:tc>
        <w:tc>
          <w:tcPr>
            <w:tcW w:w="1160" w:type="dxa"/>
            <w:vAlign w:val="bottom"/>
          </w:tcPr>
          <w:p>
            <w:pPr>
              <w:jc w:val="right"/>
              <w:ind w:right="283"/>
              <w:spacing w:after="0"/>
              <w:rPr>
                <w:sz w:val="20"/>
                <w:szCs w:val="20"/>
                <w:color w:val="auto"/>
              </w:rPr>
            </w:pPr>
            <w:r>
              <w:rPr>
                <w:rFonts w:ascii="Courier New" w:cs="Courier New" w:eastAsia="Courier New" w:hAnsi="Courier New"/>
                <w:sz w:val="15"/>
                <w:szCs w:val="15"/>
                <w:b w:val="1"/>
                <w:bCs w:val="1"/>
                <w:color w:val="auto"/>
              </w:rPr>
              <w:t>2001</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2000</w:t>
            </w:r>
          </w:p>
        </w:tc>
      </w:tr>
      <w:tr>
        <w:trPr>
          <w:trHeight w:val="177"/>
        </w:trPr>
        <w:tc>
          <w:tcPr>
            <w:tcW w:w="4280" w:type="dxa"/>
            <w:vAlign w:val="bottom"/>
          </w:tcPr>
          <w:p>
            <w:pPr>
              <w:spacing w:after="0"/>
              <w:rPr>
                <w:sz w:val="15"/>
                <w:szCs w:val="15"/>
                <w:color w:val="auto"/>
              </w:rPr>
            </w:pPr>
          </w:p>
        </w:tc>
        <w:tc>
          <w:tcPr>
            <w:tcW w:w="2360" w:type="dxa"/>
            <w:vAlign w:val="bottom"/>
            <w:gridSpan w:val="2"/>
          </w:tcPr>
          <w:p>
            <w:pPr>
              <w:jc w:val="right"/>
              <w:ind w:right="203"/>
              <w:spacing w:after="0"/>
              <w:rPr>
                <w:sz w:val="20"/>
                <w:szCs w:val="20"/>
                <w:color w:val="auto"/>
              </w:rPr>
            </w:pPr>
            <w:r>
              <w:rPr>
                <w:rFonts w:ascii="Courier New" w:cs="Courier New" w:eastAsia="Courier New" w:hAnsi="Courier New"/>
                <w:sz w:val="15"/>
                <w:szCs w:val="15"/>
                <w:b w:val="1"/>
                <w:bCs w:val="1"/>
                <w:color w:val="auto"/>
              </w:rPr>
              <w:t>-------- ----------</w:t>
            </w:r>
          </w:p>
        </w:tc>
      </w:tr>
      <w:tr>
        <w:trPr>
          <w:trHeight w:val="177"/>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Deferred income tax liability</w:t>
            </w: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Tax in excess of book depreciation</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$5,692</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$5,050</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Duty drawback receivable</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69</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Goodwill</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493</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210</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Other deferred tax liabilities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123</w:t>
            </w:r>
          </w:p>
        </w:tc>
      </w:tr>
      <w:tr>
        <w:trPr>
          <w:trHeight w:val="177"/>
        </w:trPr>
        <w:tc>
          <w:tcPr>
            <w:tcW w:w="42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355"/>
        </w:trPr>
        <w:tc>
          <w:tcPr>
            <w:tcW w:w="4280" w:type="dxa"/>
            <w:vAlign w:val="bottom"/>
          </w:tcPr>
          <w:p>
            <w:pPr>
              <w:ind w:left="540"/>
              <w:spacing w:after="0"/>
              <w:rPr>
                <w:sz w:val="20"/>
                <w:szCs w:val="20"/>
                <w:color w:val="auto"/>
              </w:rPr>
            </w:pPr>
            <w:r>
              <w:rPr>
                <w:rFonts w:ascii="Courier New" w:cs="Courier New" w:eastAsia="Courier New" w:hAnsi="Courier New"/>
                <w:sz w:val="15"/>
                <w:szCs w:val="15"/>
                <w:color w:val="auto"/>
              </w:rPr>
              <w:t>Gross deferred income tax liability</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6,334</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5,452</w:t>
            </w:r>
          </w:p>
        </w:tc>
      </w:tr>
      <w:tr>
        <w:trPr>
          <w:trHeight w:val="177"/>
        </w:trPr>
        <w:tc>
          <w:tcPr>
            <w:tcW w:w="42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Deferred income tax assets</w:t>
            </w: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Inventories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337</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182</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Allowance for bad debts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632</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279</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Vacation accrual</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264</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287</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Health insurance accrual</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103</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83</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Other working capital accruals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358</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230</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Euroball net operating loss carryforward</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133</w:t>
            </w: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42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4280" w:type="dxa"/>
            <w:vAlign w:val="bottom"/>
          </w:tcPr>
          <w:p>
            <w:pPr>
              <w:ind w:left="540"/>
              <w:spacing w:after="0"/>
              <w:rPr>
                <w:sz w:val="20"/>
                <w:szCs w:val="20"/>
                <w:color w:val="auto"/>
              </w:rPr>
            </w:pPr>
            <w:r>
              <w:rPr>
                <w:rFonts w:ascii="Courier New" w:cs="Courier New" w:eastAsia="Courier New" w:hAnsi="Courier New"/>
                <w:sz w:val="15"/>
                <w:szCs w:val="15"/>
                <w:color w:val="auto"/>
              </w:rPr>
              <w:t>Gross deferred income tax assets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1,827</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1,061</w:t>
            </w:r>
          </w:p>
        </w:tc>
      </w:tr>
      <w:tr>
        <w:trPr>
          <w:trHeight w:val="177"/>
        </w:trPr>
        <w:tc>
          <w:tcPr>
            <w:tcW w:w="42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Net deferred income tax liability</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$4,507</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$4,391</w:t>
            </w:r>
          </w:p>
        </w:tc>
      </w:tr>
      <w:tr>
        <w:trPr>
          <w:trHeight w:val="177"/>
        </w:trPr>
        <w:tc>
          <w:tcPr>
            <w:tcW w:w="42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right="3019" w:firstLine="646"/>
        <w:spacing w:after="0" w:line="253" w:lineRule="auto"/>
        <w:rPr>
          <w:sz w:val="20"/>
          <w:szCs w:val="20"/>
          <w:color w:val="auto"/>
        </w:rPr>
      </w:pPr>
      <w:r>
        <w:rPr>
          <w:rFonts w:ascii="Courier New" w:cs="Courier New" w:eastAsia="Courier New" w:hAnsi="Courier New"/>
          <w:sz w:val="15"/>
          <w:szCs w:val="15"/>
          <w:color w:val="auto"/>
        </w:rPr>
        <w:t>Deferred income tax expense differs from the change in the net deferred income tax liability due to the following:</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2000</w:t>
            </w:r>
          </w:p>
        </w:tc>
      </w:tr>
      <w:tr>
        <w:trPr>
          <w:trHeight w:val="177"/>
        </w:trPr>
        <w:tc>
          <w:tcPr>
            <w:tcW w:w="4700" w:type="dxa"/>
            <w:vAlign w:val="bottom"/>
          </w:tcPr>
          <w:p>
            <w:pPr>
              <w:spacing w:after="0"/>
              <w:rPr>
                <w:sz w:val="15"/>
                <w:szCs w:val="15"/>
                <w:color w:val="auto"/>
              </w:rPr>
            </w:pPr>
          </w:p>
        </w:tc>
        <w:tc>
          <w:tcPr>
            <w:tcW w:w="14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700" w:type="dxa"/>
            <w:vAlign w:val="bottom"/>
          </w:tcPr>
          <w:p>
            <w:pPr>
              <w:spacing w:after="0"/>
              <w:rPr>
                <w:sz w:val="20"/>
                <w:szCs w:val="20"/>
                <w:color w:val="auto"/>
              </w:rPr>
            </w:pPr>
            <w:r>
              <w:rPr>
                <w:rFonts w:ascii="Courier New" w:cs="Courier New" w:eastAsia="Courier New" w:hAnsi="Courier New"/>
                <w:sz w:val="15"/>
                <w:szCs w:val="15"/>
                <w:color w:val="auto"/>
              </w:rPr>
              <w:t>Change in net deferred income tax liability</w:t>
            </w:r>
          </w:p>
        </w:tc>
        <w:tc>
          <w:tcPr>
            <w:tcW w:w="7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116</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$ 1,780</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comprehensive income adjustment</w:t>
            </w:r>
          </w:p>
        </w:tc>
        <w:tc>
          <w:tcPr>
            <w:tcW w:w="74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Acquisition of deferred tax asset (liability)</w:t>
            </w: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4700" w:type="dxa"/>
            <w:vAlign w:val="bottom"/>
          </w:tcPr>
          <w:p>
            <w:pPr>
              <w:ind w:left="360"/>
              <w:spacing w:after="0"/>
              <w:rPr>
                <w:sz w:val="20"/>
                <w:szCs w:val="20"/>
                <w:color w:val="auto"/>
              </w:rPr>
            </w:pPr>
            <w:r>
              <w:rPr>
                <w:rFonts w:ascii="Courier New" w:cs="Courier New" w:eastAsia="Courier New" w:hAnsi="Courier New"/>
                <w:sz w:val="15"/>
                <w:szCs w:val="15"/>
                <w:color w:val="auto"/>
              </w:rPr>
              <w:t>under purchase accounting</w:t>
            </w:r>
          </w:p>
        </w:tc>
        <w:tc>
          <w:tcPr>
            <w:tcW w:w="74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(595)</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Effect of currency translation</w:t>
            </w:r>
          </w:p>
        </w:tc>
        <w:tc>
          <w:tcPr>
            <w:tcW w:w="74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(55)</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spacing w:after="0"/>
              <w:rPr>
                <w:sz w:val="15"/>
                <w:szCs w:val="15"/>
                <w:color w:val="auto"/>
              </w:rPr>
            </w:pPr>
          </w:p>
        </w:tc>
        <w:tc>
          <w:tcPr>
            <w:tcW w:w="14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ind w:left="1280"/>
              <w:spacing w:after="0"/>
              <w:rPr>
                <w:sz w:val="20"/>
                <w:szCs w:val="20"/>
                <w:color w:val="auto"/>
              </w:rPr>
            </w:pPr>
            <w:r>
              <w:rPr>
                <w:rFonts w:ascii="Courier New" w:cs="Courier New" w:eastAsia="Courier New" w:hAnsi="Courier New"/>
                <w:sz w:val="15"/>
                <w:szCs w:val="15"/>
                <w:color w:val="auto"/>
              </w:rPr>
              <w:t>Deferred income tax expense</w:t>
            </w:r>
          </w:p>
        </w:tc>
        <w:tc>
          <w:tcPr>
            <w:tcW w:w="7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433</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$ 1,185</w:t>
            </w:r>
          </w:p>
        </w:tc>
      </w:tr>
      <w:tr>
        <w:trPr>
          <w:trHeight w:val="177"/>
        </w:trPr>
        <w:tc>
          <w:tcPr>
            <w:tcW w:w="4700" w:type="dxa"/>
            <w:vAlign w:val="bottom"/>
          </w:tcPr>
          <w:p>
            <w:pPr>
              <w:spacing w:after="0"/>
              <w:rPr>
                <w:sz w:val="15"/>
                <w:szCs w:val="15"/>
                <w:color w:val="auto"/>
              </w:rPr>
            </w:pPr>
          </w:p>
        </w:tc>
        <w:tc>
          <w:tcPr>
            <w:tcW w:w="14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5" w:lineRule="exact"/>
        <w:rPr>
          <w:sz w:val="20"/>
          <w:szCs w:val="20"/>
          <w:color w:val="auto"/>
        </w:rPr>
      </w:pPr>
    </w:p>
    <w:p>
      <w:pPr>
        <w:ind w:left="640" w:right="3019"/>
        <w:spacing w:after="0" w:line="252" w:lineRule="auto"/>
        <w:rPr>
          <w:sz w:val="20"/>
          <w:szCs w:val="20"/>
          <w:color w:val="auto"/>
        </w:rPr>
      </w:pPr>
      <w:r>
        <w:rPr>
          <w:rFonts w:ascii="Courier New" w:cs="Courier New" w:eastAsia="Courier New" w:hAnsi="Courier New"/>
          <w:sz w:val="15"/>
          <w:szCs w:val="15"/>
          <w:color w:val="auto"/>
        </w:rPr>
        <w:t>Although realization of deferred tax assets is not assured, management believes that it is more likely than not that all of the deferred tax assets will be realized. However, the amount of the deferred tax assets</w:t>
      </w:r>
    </w:p>
    <w:p>
      <w:pPr>
        <w:sectPr>
          <w:pgSz w:w="11900" w:h="16838" w:orient="portrait"/>
          <w:cols w:equalWidth="0" w:num="1">
            <w:col w:w="10219"/>
          </w:cols>
          <w:pgMar w:left="240" w:top="142" w:right="1440" w:bottom="0" w:gutter="0" w:footer="0" w:header="0"/>
          <w:type w:val="continuous"/>
        </w:sectPr>
      </w:pPr>
    </w:p>
    <w:bookmarkStart w:id="35" w:name="page36"/>
    <w:bookmarkEnd w:id="35"/>
    <w:p>
      <w:pPr>
        <w:ind w:left="645"/>
        <w:spacing w:after="0"/>
        <w:rPr>
          <w:sz w:val="20"/>
          <w:szCs w:val="20"/>
          <w:color w:val="auto"/>
        </w:rPr>
      </w:pPr>
      <w:r>
        <w:rPr>
          <w:rFonts w:ascii="Courier New" w:cs="Courier New" w:eastAsia="Courier New" w:hAnsi="Courier New"/>
          <w:sz w:val="15"/>
          <w:szCs w:val="15"/>
          <w:color w:val="auto"/>
        </w:rPr>
        <w:t>considered realizable could be reduced based on changing conditions.</w:t>
      </w:r>
    </w:p>
    <w:p>
      <w:pPr>
        <w:spacing w:after="0" w:line="185" w:lineRule="exact"/>
        <w:rPr>
          <w:sz w:val="20"/>
          <w:szCs w:val="20"/>
          <w:color w:val="auto"/>
        </w:rPr>
      </w:pPr>
    </w:p>
    <w:p>
      <w:pPr>
        <w:ind w:left="645" w:right="2839"/>
        <w:spacing w:after="0" w:line="250" w:lineRule="auto"/>
        <w:rPr>
          <w:sz w:val="20"/>
          <w:szCs w:val="20"/>
          <w:color w:val="auto"/>
        </w:rPr>
      </w:pPr>
      <w:r>
        <w:rPr>
          <w:rFonts w:ascii="Courier New" w:cs="Courier New" w:eastAsia="Courier New" w:hAnsi="Courier New"/>
          <w:sz w:val="15"/>
          <w:szCs w:val="15"/>
          <w:color w:val="auto"/>
        </w:rPr>
        <w:t>The Company has not recognized a deferred tax liability for the undistributed earnings of its non-U.S. subsidiaries and non-U.S. corporate joint ventures. The Company expects to reinvest these undistributed earnings indefinitely and does not expect such earnings to become subject to U.S. taxation in the foreseeable future. A deferred tax liability will be recognized when the Company expects that it will recover these undistributed earnings in a taxable manner, such as through the receipt of dividends or sale of the investments. It is not practicable to determine the U.S. income tax liability, if any, that would be payable if such earnings were not reinvested indefinitely.</w:t>
      </w:r>
    </w:p>
    <w:p>
      <w:pPr>
        <w:spacing w:after="0" w:line="182" w:lineRule="exact"/>
        <w:rPr>
          <w:sz w:val="20"/>
          <w:szCs w:val="20"/>
          <w:color w:val="auto"/>
        </w:rPr>
      </w:pPr>
    </w:p>
    <w:p>
      <w:pPr>
        <w:ind w:left="645" w:right="3119"/>
        <w:spacing w:after="0" w:line="252" w:lineRule="auto"/>
        <w:rPr>
          <w:sz w:val="20"/>
          <w:szCs w:val="20"/>
          <w:color w:val="auto"/>
        </w:rPr>
      </w:pPr>
      <w:r>
        <w:rPr>
          <w:rFonts w:ascii="Courier New" w:cs="Courier New" w:eastAsia="Courier New" w:hAnsi="Courier New"/>
          <w:sz w:val="15"/>
          <w:szCs w:val="15"/>
          <w:color w:val="auto"/>
        </w:rPr>
        <w:t>At December 31, 2001, the Company has net operating loss carryforwards for foreign income tax purposes of approximately $1,500, which are available to offset future foreign taxable income indefinitely.</w:t>
      </w:r>
    </w:p>
    <w:p>
      <w:pPr>
        <w:spacing w:after="0" w:line="175" w:lineRule="exact"/>
        <w:rPr>
          <w:sz w:val="20"/>
          <w:szCs w:val="20"/>
          <w:color w:val="auto"/>
        </w:rPr>
      </w:pPr>
    </w:p>
    <w:p>
      <w:pPr>
        <w:ind w:left="645" w:right="2839"/>
        <w:spacing w:after="0" w:line="253" w:lineRule="auto"/>
        <w:rPr>
          <w:sz w:val="20"/>
          <w:szCs w:val="20"/>
          <w:color w:val="auto"/>
        </w:rPr>
      </w:pPr>
      <w:r>
        <w:rPr>
          <w:rFonts w:ascii="Courier New" w:cs="Courier New" w:eastAsia="Courier New" w:hAnsi="Courier New"/>
          <w:sz w:val="15"/>
          <w:szCs w:val="15"/>
          <w:color w:val="auto"/>
        </w:rPr>
        <w:t>Income tax payments were approximately $2,845, $5,207 and $3,123 in 2001, 2000, 1999, respectively.</w:t>
      </w:r>
    </w:p>
    <w:p>
      <w:pPr>
        <w:spacing w:after="0" w:line="174" w:lineRule="exact"/>
        <w:rPr>
          <w:sz w:val="20"/>
          <w:szCs w:val="20"/>
          <w:color w:val="auto"/>
        </w:rPr>
      </w:pPr>
    </w:p>
    <w:p>
      <w:pPr>
        <w:ind w:left="85"/>
        <w:spacing w:after="0"/>
        <w:tabs>
          <w:tab w:leader="none" w:pos="625" w:val="left"/>
        </w:tabs>
        <w:rPr>
          <w:sz w:val="20"/>
          <w:szCs w:val="20"/>
          <w:color w:val="auto"/>
        </w:rPr>
      </w:pPr>
      <w:r>
        <w:rPr>
          <w:rFonts w:ascii="Courier New" w:cs="Courier New" w:eastAsia="Courier New" w:hAnsi="Courier New"/>
          <w:sz w:val="15"/>
          <w:szCs w:val="15"/>
          <w:b w:val="1"/>
          <w:bCs w:val="1"/>
          <w:color w:val="auto"/>
        </w:rPr>
        <w:t>(13)</w:t>
        <w:tab/>
        <w:t>Reconciliation of Net Income Per Share</w:t>
      </w:r>
    </w:p>
    <w:p>
      <w:pPr>
        <w:spacing w:after="0" w:line="185" w:lineRule="exact"/>
        <w:rPr>
          <w:sz w:val="20"/>
          <w:szCs w:val="20"/>
          <w:color w:val="auto"/>
        </w:rPr>
      </w:pPr>
    </w:p>
    <w:tbl>
      <w:tblPr>
        <w:tblLayout w:type="fixed"/>
        <w:tblInd w:w="465" w:type="dxa"/>
        <w:tblCellMar>
          <w:top w:w="0" w:type="dxa"/>
          <w:left w:w="0" w:type="dxa"/>
          <w:bottom w:w="0" w:type="dxa"/>
          <w:right w:w="0" w:type="dxa"/>
        </w:tblCellMar>
      </w:tblPr>
      <w:tr>
        <w:trPr>
          <w:trHeight w:val="172"/>
        </w:trPr>
        <w:tc>
          <w:tcPr>
            <w:tcW w:w="3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gridSpan w:val="5"/>
          </w:tcPr>
          <w:p>
            <w:pPr>
              <w:jc w:val="right"/>
              <w:ind w:right="923"/>
              <w:spacing w:after="0"/>
              <w:rPr>
                <w:sz w:val="20"/>
                <w:szCs w:val="20"/>
                <w:color w:val="auto"/>
              </w:rPr>
            </w:pPr>
            <w:r>
              <w:rPr>
                <w:rFonts w:ascii="Courier New" w:cs="Courier New" w:eastAsia="Courier New" w:hAnsi="Courier New"/>
                <w:sz w:val="15"/>
                <w:szCs w:val="15"/>
                <w:b w:val="1"/>
                <w:bCs w:val="1"/>
                <w:color w:val="auto"/>
              </w:rPr>
              <w:t>Year ended December 31,</w:t>
            </w:r>
          </w:p>
        </w:tc>
      </w:tr>
      <w:tr>
        <w:trPr>
          <w:trHeight w:val="177"/>
        </w:trPr>
        <w:tc>
          <w:tcPr>
            <w:tcW w:w="3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jc w:val="right"/>
              <w:ind w:right="283"/>
              <w:spacing w:after="0"/>
              <w:rPr>
                <w:sz w:val="20"/>
                <w:szCs w:val="20"/>
                <w:color w:val="auto"/>
              </w:rPr>
            </w:pPr>
            <w:r>
              <w:rPr>
                <w:rFonts w:ascii="Courier New" w:cs="Courier New" w:eastAsia="Courier New" w:hAnsi="Courier New"/>
                <w:sz w:val="15"/>
                <w:szCs w:val="15"/>
                <w:b w:val="1"/>
                <w:bCs w:val="1"/>
                <w:color w:val="auto"/>
              </w:rPr>
              <w:t>2001</w:t>
            </w:r>
          </w:p>
        </w:tc>
        <w:tc>
          <w:tcPr>
            <w:tcW w:w="380" w:type="dxa"/>
            <w:vAlign w:val="bottom"/>
          </w:tcPr>
          <w:p>
            <w:pPr>
              <w:spacing w:after="0"/>
              <w:rPr>
                <w:sz w:val="15"/>
                <w:szCs w:val="15"/>
                <w:color w:val="auto"/>
              </w:rPr>
            </w:pPr>
          </w:p>
        </w:tc>
        <w:tc>
          <w:tcPr>
            <w:tcW w:w="78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w w:val="94"/>
              </w:rPr>
              <w:t>2000</w:t>
            </w:r>
          </w:p>
        </w:tc>
        <w:tc>
          <w:tcPr>
            <w:tcW w:w="420" w:type="dxa"/>
            <w:vAlign w:val="bottom"/>
          </w:tcPr>
          <w:p>
            <w:pPr>
              <w:spacing w:after="0"/>
              <w:rPr>
                <w:sz w:val="15"/>
                <w:szCs w:val="15"/>
                <w:color w:val="auto"/>
              </w:rPr>
            </w:pPr>
          </w:p>
        </w:tc>
        <w:tc>
          <w:tcPr>
            <w:tcW w:w="1180" w:type="dxa"/>
            <w:vAlign w:val="bottom"/>
          </w:tcPr>
          <w:p>
            <w:pPr>
              <w:jc w:val="right"/>
              <w:ind w:right="743"/>
              <w:spacing w:after="0"/>
              <w:rPr>
                <w:sz w:val="20"/>
                <w:szCs w:val="20"/>
                <w:color w:val="auto"/>
              </w:rPr>
            </w:pPr>
            <w:r>
              <w:rPr>
                <w:rFonts w:ascii="Courier New" w:cs="Courier New" w:eastAsia="Courier New" w:hAnsi="Courier New"/>
                <w:sz w:val="15"/>
                <w:szCs w:val="15"/>
                <w:b w:val="1"/>
                <w:bCs w:val="1"/>
                <w:color w:val="auto"/>
                <w:w w:val="94"/>
              </w:rPr>
              <w:t>1999</w:t>
            </w:r>
          </w:p>
        </w:tc>
      </w:tr>
      <w:tr>
        <w:trPr>
          <w:trHeight w:val="177"/>
        </w:trPr>
        <w:tc>
          <w:tcPr>
            <w:tcW w:w="3360" w:type="dxa"/>
            <w:vAlign w:val="bottom"/>
          </w:tcPr>
          <w:p>
            <w:pPr>
              <w:spacing w:after="0"/>
              <w:rPr>
                <w:sz w:val="15"/>
                <w:szCs w:val="15"/>
                <w:color w:val="auto"/>
              </w:rPr>
            </w:pPr>
          </w:p>
        </w:tc>
        <w:tc>
          <w:tcPr>
            <w:tcW w:w="1340" w:type="dxa"/>
            <w:vAlign w:val="bottom"/>
            <w:gridSpan w:val="2"/>
          </w:tcPr>
          <w:p>
            <w:pPr>
              <w:jc w:val="right"/>
              <w:ind w:right="23"/>
              <w:spacing w:after="0"/>
              <w:rPr>
                <w:sz w:val="20"/>
                <w:szCs w:val="20"/>
                <w:color w:val="auto"/>
              </w:rPr>
            </w:pPr>
            <w:r>
              <w:rPr>
                <w:rFonts w:ascii="Courier New" w:cs="Courier New" w:eastAsia="Courier New" w:hAnsi="Courier New"/>
                <w:sz w:val="15"/>
                <w:szCs w:val="15"/>
                <w:b w:val="1"/>
                <w:bCs w:val="1"/>
                <w:color w:val="auto"/>
              </w:rPr>
              <w:t>------------</w:t>
            </w:r>
          </w:p>
        </w:tc>
        <w:tc>
          <w:tcPr>
            <w:tcW w:w="1160" w:type="dxa"/>
            <w:vAlign w:val="bottom"/>
            <w:gridSpan w:val="2"/>
          </w:tcPr>
          <w:p>
            <w:pPr>
              <w:jc w:val="right"/>
              <w:ind w:right="63"/>
              <w:spacing w:after="0"/>
              <w:rPr>
                <w:sz w:val="20"/>
                <w:szCs w:val="20"/>
                <w:color w:val="auto"/>
              </w:rPr>
            </w:pPr>
            <w:r>
              <w:rPr>
                <w:rFonts w:ascii="Courier New" w:cs="Courier New" w:eastAsia="Courier New" w:hAnsi="Courier New"/>
                <w:sz w:val="15"/>
                <w:szCs w:val="15"/>
                <w:b w:val="1"/>
                <w:bCs w:val="1"/>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$ 4,662</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$ 9,987</w:t>
            </w:r>
          </w:p>
        </w:tc>
        <w:tc>
          <w:tcPr>
            <w:tcW w:w="160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$ 7,759</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520" w:type="dxa"/>
            <w:vAlign w:val="bottom"/>
          </w:tcPr>
          <w:p>
            <w:pPr>
              <w:spacing w:after="0"/>
              <w:rPr>
                <w:sz w:val="24"/>
                <w:szCs w:val="24"/>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15,259</w:t>
            </w:r>
          </w:p>
        </w:tc>
        <w:tc>
          <w:tcPr>
            <w:tcW w:w="380" w:type="dxa"/>
            <w:vAlign w:val="bottom"/>
          </w:tcPr>
          <w:p>
            <w:pPr>
              <w:spacing w:after="0"/>
              <w:rPr>
                <w:sz w:val="24"/>
                <w:szCs w:val="24"/>
                <w:color w:val="auto"/>
              </w:rPr>
            </w:pP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6"/>
              </w:rPr>
              <w:t>15,247</w:t>
            </w:r>
          </w:p>
        </w:tc>
        <w:tc>
          <w:tcPr>
            <w:tcW w:w="420" w:type="dxa"/>
            <w:vAlign w:val="bottom"/>
          </w:tcPr>
          <w:p>
            <w:pPr>
              <w:spacing w:after="0"/>
              <w:rPr>
                <w:sz w:val="24"/>
                <w:szCs w:val="24"/>
                <w:color w:val="auto"/>
              </w:rPr>
            </w:pPr>
          </w:p>
        </w:tc>
        <w:tc>
          <w:tcPr>
            <w:tcW w:w="118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6"/>
              </w:rPr>
              <w:t>15,021</w:t>
            </w: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Effective of dilutive stock options</w:t>
            </w:r>
          </w:p>
        </w:tc>
        <w:tc>
          <w:tcPr>
            <w:tcW w:w="52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281</w:t>
            </w:r>
          </w:p>
        </w:tc>
        <w:tc>
          <w:tcPr>
            <w:tcW w:w="380" w:type="dxa"/>
            <w:vAlign w:val="bottom"/>
          </w:tcPr>
          <w:p>
            <w:pPr>
              <w:spacing w:after="0"/>
              <w:rPr>
                <w:sz w:val="15"/>
                <w:szCs w:val="15"/>
                <w:color w:val="auto"/>
              </w:rPr>
            </w:pP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284</w:t>
            </w:r>
          </w:p>
        </w:tc>
        <w:tc>
          <w:tcPr>
            <w:tcW w:w="420" w:type="dxa"/>
            <w:vAlign w:val="bottom"/>
          </w:tcPr>
          <w:p>
            <w:pPr>
              <w:spacing w:after="0"/>
              <w:rPr>
                <w:sz w:val="15"/>
                <w:szCs w:val="15"/>
                <w:color w:val="auto"/>
              </w:rPr>
            </w:pPr>
          </w:p>
        </w:tc>
        <w:tc>
          <w:tcPr>
            <w:tcW w:w="1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17</w:t>
            </w:r>
          </w:p>
        </w:tc>
      </w:tr>
      <w:tr>
        <w:trPr>
          <w:trHeight w:val="177"/>
        </w:trPr>
        <w:tc>
          <w:tcPr>
            <w:tcW w:w="3360" w:type="dxa"/>
            <w:vAlign w:val="bottom"/>
          </w:tcPr>
          <w:p>
            <w:pPr>
              <w:spacing w:after="0"/>
              <w:rPr>
                <w:sz w:val="15"/>
                <w:szCs w:val="15"/>
                <w:color w:val="auto"/>
              </w:rPr>
            </w:pP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Dilutive shares outstanding</w:t>
            </w:r>
          </w:p>
        </w:tc>
        <w:tc>
          <w:tcPr>
            <w:tcW w:w="520" w:type="dxa"/>
            <w:vAlign w:val="bottom"/>
          </w:tcPr>
          <w:p>
            <w:pPr>
              <w:spacing w:after="0"/>
              <w:rPr>
                <w:sz w:val="24"/>
                <w:szCs w:val="24"/>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15,540</w:t>
            </w:r>
          </w:p>
        </w:tc>
        <w:tc>
          <w:tcPr>
            <w:tcW w:w="380" w:type="dxa"/>
            <w:vAlign w:val="bottom"/>
          </w:tcPr>
          <w:p>
            <w:pPr>
              <w:spacing w:after="0"/>
              <w:rPr>
                <w:sz w:val="24"/>
                <w:szCs w:val="24"/>
                <w:color w:val="auto"/>
              </w:rPr>
            </w:pP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6"/>
              </w:rPr>
              <w:t>15,531</w:t>
            </w:r>
          </w:p>
        </w:tc>
        <w:tc>
          <w:tcPr>
            <w:tcW w:w="420" w:type="dxa"/>
            <w:vAlign w:val="bottom"/>
          </w:tcPr>
          <w:p>
            <w:pPr>
              <w:spacing w:after="0"/>
              <w:rPr>
                <w:sz w:val="24"/>
                <w:szCs w:val="24"/>
                <w:color w:val="auto"/>
              </w:rPr>
            </w:pPr>
          </w:p>
        </w:tc>
        <w:tc>
          <w:tcPr>
            <w:tcW w:w="118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6"/>
              </w:rPr>
              <w:t>15,038</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0.31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0.66</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3360" w:type="dxa"/>
            <w:vAlign w:val="bottom"/>
          </w:tcPr>
          <w:p>
            <w:pPr>
              <w:spacing w:after="0"/>
              <w:rPr>
                <w:sz w:val="15"/>
                <w:szCs w:val="15"/>
                <w:color w:val="auto"/>
              </w:rPr>
            </w:pP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355"/>
        </w:trPr>
        <w:tc>
          <w:tcPr>
            <w:tcW w:w="336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0.30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0.64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0.52</w:t>
            </w:r>
          </w:p>
        </w:tc>
      </w:tr>
      <w:tr>
        <w:trPr>
          <w:trHeight w:val="177"/>
        </w:trPr>
        <w:tc>
          <w:tcPr>
            <w:tcW w:w="3360" w:type="dxa"/>
            <w:vAlign w:val="bottom"/>
          </w:tcPr>
          <w:p>
            <w:pPr>
              <w:spacing w:after="0"/>
              <w:rPr>
                <w:sz w:val="15"/>
                <w:szCs w:val="15"/>
                <w:color w:val="auto"/>
              </w:rPr>
            </w:pP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645" w:right="3219"/>
        <w:spacing w:after="0" w:line="251" w:lineRule="auto"/>
        <w:rPr>
          <w:sz w:val="20"/>
          <w:szCs w:val="20"/>
          <w:color w:val="auto"/>
        </w:rPr>
      </w:pPr>
      <w:r>
        <w:rPr>
          <w:rFonts w:ascii="Courier New" w:cs="Courier New" w:eastAsia="Courier New" w:hAnsi="Courier New"/>
          <w:sz w:val="15"/>
          <w:szCs w:val="15"/>
          <w:color w:val="auto"/>
        </w:rPr>
        <w:t>Excluded from the shares outstanding for the years ended December 31, 2001, 2000 and 1999 were 0, 10 and 525 antidilutive options, respectively, which had exercise prices ranging from $9.75 to $11.50, during 2000 and $6.38 to $15.50 during 1999.</w:t>
      </w:r>
    </w:p>
    <w:p>
      <w:pPr>
        <w:spacing w:after="0" w:line="176" w:lineRule="exact"/>
        <w:rPr>
          <w:sz w:val="20"/>
          <w:szCs w:val="20"/>
          <w:color w:val="auto"/>
        </w:rPr>
      </w:pPr>
    </w:p>
    <w:p>
      <w:pPr>
        <w:ind w:left="645" w:right="3119"/>
        <w:spacing w:after="0" w:line="253" w:lineRule="auto"/>
        <w:rPr>
          <w:sz w:val="20"/>
          <w:szCs w:val="20"/>
          <w:color w:val="auto"/>
        </w:rPr>
      </w:pPr>
      <w:r>
        <w:rPr>
          <w:rFonts w:ascii="Courier New" w:cs="Courier New" w:eastAsia="Courier New" w:hAnsi="Courier New"/>
          <w:sz w:val="15"/>
          <w:szCs w:val="15"/>
          <w:color w:val="auto"/>
        </w:rPr>
        <w:t>The Company has declared a dividend of $ 0.32 per share in each of the years ended December 31, 2001, 2000 and 1999.</w:t>
      </w:r>
    </w:p>
    <w:p>
      <w:pPr>
        <w:spacing w:after="0" w:line="352"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5" w:lineRule="exact"/>
        <w:rPr>
          <w:sz w:val="20"/>
          <w:szCs w:val="20"/>
          <w:color w:val="auto"/>
        </w:rPr>
      </w:pPr>
    </w:p>
    <w:p>
      <w:pPr>
        <w:ind w:left="645" w:hanging="645"/>
        <w:spacing w:after="0"/>
        <w:tabs>
          <w:tab w:leader="none" w:pos="645" w:val="left"/>
        </w:tabs>
        <w:numPr>
          <w:ilvl w:val="0"/>
          <w:numId w:val="1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Commitments and Contingencies</w:t>
      </w:r>
    </w:p>
    <w:p>
      <w:pPr>
        <w:spacing w:after="0" w:line="184" w:lineRule="exact"/>
        <w:rPr>
          <w:rFonts w:ascii="Courier New" w:cs="Courier New" w:eastAsia="Courier New" w:hAnsi="Courier New"/>
          <w:sz w:val="15"/>
          <w:szCs w:val="15"/>
          <w:b w:val="1"/>
          <w:bCs w:val="1"/>
          <w:color w:val="auto"/>
        </w:rPr>
      </w:pPr>
    </w:p>
    <w:p>
      <w:pPr>
        <w:ind w:left="645" w:right="283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Company has operating lease commitments for machinery, office equipment, manufacturing and office space which expire on varying dates. Rent expense for 2001, 2000 and 1999 was $1,650, $767 and $376, respectively. The following is a schedule by year of future minimum lease payments as of December 31, 2001 under operating leases that have initial or remaining noncancelable lease terms in excess of one year.</w:t>
      </w:r>
    </w:p>
    <w:p>
      <w:pPr>
        <w:spacing w:after="0" w:line="353" w:lineRule="exact"/>
        <w:rPr>
          <w:sz w:val="20"/>
          <w:szCs w:val="20"/>
          <w:color w:val="auto"/>
        </w:rPr>
      </w:pPr>
    </w:p>
    <w:tbl>
      <w:tblPr>
        <w:tblLayout w:type="fixed"/>
        <w:tblInd w:w="745" w:type="dxa"/>
        <w:tblCellMar>
          <w:top w:w="0" w:type="dxa"/>
          <w:left w:w="0" w:type="dxa"/>
          <w:bottom w:w="0" w:type="dxa"/>
          <w:right w:w="0" w:type="dxa"/>
        </w:tblCellMar>
      </w:tblPr>
      <w:tr>
        <w:trPr>
          <w:trHeight w:val="172"/>
        </w:trPr>
        <w:tc>
          <w:tcPr>
            <w:tcW w:w="3680" w:type="dxa"/>
            <w:vAlign w:val="bottom"/>
          </w:tcPr>
          <w:p>
            <w:pPr>
              <w:ind w:left="1280"/>
              <w:spacing w:after="0"/>
              <w:rPr>
                <w:sz w:val="20"/>
                <w:szCs w:val="20"/>
                <w:color w:val="auto"/>
              </w:rPr>
            </w:pPr>
            <w:r>
              <w:rPr>
                <w:rFonts w:ascii="Courier New" w:cs="Courier New" w:eastAsia="Courier New" w:hAnsi="Courier New"/>
                <w:sz w:val="15"/>
                <w:szCs w:val="15"/>
                <w:b w:val="1"/>
                <w:bCs w:val="1"/>
                <w:color w:val="auto"/>
              </w:rPr>
              <w:t>Year ended December 31,</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7"/>
        </w:trPr>
        <w:tc>
          <w:tcPr>
            <w:tcW w:w="5160" w:type="dxa"/>
            <w:vAlign w:val="bottom"/>
            <w:gridSpan w:val="3"/>
          </w:tcPr>
          <w:p>
            <w:pPr>
              <w:jc w:val="right"/>
              <w:ind w:right="383"/>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36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1,473</w:t>
            </w: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64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1,345</w:t>
            </w: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64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1,311</w:t>
            </w: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64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1,280</w:t>
            </w: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64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1,204</w:t>
            </w: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64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12,005</w:t>
            </w:r>
          </w:p>
        </w:tc>
      </w:tr>
      <w:tr>
        <w:trPr>
          <w:trHeight w:val="177"/>
        </w:trPr>
        <w:tc>
          <w:tcPr>
            <w:tcW w:w="368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r>
      <w:tr>
        <w:trPr>
          <w:trHeight w:val="177"/>
        </w:trPr>
        <w:tc>
          <w:tcPr>
            <w:tcW w:w="3680" w:type="dxa"/>
            <w:vAlign w:val="bottom"/>
          </w:tcPr>
          <w:p>
            <w:pPr>
              <w:ind w:left="540"/>
              <w:spacing w:after="0"/>
              <w:rPr>
                <w:sz w:val="20"/>
                <w:szCs w:val="20"/>
                <w:color w:val="auto"/>
              </w:rPr>
            </w:pPr>
            <w:r>
              <w:rPr>
                <w:rFonts w:ascii="Courier New" w:cs="Courier New" w:eastAsia="Courier New" w:hAnsi="Courier New"/>
                <w:sz w:val="15"/>
                <w:szCs w:val="15"/>
                <w:color w:val="auto"/>
              </w:rPr>
              <w:t>Total minimum lease payments</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18,619</w:t>
            </w:r>
          </w:p>
        </w:tc>
      </w:tr>
      <w:tr>
        <w:trPr>
          <w:trHeight w:val="177"/>
        </w:trPr>
        <w:tc>
          <w:tcPr>
            <w:tcW w:w="368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645" w:right="2939"/>
        <w:spacing w:after="0" w:line="251" w:lineRule="auto"/>
        <w:rPr>
          <w:sz w:val="20"/>
          <w:szCs w:val="20"/>
          <w:color w:val="auto"/>
        </w:rPr>
      </w:pPr>
      <w:r>
        <w:rPr>
          <w:rFonts w:ascii="Courier New" w:cs="Courier New" w:eastAsia="Courier New" w:hAnsi="Courier New"/>
          <w:sz w:val="15"/>
          <w:szCs w:val="15"/>
          <w:color w:val="auto"/>
        </w:rPr>
        <w:t>The Kilkenny operation of the Euroball Segment has received certain grants from the Ireland government. These grants are based upon the Kilkenny facility hiring and retaining certain employment levels. At December 31, 2001, actual employment levels are less than those required by certain grant covenants. As of December 31, 2001, the Company anticipates the grant agreement and employment level thresholds will be restructured.</w:t>
      </w:r>
    </w:p>
    <w:p>
      <w:pPr>
        <w:sectPr>
          <w:pgSz w:w="11900" w:h="16838" w:orient="portrait"/>
          <w:cols w:equalWidth="0" w:num="1">
            <w:col w:w="10225"/>
          </w:cols>
          <w:pgMar w:left="235" w:top="142" w:right="1440" w:bottom="0" w:gutter="0" w:footer="0" w:header="0"/>
        </w:sectPr>
      </w:pPr>
    </w:p>
    <w:p>
      <w:pPr>
        <w:spacing w:after="0" w:line="353" w:lineRule="exact"/>
        <w:rPr>
          <w:sz w:val="20"/>
          <w:szCs w:val="20"/>
          <w:color w:val="auto"/>
        </w:rPr>
      </w:pPr>
    </w:p>
    <w:p>
      <w:pPr>
        <w:ind w:left="645"/>
        <w:spacing w:after="0"/>
        <w:rPr>
          <w:sz w:val="20"/>
          <w:szCs w:val="20"/>
          <w:color w:val="auto"/>
        </w:rPr>
      </w:pPr>
      <w:r>
        <w:rPr>
          <w:rFonts w:ascii="Courier New" w:cs="Courier New" w:eastAsia="Courier New" w:hAnsi="Courier New"/>
          <w:sz w:val="15"/>
          <w:szCs w:val="15"/>
          <w:color w:val="auto"/>
        </w:rPr>
        <w:t>The Euroball Segment has entered into certain consignment arrangements</w:t>
      </w:r>
    </w:p>
    <w:p>
      <w:pPr>
        <w:sectPr>
          <w:pgSz w:w="11900" w:h="16838" w:orient="portrait"/>
          <w:cols w:equalWidth="0" w:num="1">
            <w:col w:w="10225"/>
          </w:cols>
          <w:pgMar w:left="235" w:top="142" w:right="1440" w:bottom="0" w:gutter="0" w:footer="0" w:header="0"/>
          <w:type w:val="continuous"/>
        </w:sectPr>
      </w:pPr>
    </w:p>
    <w:bookmarkStart w:id="36" w:name="page37"/>
    <w:bookmarkEnd w:id="36"/>
    <w:p>
      <w:pPr>
        <w:jc w:val="both"/>
        <w:ind w:left="645" w:right="3119"/>
        <w:spacing w:after="0" w:line="252" w:lineRule="auto"/>
        <w:rPr>
          <w:sz w:val="20"/>
          <w:szCs w:val="20"/>
          <w:color w:val="auto"/>
        </w:rPr>
      </w:pPr>
      <w:r>
        <w:rPr>
          <w:rFonts w:ascii="Courier New" w:cs="Courier New" w:eastAsia="Courier New" w:hAnsi="Courier New"/>
          <w:sz w:val="15"/>
          <w:szCs w:val="15"/>
          <w:color w:val="auto"/>
        </w:rPr>
        <w:t>with Ascometals for the purchase of steel for ball production, whereby the Euroball Kilkenny operation maintains steel on a consignment basis for a period of up to three months.</w:t>
      </w:r>
    </w:p>
    <w:p>
      <w:pPr>
        <w:spacing w:after="0" w:line="352" w:lineRule="exact"/>
        <w:rPr>
          <w:sz w:val="20"/>
          <w:szCs w:val="20"/>
          <w:color w:val="auto"/>
        </w:rPr>
      </w:pPr>
    </w:p>
    <w:p>
      <w:pPr>
        <w:ind w:left="645" w:right="3119"/>
        <w:spacing w:after="0" w:line="251" w:lineRule="auto"/>
        <w:rPr>
          <w:sz w:val="20"/>
          <w:szCs w:val="20"/>
          <w:color w:val="auto"/>
        </w:rPr>
      </w:pPr>
      <w:r>
        <w:rPr>
          <w:rFonts w:ascii="Courier New" w:cs="Courier New" w:eastAsia="Courier New" w:hAnsi="Courier New"/>
          <w:sz w:val="15"/>
          <w:szCs w:val="15"/>
          <w:color w:val="auto"/>
        </w:rPr>
        <w:t>Beginning in January 2003, FAG and SKF may each exercise their right under The Shareholders Agreement to cause the Company to purchase their respective interest in Euroball based on the Put Formula in the Shareholders Agreement. The Company anticipates that if such purchase becomes necessary, it may need to borrow additional funds. Because the purchase price is based on a formula using Euroball's historical cash flow, the exact amount of the put cannot be determined until the put right is exercised.</w:t>
      </w:r>
    </w:p>
    <w:p>
      <w:pPr>
        <w:spacing w:after="0" w:line="353"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40" w:lineRule="exact"/>
        <w:rPr>
          <w:sz w:val="20"/>
          <w:szCs w:val="20"/>
          <w:color w:val="auto"/>
        </w:rPr>
      </w:pPr>
    </w:p>
    <w:p>
      <w:pPr>
        <w:ind w:left="645" w:hanging="645"/>
        <w:spacing w:after="0"/>
        <w:tabs>
          <w:tab w:leader="none" w:pos="645" w:val="left"/>
        </w:tabs>
        <w:numPr>
          <w:ilvl w:val="0"/>
          <w:numId w:val="1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Quarterly Results of Operations (Unaudited)</w:t>
      </w:r>
    </w:p>
    <w:p>
      <w:pPr>
        <w:spacing w:after="0" w:line="184" w:lineRule="exact"/>
        <w:rPr>
          <w:rFonts w:ascii="Courier New" w:cs="Courier New" w:eastAsia="Courier New" w:hAnsi="Courier New"/>
          <w:sz w:val="15"/>
          <w:szCs w:val="15"/>
          <w:b w:val="1"/>
          <w:bCs w:val="1"/>
          <w:color w:val="auto"/>
        </w:rPr>
      </w:pPr>
    </w:p>
    <w:p>
      <w:pPr>
        <w:ind w:left="645" w:right="3119"/>
        <w:spacing w:after="0" w:line="253"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following summarizes the unaudited quarterly results of operations for the years ended December 31, 2001 and 2000.</w:t>
      </w:r>
    </w:p>
    <w:p>
      <w:pPr>
        <w:spacing w:after="0" w:line="174" w:lineRule="exact"/>
        <w:rPr>
          <w:sz w:val="20"/>
          <w:szCs w:val="20"/>
          <w:color w:val="auto"/>
        </w:rPr>
      </w:pPr>
    </w:p>
    <w:tbl>
      <w:tblPr>
        <w:tblLayout w:type="fixed"/>
        <w:tblInd w:w="465"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20" w:type="dxa"/>
            <w:vAlign w:val="bottom"/>
            <w:gridSpan w:val="2"/>
          </w:tcPr>
          <w:p>
            <w:pPr>
              <w:jc w:val="right"/>
              <w:ind w:right="63"/>
              <w:spacing w:after="0"/>
              <w:rPr>
                <w:sz w:val="20"/>
                <w:szCs w:val="20"/>
                <w:color w:val="auto"/>
              </w:rPr>
            </w:pPr>
            <w:r>
              <w:rPr>
                <w:rFonts w:ascii="Courier New" w:cs="Courier New" w:eastAsia="Courier New" w:hAnsi="Courier New"/>
                <w:sz w:val="15"/>
                <w:szCs w:val="15"/>
                <w:b w:val="1"/>
                <w:bCs w:val="1"/>
                <w:color w:val="auto"/>
              </w:rPr>
              <w:t>Year ended December 31, 2001</w:t>
            </w:r>
          </w:p>
        </w:tc>
        <w:tc>
          <w:tcPr>
            <w:tcW w:w="960" w:type="dxa"/>
            <w:vAlign w:val="bottom"/>
          </w:tcPr>
          <w:p>
            <w:pPr>
              <w:spacing w:after="0"/>
              <w:rPr>
                <w:sz w:val="14"/>
                <w:szCs w:val="14"/>
                <w:color w:val="auto"/>
              </w:rPr>
            </w:pPr>
          </w:p>
        </w:tc>
      </w:tr>
      <w:tr>
        <w:trPr>
          <w:trHeight w:val="177"/>
        </w:trPr>
        <w:tc>
          <w:tcPr>
            <w:tcW w:w="3460" w:type="dxa"/>
            <w:vAlign w:val="bottom"/>
          </w:tcPr>
          <w:p>
            <w:pPr>
              <w:spacing w:after="0"/>
              <w:rPr>
                <w:sz w:val="15"/>
                <w:szCs w:val="15"/>
                <w:color w:val="auto"/>
              </w:rPr>
            </w:pP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March 31</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June 30</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Sept. 30</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Dec. 31</w:t>
            </w:r>
          </w:p>
        </w:tc>
      </w:tr>
      <w:tr>
        <w:trPr>
          <w:trHeight w:val="177"/>
        </w:trPr>
        <w:tc>
          <w:tcPr>
            <w:tcW w:w="3460" w:type="dxa"/>
            <w:vAlign w:val="bottom"/>
          </w:tcPr>
          <w:p>
            <w:pPr>
              <w:spacing w:after="0"/>
              <w:rPr>
                <w:sz w:val="15"/>
                <w:szCs w:val="15"/>
                <w:color w:val="auto"/>
              </w:rPr>
            </w:pP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b w:val="1"/>
                <w:bCs w:val="1"/>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b w:val="1"/>
                <w:bCs w:val="1"/>
                <w:color w:val="auto"/>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$ 50,227</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$ 47,350</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$ 42,576</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$ 39,998</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12,043</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12,030</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9,687</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8,800</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1,448</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3,506</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744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(1,036)</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Basic net income (loss) per share</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0.10</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0.23</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0.05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Dilutive net income (loss) per share</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0.09</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0.23</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0.05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355"/>
        </w:trPr>
        <w:tc>
          <w:tcPr>
            <w:tcW w:w="346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7"/>
        </w:trPr>
        <w:tc>
          <w:tcPr>
            <w:tcW w:w="3460" w:type="dxa"/>
            <w:vAlign w:val="bottom"/>
          </w:tcPr>
          <w:p>
            <w:pPr>
              <w:ind w:left="360"/>
              <w:spacing w:after="0"/>
              <w:rPr>
                <w:sz w:val="20"/>
                <w:szCs w:val="20"/>
                <w:color w:val="auto"/>
              </w:rPr>
            </w:pPr>
            <w:r>
              <w:rPr>
                <w:rFonts w:ascii="Courier New" w:cs="Courier New" w:eastAsia="Courier New" w:hAnsi="Courier New"/>
                <w:sz w:val="15"/>
                <w:szCs w:val="15"/>
                <w:color w:val="auto"/>
              </w:rPr>
              <w:t>outstanding:</w:t>
            </w: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3460" w:type="dxa"/>
            <w:vAlign w:val="bottom"/>
          </w:tcPr>
          <w:p>
            <w:pPr>
              <w:ind w:left="360"/>
              <w:spacing w:after="0"/>
              <w:rPr>
                <w:sz w:val="20"/>
                <w:szCs w:val="20"/>
                <w:color w:val="auto"/>
              </w:rPr>
            </w:pPr>
            <w:r>
              <w:rPr>
                <w:rFonts w:ascii="Courier New" w:cs="Courier New" w:eastAsia="Courier New" w:hAnsi="Courier New"/>
                <w:sz w:val="15"/>
                <w:szCs w:val="15"/>
                <w:color w:val="auto"/>
              </w:rPr>
              <w:t>Basic number of shares</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15,247</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15,253</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15,286</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15,302</w:t>
            </w:r>
          </w:p>
        </w:tc>
      </w:tr>
      <w:tr>
        <w:trPr>
          <w:trHeight w:val="177"/>
        </w:trPr>
        <w:tc>
          <w:tcPr>
            <w:tcW w:w="3460" w:type="dxa"/>
            <w:vAlign w:val="bottom"/>
          </w:tcPr>
          <w:p>
            <w:pPr>
              <w:ind w:left="360"/>
              <w:spacing w:after="0"/>
              <w:rPr>
                <w:sz w:val="20"/>
                <w:szCs w:val="20"/>
                <w:color w:val="auto"/>
              </w:rPr>
            </w:pPr>
            <w:r>
              <w:rPr>
                <w:rFonts w:ascii="Courier New" w:cs="Courier New" w:eastAsia="Courier New" w:hAnsi="Courier New"/>
                <w:sz w:val="15"/>
                <w:szCs w:val="15"/>
                <w:color w:val="auto"/>
              </w:rPr>
              <w:t>Effect of dilutive stock</w:t>
            </w: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3460" w:type="dxa"/>
            <w:vAlign w:val="bottom"/>
          </w:tcPr>
          <w:p>
            <w:pPr>
              <w:ind w:left="540"/>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149</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279</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298</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377</w:t>
            </w:r>
          </w:p>
        </w:tc>
      </w:tr>
      <w:tr>
        <w:trPr>
          <w:trHeight w:val="177"/>
        </w:trPr>
        <w:tc>
          <w:tcPr>
            <w:tcW w:w="346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460" w:type="dxa"/>
            <w:vAlign w:val="bottom"/>
          </w:tcPr>
          <w:p>
            <w:pPr>
              <w:spacing w:after="0"/>
              <w:rPr>
                <w:sz w:val="20"/>
                <w:szCs w:val="20"/>
                <w:color w:val="auto"/>
              </w:rPr>
            </w:pPr>
            <w:r>
              <w:rPr>
                <w:rFonts w:ascii="Courier New" w:cs="Courier New" w:eastAsia="Courier New" w:hAnsi="Courier New"/>
                <w:sz w:val="15"/>
                <w:szCs w:val="15"/>
                <w:color w:val="auto"/>
              </w:rPr>
              <w:t>Diluted number of shares</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15,396</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15,532</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15,584</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15,679</w:t>
            </w:r>
          </w:p>
        </w:tc>
      </w:tr>
      <w:tr>
        <w:trPr>
          <w:trHeight w:val="177"/>
        </w:trPr>
        <w:tc>
          <w:tcPr>
            <w:tcW w:w="346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tbl>
      <w:tblPr>
        <w:tblLayout w:type="fixed"/>
        <w:tblInd w:w="465" w:type="dxa"/>
        <w:tblCellMar>
          <w:top w:w="0" w:type="dxa"/>
          <w:left w:w="0" w:type="dxa"/>
          <w:bottom w:w="0" w:type="dxa"/>
          <w:right w:w="0" w:type="dxa"/>
        </w:tblCellMar>
      </w:tblPr>
      <w:tr>
        <w:trPr>
          <w:trHeight w:val="172"/>
        </w:trPr>
        <w:tc>
          <w:tcPr>
            <w:tcW w:w="2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40" w:type="dxa"/>
            <w:vAlign w:val="bottom"/>
            <w:gridSpan w:val="2"/>
          </w:tcPr>
          <w:p>
            <w:pPr>
              <w:jc w:val="right"/>
              <w:ind w:right="23"/>
              <w:spacing w:after="0"/>
              <w:rPr>
                <w:sz w:val="20"/>
                <w:szCs w:val="20"/>
                <w:color w:val="auto"/>
              </w:rPr>
            </w:pPr>
            <w:r>
              <w:rPr>
                <w:rFonts w:ascii="Courier New" w:cs="Courier New" w:eastAsia="Courier New" w:hAnsi="Courier New"/>
                <w:sz w:val="15"/>
                <w:szCs w:val="15"/>
                <w:b w:val="1"/>
                <w:bCs w:val="1"/>
                <w:color w:val="auto"/>
              </w:rPr>
              <w:t>Year ended December 31, 2000</w:t>
            </w:r>
          </w:p>
        </w:tc>
        <w:tc>
          <w:tcPr>
            <w:tcW w:w="720" w:type="dxa"/>
            <w:vAlign w:val="bottom"/>
          </w:tcPr>
          <w:p>
            <w:pPr>
              <w:spacing w:after="0"/>
              <w:rPr>
                <w:sz w:val="14"/>
                <w:szCs w:val="14"/>
                <w:color w:val="auto"/>
              </w:rPr>
            </w:pPr>
          </w:p>
        </w:tc>
      </w:tr>
      <w:tr>
        <w:trPr>
          <w:trHeight w:val="177"/>
        </w:trPr>
        <w:tc>
          <w:tcPr>
            <w:tcW w:w="29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March 31</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b w:val="1"/>
                <w:bCs w:val="1"/>
                <w:color w:val="auto"/>
              </w:rPr>
              <w:t>June 30</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Sept. 30</w:t>
            </w:r>
          </w:p>
        </w:tc>
        <w:tc>
          <w:tcPr>
            <w:tcW w:w="72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Dec. 31</w:t>
            </w:r>
          </w:p>
        </w:tc>
      </w:tr>
      <w:tr>
        <w:trPr>
          <w:trHeight w:val="177"/>
        </w:trPr>
        <w:tc>
          <w:tcPr>
            <w:tcW w:w="29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b w:val="1"/>
                <w:bCs w:val="1"/>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b w:val="1"/>
                <w:bCs w:val="1"/>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$28,002</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$25,643</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$37,075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$41,409</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7,656</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7,678</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10,972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11,898</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2,110</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2,242</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2,443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3,192</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0.14</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0.15</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0.16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Dilutive net income per share</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0.14</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0.15</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0.16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2940" w:type="dxa"/>
            <w:vAlign w:val="bottom"/>
          </w:tcPr>
          <w:p>
            <w:pPr>
              <w:ind w:left="360"/>
              <w:spacing w:after="0"/>
              <w:rPr>
                <w:sz w:val="20"/>
                <w:szCs w:val="20"/>
                <w:color w:val="auto"/>
              </w:rPr>
            </w:pPr>
            <w:r>
              <w:rPr>
                <w:rFonts w:ascii="Courier New" w:cs="Courier New" w:eastAsia="Courier New" w:hAnsi="Courier New"/>
                <w:sz w:val="15"/>
                <w:szCs w:val="15"/>
                <w:color w:val="auto"/>
              </w:rPr>
              <w:t>outstanding:</w:t>
            </w: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2940" w:type="dxa"/>
            <w:vAlign w:val="bottom"/>
          </w:tcPr>
          <w:p>
            <w:pPr>
              <w:ind w:left="360"/>
              <w:spacing w:after="0"/>
              <w:rPr>
                <w:sz w:val="20"/>
                <w:szCs w:val="20"/>
                <w:color w:val="auto"/>
              </w:rPr>
            </w:pPr>
            <w:r>
              <w:rPr>
                <w:rFonts w:ascii="Courier New" w:cs="Courier New" w:eastAsia="Courier New" w:hAnsi="Courier New"/>
                <w:sz w:val="15"/>
                <w:szCs w:val="15"/>
                <w:color w:val="auto"/>
              </w:rPr>
              <w:t>Basic number of shares</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15,244</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15,244</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15,245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15,247</w:t>
            </w:r>
          </w:p>
        </w:tc>
      </w:tr>
      <w:tr>
        <w:trPr>
          <w:trHeight w:val="177"/>
        </w:trPr>
        <w:tc>
          <w:tcPr>
            <w:tcW w:w="2940" w:type="dxa"/>
            <w:vAlign w:val="bottom"/>
          </w:tcPr>
          <w:p>
            <w:pPr>
              <w:ind w:left="360"/>
              <w:spacing w:after="0"/>
              <w:rPr>
                <w:sz w:val="20"/>
                <w:szCs w:val="20"/>
                <w:color w:val="auto"/>
              </w:rPr>
            </w:pPr>
            <w:r>
              <w:rPr>
                <w:rFonts w:ascii="Courier New" w:cs="Courier New" w:eastAsia="Courier New" w:hAnsi="Courier New"/>
                <w:sz w:val="15"/>
                <w:szCs w:val="15"/>
                <w:color w:val="auto"/>
              </w:rPr>
              <w:t>Effect of dilutive stock</w:t>
            </w: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7"/>
        </w:trPr>
        <w:tc>
          <w:tcPr>
            <w:tcW w:w="2940" w:type="dxa"/>
            <w:vAlign w:val="bottom"/>
          </w:tcPr>
          <w:p>
            <w:pPr>
              <w:ind w:left="540"/>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214</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192</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179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r>
      <w:tr>
        <w:trPr>
          <w:trHeight w:val="177"/>
        </w:trPr>
        <w:tc>
          <w:tcPr>
            <w:tcW w:w="2940" w:type="dxa"/>
            <w:vAlign w:val="bottom"/>
          </w:tcPr>
          <w:p>
            <w:pPr>
              <w:spacing w:after="0"/>
              <w:rPr>
                <w:sz w:val="15"/>
                <w:szCs w:val="15"/>
                <w:color w:val="auto"/>
              </w:rPr>
            </w:pP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Diluted number of shares</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15,458</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15,436</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15,424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15,482</w:t>
            </w:r>
          </w:p>
        </w:tc>
      </w:tr>
      <w:tr>
        <w:trPr>
          <w:trHeight w:val="177"/>
        </w:trPr>
        <w:tc>
          <w:tcPr>
            <w:tcW w:w="2940" w:type="dxa"/>
            <w:vAlign w:val="bottom"/>
          </w:tcPr>
          <w:p>
            <w:pPr>
              <w:spacing w:after="0"/>
              <w:rPr>
                <w:sz w:val="15"/>
                <w:szCs w:val="15"/>
                <w:color w:val="auto"/>
              </w:rPr>
            </w:pP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465" w:right="3119"/>
        <w:spacing w:after="0" w:line="251" w:lineRule="auto"/>
        <w:rPr>
          <w:sz w:val="20"/>
          <w:szCs w:val="20"/>
          <w:color w:val="auto"/>
        </w:rPr>
      </w:pPr>
      <w:r>
        <w:rPr>
          <w:rFonts w:ascii="Courier New" w:cs="Courier New" w:eastAsia="Courier New" w:hAnsi="Courier New"/>
          <w:sz w:val="15"/>
          <w:szCs w:val="15"/>
          <w:color w:val="auto"/>
        </w:rPr>
        <w:t>Fourth quarter results in 2001 include pre-tax charges of $1,405 ($913 after-tax) related to $1,086 of asset write downs on the Company's Walterboro, SC production facility and $319 of NN Arte minority interest losses absorbed by the Company. Without these nonrecurring charges, the fourth quarter 2001 loss per share would have been ($.01) rather than ($.07).</w:t>
      </w:r>
    </w:p>
    <w:p>
      <w:pPr>
        <w:spacing w:after="0" w:line="353" w:lineRule="exact"/>
        <w:rPr>
          <w:sz w:val="20"/>
          <w:szCs w:val="20"/>
          <w:color w:val="auto"/>
        </w:rPr>
      </w:pPr>
    </w:p>
    <w:p>
      <w:pPr>
        <w:ind w:left="5905"/>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December 31, 2001, 2000 and 1999</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ectPr>
          <w:pgSz w:w="11900" w:h="16838" w:orient="portrait"/>
          <w:cols w:equalWidth="0" w:num="1">
            <w:col w:w="10225"/>
          </w:cols>
          <w:pgMar w:left="235" w:top="142" w:right="1440" w:bottom="40" w:gutter="0" w:footer="0" w:header="0"/>
        </w:sectPr>
      </w:pPr>
    </w:p>
    <w:bookmarkStart w:id="37" w:name="page38"/>
    <w:bookmarkEnd w:id="37"/>
    <w:p>
      <w:pPr>
        <w:ind w:left="645" w:hanging="553"/>
        <w:spacing w:after="0"/>
        <w:tabs>
          <w:tab w:leader="none" w:pos="645" w:val="left"/>
        </w:tabs>
        <w:numPr>
          <w:ilvl w:val="0"/>
          <w:numId w:val="1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Fair Value of Financial Instruments</w:t>
      </w:r>
    </w:p>
    <w:p>
      <w:pPr>
        <w:spacing w:after="0" w:line="184" w:lineRule="exact"/>
        <w:rPr>
          <w:rFonts w:ascii="Courier New" w:cs="Courier New" w:eastAsia="Courier New" w:hAnsi="Courier New"/>
          <w:sz w:val="15"/>
          <w:szCs w:val="15"/>
          <w:b w:val="1"/>
          <w:bCs w:val="1"/>
          <w:color w:val="auto"/>
        </w:rPr>
      </w:pPr>
    </w:p>
    <w:p>
      <w:pPr>
        <w:ind w:left="645" w:right="311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Management believes the fair value of financial instruments approximate their carrying value due to the short maturity of these instruments or in the case of the Company's notes receivable and debt, due to the variable interest rates. The following table presents the carrying amounts and estimated fair values of the Company's financial instruments at December 31, 2001 and 2000:</w:t>
      </w:r>
    </w:p>
    <w:p>
      <w:pPr>
        <w:spacing w:after="0" w:line="176" w:lineRule="exact"/>
        <w:rPr>
          <w:sz w:val="20"/>
          <w:szCs w:val="20"/>
          <w:color w:val="auto"/>
        </w:rPr>
      </w:pPr>
    </w:p>
    <w:tbl>
      <w:tblPr>
        <w:tblLayout w:type="fixed"/>
        <w:tblInd w:w="465" w:type="dxa"/>
        <w:tblCellMar>
          <w:top w:w="0" w:type="dxa"/>
          <w:left w:w="0" w:type="dxa"/>
          <w:bottom w:w="0" w:type="dxa"/>
          <w:right w:w="0" w:type="dxa"/>
        </w:tblCellMar>
      </w:tblPr>
      <w:tr>
        <w:trPr>
          <w:trHeight w:val="172"/>
        </w:trPr>
        <w:tc>
          <w:tcPr>
            <w:tcW w:w="3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jc w:val="right"/>
              <w:ind w:right="923"/>
              <w:spacing w:after="0"/>
              <w:rPr>
                <w:sz w:val="20"/>
                <w:szCs w:val="20"/>
                <w:color w:val="auto"/>
              </w:rPr>
            </w:pPr>
            <w:r>
              <w:rPr>
                <w:rFonts w:ascii="Courier New" w:cs="Courier New" w:eastAsia="Courier New" w:hAnsi="Courier New"/>
                <w:sz w:val="15"/>
                <w:szCs w:val="15"/>
                <w:b w:val="1"/>
                <w:bCs w:val="1"/>
                <w:color w:val="auto"/>
                <w:w w:val="99"/>
              </w:rPr>
              <w:t>2001</w:t>
            </w:r>
          </w:p>
        </w:tc>
        <w:tc>
          <w:tcPr>
            <w:tcW w:w="148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2000</w:t>
            </w:r>
          </w:p>
        </w:tc>
        <w:tc>
          <w:tcPr>
            <w:tcW w:w="920" w:type="dxa"/>
            <w:vAlign w:val="bottom"/>
          </w:tcPr>
          <w:p>
            <w:pPr>
              <w:spacing w:after="0"/>
              <w:rPr>
                <w:sz w:val="14"/>
                <w:szCs w:val="14"/>
                <w:color w:val="auto"/>
              </w:rPr>
            </w:pPr>
          </w:p>
        </w:tc>
      </w:tr>
      <w:tr>
        <w:trPr>
          <w:trHeight w:val="177"/>
        </w:trPr>
        <w:tc>
          <w:tcPr>
            <w:tcW w:w="3640" w:type="dxa"/>
            <w:vAlign w:val="bottom"/>
          </w:tcPr>
          <w:p>
            <w:pPr>
              <w:spacing w:after="0"/>
              <w:rPr>
                <w:sz w:val="15"/>
                <w:szCs w:val="15"/>
                <w:color w:val="auto"/>
              </w:rPr>
            </w:pPr>
          </w:p>
        </w:tc>
        <w:tc>
          <w:tcPr>
            <w:tcW w:w="2440" w:type="dxa"/>
            <w:vAlign w:val="bottom"/>
            <w:gridSpan w:val="2"/>
          </w:tcPr>
          <w:p>
            <w:pPr>
              <w:jc w:val="right"/>
              <w:ind w:right="3"/>
              <w:spacing w:after="0"/>
              <w:rPr>
                <w:sz w:val="20"/>
                <w:szCs w:val="20"/>
                <w:color w:val="auto"/>
              </w:rPr>
            </w:pPr>
            <w:r>
              <w:rPr>
                <w:rFonts w:ascii="Courier New" w:cs="Courier New" w:eastAsia="Courier New" w:hAnsi="Courier New"/>
                <w:sz w:val="15"/>
                <w:szCs w:val="15"/>
                <w:b w:val="1"/>
                <w:bCs w:val="1"/>
                <w:color w:val="auto"/>
              </w:rPr>
              <w:t>-----------------------</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3640" w:type="dxa"/>
            <w:vAlign w:val="bottom"/>
          </w:tcPr>
          <w:p>
            <w:pPr>
              <w:spacing w:after="0"/>
              <w:rPr>
                <w:sz w:val="15"/>
                <w:szCs w:val="15"/>
                <w:color w:val="auto"/>
              </w:rPr>
            </w:pP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Carrying</w:t>
            </w:r>
          </w:p>
        </w:tc>
        <w:tc>
          <w:tcPr>
            <w:tcW w:w="1380" w:type="dxa"/>
            <w:vAlign w:val="bottom"/>
          </w:tcPr>
          <w:p>
            <w:pPr>
              <w:ind w:left="640"/>
              <w:spacing w:after="0"/>
              <w:rPr>
                <w:sz w:val="20"/>
                <w:szCs w:val="20"/>
                <w:color w:val="auto"/>
              </w:rPr>
            </w:pPr>
            <w:r>
              <w:rPr>
                <w:rFonts w:ascii="Courier New" w:cs="Courier New" w:eastAsia="Courier New" w:hAnsi="Courier New"/>
                <w:sz w:val="15"/>
                <w:szCs w:val="15"/>
                <w:b w:val="1"/>
                <w:bCs w:val="1"/>
                <w:color w:val="auto"/>
              </w:rPr>
              <w:t>Fair</w:t>
            </w:r>
          </w:p>
        </w:tc>
        <w:tc>
          <w:tcPr>
            <w:tcW w:w="148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rPr>
              <w:t>Carrying</w:t>
            </w: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b w:val="1"/>
                <w:bCs w:val="1"/>
                <w:color w:val="auto"/>
              </w:rPr>
              <w:t>Fair</w:t>
            </w:r>
          </w:p>
        </w:tc>
      </w:tr>
      <w:tr>
        <w:trPr>
          <w:trHeight w:val="177"/>
        </w:trPr>
        <w:tc>
          <w:tcPr>
            <w:tcW w:w="3640" w:type="dxa"/>
            <w:vAlign w:val="bottom"/>
          </w:tcPr>
          <w:p>
            <w:pPr>
              <w:spacing w:after="0"/>
              <w:rPr>
                <w:sz w:val="15"/>
                <w:szCs w:val="15"/>
                <w:color w:val="auto"/>
              </w:rPr>
            </w:pP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b w:val="1"/>
                <w:bCs w:val="1"/>
                <w:color w:val="auto"/>
              </w:rPr>
              <w:t>amount</w:t>
            </w:r>
          </w:p>
        </w:tc>
        <w:tc>
          <w:tcPr>
            <w:tcW w:w="1380" w:type="dxa"/>
            <w:vAlign w:val="bottom"/>
          </w:tcPr>
          <w:p>
            <w:pPr>
              <w:ind w:left="640"/>
              <w:spacing w:after="0"/>
              <w:rPr>
                <w:sz w:val="20"/>
                <w:szCs w:val="20"/>
                <w:color w:val="auto"/>
              </w:rPr>
            </w:pPr>
            <w:r>
              <w:rPr>
                <w:rFonts w:ascii="Courier New" w:cs="Courier New" w:eastAsia="Courier New" w:hAnsi="Courier New"/>
                <w:sz w:val="15"/>
                <w:szCs w:val="15"/>
                <w:b w:val="1"/>
                <w:bCs w:val="1"/>
                <w:color w:val="auto"/>
              </w:rPr>
              <w:t>value</w:t>
            </w:r>
          </w:p>
        </w:tc>
        <w:tc>
          <w:tcPr>
            <w:tcW w:w="1480" w:type="dxa"/>
            <w:vAlign w:val="bottom"/>
          </w:tcPr>
          <w:p>
            <w:pPr>
              <w:jc w:val="center"/>
              <w:spacing w:after="0"/>
              <w:rPr>
                <w:sz w:val="20"/>
                <w:szCs w:val="20"/>
                <w:color w:val="auto"/>
              </w:rPr>
            </w:pPr>
            <w:r>
              <w:rPr>
                <w:rFonts w:ascii="Courier New" w:cs="Courier New" w:eastAsia="Courier New" w:hAnsi="Courier New"/>
                <w:sz w:val="15"/>
                <w:szCs w:val="15"/>
                <w:b w:val="1"/>
                <w:bCs w:val="1"/>
                <w:color w:val="auto"/>
              </w:rPr>
              <w:t>amount</w:t>
            </w: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b w:val="1"/>
                <w:bCs w:val="1"/>
                <w:color w:val="auto"/>
              </w:rPr>
              <w:t>value</w:t>
            </w:r>
          </w:p>
        </w:tc>
      </w:tr>
      <w:tr>
        <w:trPr>
          <w:trHeight w:val="177"/>
        </w:trPr>
        <w:tc>
          <w:tcPr>
            <w:tcW w:w="3640" w:type="dxa"/>
            <w:vAlign w:val="bottom"/>
          </w:tcPr>
          <w:p>
            <w:pPr>
              <w:spacing w:after="0"/>
              <w:rPr>
                <w:sz w:val="15"/>
                <w:szCs w:val="15"/>
                <w:color w:val="auto"/>
              </w:rPr>
            </w:pPr>
          </w:p>
        </w:tc>
        <w:tc>
          <w:tcPr>
            <w:tcW w:w="4840" w:type="dxa"/>
            <w:vAlign w:val="bottom"/>
            <w:gridSpan w:val="4"/>
          </w:tcPr>
          <w:p>
            <w:pPr>
              <w:jc w:val="right"/>
              <w:spacing w:after="0"/>
              <w:rPr>
                <w:sz w:val="20"/>
                <w:szCs w:val="20"/>
                <w:color w:val="auto"/>
              </w:rPr>
            </w:pPr>
            <w:r>
              <w:rPr>
                <w:rFonts w:ascii="Courier New" w:cs="Courier New" w:eastAsia="Courier New" w:hAnsi="Courier New"/>
                <w:sz w:val="15"/>
                <w:szCs w:val="15"/>
                <w:b w:val="1"/>
                <w:bCs w:val="1"/>
                <w:color w:val="auto"/>
              </w:rPr>
              <w:t>---------------------------------------------------</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Financial assets:</w:t>
            </w: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Cash and cash equivalents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$ 3,024</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$ 3,024</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$ 8,273</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$ 8,273</w:t>
            </w:r>
          </w:p>
        </w:tc>
      </w:tr>
      <w:tr>
        <w:trPr>
          <w:trHeight w:val="177"/>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Accounts receivable, net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24,832</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24,832</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29,549</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29,549</w:t>
            </w:r>
          </w:p>
        </w:tc>
      </w:tr>
      <w:tr>
        <w:trPr>
          <w:trHeight w:val="177"/>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Other current assets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3,034</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3,034</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1,512</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1,512</w:t>
            </w:r>
          </w:p>
        </w:tc>
      </w:tr>
      <w:tr>
        <w:trPr>
          <w:trHeight w:val="177"/>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Other non-current assets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4,862</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4,862</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4,212</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4,212</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Financial liabilities:</w:t>
            </w: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Accounts payable and bank overdraft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16,970</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16,970</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17,337</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17,337</w:t>
            </w:r>
          </w:p>
        </w:tc>
      </w:tr>
      <w:tr>
        <w:trPr>
          <w:trHeight w:val="177"/>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Accrued expenses and other payables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13,716</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13,716</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14,839</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14,839</w:t>
            </w:r>
          </w:p>
        </w:tc>
      </w:tr>
      <w:tr>
        <w:trPr>
          <w:trHeight w:val="177"/>
        </w:trPr>
        <w:tc>
          <w:tcPr>
            <w:tcW w:w="3640" w:type="dxa"/>
            <w:vAlign w:val="bottom"/>
          </w:tcPr>
          <w:p>
            <w:pPr>
              <w:ind w:left="540"/>
              <w:spacing w:after="0"/>
              <w:rPr>
                <w:sz w:val="20"/>
                <w:szCs w:val="20"/>
                <w:color w:val="auto"/>
              </w:rPr>
            </w:pPr>
            <w:r>
              <w:rPr>
                <w:rFonts w:ascii="Courier New" w:cs="Courier New" w:eastAsia="Courier New" w:hAnsi="Courier New"/>
                <w:sz w:val="15"/>
                <w:szCs w:val="15"/>
                <w:color w:val="auto"/>
              </w:rPr>
              <w:t>Short-term loan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7,000</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2,000</w:t>
            </w:r>
          </w:p>
        </w:tc>
      </w:tr>
      <w:tr>
        <w:trPr>
          <w:trHeight w:val="177"/>
        </w:trPr>
        <w:tc>
          <w:tcPr>
            <w:tcW w:w="3640" w:type="dxa"/>
            <w:vAlign w:val="bottom"/>
          </w:tcPr>
          <w:p>
            <w:pPr>
              <w:ind w:left="540"/>
              <w:spacing w:after="0"/>
              <w:rPr>
                <w:sz w:val="20"/>
                <w:szCs w:val="20"/>
                <w:color w:val="auto"/>
              </w:rPr>
            </w:pPr>
            <w:r>
              <w:rPr>
                <w:rFonts w:ascii="Courier New" w:cs="Courier New" w:eastAsia="Courier New" w:hAnsi="Courier New"/>
                <w:sz w:val="15"/>
                <w:szCs w:val="15"/>
                <w:color w:val="auto"/>
              </w:rPr>
              <w:t>Long-term debt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47,661</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47,661</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50,515</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50,515</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Interest rate swap liability</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374</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374</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280</w:t>
            </w:r>
          </w:p>
        </w:tc>
      </w:tr>
    </w:tbl>
    <w:p>
      <w:pPr>
        <w:spacing w:after="0" w:line="183" w:lineRule="exact"/>
        <w:rPr>
          <w:sz w:val="20"/>
          <w:szCs w:val="20"/>
          <w:color w:val="auto"/>
        </w:rPr>
      </w:pPr>
    </w:p>
    <w:p>
      <w:pPr>
        <w:ind w:left="645" w:hanging="553"/>
        <w:spacing w:after="0"/>
        <w:tabs>
          <w:tab w:leader="none" w:pos="645" w:val="left"/>
        </w:tabs>
        <w:numPr>
          <w:ilvl w:val="1"/>
          <w:numId w:val="2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Involuntary Conversion</w:t>
      </w:r>
    </w:p>
    <w:p>
      <w:pPr>
        <w:spacing w:after="0" w:line="184" w:lineRule="exact"/>
        <w:rPr>
          <w:rFonts w:ascii="Courier New" w:cs="Courier New" w:eastAsia="Courier New" w:hAnsi="Courier New"/>
          <w:sz w:val="15"/>
          <w:szCs w:val="15"/>
          <w:b w:val="1"/>
          <w:bCs w:val="1"/>
          <w:color w:val="auto"/>
        </w:rPr>
      </w:pPr>
    </w:p>
    <w:p>
      <w:pPr>
        <w:ind w:left="645" w:right="2939"/>
        <w:spacing w:after="0" w:line="250"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On March 12, 2000, a fire damaged a portion of the Company's manufacturing plant in Erwin, Tennessee. The fire was contained to approximately 30% of the productions area and did not result in serious injury to any employee. Affected production was shifted to the Company's other facilities as possible as well as the use of other certain suppliers to protect product supply to customers. Insurance coverage for the loss provided for reimbursement of the replacement value of property and equipment damaged in the fire. As of December 31, 2001 the Company has settled the insurance claim. For the years ended December 31, 2001 and 2000, the net gain on involuntary conversion of $3,901 and $728, respectively, represents insurance proceeds received in excess of costs incurred.</w:t>
      </w:r>
    </w:p>
    <w:p>
      <w:pPr>
        <w:spacing w:after="0" w:line="182" w:lineRule="exact"/>
        <w:rPr>
          <w:rFonts w:ascii="Courier New" w:cs="Courier New" w:eastAsia="Courier New" w:hAnsi="Courier New"/>
          <w:sz w:val="15"/>
          <w:szCs w:val="15"/>
          <w:b w:val="1"/>
          <w:bCs w:val="1"/>
          <w:color w:val="auto"/>
        </w:rPr>
      </w:pPr>
    </w:p>
    <w:p>
      <w:pPr>
        <w:ind w:left="645" w:hanging="645"/>
        <w:spacing w:after="0"/>
        <w:tabs>
          <w:tab w:leader="none" w:pos="645" w:val="left"/>
        </w:tabs>
        <w:numPr>
          <w:ilvl w:val="0"/>
          <w:numId w:val="2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Related Party Transactions</w:t>
      </w:r>
    </w:p>
    <w:p>
      <w:pPr>
        <w:spacing w:after="0" w:line="184" w:lineRule="exact"/>
        <w:rPr>
          <w:rFonts w:ascii="Courier New" w:cs="Courier New" w:eastAsia="Courier New" w:hAnsi="Courier New"/>
          <w:sz w:val="15"/>
          <w:szCs w:val="15"/>
          <w:b w:val="1"/>
          <w:bCs w:val="1"/>
          <w:color w:val="auto"/>
        </w:rPr>
      </w:pPr>
    </w:p>
    <w:p>
      <w:pPr>
        <w:ind w:left="645" w:right="311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minority shareholders of NN Euroball ApS, SKF and FAG, are significant customers of the Company. For the years ended December 31, 2001 and 2000, combined sales to SKF and FAG amounted to $97,270 and $64,064, respectively. At December 31, 2001 and 2000, accounts receivable from SKF and FAG amounted to $11,360 and $4,983, respectively.</w:t>
      </w:r>
    </w:p>
    <w:p>
      <w:pPr>
        <w:spacing w:after="0" w:line="175" w:lineRule="exact"/>
        <w:rPr>
          <w:rFonts w:ascii="Courier New" w:cs="Courier New" w:eastAsia="Courier New" w:hAnsi="Courier New"/>
          <w:sz w:val="15"/>
          <w:szCs w:val="15"/>
          <w:b w:val="1"/>
          <w:bCs w:val="1"/>
          <w:color w:val="auto"/>
        </w:rPr>
      </w:pPr>
    </w:p>
    <w:p>
      <w:pPr>
        <w:ind w:left="645" w:right="2939"/>
        <w:spacing w:after="0" w:line="251"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In connection with the Euroball transaction described in note 2, SKF and FAG provided administrative services to NN Euroball ApS. Charges for these services amounted to approximately $2,262 and $1,150 for the years ended December 31, 2001 and 2000, respectively. At December 31, 2001 and 2000, amounts payable to SKF and FAG amounted to $1,277 and $1,762, respectively.</w:t>
      </w:r>
    </w:p>
    <w:p>
      <w:pPr>
        <w:spacing w:after="0" w:line="175" w:lineRule="exact"/>
        <w:rPr>
          <w:rFonts w:ascii="Courier New" w:cs="Courier New" w:eastAsia="Courier New" w:hAnsi="Courier New"/>
          <w:sz w:val="15"/>
          <w:szCs w:val="15"/>
          <w:b w:val="1"/>
          <w:bCs w:val="1"/>
          <w:color w:val="auto"/>
        </w:rPr>
      </w:pPr>
    </w:p>
    <w:p>
      <w:pPr>
        <w:ind w:left="645"/>
        <w:spacing w:after="0"/>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Certain sales agreements are in effect with SKF and FAG, which provide</w:t>
      </w:r>
    </w:p>
    <w:p>
      <w:pPr>
        <w:spacing w:after="0" w:line="7" w:lineRule="exact"/>
        <w:rPr>
          <w:rFonts w:ascii="Courier New" w:cs="Courier New" w:eastAsia="Courier New" w:hAnsi="Courier New"/>
          <w:sz w:val="15"/>
          <w:szCs w:val="15"/>
          <w:b w:val="1"/>
          <w:bCs w:val="1"/>
          <w:color w:val="auto"/>
        </w:rPr>
      </w:pPr>
    </w:p>
    <w:p>
      <w:pPr>
        <w:ind w:left="645" w:right="2479"/>
        <w:spacing w:after="0" w:line="252"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for minimum purchase quantities and specified, annual sales price adjustments that may be modified up or down for changes in material costs. These agreements expire during 2006.</w:t>
      </w:r>
    </w:p>
    <w:p>
      <w:pPr>
        <w:spacing w:after="0" w:line="174" w:lineRule="exact"/>
        <w:rPr>
          <w:rFonts w:ascii="Courier New" w:cs="Courier New" w:eastAsia="Courier New" w:hAnsi="Courier New"/>
          <w:sz w:val="15"/>
          <w:szCs w:val="15"/>
          <w:b w:val="1"/>
          <w:bCs w:val="1"/>
          <w:color w:val="auto"/>
        </w:rPr>
      </w:pPr>
    </w:p>
    <w:p>
      <w:pPr>
        <w:ind w:left="645" w:right="2659"/>
        <w:spacing w:after="0" w:line="252" w:lineRule="auto"/>
        <w:rPr>
          <w:rFonts w:ascii="Courier New" w:cs="Courier New" w:eastAsia="Courier New" w:hAnsi="Courier New"/>
          <w:sz w:val="15"/>
          <w:szCs w:val="15"/>
          <w:b w:val="1"/>
          <w:bCs w:val="1"/>
          <w:color w:val="auto"/>
        </w:rPr>
      </w:pPr>
      <w:r>
        <w:rPr>
          <w:rFonts w:ascii="Courier New" w:cs="Courier New" w:eastAsia="Courier New" w:hAnsi="Courier New"/>
          <w:sz w:val="15"/>
          <w:szCs w:val="15"/>
          <w:color w:val="auto"/>
        </w:rPr>
        <w:t>The Company leases the Eltmann, Germany facility, of the Euroball division, from FAG. Annual minimum lease payments are Euro 944 ($885). The lease expires in 2020.</w:t>
      </w:r>
    </w:p>
    <w:p>
      <w:pPr>
        <w:spacing w:after="0" w:line="35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b w:val="1"/>
          <w:bCs w:val="1"/>
          <w:color w:val="auto"/>
        </w:rPr>
        <w:t>Item 9. Changes in and Disagreements with Accountants on Accounting and</w:t>
      </w:r>
    </w:p>
    <w:p>
      <w:pPr>
        <w:spacing w:after="0" w:line="8" w:lineRule="exact"/>
        <w:rPr>
          <w:sz w:val="20"/>
          <w:szCs w:val="20"/>
          <w:color w:val="auto"/>
        </w:rPr>
      </w:pPr>
    </w:p>
    <w:p>
      <w:pPr>
        <w:ind w:left="745"/>
        <w:spacing w:after="0"/>
        <w:rPr>
          <w:sz w:val="20"/>
          <w:szCs w:val="20"/>
          <w:color w:val="auto"/>
        </w:rPr>
      </w:pPr>
      <w:r>
        <w:rPr>
          <w:rFonts w:ascii="Courier New" w:cs="Courier New" w:eastAsia="Courier New" w:hAnsi="Courier New"/>
          <w:sz w:val="15"/>
          <w:szCs w:val="15"/>
          <w:b w:val="1"/>
          <w:bCs w:val="1"/>
          <w:color w:val="auto"/>
        </w:rPr>
        <w:t>Financial Disclosure</w:t>
      </w:r>
    </w:p>
    <w:p>
      <w:pPr>
        <w:spacing w:after="0" w:line="18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The firm of KPMG LLP has been selected by the Board of Directors as the Company's outside auditors for 2002. On November 27, 2000, the Company retained the services of KPMG LLP as its principle accountant to audit the Company's consolidated financial statements, replacing PricewaterhouseCoopers LLP. The decision to retain KPMG was based on a reevaluation by the Company of its current professional relationships and was approved by the Company's Board of Directors at the recommendation of the Company's Audit Committee. Although it is not required to do so, the Board has determined that it is desirable to seek stockholders' ratification of the selection of KPMG LLP.</w:t>
      </w:r>
    </w:p>
    <w:p>
      <w:pPr>
        <w:spacing w:after="0" w:line="175"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During the Company's most recent fiscal year and through November 27, 2000, there have been no disagreements with PricewaterhouseCoopers LLP on any matter of accounting principles or practices, financial statement disclosure, or auditing scope or procedure. PricewaterhouseCoopers LLP reports on the financial statements of the Company during 1999 contained no adverse opinion or disclaimer of opinion and were not qualified or modified as to uncertainty, audit scope or accounting principles.</w:t>
      </w:r>
    </w:p>
    <w:p>
      <w:pPr>
        <w:sectPr>
          <w:pgSz w:w="11900" w:h="16838" w:orient="portrait"/>
          <w:cols w:equalWidth="0" w:num="1">
            <w:col w:w="10225"/>
          </w:cols>
          <w:pgMar w:left="235" w:top="142" w:right="1440" w:bottom="0" w:gutter="0" w:footer="0" w:header="0"/>
        </w:sectPr>
      </w:pPr>
    </w:p>
    <w:bookmarkStart w:id="38" w:name="page39"/>
    <w:bookmarkEnd w:id="38"/>
    <w:p>
      <w:pPr>
        <w:ind w:right="2839" w:firstLine="830"/>
        <w:spacing w:after="0" w:line="251" w:lineRule="auto"/>
        <w:rPr>
          <w:sz w:val="20"/>
          <w:szCs w:val="20"/>
          <w:color w:val="auto"/>
        </w:rPr>
      </w:pPr>
      <w:r>
        <w:rPr>
          <w:rFonts w:ascii="Courier New" w:cs="Courier New" w:eastAsia="Courier New" w:hAnsi="Courier New"/>
          <w:sz w:val="15"/>
          <w:szCs w:val="15"/>
          <w:color w:val="auto"/>
        </w:rPr>
        <w:t>During the Company's most recent fiscal year and since November 27, 2000, there have been no disagreements with KPMG LLP on any matter of accounting principles or practices, financial statement disclosure, or auditing scope or procedure. KPMG LLP reports on the financial statements of the Company for the past two years contained no adverse opinion or disclaimer of opinion and were not qualified or modified as to uncertainty, audit scope or accounting principles.</w:t>
      </w:r>
    </w:p>
    <w:p>
      <w:pPr>
        <w:spacing w:after="0" w:line="35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Part III</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10. Directors and Executive Officers of the Registrant</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Directors. The information required by Item 401 of Regulation S-K concerning the Company's directors is contained in the section entitled "Election of Directors -- Information about the Directors" of the Company's definitive Proxy Statement (to be filed with the Securities and Exchange Commission within 120 days after December 31, 2001, in accordance with General Instruction G to Form 10-K, is hereby incorporated herein by reference.</w:t>
      </w:r>
    </w:p>
    <w:p>
      <w:pPr>
        <w:spacing w:after="0" w:line="176" w:lineRule="exact"/>
        <w:rPr>
          <w:sz w:val="20"/>
          <w:szCs w:val="20"/>
          <w:color w:val="auto"/>
        </w:rPr>
      </w:pPr>
    </w:p>
    <w:p>
      <w:pPr>
        <w:jc w:val="both"/>
        <w:ind w:right="2939" w:firstLine="830"/>
        <w:spacing w:after="0" w:line="252" w:lineRule="auto"/>
        <w:rPr>
          <w:sz w:val="20"/>
          <w:szCs w:val="20"/>
          <w:color w:val="auto"/>
        </w:rPr>
      </w:pPr>
      <w:r>
        <w:rPr>
          <w:rFonts w:ascii="Courier New" w:cs="Courier New" w:eastAsia="Courier New" w:hAnsi="Courier New"/>
          <w:sz w:val="15"/>
          <w:szCs w:val="15"/>
          <w:color w:val="auto"/>
        </w:rPr>
        <w:t>Executive Officers. Information required by Item 401 of Regulation S-K concerning the Company's executive officers is set forth in Item 1 hereof under the caption "Executive Officers of the Registrant."</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Compliance with Section 16(a) of the Securities Exchange Act. The information required by Item 405 of Regulation S-K concerning compliance with Section 16(a) of the Securities Exchange Act by the Company's directors and executive officers and any 10% beneficial owners is contained in the section entitled "Section 16(a) Beneficial Ownership Reporting Compliance" of the Company's definitive Proxy Statement and, in accordance with General Instruction G to Form 10-K, is hereby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11. Executive Compensation</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information required by Item 402 of Regulation S-K is contained in the sections entitled "Information about the Election of Directors -- Compensation of Directors" and "Executive Compensation" of the Company's definitive Proxy Statement and, in accordance with General Instruction G to Form 10-K, is hereby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12. Security Ownership of Certain Beneficial Owners and Management</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information required by Item 403 of Regulation S-K is contained in the section entitled "Beneficial Ownership of Common Stock" of the Company's definitive Proxy Statement and, in accordance with General Instruction G to Form 10-K, is hereby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13. Related Party Relationships</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None.</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Part IV</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Item 14. Exhibits Financial Statement Schedules, and Reports on Form 8-K</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Financial Statements</w:t>
      </w:r>
    </w:p>
    <w:p>
      <w:pPr>
        <w:spacing w:after="0" w:line="185"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The financial statements of the Company filed as part of this Annual Report on Form 10-K begin on the following pages hereof: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Page</w:t>
            </w:r>
          </w:p>
        </w:tc>
      </w:tr>
      <w:tr>
        <w:trPr>
          <w:trHeight w:val="355"/>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w:t>
            </w:r>
          </w:p>
        </w:tc>
        <w:tc>
          <w:tcPr>
            <w:tcW w:w="5980" w:type="dxa"/>
            <w:vAlign w:val="bottom"/>
          </w:tcPr>
          <w:p>
            <w:pPr>
              <w:jc w:val="right"/>
              <w:ind w:right="1583"/>
              <w:spacing w:after="0"/>
              <w:rPr>
                <w:sz w:val="20"/>
                <w:szCs w:val="20"/>
                <w:color w:val="auto"/>
              </w:rPr>
            </w:pPr>
            <w:r>
              <w:rPr>
                <w:rFonts w:ascii="Courier New" w:cs="Courier New" w:eastAsia="Courier New" w:hAnsi="Courier New"/>
                <w:sz w:val="15"/>
                <w:szCs w:val="15"/>
                <w:color w:val="auto"/>
              </w:rPr>
              <w:t>Auditors for the years ended December 31, 2001</w:t>
            </w:r>
          </w:p>
        </w:tc>
        <w:tc>
          <w:tcPr>
            <w:tcW w:w="380" w:type="dxa"/>
            <w:vAlign w:val="bottom"/>
          </w:tcPr>
          <w:p>
            <w:pPr>
              <w:spacing w:after="0"/>
              <w:rPr>
                <w:sz w:val="24"/>
                <w:szCs w:val="24"/>
                <w:color w:val="auto"/>
              </w:rPr>
            </w:pP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and December</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31, 2000</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55"/>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rPr>
              <w:t>Auditors for the years ended December 31, 1999....................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67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Balance Sheets at December 31, 2001 and 2000...............................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67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Statements of Income and Comprehensive Income for the Three Years</w:t>
            </w:r>
          </w:p>
        </w:tc>
        <w:tc>
          <w:tcPr>
            <w:tcW w:w="380" w:type="dxa"/>
            <w:vAlign w:val="bottom"/>
          </w:tcPr>
          <w:p>
            <w:pPr>
              <w:spacing w:after="0"/>
              <w:rPr>
                <w:sz w:val="24"/>
                <w:szCs w:val="24"/>
                <w:color w:val="auto"/>
              </w:rPr>
            </w:pPr>
          </w:p>
        </w:tc>
      </w:tr>
      <w:tr>
        <w:trPr>
          <w:trHeight w:val="177"/>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w w:val="99"/>
              </w:rPr>
              <w:t>ended December 31, 2001.................................................................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67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Statements of Changes in Stockholders' Equity for the Three Years</w:t>
            </w:r>
          </w:p>
        </w:tc>
        <w:tc>
          <w:tcPr>
            <w:tcW w:w="380" w:type="dxa"/>
            <w:vAlign w:val="bottom"/>
          </w:tcPr>
          <w:p>
            <w:pPr>
              <w:spacing w:after="0"/>
              <w:rPr>
                <w:sz w:val="24"/>
                <w:szCs w:val="24"/>
                <w:color w:val="auto"/>
              </w:rPr>
            </w:pPr>
          </w:p>
        </w:tc>
      </w:tr>
      <w:tr>
        <w:trPr>
          <w:trHeight w:val="177"/>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w w:val="99"/>
              </w:rPr>
              <w:t>Ended December 31, 2001.................................................................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67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Statements of Cash Flows for the Three Years Ended December 31, 2001.......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55"/>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rPr>
              <w:t>Financial Statements..............................................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bl>
    <w:p>
      <w:pPr>
        <w:spacing w:after="0" w:line="18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Exhibits Required by Item 601 of Regulation S-K</w:t>
      </w:r>
    </w:p>
    <w:p>
      <w:pPr>
        <w:spacing w:after="0" w:line="185" w:lineRule="exact"/>
        <w:rPr>
          <w:sz w:val="20"/>
          <w:szCs w:val="20"/>
          <w:color w:val="auto"/>
        </w:rPr>
      </w:pPr>
    </w:p>
    <w:p>
      <w:pPr>
        <w:jc w:val="both"/>
        <w:ind w:left="920" w:right="2839" w:hanging="460"/>
        <w:spacing w:after="0" w:line="252" w:lineRule="auto"/>
        <w:tabs>
          <w:tab w:leader="none" w:pos="900" w:val="left"/>
        </w:tabs>
        <w:rPr>
          <w:sz w:val="20"/>
          <w:szCs w:val="20"/>
          <w:color w:val="auto"/>
        </w:rPr>
      </w:pPr>
      <w:r>
        <w:rPr>
          <w:rFonts w:ascii="Courier New" w:cs="Courier New" w:eastAsia="Courier New" w:hAnsi="Courier New"/>
          <w:sz w:val="15"/>
          <w:szCs w:val="15"/>
          <w:color w:val="auto"/>
        </w:rPr>
        <w:t>3.1</w:t>
        <w:tab/>
        <w:t>Certificate of Incorporation of the Company, as amended (incorporated by reference to Exhibit 3.1 to the Company's Registration Statement on Form S-1--File No. 33-74694).</w:t>
      </w:r>
    </w:p>
    <w:p>
      <w:pPr>
        <w:spacing w:after="0" w:line="175" w:lineRule="exact"/>
        <w:rPr>
          <w:sz w:val="20"/>
          <w:szCs w:val="20"/>
          <w:color w:val="auto"/>
        </w:rPr>
      </w:pPr>
    </w:p>
    <w:p>
      <w:pPr>
        <w:ind w:left="460"/>
        <w:spacing w:after="0"/>
        <w:tabs>
          <w:tab w:leader="none" w:pos="900" w:val="left"/>
        </w:tabs>
        <w:rPr>
          <w:sz w:val="20"/>
          <w:szCs w:val="20"/>
          <w:color w:val="auto"/>
        </w:rPr>
      </w:pPr>
      <w:r>
        <w:rPr>
          <w:rFonts w:ascii="Courier New" w:cs="Courier New" w:eastAsia="Courier New" w:hAnsi="Courier New"/>
          <w:sz w:val="15"/>
          <w:szCs w:val="15"/>
          <w:color w:val="auto"/>
        </w:rPr>
        <w:t>3.2</w:t>
        <w:tab/>
        <w:t>Bylaws of the Company, as amended (incorporated by reference to</w:t>
      </w:r>
    </w:p>
    <w:p>
      <w:pPr>
        <w:sectPr>
          <w:pgSz w:w="11900" w:h="16838" w:orient="portrait"/>
          <w:cols w:equalWidth="0" w:num="1">
            <w:col w:w="10219"/>
          </w:cols>
          <w:pgMar w:left="240" w:top="319" w:right="1440" w:bottom="0" w:gutter="0" w:footer="0" w:header="0"/>
        </w:sectPr>
      </w:pPr>
    </w:p>
    <w:bookmarkStart w:id="39" w:name="page40"/>
    <w:bookmarkEnd w:id="39"/>
    <w:p>
      <w:pPr>
        <w:ind w:left="460" w:right="2839"/>
        <w:spacing w:after="0" w:line="253" w:lineRule="auto"/>
        <w:rPr>
          <w:sz w:val="20"/>
          <w:szCs w:val="20"/>
          <w:color w:val="auto"/>
        </w:rPr>
      </w:pPr>
      <w:r>
        <w:rPr>
          <w:rFonts w:ascii="Courier New" w:cs="Courier New" w:eastAsia="Courier New" w:hAnsi="Courier New"/>
          <w:sz w:val="15"/>
          <w:szCs w:val="15"/>
          <w:color w:val="auto"/>
        </w:rPr>
        <w:t>Exhibit 3.2 to the Company's registration Statement on Form S-1 - File No. 33-74694).</w:t>
      </w:r>
    </w:p>
    <w:p>
      <w:pPr>
        <w:spacing w:after="0" w:line="174"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4.1</w:t>
        <w:tab/>
        <w:t>Form of Common Stock certificate (incorporated by reference to Exhibit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4 to the Company's Registration Statement on Form S-1 - File No.</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33-74694).</w:t>
      </w:r>
    </w:p>
    <w:p>
      <w:pPr>
        <w:spacing w:after="0" w:line="185" w:lineRule="exact"/>
        <w:rPr>
          <w:sz w:val="20"/>
          <w:szCs w:val="20"/>
          <w:color w:val="auto"/>
        </w:rPr>
      </w:pPr>
    </w:p>
    <w:p>
      <w:pPr>
        <w:ind w:left="460" w:right="3019" w:hanging="460"/>
        <w:spacing w:after="0" w:line="252" w:lineRule="auto"/>
        <w:rPr>
          <w:sz w:val="20"/>
          <w:szCs w:val="20"/>
          <w:color w:val="auto"/>
        </w:rPr>
      </w:pPr>
      <w:r>
        <w:rPr>
          <w:rFonts w:ascii="Courier New" w:cs="Courier New" w:eastAsia="Courier New" w:hAnsi="Courier New"/>
          <w:sz w:val="15"/>
          <w:szCs w:val="15"/>
          <w:color w:val="auto"/>
        </w:rPr>
        <w:t>10.1* NN Ball &amp; Roller, Inc. Stock Incentive Plan (incorporated by reference to Exhibit 10.1 to the Company's Registration Statement on Form S-1 - File No. 33-74694).</w:t>
      </w:r>
    </w:p>
    <w:p>
      <w:pPr>
        <w:spacing w:after="0" w:line="175" w:lineRule="exact"/>
        <w:rPr>
          <w:sz w:val="20"/>
          <w:szCs w:val="20"/>
          <w:color w:val="auto"/>
        </w:rPr>
      </w:pPr>
    </w:p>
    <w:p>
      <w:pPr>
        <w:ind w:left="460" w:right="3019" w:hanging="460"/>
        <w:spacing w:after="0" w:line="251" w:lineRule="auto"/>
        <w:rPr>
          <w:sz w:val="20"/>
          <w:szCs w:val="20"/>
          <w:color w:val="auto"/>
        </w:rPr>
      </w:pPr>
      <w:r>
        <w:rPr>
          <w:rFonts w:ascii="Courier New" w:cs="Courier New" w:eastAsia="Courier New" w:hAnsi="Courier New"/>
          <w:sz w:val="15"/>
          <w:szCs w:val="15"/>
          <w:color w:val="auto"/>
        </w:rPr>
        <w:t>10.3* $1.2 million Life Insurance Policy purchased by Mr. Ennen, the premiums of which are paid for by the Company (incorporated by reference to Exhibit 10.3 to the Company's Registration Statement on Form S-1-File No. 33-74694).</w:t>
      </w:r>
    </w:p>
    <w:p>
      <w:pPr>
        <w:spacing w:after="0" w:line="176" w:lineRule="exact"/>
        <w:rPr>
          <w:sz w:val="20"/>
          <w:szCs w:val="20"/>
          <w:color w:val="auto"/>
        </w:rPr>
      </w:pPr>
    </w:p>
    <w:p>
      <w:pPr>
        <w:ind w:left="460" w:right="2839" w:hanging="460"/>
        <w:spacing w:after="0" w:line="252" w:lineRule="auto"/>
        <w:rPr>
          <w:sz w:val="20"/>
          <w:szCs w:val="20"/>
          <w:color w:val="auto"/>
        </w:rPr>
      </w:pPr>
      <w:r>
        <w:rPr>
          <w:rFonts w:ascii="Courier New" w:cs="Courier New" w:eastAsia="Courier New" w:hAnsi="Courier New"/>
          <w:sz w:val="15"/>
          <w:szCs w:val="15"/>
          <w:color w:val="auto"/>
        </w:rPr>
        <w:t>10.5 Form of Confidentiality and Non-Compete Agreements for Executive Officers of the Company (incorporated by reference to Exhibit 10.17 to the Company's Registration Statement on Form S-1 - File No. 33-74694).</w:t>
      </w:r>
    </w:p>
    <w:p>
      <w:pPr>
        <w:spacing w:after="0" w:line="175" w:lineRule="exact"/>
        <w:rPr>
          <w:sz w:val="20"/>
          <w:szCs w:val="20"/>
          <w:color w:val="auto"/>
        </w:rPr>
      </w:pPr>
    </w:p>
    <w:p>
      <w:pPr>
        <w:ind w:left="460" w:right="3299" w:hanging="460"/>
        <w:spacing w:after="0" w:line="250" w:lineRule="auto"/>
        <w:rPr>
          <w:sz w:val="20"/>
          <w:szCs w:val="20"/>
          <w:color w:val="auto"/>
        </w:rPr>
      </w:pPr>
      <w:r>
        <w:rPr>
          <w:rFonts w:ascii="Courier New" w:cs="Courier New" w:eastAsia="Courier New" w:hAnsi="Courier New"/>
          <w:sz w:val="15"/>
          <w:szCs w:val="15"/>
          <w:color w:val="auto"/>
        </w:rPr>
        <w:t>10.6 Stockholder Agreement dated February 22, 1994, among certain stockholders of the Company (incorporated by reference to Exhibit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10.18 to the Company's Registration Statement on Form S-1 - File No.</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33-74694).</w:t>
      </w:r>
    </w:p>
    <w:p>
      <w:pPr>
        <w:spacing w:after="0" w:line="185" w:lineRule="exact"/>
        <w:rPr>
          <w:sz w:val="20"/>
          <w:szCs w:val="20"/>
          <w:color w:val="auto"/>
        </w:rPr>
      </w:pPr>
    </w:p>
    <w:p>
      <w:pPr>
        <w:jc w:val="both"/>
        <w:ind w:left="460" w:right="3019" w:hanging="460"/>
        <w:spacing w:after="0" w:line="252" w:lineRule="auto"/>
        <w:rPr>
          <w:sz w:val="20"/>
          <w:szCs w:val="20"/>
          <w:color w:val="auto"/>
        </w:rPr>
      </w:pPr>
      <w:r>
        <w:rPr>
          <w:rFonts w:ascii="Courier New" w:cs="Courier New" w:eastAsia="Courier New" w:hAnsi="Courier New"/>
          <w:sz w:val="15"/>
          <w:szCs w:val="15"/>
          <w:color w:val="auto"/>
        </w:rPr>
        <w:t>10.7 Form of Indemnification Agreement for officers and directors of the Company (incorporated by reference to Exhibit 10.19 to the Company's Registration Statement on Form S-1 - File No. 33-74694).</w:t>
      </w:r>
    </w:p>
    <w:p>
      <w:pPr>
        <w:spacing w:after="0" w:line="35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460" w:right="2839" w:hanging="460"/>
        <w:spacing w:after="0" w:line="251" w:lineRule="auto"/>
        <w:rPr>
          <w:sz w:val="20"/>
          <w:szCs w:val="20"/>
          <w:color w:val="auto"/>
        </w:rPr>
      </w:pPr>
      <w:r>
        <w:rPr>
          <w:rFonts w:ascii="Courier New" w:cs="Courier New" w:eastAsia="Courier New" w:hAnsi="Courier New"/>
          <w:sz w:val="15"/>
          <w:szCs w:val="15"/>
          <w:color w:val="auto"/>
        </w:rPr>
        <w:t>10.8 Lease, dated as of September 5, 1995, between the Company and the State of Tennessee Department of Economic and Community Development and the County of Johnson County, Tennessee (incorporated by reference to Exhibit 10.9 of the Company's Annual Report on Form 10-K for the fiscal year ended December 31, 1995).</w:t>
      </w:r>
    </w:p>
    <w:p>
      <w:pPr>
        <w:spacing w:after="0" w:line="176" w:lineRule="exact"/>
        <w:rPr>
          <w:sz w:val="20"/>
          <w:szCs w:val="20"/>
          <w:color w:val="auto"/>
        </w:rPr>
      </w:pPr>
    </w:p>
    <w:p>
      <w:pPr>
        <w:ind w:left="460" w:right="2939" w:hanging="460"/>
        <w:spacing w:after="0" w:line="251" w:lineRule="auto"/>
        <w:rPr>
          <w:sz w:val="20"/>
          <w:szCs w:val="20"/>
          <w:color w:val="auto"/>
        </w:rPr>
      </w:pPr>
      <w:r>
        <w:rPr>
          <w:rFonts w:ascii="Courier New" w:cs="Courier New" w:eastAsia="Courier New" w:hAnsi="Courier New"/>
          <w:sz w:val="15"/>
          <w:szCs w:val="15"/>
          <w:color w:val="auto"/>
        </w:rPr>
        <w:t>10.9 Lease, dated as of March 22, 1996, between the Company and the State of Tennessee Department of Economic and Community Development and the County of Johnson County, Tennessee (incorporated by reference to Exhibit 10.10 of the Company's Annual Report on Form 10-K for the fiscal year ended December 31, 1995).</w:t>
      </w:r>
    </w:p>
    <w:p>
      <w:pPr>
        <w:spacing w:after="0" w:line="176" w:lineRule="exact"/>
        <w:rPr>
          <w:sz w:val="20"/>
          <w:szCs w:val="20"/>
          <w:color w:val="auto"/>
        </w:rPr>
      </w:pPr>
    </w:p>
    <w:p>
      <w:pPr>
        <w:ind w:left="460" w:right="3219" w:hanging="460"/>
        <w:spacing w:after="0" w:line="250" w:lineRule="auto"/>
        <w:rPr>
          <w:sz w:val="20"/>
          <w:szCs w:val="20"/>
          <w:color w:val="auto"/>
        </w:rPr>
      </w:pPr>
      <w:r>
        <w:rPr>
          <w:rFonts w:ascii="Courier New" w:cs="Courier New" w:eastAsia="Courier New" w:hAnsi="Courier New"/>
          <w:sz w:val="15"/>
          <w:szCs w:val="15"/>
          <w:color w:val="auto"/>
        </w:rPr>
        <w:t>10.10* Stock Option Agreement, dated as of July 3, 1995, between the Company and Roderick R. Baty (incorporated by reference to Exhibit</w:t>
      </w:r>
    </w:p>
    <w:p>
      <w:pPr>
        <w:spacing w:after="0" w:line="1" w:lineRule="exact"/>
        <w:rPr>
          <w:sz w:val="20"/>
          <w:szCs w:val="20"/>
          <w:color w:val="auto"/>
        </w:rPr>
      </w:pPr>
    </w:p>
    <w:p>
      <w:pPr>
        <w:ind w:left="460" w:right="2939"/>
        <w:spacing w:after="0" w:line="253" w:lineRule="auto"/>
        <w:rPr>
          <w:sz w:val="20"/>
          <w:szCs w:val="20"/>
          <w:color w:val="auto"/>
        </w:rPr>
      </w:pPr>
      <w:r>
        <w:rPr>
          <w:rFonts w:ascii="Courier New" w:cs="Courier New" w:eastAsia="Courier New" w:hAnsi="Courier New"/>
          <w:sz w:val="15"/>
          <w:szCs w:val="15"/>
          <w:color w:val="auto"/>
        </w:rPr>
        <w:t>10.11 of the Company's Annual Report on Form 10-K for the fiscal year ended December 31, 1995).</w:t>
      </w:r>
    </w:p>
    <w:p>
      <w:pPr>
        <w:spacing w:after="0" w:line="174" w:lineRule="exact"/>
        <w:rPr>
          <w:sz w:val="20"/>
          <w:szCs w:val="20"/>
          <w:color w:val="auto"/>
        </w:rPr>
      </w:pPr>
    </w:p>
    <w:p>
      <w:pPr>
        <w:ind w:left="460" w:right="3119" w:hanging="460"/>
        <w:spacing w:after="0" w:line="250" w:lineRule="auto"/>
        <w:rPr>
          <w:sz w:val="20"/>
          <w:szCs w:val="20"/>
          <w:color w:val="auto"/>
        </w:rPr>
      </w:pPr>
      <w:r>
        <w:rPr>
          <w:rFonts w:ascii="Courier New" w:cs="Courier New" w:eastAsia="Courier New" w:hAnsi="Courier New"/>
          <w:sz w:val="15"/>
          <w:szCs w:val="15"/>
          <w:color w:val="auto"/>
        </w:rPr>
        <w:t>10.11 Loan Agreement, dated as of July 25, 1997, between the Company and First American National Bank (incorporated by reference to Exhibit</w:t>
      </w:r>
    </w:p>
    <w:p>
      <w:pPr>
        <w:spacing w:after="0" w:line="1" w:lineRule="exact"/>
        <w:rPr>
          <w:sz w:val="20"/>
          <w:szCs w:val="20"/>
          <w:color w:val="auto"/>
        </w:rPr>
      </w:pPr>
    </w:p>
    <w:p>
      <w:pPr>
        <w:ind w:left="460" w:right="2839"/>
        <w:spacing w:after="0" w:line="253" w:lineRule="auto"/>
        <w:rPr>
          <w:sz w:val="20"/>
          <w:szCs w:val="20"/>
          <w:color w:val="auto"/>
        </w:rPr>
      </w:pPr>
      <w:r>
        <w:rPr>
          <w:rFonts w:ascii="Courier New" w:cs="Courier New" w:eastAsia="Courier New" w:hAnsi="Courier New"/>
          <w:sz w:val="15"/>
          <w:szCs w:val="15"/>
          <w:color w:val="auto"/>
        </w:rPr>
        <w:t>10.13 of the Company's Quarterly Report on Form 10-Q for the quarterly period ended June 30, 1997).</w:t>
      </w:r>
    </w:p>
    <w:p>
      <w:pPr>
        <w:spacing w:after="0" w:line="174" w:lineRule="exact"/>
        <w:rPr>
          <w:sz w:val="20"/>
          <w:szCs w:val="20"/>
          <w:color w:val="auto"/>
        </w:rPr>
      </w:pPr>
    </w:p>
    <w:p>
      <w:pPr>
        <w:ind w:left="460" w:right="2839" w:hanging="460"/>
        <w:spacing w:after="0" w:line="251" w:lineRule="auto"/>
        <w:rPr>
          <w:sz w:val="20"/>
          <w:szCs w:val="20"/>
          <w:color w:val="auto"/>
        </w:rPr>
      </w:pPr>
      <w:r>
        <w:rPr>
          <w:rFonts w:ascii="Courier New" w:cs="Courier New" w:eastAsia="Courier New" w:hAnsi="Courier New"/>
          <w:sz w:val="15"/>
          <w:szCs w:val="15"/>
          <w:color w:val="auto"/>
        </w:rPr>
        <w:t>10.12* Employment Agreement, dated August 1, 1997, between the Company and Roderick R. Baty (incorporated by reference to Exhibit 10.14 of the Company's Quarterly Report on Form 10-Q for the quarterly period ended September 30, 1997).</w:t>
      </w:r>
    </w:p>
    <w:p>
      <w:pPr>
        <w:spacing w:after="0" w:line="176" w:lineRule="exact"/>
        <w:rPr>
          <w:sz w:val="20"/>
          <w:szCs w:val="20"/>
          <w:color w:val="auto"/>
        </w:rPr>
      </w:pPr>
    </w:p>
    <w:p>
      <w:pPr>
        <w:ind w:left="460" w:right="3219" w:hanging="460"/>
        <w:spacing w:after="0" w:line="253" w:lineRule="auto"/>
        <w:rPr>
          <w:sz w:val="20"/>
          <w:szCs w:val="20"/>
          <w:color w:val="auto"/>
        </w:rPr>
      </w:pPr>
      <w:r>
        <w:rPr>
          <w:rFonts w:ascii="Courier New" w:cs="Courier New" w:eastAsia="Courier New" w:hAnsi="Courier New"/>
          <w:sz w:val="15"/>
          <w:szCs w:val="15"/>
          <w:color w:val="auto"/>
        </w:rPr>
        <w:t>10.13* Employment Agreement, dated May 7, 1998, between the Company and Frank T. Gentry.</w:t>
      </w:r>
    </w:p>
    <w:p>
      <w:pPr>
        <w:spacing w:after="0" w:line="174" w:lineRule="exact"/>
        <w:rPr>
          <w:sz w:val="20"/>
          <w:szCs w:val="20"/>
          <w:color w:val="auto"/>
        </w:rPr>
      </w:pPr>
    </w:p>
    <w:p>
      <w:pPr>
        <w:ind w:left="460" w:right="2839" w:hanging="460"/>
        <w:spacing w:after="0" w:line="251" w:lineRule="auto"/>
        <w:rPr>
          <w:sz w:val="20"/>
          <w:szCs w:val="20"/>
          <w:color w:val="auto"/>
        </w:rPr>
      </w:pPr>
      <w:r>
        <w:rPr>
          <w:rFonts w:ascii="Courier New" w:cs="Courier New" w:eastAsia="Courier New" w:hAnsi="Courier New"/>
          <w:sz w:val="15"/>
          <w:szCs w:val="15"/>
          <w:color w:val="auto"/>
        </w:rPr>
        <w:t>10.14* Form of Stock Option Agreement, dated December 7, 1998, between the Company and the non-employee directors of the Company (incorporated by reference to Exhibit 10.15 of the Company's Quarterly Report on Form 10-K for the fiscal year ended December 31, 1999).</w:t>
      </w:r>
    </w:p>
    <w:p>
      <w:pPr>
        <w:spacing w:after="0" w:line="176" w:lineRule="exact"/>
        <w:rPr>
          <w:sz w:val="20"/>
          <w:szCs w:val="20"/>
          <w:color w:val="auto"/>
        </w:rPr>
      </w:pPr>
    </w:p>
    <w:p>
      <w:pPr>
        <w:ind w:left="460" w:right="3119" w:hanging="460"/>
        <w:spacing w:after="0" w:line="252" w:lineRule="auto"/>
        <w:rPr>
          <w:sz w:val="20"/>
          <w:szCs w:val="20"/>
          <w:color w:val="auto"/>
        </w:rPr>
      </w:pPr>
      <w:r>
        <w:rPr>
          <w:rFonts w:ascii="Courier New" w:cs="Courier New" w:eastAsia="Courier New" w:hAnsi="Courier New"/>
          <w:sz w:val="15"/>
          <w:szCs w:val="15"/>
          <w:color w:val="auto"/>
        </w:rPr>
        <w:t>10.15* Elective Deferred Compensation Plan, dated February 26, 1999 (incorporated by reference to Exhibit 10.16 of the Company's Annual Report on Form 10-K for the fiscal year ended December 31, 1999).</w:t>
      </w:r>
    </w:p>
    <w:p>
      <w:pPr>
        <w:spacing w:after="0" w:line="175" w:lineRule="exact"/>
        <w:rPr>
          <w:sz w:val="20"/>
          <w:szCs w:val="20"/>
          <w:color w:val="auto"/>
        </w:rPr>
      </w:pPr>
    </w:p>
    <w:p>
      <w:pPr>
        <w:ind w:left="460" w:right="3299" w:hanging="460"/>
        <w:spacing w:after="0" w:line="253" w:lineRule="auto"/>
        <w:rPr>
          <w:sz w:val="20"/>
          <w:szCs w:val="20"/>
          <w:color w:val="auto"/>
        </w:rPr>
      </w:pPr>
      <w:r>
        <w:rPr>
          <w:rFonts w:ascii="Courier New" w:cs="Courier New" w:eastAsia="Courier New" w:hAnsi="Courier New"/>
          <w:sz w:val="15"/>
          <w:szCs w:val="15"/>
          <w:color w:val="auto"/>
        </w:rPr>
        <w:t>10.16* Amendment No. 1 dated January 21, 2002, to Employment Agreement between the Company and Frank T. Gentry.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10.17* Change of Control and Noncompetition Agreement, dated January 21,</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2002, between the Company and Frank T. Gentry.</w:t>
      </w:r>
    </w:p>
    <w:p>
      <w:pPr>
        <w:spacing w:after="0" w:line="185" w:lineRule="exact"/>
        <w:rPr>
          <w:sz w:val="20"/>
          <w:szCs w:val="20"/>
          <w:color w:val="auto"/>
        </w:rPr>
      </w:pPr>
    </w:p>
    <w:p>
      <w:pPr>
        <w:ind w:left="460" w:right="3299" w:hanging="460"/>
        <w:spacing w:after="0" w:line="253" w:lineRule="auto"/>
        <w:rPr>
          <w:sz w:val="20"/>
          <w:szCs w:val="20"/>
          <w:color w:val="auto"/>
        </w:rPr>
      </w:pPr>
      <w:r>
        <w:rPr>
          <w:rFonts w:ascii="Courier New" w:cs="Courier New" w:eastAsia="Courier New" w:hAnsi="Courier New"/>
          <w:sz w:val="15"/>
          <w:szCs w:val="15"/>
          <w:color w:val="auto"/>
        </w:rPr>
        <w:t>10.18* Amendment No. 1 dated January 21, 2002, to Employment Agreement between the Company and Roderick R. Baty.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10.19* Change of Control and Noncompetition Agreement, dated January 21,</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2002, between the Company and Roderick R. Baty.</w:t>
      </w:r>
    </w:p>
    <w:p>
      <w:pPr>
        <w:spacing w:after="0" w:line="185" w:lineRule="exact"/>
        <w:rPr>
          <w:sz w:val="20"/>
          <w:szCs w:val="20"/>
          <w:color w:val="auto"/>
        </w:rPr>
      </w:pPr>
    </w:p>
    <w:p>
      <w:pPr>
        <w:ind w:left="460" w:right="2839" w:hanging="460"/>
        <w:spacing w:after="0" w:line="253" w:lineRule="auto"/>
        <w:rPr>
          <w:sz w:val="20"/>
          <w:szCs w:val="20"/>
          <w:color w:val="auto"/>
        </w:rPr>
      </w:pPr>
      <w:r>
        <w:rPr>
          <w:rFonts w:ascii="Courier New" w:cs="Courier New" w:eastAsia="Courier New" w:hAnsi="Courier New"/>
          <w:sz w:val="15"/>
          <w:szCs w:val="15"/>
          <w:color w:val="auto"/>
        </w:rPr>
        <w:t>10.20* Employment Agreement dated January 21, 2002, between the Company and Robert R. Sams.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10.21* Change of Control and Noncompetition Agreement, dated January 21,</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2002, between the Company and Robert R. Sams.</w:t>
      </w:r>
    </w:p>
    <w:p>
      <w:pPr>
        <w:spacing w:after="0" w:line="185" w:lineRule="exact"/>
        <w:rPr>
          <w:sz w:val="20"/>
          <w:szCs w:val="20"/>
          <w:color w:val="auto"/>
        </w:rPr>
      </w:pPr>
    </w:p>
    <w:p>
      <w:pPr>
        <w:ind w:left="460" w:right="2839" w:hanging="460"/>
        <w:spacing w:after="0" w:line="253" w:lineRule="auto"/>
        <w:rPr>
          <w:sz w:val="20"/>
          <w:szCs w:val="20"/>
          <w:color w:val="auto"/>
        </w:rPr>
      </w:pPr>
      <w:r>
        <w:rPr>
          <w:rFonts w:ascii="Courier New" w:cs="Courier New" w:eastAsia="Courier New" w:hAnsi="Courier New"/>
          <w:sz w:val="15"/>
          <w:szCs w:val="15"/>
          <w:color w:val="auto"/>
        </w:rPr>
        <w:t>10.22* Employment Agreement dated January 21, 2002, between the Company and William C. Kelly.</w:t>
      </w:r>
    </w:p>
    <w:p>
      <w:pPr>
        <w:sectPr>
          <w:pgSz w:w="11900" w:h="16838" w:orient="portrait"/>
          <w:cols w:equalWidth="0" w:num="1">
            <w:col w:w="9759"/>
          </w:cols>
          <w:pgMar w:left="700" w:top="142" w:right="1440" w:bottom="0" w:gutter="0" w:footer="0" w:header="0"/>
        </w:sectPr>
      </w:pPr>
    </w:p>
    <w:bookmarkStart w:id="40" w:name="page41"/>
    <w:bookmarkEnd w:id="40"/>
    <w:p>
      <w:pPr>
        <w:ind w:left="465"/>
        <w:spacing w:after="0"/>
        <w:rPr>
          <w:sz w:val="20"/>
          <w:szCs w:val="20"/>
          <w:color w:val="auto"/>
        </w:rPr>
      </w:pPr>
      <w:r>
        <w:rPr>
          <w:rFonts w:ascii="Courier New" w:cs="Courier New" w:eastAsia="Courier New" w:hAnsi="Courier New"/>
          <w:sz w:val="15"/>
          <w:szCs w:val="15"/>
          <w:color w:val="auto"/>
        </w:rPr>
        <w:t>10.23* Change of Control and Noncompetition Agreement, dated January 21,</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2002, between the Company and William C. Kelly.</w:t>
      </w:r>
    </w:p>
    <w:p>
      <w:pPr>
        <w:spacing w:after="0" w:line="185" w:lineRule="exact"/>
        <w:rPr>
          <w:sz w:val="20"/>
          <w:szCs w:val="20"/>
          <w:color w:val="auto"/>
        </w:rPr>
      </w:pPr>
    </w:p>
    <w:p>
      <w:pPr>
        <w:ind w:left="925" w:right="2839" w:hanging="460"/>
        <w:spacing w:after="0" w:line="253" w:lineRule="auto"/>
        <w:rPr>
          <w:sz w:val="20"/>
          <w:szCs w:val="20"/>
          <w:color w:val="auto"/>
        </w:rPr>
      </w:pPr>
      <w:r>
        <w:rPr>
          <w:rFonts w:ascii="Courier New" w:cs="Courier New" w:eastAsia="Courier New" w:hAnsi="Courier New"/>
          <w:sz w:val="15"/>
          <w:szCs w:val="15"/>
          <w:color w:val="auto"/>
        </w:rPr>
        <w:t>10.24* Employment Agreement dated January 21, 2002, between the Company and David L. Dyckman.</w:t>
      </w:r>
    </w:p>
    <w:p>
      <w:pPr>
        <w:spacing w:after="0" w:line="174"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10.25* Change of Control and Noncompetition Agreement, dated January 21,</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2002, between the Company and David L. Dyckman.</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925" w:right="2939" w:hanging="460"/>
        <w:spacing w:after="0" w:line="253" w:lineRule="auto"/>
        <w:rPr>
          <w:sz w:val="20"/>
          <w:szCs w:val="20"/>
          <w:color w:val="auto"/>
        </w:rPr>
      </w:pPr>
      <w:r>
        <w:rPr>
          <w:rFonts w:ascii="Courier New" w:cs="Courier New" w:eastAsia="Courier New" w:hAnsi="Courier New"/>
          <w:sz w:val="15"/>
          <w:szCs w:val="15"/>
          <w:color w:val="auto"/>
        </w:rPr>
        <w:t>10.26 NN Euroball, ApS Shareholder Agreement dated April 6, 2000 among NN, Inc., AB SKF and FAG Kugelfishcher Georg Schafer AG.</w:t>
      </w:r>
    </w:p>
    <w:p>
      <w:pPr>
        <w:spacing w:after="0" w:line="174"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23.1 Consent of PricewaterhouseCoopers LLP (filed herewith).</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23.2 Consent of KPMG LLP (filed herewith).</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825" w:hanging="825"/>
        <w:spacing w:after="0"/>
        <w:tabs>
          <w:tab w:leader="none" w:pos="82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185" w:lineRule="exact"/>
        <w:rPr>
          <w:sz w:val="20"/>
          <w:szCs w:val="20"/>
          <w:color w:val="auto"/>
        </w:rPr>
      </w:pPr>
    </w:p>
    <w:p>
      <w:pPr>
        <w:ind w:left="825" w:hanging="825"/>
        <w:spacing w:after="0"/>
        <w:tabs>
          <w:tab w:leader="none" w:pos="82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4" w:lineRule="exact"/>
        <w:rPr>
          <w:rFonts w:ascii="Courier New" w:cs="Courier New" w:eastAsia="Courier New" w:hAnsi="Courier New"/>
          <w:sz w:val="15"/>
          <w:szCs w:val="15"/>
          <w:color w:val="auto"/>
        </w:rPr>
      </w:pPr>
    </w:p>
    <w:p>
      <w:pPr>
        <w:ind w:left="825" w:right="32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Form 8-K on July 25, 2001 announcing its second quarter earnings and its new long term financing arrangement.</w:t>
      </w:r>
    </w:p>
    <w:p>
      <w:pPr>
        <w:spacing w:after="0" w:line="174" w:lineRule="exact"/>
        <w:rPr>
          <w:rFonts w:ascii="Courier New" w:cs="Courier New" w:eastAsia="Courier New" w:hAnsi="Courier New"/>
          <w:sz w:val="15"/>
          <w:szCs w:val="15"/>
          <w:color w:val="auto"/>
        </w:rPr>
      </w:pPr>
    </w:p>
    <w:p>
      <w:pPr>
        <w:ind w:left="825"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Form 8-K on September 5, 2001 announcing its Board of Directors has named Roderick (Rock) R. Baty as the Chairman of the Board of Directors.</w:t>
      </w:r>
    </w:p>
    <w:p>
      <w:pPr>
        <w:spacing w:after="0" w:line="174" w:lineRule="exact"/>
        <w:rPr>
          <w:rFonts w:ascii="Courier New" w:cs="Courier New" w:eastAsia="Courier New" w:hAnsi="Courier New"/>
          <w:sz w:val="15"/>
          <w:szCs w:val="15"/>
          <w:color w:val="auto"/>
        </w:rPr>
      </w:pPr>
    </w:p>
    <w:p>
      <w:pPr>
        <w:ind w:left="825" w:right="32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Form 8-K on September 11, 2001 announcing its decision to close its plant located in Walterboro, South Carolina.</w:t>
      </w:r>
    </w:p>
    <w:p>
      <w:pPr>
        <w:spacing w:after="0" w:line="174" w:lineRule="exact"/>
        <w:rPr>
          <w:rFonts w:ascii="Courier New" w:cs="Courier New" w:eastAsia="Courier New" w:hAnsi="Courier New"/>
          <w:sz w:val="15"/>
          <w:szCs w:val="15"/>
          <w:color w:val="auto"/>
        </w:rPr>
      </w:pPr>
    </w:p>
    <w:p>
      <w:pPr>
        <w:ind w:left="82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Form 8-K on November 14, 2001 announcing that, due to the voluntary bankruptcy of one of its customers, the Company will need to record a third quarter 2001 reserve for approximately $400,000 pre-tax.</w:t>
      </w:r>
    </w:p>
    <w:p>
      <w:pPr>
        <w:spacing w:after="0" w:line="176"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Index to Exhibits (attached hereto).</w:t>
      </w:r>
    </w:p>
    <w:p>
      <w:pPr>
        <w:spacing w:after="0" w:line="7" w:lineRule="exact"/>
        <w:rPr>
          <w:rFonts w:ascii="Courier New" w:cs="Courier New" w:eastAsia="Courier New" w:hAnsi="Courier New"/>
          <w:sz w:val="15"/>
          <w:szCs w:val="15"/>
          <w:color w:val="auto"/>
        </w:rPr>
      </w:pPr>
    </w:p>
    <w:p>
      <w:pPr>
        <w:ind w:left="825" w:right="283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provide without charge to any person, upon the written request of such person, a copy of any of the Exhibits to this Form 10-K.</w:t>
      </w:r>
    </w:p>
    <w:p>
      <w:pPr>
        <w:spacing w:after="0" w:line="200" w:lineRule="exact"/>
        <w:rPr>
          <w:sz w:val="20"/>
          <w:szCs w:val="20"/>
          <w:color w:val="auto"/>
        </w:rPr>
      </w:pPr>
    </w:p>
    <w:p>
      <w:pPr>
        <w:spacing w:after="0" w:line="32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2839" w:firstLine="830"/>
        <w:spacing w:after="0" w:line="252"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0225"/>
          </w:cols>
          <w:pgMar w:left="235" w:top="142" w:right="1440" w:bottom="0" w:gutter="0" w:footer="0" w:header="0"/>
        </w:sectPr>
      </w:pPr>
    </w:p>
    <w:p>
      <w:pPr>
        <w:spacing w:after="0" w:line="200" w:lineRule="exact"/>
        <w:rPr>
          <w:sz w:val="20"/>
          <w:szCs w:val="20"/>
          <w:color w:val="auto"/>
        </w:rPr>
      </w:pPr>
    </w:p>
    <w:p>
      <w:pPr>
        <w:spacing w:after="0" w:line="329"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 RODERICK R. BATY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Roderick R. Baty</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Chairman and Director</w:t>
      </w:r>
    </w:p>
    <w:p>
      <w:pPr>
        <w:spacing w:after="0" w:line="185" w:lineRule="exact"/>
        <w:rPr>
          <w:sz w:val="20"/>
          <w:szCs w:val="20"/>
          <w:color w:val="auto"/>
        </w:rPr>
      </w:pPr>
    </w:p>
    <w:p>
      <w:pPr>
        <w:sectPr>
          <w:pgSz w:w="11900" w:h="16838" w:orient="portrait"/>
          <w:cols w:equalWidth="0" w:num="2">
            <w:col w:w="3605" w:space="0"/>
            <w:col w:w="6619"/>
          </w:cols>
          <w:pgMar w:left="235" w:top="142" w:right="1440" w:bottom="0" w:gutter="0" w:footer="0" w:header="0"/>
          <w:type w:val="continuous"/>
        </w:sectPr>
      </w:pPr>
    </w:p>
    <w:p>
      <w:pPr>
        <w:ind w:left="4245"/>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March 29, 2002</w:t>
      </w:r>
    </w:p>
    <w:p>
      <w:pPr>
        <w:spacing w:after="0" w:line="185" w:lineRule="exact"/>
        <w:rPr>
          <w:sz w:val="20"/>
          <w:szCs w:val="20"/>
          <w:color w:val="auto"/>
        </w:rPr>
      </w:pPr>
    </w:p>
    <w:p>
      <w:pPr>
        <w:sectPr>
          <w:pgSz w:w="11900" w:h="16838" w:orient="portrait"/>
          <w:cols w:equalWidth="0" w:num="2">
            <w:col w:w="4805" w:space="180"/>
            <w:col w:w="5239"/>
          </w:cols>
          <w:pgMar w:left="235" w:top="142" w:right="1440" w:bottom="0" w:gutter="0" w:footer="0" w:header="0"/>
          <w:type w:val="continuous"/>
        </w:sectPr>
      </w:pPr>
    </w:p>
    <w:p>
      <w:pPr>
        <w:ind w:left="5" w:right="3119" w:firstLine="830"/>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225"/>
          </w:cols>
          <w:pgMar w:left="235" w:top="142" w:right="1440" w:bottom="0" w:gutter="0" w:footer="0" w:header="0"/>
          <w:type w:val="continuous"/>
        </w:sectPr>
      </w:pPr>
    </w:p>
    <w:p>
      <w:pPr>
        <w:spacing w:after="0" w:line="175" w:lineRule="exact"/>
        <w:rPr>
          <w:sz w:val="20"/>
          <w:szCs w:val="20"/>
          <w:color w:val="auto"/>
        </w:rPr>
      </w:pPr>
    </w:p>
    <w:p>
      <w:pPr>
        <w:ind w:left="285"/>
        <w:spacing w:after="0"/>
        <w:tabs>
          <w:tab w:leader="none" w:pos="4505" w:val="left"/>
        </w:tabs>
        <w:rPr>
          <w:sz w:val="20"/>
          <w:szCs w:val="20"/>
          <w:color w:val="auto"/>
        </w:rPr>
      </w:pPr>
      <w:r>
        <w:rPr>
          <w:rFonts w:ascii="Courier New" w:cs="Courier New" w:eastAsia="Courier New" w:hAnsi="Courier New"/>
          <w:sz w:val="15"/>
          <w:szCs w:val="15"/>
          <w:color w:val="auto"/>
        </w:rPr>
        <w:t>Name and 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285"/>
        <w:spacing w:after="0"/>
        <w:tabs>
          <w:tab w:leader="none" w:pos="450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Chairman, Chief Executive Officer,</w:t>
      </w:r>
    </w:p>
    <w:p>
      <w:pPr>
        <w:spacing w:after="0" w:line="8"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President and Director (Principal</w:t>
      </w:r>
    </w:p>
    <w:p>
      <w:pPr>
        <w:spacing w:after="0" w:line="8" w:lineRule="exact"/>
        <w:rPr>
          <w:sz w:val="20"/>
          <w:szCs w:val="20"/>
          <w:color w:val="auto"/>
        </w:rPr>
      </w:pPr>
    </w:p>
    <w:p>
      <w:pPr>
        <w:ind w:left="185"/>
        <w:spacing w:after="0"/>
        <w:tabs>
          <w:tab w:leader="none" w:pos="3025" w:val="left"/>
        </w:tabs>
        <w:rPr>
          <w:sz w:val="20"/>
          <w:szCs w:val="20"/>
          <w:color w:val="auto"/>
        </w:rPr>
      </w:pPr>
      <w:r>
        <w:rPr>
          <w:rFonts w:ascii="Courier New" w:cs="Courier New" w:eastAsia="Courier New" w:hAnsi="Courier New"/>
          <w:sz w:val="15"/>
          <w:szCs w:val="15"/>
          <w:color w:val="auto"/>
        </w:rPr>
        <w:t>/S/ RODERICK R. BATY</w:t>
      </w:r>
      <w:r>
        <w:rPr>
          <w:sz w:val="20"/>
          <w:szCs w:val="20"/>
          <w:color w:val="auto"/>
        </w:rPr>
        <w:tab/>
      </w:r>
      <w:r>
        <w:rPr>
          <w:rFonts w:ascii="Courier New" w:cs="Courier New" w:eastAsia="Courier New" w:hAnsi="Courier New"/>
          <w:sz w:val="15"/>
          <w:szCs w:val="15"/>
          <w:color w:val="auto"/>
        </w:rPr>
        <w:t>Executive Officer)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2002</w:t>
      </w:r>
    </w:p>
    <w:p>
      <w:pPr>
        <w:spacing w:after="0" w:line="8" w:lineRule="exact"/>
        <w:rPr>
          <w:sz w:val="20"/>
          <w:szCs w:val="20"/>
          <w:color w:val="auto"/>
        </w:rPr>
      </w:pPr>
    </w:p>
    <w:p>
      <w:pPr>
        <w:sectPr>
          <w:pgSz w:w="11900" w:h="16838" w:orient="portrait"/>
          <w:cols w:equalWidth="0" w:num="2">
            <w:col w:w="6105" w:space="720"/>
            <w:col w:w="3399"/>
          </w:cols>
          <w:pgMar w:left="235" w:top="142" w:right="1440" w:bottom="0" w:gutter="0" w:footer="0" w:header="0"/>
          <w:type w:val="continuous"/>
        </w:sectPr>
      </w:pPr>
    </w:p>
    <w:p>
      <w:pPr>
        <w:ind w:left="185" w:hanging="185"/>
        <w:spacing w:after="0"/>
        <w:tabs>
          <w:tab w:leader="none" w:pos="18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Roderick R. Baty</w:t>
      </w:r>
    </w:p>
    <w:p>
      <w:pPr>
        <w:sectPr>
          <w:pgSz w:w="11900" w:h="16838" w:orient="portrait"/>
          <w:cols w:equalWidth="0" w:num="1">
            <w:col w:w="10225"/>
          </w:cols>
          <w:pgMar w:left="235" w:top="142" w:right="1440" w:bottom="0" w:gutter="0" w:footer="0" w:header="0"/>
          <w:type w:val="continuous"/>
        </w:sectPr>
      </w:pPr>
    </w:p>
    <w:p>
      <w:pPr>
        <w:spacing w:after="0" w:line="18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Treasurer, Secretary and Chief</w:t>
      </w:r>
    </w:p>
    <w:p>
      <w:pPr>
        <w:spacing w:after="0" w:line="8"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Accounting Officer (Principal</w:t>
      </w:r>
    </w:p>
    <w:p>
      <w:pPr>
        <w:spacing w:after="0" w:line="8" w:lineRule="exact"/>
        <w:rPr>
          <w:sz w:val="20"/>
          <w:szCs w:val="20"/>
          <w:color w:val="auto"/>
        </w:rPr>
      </w:pPr>
    </w:p>
    <w:p>
      <w:pPr>
        <w:ind w:left="5"/>
        <w:spacing w:after="0"/>
        <w:tabs>
          <w:tab w:leader="none" w:pos="3025" w:val="left"/>
        </w:tabs>
        <w:rPr>
          <w:sz w:val="20"/>
          <w:szCs w:val="20"/>
          <w:color w:val="auto"/>
        </w:rPr>
      </w:pPr>
      <w:r>
        <w:rPr>
          <w:rFonts w:ascii="Courier New" w:cs="Courier New" w:eastAsia="Courier New" w:hAnsi="Courier New"/>
          <w:sz w:val="15"/>
          <w:szCs w:val="15"/>
          <w:color w:val="auto"/>
        </w:rPr>
        <w:t>/S/ WILLIAM C. KELLY, JR.</w:t>
      </w:r>
      <w:r>
        <w:rPr>
          <w:sz w:val="20"/>
          <w:szCs w:val="20"/>
          <w:color w:val="auto"/>
        </w:rPr>
        <w:tab/>
      </w:r>
      <w:r>
        <w:rPr>
          <w:rFonts w:ascii="Courier New" w:cs="Courier New" w:eastAsia="Courier New" w:hAnsi="Courier New"/>
          <w:sz w:val="15"/>
          <w:szCs w:val="15"/>
          <w:color w:val="auto"/>
        </w:rPr>
        <w:t>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2002</w:t>
      </w:r>
    </w:p>
    <w:p>
      <w:pPr>
        <w:spacing w:after="0" w:line="8" w:lineRule="exact"/>
        <w:rPr>
          <w:sz w:val="20"/>
          <w:szCs w:val="20"/>
          <w:color w:val="auto"/>
        </w:rPr>
      </w:pPr>
    </w:p>
    <w:p>
      <w:pPr>
        <w:sectPr>
          <w:pgSz w:w="11900" w:h="16838" w:orient="portrait"/>
          <w:cols w:equalWidth="0" w:num="2">
            <w:col w:w="6105" w:space="720"/>
            <w:col w:w="3399"/>
          </w:cols>
          <w:pgMar w:left="235" w:top="142" w:right="1440" w:bottom="0" w:gutter="0" w:footer="0" w:header="0"/>
          <w:type w:val="continuous"/>
        </w:sectPr>
      </w:pPr>
    </w:p>
    <w:p>
      <w:pPr>
        <w:ind w:left="185" w:hanging="185"/>
        <w:spacing w:after="0"/>
        <w:tabs>
          <w:tab w:leader="none" w:pos="18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C. Kelly, Jr.</w:t>
      </w:r>
    </w:p>
    <w:p>
      <w:pPr>
        <w:sectPr>
          <w:pgSz w:w="11900" w:h="16838" w:orient="portrait"/>
          <w:cols w:equalWidth="0" w:num="1">
            <w:col w:w="10225"/>
          </w:cols>
          <w:pgMar w:left="235" w:top="142" w:right="1440" w:bottom="0" w:gutter="0" w:footer="0" w:header="0"/>
          <w:type w:val="continuous"/>
        </w:sectPr>
      </w:pPr>
    </w:p>
    <w:p>
      <w:pPr>
        <w:spacing w:after="0" w:line="18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Vice President - Business Development</w:t>
      </w:r>
    </w:p>
    <w:p>
      <w:pPr>
        <w:spacing w:after="0" w:line="8"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and Chief Financial Officer (Principal</w:t>
      </w:r>
    </w:p>
    <w:p>
      <w:pPr>
        <w:spacing w:after="0" w:line="8" w:lineRule="exact"/>
        <w:rPr>
          <w:sz w:val="20"/>
          <w:szCs w:val="20"/>
          <w:color w:val="auto"/>
        </w:rPr>
      </w:pPr>
    </w:p>
    <w:p>
      <w:pPr>
        <w:ind w:left="185"/>
        <w:spacing w:after="0"/>
        <w:tabs>
          <w:tab w:leader="none" w:pos="3025" w:val="left"/>
        </w:tabs>
        <w:rPr>
          <w:sz w:val="20"/>
          <w:szCs w:val="20"/>
          <w:color w:val="auto"/>
        </w:rPr>
      </w:pPr>
      <w:r>
        <w:rPr>
          <w:rFonts w:ascii="Courier New" w:cs="Courier New" w:eastAsia="Courier New" w:hAnsi="Courier New"/>
          <w:sz w:val="15"/>
          <w:szCs w:val="15"/>
          <w:color w:val="auto"/>
        </w:rPr>
        <w:t>/S/ DAVID L. DYCKMAN</w:t>
      </w:r>
      <w:r>
        <w:rPr>
          <w:sz w:val="20"/>
          <w:szCs w:val="20"/>
          <w:color w:val="auto"/>
        </w:rPr>
        <w:tab/>
      </w:r>
      <w:r>
        <w:rPr>
          <w:rFonts w:ascii="Courier New" w:cs="Courier New" w:eastAsia="Courier New" w:hAnsi="Courier New"/>
          <w:sz w:val="15"/>
          <w:szCs w:val="15"/>
          <w:color w:val="auto"/>
        </w:rPr>
        <w:t>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2002</w:t>
      </w:r>
    </w:p>
    <w:p>
      <w:pPr>
        <w:spacing w:after="0" w:line="8" w:lineRule="exact"/>
        <w:rPr>
          <w:sz w:val="20"/>
          <w:szCs w:val="20"/>
          <w:color w:val="auto"/>
        </w:rPr>
      </w:pPr>
    </w:p>
    <w:p>
      <w:pPr>
        <w:sectPr>
          <w:pgSz w:w="11900" w:h="16838" w:orient="portrait"/>
          <w:cols w:equalWidth="0" w:num="2">
            <w:col w:w="6545" w:space="280"/>
            <w:col w:w="3399"/>
          </w:cols>
          <w:pgMar w:left="235" w:top="142" w:right="1440" w:bottom="0" w:gutter="0" w:footer="0" w:header="0"/>
          <w:type w:val="continuous"/>
        </w:sectPr>
      </w:pPr>
    </w:p>
    <w:p>
      <w:pPr>
        <w:ind w:left="185" w:hanging="185"/>
        <w:spacing w:after="0"/>
        <w:tabs>
          <w:tab w:leader="none" w:pos="18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L. Dyckman</w:t>
      </w:r>
    </w:p>
    <w:p>
      <w:pPr>
        <w:spacing w:after="0" w:line="185" w:lineRule="exact"/>
        <w:rPr>
          <w:sz w:val="20"/>
          <w:szCs w:val="20"/>
          <w:color w:val="auto"/>
        </w:rPr>
      </w:pPr>
    </w:p>
    <w:p>
      <w:pPr>
        <w:ind w:left="185"/>
        <w:spacing w:after="0"/>
        <w:tabs>
          <w:tab w:leader="none" w:pos="2845" w:val="left"/>
          <w:tab w:leader="none" w:pos="6805" w:val="left"/>
        </w:tabs>
        <w:rPr>
          <w:sz w:val="20"/>
          <w:szCs w:val="20"/>
          <w:color w:val="auto"/>
        </w:rPr>
      </w:pPr>
      <w:r>
        <w:rPr>
          <w:rFonts w:ascii="Courier New" w:cs="Courier New" w:eastAsia="Courier New" w:hAnsi="Courier New"/>
          <w:sz w:val="15"/>
          <w:szCs w:val="15"/>
          <w:color w:val="auto"/>
        </w:rPr>
        <w:t>/S/ RICHARD D. ENNEN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March 29, 2002</w:t>
      </w:r>
    </w:p>
    <w:p>
      <w:pPr>
        <w:spacing w:after="0" w:line="8" w:lineRule="exact"/>
        <w:rPr>
          <w:sz w:val="20"/>
          <w:szCs w:val="20"/>
          <w:color w:val="auto"/>
        </w:rPr>
      </w:pPr>
    </w:p>
    <w:p>
      <w:pPr>
        <w:ind w:left="185" w:hanging="185"/>
        <w:spacing w:after="0"/>
        <w:tabs>
          <w:tab w:leader="none" w:pos="18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D. Ennen</w:t>
      </w:r>
    </w:p>
    <w:p>
      <w:pPr>
        <w:sectPr>
          <w:pgSz w:w="11900" w:h="16838" w:orient="portrait"/>
          <w:cols w:equalWidth="0" w:num="1">
            <w:col w:w="10225"/>
          </w:cols>
          <w:pgMar w:left="235" w:top="142" w:right="1440" w:bottom="0" w:gutter="0" w:footer="0" w:header="0"/>
          <w:type w:val="continuous"/>
        </w:sectPr>
      </w:pPr>
    </w:p>
    <w:bookmarkStart w:id="41" w:name="page42"/>
    <w:bookmarkEnd w:id="41"/>
    <w:tbl>
      <w:tblPr>
        <w:tblLayout w:type="fixed"/>
        <w:tblInd w:w="5" w:type="dxa"/>
        <w:tblCellMar>
          <w:top w:w="0" w:type="dxa"/>
          <w:left w:w="0" w:type="dxa"/>
          <w:bottom w:w="0" w:type="dxa"/>
          <w:right w:w="0" w:type="dxa"/>
        </w:tblCellMar>
      </w:tblPr>
      <w:tr>
        <w:trPr>
          <w:trHeight w:val="172"/>
        </w:trPr>
        <w:tc>
          <w:tcPr>
            <w:tcW w:w="248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/S/ MICHAEL D. HUFF</w:t>
            </w:r>
          </w:p>
        </w:tc>
        <w:tc>
          <w:tcPr>
            <w:tcW w:w="2720" w:type="dxa"/>
            <w:vAlign w:val="bottom"/>
          </w:tcPr>
          <w:p>
            <w:pPr>
              <w:ind w:left="380"/>
              <w:spacing w:after="0"/>
              <w:rPr>
                <w:sz w:val="20"/>
                <w:szCs w:val="20"/>
                <w:color w:val="auto"/>
              </w:rPr>
            </w:pPr>
            <w:r>
              <w:rPr>
                <w:rFonts w:ascii="Courier New" w:cs="Courier New" w:eastAsia="Courier New" w:hAnsi="Courier New"/>
                <w:sz w:val="15"/>
                <w:szCs w:val="15"/>
                <w:color w:val="auto"/>
              </w:rPr>
              <w:t>Director</w:t>
            </w:r>
          </w:p>
        </w:tc>
        <w:tc>
          <w:tcPr>
            <w:tcW w:w="2920" w:type="dxa"/>
            <w:vAlign w:val="bottom"/>
          </w:tcPr>
          <w:p>
            <w:pPr>
              <w:ind w:left="1620"/>
              <w:spacing w:after="0"/>
              <w:rPr>
                <w:sz w:val="20"/>
                <w:szCs w:val="20"/>
                <w:color w:val="auto"/>
              </w:rPr>
            </w:pPr>
            <w:r>
              <w:rPr>
                <w:rFonts w:ascii="Courier New" w:cs="Courier New" w:eastAsia="Courier New" w:hAnsi="Courier New"/>
                <w:sz w:val="15"/>
                <w:szCs w:val="15"/>
                <w:color w:val="auto"/>
              </w:rPr>
              <w:t>March 29, 2002</w:t>
            </w:r>
          </w:p>
        </w:tc>
      </w:tr>
      <w:tr>
        <w:trPr>
          <w:trHeight w:val="177"/>
        </w:trPr>
        <w:tc>
          <w:tcPr>
            <w:tcW w:w="5200" w:type="dxa"/>
            <w:vAlign w:val="bottom"/>
            <w:gridSpan w:val="2"/>
          </w:tcPr>
          <w:p>
            <w:pPr>
              <w:jc w:val="right"/>
              <w:ind w:right="2183"/>
              <w:spacing w:after="0"/>
              <w:rPr>
                <w:sz w:val="20"/>
                <w:szCs w:val="20"/>
                <w:color w:val="auto"/>
              </w:rPr>
            </w:pPr>
            <w:r>
              <w:rPr>
                <w:rFonts w:ascii="Courier New" w:cs="Courier New" w:eastAsia="Courier New" w:hAnsi="Courier New"/>
                <w:sz w:val="15"/>
                <w:szCs w:val="15"/>
                <w:color w:val="auto"/>
              </w:rPr>
              <w:t>- ------------------------------</w:t>
            </w:r>
          </w:p>
        </w:tc>
        <w:tc>
          <w:tcPr>
            <w:tcW w:w="2920" w:type="dxa"/>
            <w:vAlign w:val="bottom"/>
          </w:tcPr>
          <w:p>
            <w:pPr>
              <w:spacing w:after="0"/>
              <w:rPr>
                <w:sz w:val="15"/>
                <w:szCs w:val="15"/>
                <w:color w:val="auto"/>
              </w:rPr>
            </w:pPr>
          </w:p>
        </w:tc>
      </w:tr>
      <w:tr>
        <w:trPr>
          <w:trHeight w:val="177"/>
        </w:trPr>
        <w:tc>
          <w:tcPr>
            <w:tcW w:w="248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Michael D. Huff</w:t>
            </w:r>
          </w:p>
        </w:tc>
        <w:tc>
          <w:tcPr>
            <w:tcW w:w="272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355"/>
        </w:trPr>
        <w:tc>
          <w:tcPr>
            <w:tcW w:w="248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/S/ G. RONALD MORRIS</w:t>
            </w:r>
          </w:p>
        </w:tc>
        <w:tc>
          <w:tcPr>
            <w:tcW w:w="2720" w:type="dxa"/>
            <w:vAlign w:val="bottom"/>
          </w:tcPr>
          <w:p>
            <w:pPr>
              <w:ind w:left="380"/>
              <w:spacing w:after="0"/>
              <w:rPr>
                <w:sz w:val="20"/>
                <w:szCs w:val="20"/>
                <w:color w:val="auto"/>
              </w:rPr>
            </w:pPr>
            <w:r>
              <w:rPr>
                <w:rFonts w:ascii="Courier New" w:cs="Courier New" w:eastAsia="Courier New" w:hAnsi="Courier New"/>
                <w:sz w:val="15"/>
                <w:szCs w:val="15"/>
                <w:color w:val="auto"/>
              </w:rPr>
              <w:t>Director</w:t>
            </w:r>
          </w:p>
        </w:tc>
        <w:tc>
          <w:tcPr>
            <w:tcW w:w="2920" w:type="dxa"/>
            <w:vAlign w:val="bottom"/>
          </w:tcPr>
          <w:p>
            <w:pPr>
              <w:ind w:left="1620"/>
              <w:spacing w:after="0"/>
              <w:rPr>
                <w:sz w:val="20"/>
                <w:szCs w:val="20"/>
                <w:color w:val="auto"/>
              </w:rPr>
            </w:pPr>
            <w:r>
              <w:rPr>
                <w:rFonts w:ascii="Courier New" w:cs="Courier New" w:eastAsia="Courier New" w:hAnsi="Courier New"/>
                <w:sz w:val="15"/>
                <w:szCs w:val="15"/>
                <w:color w:val="auto"/>
              </w:rPr>
              <w:t>March 29, 2002</w:t>
            </w:r>
          </w:p>
        </w:tc>
      </w:tr>
      <w:tr>
        <w:trPr>
          <w:trHeight w:val="177"/>
        </w:trPr>
        <w:tc>
          <w:tcPr>
            <w:tcW w:w="5200" w:type="dxa"/>
            <w:vAlign w:val="bottom"/>
            <w:gridSpan w:val="2"/>
          </w:tcPr>
          <w:p>
            <w:pPr>
              <w:jc w:val="right"/>
              <w:ind w:right="2183"/>
              <w:spacing w:after="0"/>
              <w:rPr>
                <w:sz w:val="20"/>
                <w:szCs w:val="20"/>
                <w:color w:val="auto"/>
              </w:rPr>
            </w:pPr>
            <w:r>
              <w:rPr>
                <w:rFonts w:ascii="Courier New" w:cs="Courier New" w:eastAsia="Courier New" w:hAnsi="Courier New"/>
                <w:sz w:val="15"/>
                <w:szCs w:val="15"/>
                <w:color w:val="auto"/>
              </w:rPr>
              <w:t>- ------------------------------</w:t>
            </w:r>
          </w:p>
        </w:tc>
        <w:tc>
          <w:tcPr>
            <w:tcW w:w="2920" w:type="dxa"/>
            <w:vAlign w:val="bottom"/>
          </w:tcPr>
          <w:p>
            <w:pPr>
              <w:spacing w:after="0"/>
              <w:rPr>
                <w:sz w:val="15"/>
                <w:szCs w:val="15"/>
                <w:color w:val="auto"/>
              </w:rPr>
            </w:pPr>
          </w:p>
        </w:tc>
      </w:tr>
      <w:tr>
        <w:trPr>
          <w:trHeight w:val="177"/>
        </w:trPr>
        <w:tc>
          <w:tcPr>
            <w:tcW w:w="248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G. Ronald Morris</w:t>
            </w:r>
          </w:p>
        </w:tc>
        <w:tc>
          <w:tcPr>
            <w:tcW w:w="272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355"/>
        </w:trPr>
        <w:tc>
          <w:tcPr>
            <w:tcW w:w="248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/S/ MICHAEL E. WERNER</w:t>
            </w:r>
          </w:p>
        </w:tc>
        <w:tc>
          <w:tcPr>
            <w:tcW w:w="2720" w:type="dxa"/>
            <w:vAlign w:val="bottom"/>
          </w:tcPr>
          <w:p>
            <w:pPr>
              <w:ind w:left="380"/>
              <w:spacing w:after="0"/>
              <w:rPr>
                <w:sz w:val="20"/>
                <w:szCs w:val="20"/>
                <w:color w:val="auto"/>
              </w:rPr>
            </w:pPr>
            <w:r>
              <w:rPr>
                <w:rFonts w:ascii="Courier New" w:cs="Courier New" w:eastAsia="Courier New" w:hAnsi="Courier New"/>
                <w:sz w:val="15"/>
                <w:szCs w:val="15"/>
                <w:color w:val="auto"/>
              </w:rPr>
              <w:t>Director</w:t>
            </w:r>
          </w:p>
        </w:tc>
        <w:tc>
          <w:tcPr>
            <w:tcW w:w="2920" w:type="dxa"/>
            <w:vAlign w:val="bottom"/>
          </w:tcPr>
          <w:p>
            <w:pPr>
              <w:ind w:left="1620"/>
              <w:spacing w:after="0"/>
              <w:rPr>
                <w:sz w:val="20"/>
                <w:szCs w:val="20"/>
                <w:color w:val="auto"/>
              </w:rPr>
            </w:pPr>
            <w:r>
              <w:rPr>
                <w:rFonts w:ascii="Courier New" w:cs="Courier New" w:eastAsia="Courier New" w:hAnsi="Courier New"/>
                <w:sz w:val="15"/>
                <w:szCs w:val="15"/>
                <w:color w:val="auto"/>
              </w:rPr>
              <w:t>March 29, 2002</w:t>
            </w:r>
          </w:p>
        </w:tc>
      </w:tr>
      <w:tr>
        <w:trPr>
          <w:trHeight w:val="177"/>
        </w:trPr>
        <w:tc>
          <w:tcPr>
            <w:tcW w:w="5200" w:type="dxa"/>
            <w:vAlign w:val="bottom"/>
            <w:gridSpan w:val="2"/>
          </w:tcPr>
          <w:p>
            <w:pPr>
              <w:jc w:val="right"/>
              <w:ind w:right="2183"/>
              <w:spacing w:after="0"/>
              <w:rPr>
                <w:sz w:val="20"/>
                <w:szCs w:val="20"/>
                <w:color w:val="auto"/>
              </w:rPr>
            </w:pPr>
            <w:r>
              <w:rPr>
                <w:rFonts w:ascii="Courier New" w:cs="Courier New" w:eastAsia="Courier New" w:hAnsi="Courier New"/>
                <w:sz w:val="15"/>
                <w:szCs w:val="15"/>
                <w:color w:val="auto"/>
              </w:rPr>
              <w:t>- ------------------------------</w:t>
            </w:r>
          </w:p>
        </w:tc>
        <w:tc>
          <w:tcPr>
            <w:tcW w:w="2920" w:type="dxa"/>
            <w:vAlign w:val="bottom"/>
          </w:tcPr>
          <w:p>
            <w:pPr>
              <w:spacing w:after="0"/>
              <w:rPr>
                <w:sz w:val="15"/>
                <w:szCs w:val="15"/>
                <w:color w:val="auto"/>
              </w:rPr>
            </w:pPr>
          </w:p>
        </w:tc>
      </w:tr>
      <w:tr>
        <w:trPr>
          <w:trHeight w:val="177"/>
        </w:trPr>
        <w:tc>
          <w:tcPr>
            <w:tcW w:w="248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Michael E. Werner</w:t>
            </w:r>
          </w:p>
        </w:tc>
        <w:tc>
          <w:tcPr>
            <w:tcW w:w="272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355"/>
        </w:trPr>
        <w:tc>
          <w:tcPr>
            <w:tcW w:w="248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/S/ STEVEN T. WARSHAW</w:t>
            </w:r>
          </w:p>
        </w:tc>
        <w:tc>
          <w:tcPr>
            <w:tcW w:w="2720" w:type="dxa"/>
            <w:vAlign w:val="bottom"/>
          </w:tcPr>
          <w:p>
            <w:pPr>
              <w:ind w:left="380"/>
              <w:spacing w:after="0"/>
              <w:rPr>
                <w:sz w:val="20"/>
                <w:szCs w:val="20"/>
                <w:color w:val="auto"/>
              </w:rPr>
            </w:pPr>
            <w:r>
              <w:rPr>
                <w:rFonts w:ascii="Courier New" w:cs="Courier New" w:eastAsia="Courier New" w:hAnsi="Courier New"/>
                <w:sz w:val="15"/>
                <w:szCs w:val="15"/>
                <w:color w:val="auto"/>
              </w:rPr>
              <w:t>Director</w:t>
            </w:r>
          </w:p>
        </w:tc>
        <w:tc>
          <w:tcPr>
            <w:tcW w:w="2920" w:type="dxa"/>
            <w:vAlign w:val="bottom"/>
          </w:tcPr>
          <w:p>
            <w:pPr>
              <w:ind w:left="1620"/>
              <w:spacing w:after="0"/>
              <w:rPr>
                <w:sz w:val="20"/>
                <w:szCs w:val="20"/>
                <w:color w:val="auto"/>
              </w:rPr>
            </w:pPr>
            <w:r>
              <w:rPr>
                <w:rFonts w:ascii="Courier New" w:cs="Courier New" w:eastAsia="Courier New" w:hAnsi="Courier New"/>
                <w:sz w:val="15"/>
                <w:szCs w:val="15"/>
                <w:color w:val="auto"/>
              </w:rPr>
              <w:t>March 29, 2002</w:t>
            </w:r>
          </w:p>
        </w:tc>
      </w:tr>
      <w:tr>
        <w:trPr>
          <w:trHeight w:val="177"/>
        </w:trPr>
        <w:tc>
          <w:tcPr>
            <w:tcW w:w="5200" w:type="dxa"/>
            <w:vAlign w:val="bottom"/>
            <w:gridSpan w:val="2"/>
          </w:tcPr>
          <w:p>
            <w:pPr>
              <w:jc w:val="right"/>
              <w:ind w:right="2183"/>
              <w:spacing w:after="0"/>
              <w:rPr>
                <w:sz w:val="20"/>
                <w:szCs w:val="20"/>
                <w:color w:val="auto"/>
              </w:rPr>
            </w:pPr>
            <w:r>
              <w:rPr>
                <w:rFonts w:ascii="Courier New" w:cs="Courier New" w:eastAsia="Courier New" w:hAnsi="Courier New"/>
                <w:sz w:val="15"/>
                <w:szCs w:val="15"/>
                <w:color w:val="auto"/>
              </w:rPr>
              <w:t>- ------------------------------</w:t>
            </w:r>
          </w:p>
        </w:tc>
        <w:tc>
          <w:tcPr>
            <w:tcW w:w="2920" w:type="dxa"/>
            <w:vAlign w:val="bottom"/>
          </w:tcPr>
          <w:p>
            <w:pPr>
              <w:spacing w:after="0"/>
              <w:rPr>
                <w:sz w:val="15"/>
                <w:szCs w:val="15"/>
                <w:color w:val="auto"/>
              </w:rPr>
            </w:pPr>
          </w:p>
        </w:tc>
      </w:tr>
      <w:tr>
        <w:trPr>
          <w:trHeight w:val="177"/>
        </w:trPr>
        <w:tc>
          <w:tcPr>
            <w:tcW w:w="248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Steven T. Warshaw</w:t>
            </w:r>
          </w:p>
        </w:tc>
        <w:tc>
          <w:tcPr>
            <w:tcW w:w="272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355"/>
        </w:trPr>
        <w:tc>
          <w:tcPr>
            <w:tcW w:w="248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/S/ JAMES L. EARSLEY</w:t>
            </w:r>
          </w:p>
        </w:tc>
        <w:tc>
          <w:tcPr>
            <w:tcW w:w="2720" w:type="dxa"/>
            <w:vAlign w:val="bottom"/>
          </w:tcPr>
          <w:p>
            <w:pPr>
              <w:ind w:left="380"/>
              <w:spacing w:after="0"/>
              <w:rPr>
                <w:sz w:val="20"/>
                <w:szCs w:val="20"/>
                <w:color w:val="auto"/>
              </w:rPr>
            </w:pPr>
            <w:r>
              <w:rPr>
                <w:rFonts w:ascii="Courier New" w:cs="Courier New" w:eastAsia="Courier New" w:hAnsi="Courier New"/>
                <w:sz w:val="15"/>
                <w:szCs w:val="15"/>
                <w:color w:val="auto"/>
              </w:rPr>
              <w:t>Director</w:t>
            </w:r>
          </w:p>
        </w:tc>
        <w:tc>
          <w:tcPr>
            <w:tcW w:w="2920" w:type="dxa"/>
            <w:vAlign w:val="bottom"/>
          </w:tcPr>
          <w:p>
            <w:pPr>
              <w:ind w:left="1620"/>
              <w:spacing w:after="0"/>
              <w:rPr>
                <w:sz w:val="20"/>
                <w:szCs w:val="20"/>
                <w:color w:val="auto"/>
              </w:rPr>
            </w:pPr>
            <w:r>
              <w:rPr>
                <w:rFonts w:ascii="Courier New" w:cs="Courier New" w:eastAsia="Courier New" w:hAnsi="Courier New"/>
                <w:sz w:val="15"/>
                <w:szCs w:val="15"/>
                <w:color w:val="auto"/>
              </w:rPr>
              <w:t>March 29, 2002</w:t>
            </w:r>
          </w:p>
        </w:tc>
      </w:tr>
    </w:tbl>
    <w:p>
      <w:pPr>
        <w:spacing w:after="0" w:line="5" w:lineRule="exact"/>
        <w:rPr>
          <w:sz w:val="20"/>
          <w:szCs w:val="20"/>
          <w:color w:val="auto"/>
        </w:rPr>
      </w:pPr>
    </w:p>
    <w:p>
      <w:pPr>
        <w:ind w:left="185" w:hanging="185"/>
        <w:spacing w:after="0"/>
        <w:tabs>
          <w:tab w:leader="none" w:pos="18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L. Earsley</w:t>
      </w:r>
    </w:p>
    <w:p>
      <w:pPr>
        <w:spacing w:after="0" w:line="200" w:lineRule="exact"/>
        <w:rPr>
          <w:sz w:val="20"/>
          <w:szCs w:val="20"/>
          <w:color w:val="auto"/>
        </w:rPr>
      </w:pPr>
    </w:p>
    <w:p>
      <w:pPr>
        <w:spacing w:after="0" w:line="34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b w:val="1"/>
          <w:bCs w:val="1"/>
          <w:color w:val="auto"/>
        </w:rPr>
        <w:t>Index to Exhibits</w:t>
      </w:r>
    </w:p>
    <w:p>
      <w:pPr>
        <w:spacing w:after="0" w:line="200" w:lineRule="exact"/>
        <w:rPr>
          <w:sz w:val="20"/>
          <w:szCs w:val="20"/>
          <w:color w:val="auto"/>
        </w:rPr>
      </w:pPr>
    </w:p>
    <w:p>
      <w:pPr>
        <w:spacing w:after="0" w:line="340" w:lineRule="exact"/>
        <w:rPr>
          <w:sz w:val="20"/>
          <w:szCs w:val="20"/>
          <w:color w:val="auto"/>
        </w:rPr>
      </w:pPr>
    </w:p>
    <w:p>
      <w:pPr>
        <w:ind w:left="5"/>
        <w:spacing w:after="0"/>
        <w:tabs>
          <w:tab w:leader="none" w:pos="805"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PricewaterhouseCoopers LLP</w:t>
      </w:r>
    </w:p>
    <w:p>
      <w:pPr>
        <w:spacing w:after="0" w:line="185" w:lineRule="exact"/>
        <w:rPr>
          <w:sz w:val="20"/>
          <w:szCs w:val="20"/>
          <w:color w:val="auto"/>
        </w:rPr>
      </w:pPr>
    </w:p>
    <w:p>
      <w:pPr>
        <w:ind w:left="5"/>
        <w:spacing w:after="0"/>
        <w:tabs>
          <w:tab w:leader="none" w:pos="805"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KPMG LLP</w:t>
      </w:r>
    </w:p>
    <w:p>
      <w:pPr>
        <w:sectPr>
          <w:pgSz w:w="11900" w:h="16838" w:orient="portrait"/>
          <w:cols w:equalWidth="0" w:num="1">
            <w:col w:w="10225"/>
          </w:cols>
          <w:pgMar w:left="235" w:top="319"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b w:val="1"/>
          <w:bCs w:val="1"/>
          <w:color w:val="auto"/>
        </w:rPr>
        <w:t>Exhibit 10.16</w:t>
      </w:r>
    </w:p>
    <w:p>
      <w:pPr>
        <w:spacing w:after="0" w:line="200" w:lineRule="exact"/>
        <w:rPr>
          <w:sz w:val="20"/>
          <w:szCs w:val="20"/>
          <w:color w:val="auto"/>
        </w:rPr>
      </w:pPr>
    </w:p>
    <w:p>
      <w:pPr>
        <w:spacing w:after="0" w:line="34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AMENDMENT NO. 1 TO</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EMPLOYMENT AGREEMENT</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THIS AMENDMENT NO. 1 TO EMPLOYMENT AGREEMENT (the "Amendment") is made and entered into as of the 21st day of January, 2002 (the "Effective Date") by and between NN, Inc., a Delaware corporation (the "Company") and Frank T. Gentry III (the "Executive").</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RECITALS</w:t>
      </w:r>
    </w:p>
    <w:p>
      <w:pPr>
        <w:spacing w:after="0" w:line="185"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WHEREAS, the Company and Executive are parties to that certain Employment Agreement dated as of May 7, 1998 (the "Employment Agreement") containing the terms and conditions of Executive's employment with the Company;</w:t>
      </w:r>
    </w:p>
    <w:p>
      <w:pPr>
        <w:spacing w:after="0" w:line="175" w:lineRule="exact"/>
        <w:rPr>
          <w:sz w:val="20"/>
          <w:szCs w:val="20"/>
          <w:color w:val="auto"/>
        </w:rPr>
      </w:pPr>
    </w:p>
    <w:p>
      <w:pPr>
        <w:ind w:right="3399" w:firstLine="461"/>
        <w:spacing w:after="0" w:line="252" w:lineRule="auto"/>
        <w:rPr>
          <w:sz w:val="20"/>
          <w:szCs w:val="20"/>
          <w:color w:val="auto"/>
        </w:rPr>
      </w:pPr>
      <w:r>
        <w:rPr>
          <w:rFonts w:ascii="Courier New" w:cs="Courier New" w:eastAsia="Courier New" w:hAnsi="Courier New"/>
          <w:sz w:val="15"/>
          <w:szCs w:val="15"/>
          <w:color w:val="auto"/>
        </w:rPr>
        <w:t>WHEREAS, the Company and Executive now wish to amend the Employment Agreement to provide for mandatory arbitration in the event of any dispute arising under the Employment Agreement;</w:t>
      </w:r>
    </w:p>
    <w:p>
      <w:pPr>
        <w:spacing w:after="0" w:line="175"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NOW, THEREFORE, in consideration of the mutual covenants contained herein and for other good and valuable consideration, the receipt and sufficiency of which is hereby acknowledged, the parties hereby agree as follows:</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b w:val="1"/>
          <w:bCs w:val="1"/>
          <w:color w:val="auto"/>
        </w:rPr>
        <w:t xml:space="preserve">Section 1. Definitions. </w:t>
      </w:r>
      <w:r>
        <w:rPr>
          <w:rFonts w:ascii="Courier New" w:cs="Courier New" w:eastAsia="Courier New" w:hAnsi="Courier New"/>
          <w:sz w:val="15"/>
          <w:szCs w:val="15"/>
          <w:color w:val="auto"/>
        </w:rPr>
        <w:t>Except as otherwise provided herein, all</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capitalized terms shall have the same definitions in this Amendment as they have in the Employment Agreement.</w:t>
      </w:r>
    </w:p>
    <w:p>
      <w:pPr>
        <w:spacing w:after="0" w:line="175" w:lineRule="exact"/>
        <w:rPr>
          <w:sz w:val="20"/>
          <w:szCs w:val="20"/>
          <w:color w:val="auto"/>
        </w:rPr>
      </w:pPr>
    </w:p>
    <w:p>
      <w:pPr>
        <w:ind w:right="3299" w:firstLine="461"/>
        <w:spacing w:after="0" w:line="253" w:lineRule="auto"/>
        <w:rPr>
          <w:sz w:val="20"/>
          <w:szCs w:val="20"/>
          <w:color w:val="auto"/>
        </w:rPr>
      </w:pPr>
      <w:r>
        <w:rPr>
          <w:rFonts w:ascii="Courier New" w:cs="Courier New" w:eastAsia="Courier New" w:hAnsi="Courier New"/>
          <w:sz w:val="15"/>
          <w:szCs w:val="15"/>
          <w:b w:val="1"/>
          <w:bCs w:val="1"/>
          <w:color w:val="auto"/>
        </w:rPr>
        <w:t>Section 2. Addition of Paragraph 23.</w:t>
      </w:r>
      <w:r>
        <w:rPr>
          <w:rFonts w:ascii="Courier New" w:cs="Courier New" w:eastAsia="Courier New" w:hAnsi="Courier New"/>
          <w:sz w:val="15"/>
          <w:szCs w:val="15"/>
          <w:color w:val="auto"/>
        </w:rPr>
        <w:t>Paragraph 23 shall be added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agreement and shall read in its entirety as follows:</w:t>
      </w:r>
    </w:p>
    <w:p>
      <w:pPr>
        <w:spacing w:after="0" w:line="17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 xml:space="preserve">"23. </w:t>
      </w:r>
      <w:r>
        <w:rPr>
          <w:rFonts w:ascii="Courier New" w:cs="Courier New" w:eastAsia="Courier New" w:hAnsi="Courier New"/>
          <w:sz w:val="15"/>
          <w:szCs w:val="15"/>
          <w:b w:val="1"/>
          <w:bCs w:val="1"/>
          <w:color w:val="auto"/>
        </w:rPr>
        <w:t>Resolution of Disputes.</w:t>
      </w:r>
      <w:r>
        <w:rPr>
          <w:rFonts w:ascii="Courier New" w:cs="Courier New" w:eastAsia="Courier New" w:hAnsi="Courier New"/>
          <w:sz w:val="15"/>
          <w:szCs w:val="15"/>
          <w:color w:val="auto"/>
        </w:rPr>
        <w:t xml:space="preserve">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b w:val="1"/>
          <w:bCs w:val="1"/>
          <w:color w:val="auto"/>
        </w:rPr>
        <w:t xml:space="preserve">Section 4. No Other Changes. </w:t>
      </w:r>
      <w:r>
        <w:rPr>
          <w:rFonts w:ascii="Courier New" w:cs="Courier New" w:eastAsia="Courier New" w:hAnsi="Courier New"/>
          <w:sz w:val="15"/>
          <w:szCs w:val="15"/>
          <w:color w:val="auto"/>
        </w:rPr>
        <w:t>Except as provided in this Amendment,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all other terms and provisions of the Employment Agreement shall remain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2939" w:firstLine="461"/>
        <w:spacing w:after="0" w:line="253" w:lineRule="auto"/>
        <w:rPr>
          <w:sz w:val="20"/>
          <w:szCs w:val="20"/>
          <w:color w:val="auto"/>
        </w:rPr>
      </w:pPr>
      <w:r>
        <w:rPr>
          <w:rFonts w:ascii="Courier New" w:cs="Courier New" w:eastAsia="Courier New" w:hAnsi="Courier New"/>
          <w:sz w:val="15"/>
          <w:szCs w:val="15"/>
          <w:b w:val="1"/>
          <w:bCs w:val="1"/>
          <w:color w:val="auto"/>
        </w:rPr>
        <w:t>IN WITNESS WHEREOF</w:t>
      </w:r>
      <w:r>
        <w:rPr>
          <w:rFonts w:ascii="Courier New" w:cs="Courier New" w:eastAsia="Courier New" w:hAnsi="Courier New"/>
          <w:sz w:val="15"/>
          <w:szCs w:val="15"/>
          <w:color w:val="auto"/>
        </w:rPr>
        <w:t>, the undersigned have executed this Amendment as of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date first above written.</w:t>
      </w:r>
    </w:p>
    <w:p>
      <w:pPr>
        <w:sectPr>
          <w:pgSz w:w="11900" w:h="16838" w:orient="portrait"/>
          <w:cols w:equalWidth="0" w:num="1">
            <w:col w:w="10219"/>
          </w:cols>
          <w:pgMar w:left="240" w:top="319" w:right="1440" w:bottom="1440" w:gutter="0" w:footer="0" w:header="0"/>
        </w:sectPr>
      </w:pP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INC.</w:t>
      </w:r>
    </w:p>
    <w:p>
      <w:pPr>
        <w:spacing w:after="0" w:line="185" w:lineRule="exact"/>
        <w:rPr>
          <w:sz w:val="20"/>
          <w:szCs w:val="20"/>
          <w:color w:val="auto"/>
        </w:rPr>
      </w:pPr>
    </w:p>
    <w:p>
      <w:pPr>
        <w:sectPr>
          <w:pgSz w:w="11900" w:h="16838" w:orient="portrait"/>
          <w:cols w:equalWidth="0" w:num="2">
            <w:col w:w="3340" w:space="720"/>
            <w:col w:w="6159"/>
          </w:cols>
          <w:pgMar w:left="240" w:top="319" w:right="1440" w:bottom="1440" w:gutter="0" w:footer="0" w:header="0"/>
          <w:type w:val="continuous"/>
        </w:sectPr>
      </w:pPr>
    </w:p>
    <w:p>
      <w:pPr>
        <w:ind w:left="40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/s/ Roderick R. Baty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Roderick R. Baty</w:t>
      </w:r>
    </w:p>
    <w:p>
      <w:pPr>
        <w:spacing w:after="0" w:line="185" w:lineRule="exact"/>
        <w:rPr>
          <w:sz w:val="20"/>
          <w:szCs w:val="20"/>
          <w:color w:val="auto"/>
        </w:rPr>
      </w:pPr>
    </w:p>
    <w:p>
      <w:pPr>
        <w:sectPr>
          <w:pgSz w:w="11900" w:h="16838" w:orient="portrait"/>
          <w:cols w:equalWidth="0" w:num="2">
            <w:col w:w="4340" w:space="0"/>
            <w:col w:w="5879"/>
          </w:cols>
          <w:pgMar w:left="240" w:top="319" w:right="1440" w:bottom="1440" w:gutter="0" w:footer="0" w:header="0"/>
          <w:type w:val="continuous"/>
        </w:sectPr>
      </w:pPr>
    </w:p>
    <w:p>
      <w:pPr>
        <w:ind w:left="820"/>
        <w:spacing w:after="0"/>
        <w:rPr>
          <w:sz w:val="20"/>
          <w:szCs w:val="20"/>
          <w:color w:val="auto"/>
        </w:rPr>
      </w:pPr>
      <w:r>
        <w:rPr>
          <w:rFonts w:ascii="Courier New" w:cs="Courier New" w:eastAsia="Courier New" w:hAnsi="Courier New"/>
          <w:sz w:val="15"/>
          <w:szCs w:val="15"/>
          <w:color w:val="auto"/>
        </w:rPr>
        <w:t>THE EXECUTIVE:</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5"/>
          <w:szCs w:val="15"/>
          <w:color w:val="auto"/>
        </w:rPr>
        <w:t>/s/ Frank Gentry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Frank T. Gentry III</w:t>
      </w:r>
    </w:p>
    <w:p>
      <w:pPr>
        <w:spacing w:after="0" w:line="200" w:lineRule="exact"/>
        <w:rPr>
          <w:sz w:val="20"/>
          <w:szCs w:val="20"/>
          <w:color w:val="auto"/>
        </w:rPr>
      </w:pPr>
    </w:p>
    <w:p>
      <w:pPr>
        <w:sectPr>
          <w:pgSz w:w="11900" w:h="16838" w:orient="portrait"/>
          <w:cols w:equalWidth="0" w:num="2">
            <w:col w:w="3340" w:space="720"/>
            <w:col w:w="6159"/>
          </w:cols>
          <w:pgMar w:left="240" w:top="319" w:right="1440"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319" w:right="1440" w:bottom="1440"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5"/>
          <w:szCs w:val="15"/>
          <w:b w:val="1"/>
          <w:bCs w:val="1"/>
          <w:color w:val="auto"/>
        </w:rPr>
        <w:t>Exhibit 10.17</w:t>
      </w:r>
    </w:p>
    <w:p>
      <w:pPr>
        <w:spacing w:after="0" w:line="200" w:lineRule="exact"/>
        <w:rPr>
          <w:sz w:val="20"/>
          <w:szCs w:val="20"/>
          <w:color w:val="auto"/>
        </w:rPr>
      </w:pPr>
    </w:p>
    <w:p>
      <w:pPr>
        <w:spacing w:after="0" w:line="340"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b w:val="1"/>
          <w:bCs w:val="1"/>
          <w:color w:val="auto"/>
        </w:rPr>
        <w:t>CHANGE OF CONTROL AND NONCOMPETITION AGREEMENT</w:t>
      </w:r>
    </w:p>
    <w:p>
      <w:pPr>
        <w:spacing w:after="0" w:line="36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THIS AGREEMENT ("Agreement") </w:t>
      </w:r>
      <w:r>
        <w:rPr>
          <w:rFonts w:ascii="Courier New" w:cs="Courier New" w:eastAsia="Courier New" w:hAnsi="Courier New"/>
          <w:sz w:val="15"/>
          <w:szCs w:val="15"/>
          <w:color w:val="auto"/>
        </w:rPr>
        <w:t>is made and entered into this 21st day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January, 2002, by and between FRANK T. GENTRY III ("</w:t>
      </w:r>
      <w:r>
        <w:rPr>
          <w:rFonts w:ascii="Courier New" w:cs="Courier New" w:eastAsia="Courier New" w:hAnsi="Courier New"/>
          <w:sz w:val="15"/>
          <w:szCs w:val="15"/>
          <w:b w:val="1"/>
          <w:bCs w:val="1"/>
          <w:color w:val="auto"/>
        </w:rPr>
        <w:t>Employee</w:t>
      </w:r>
      <w:r>
        <w:rPr>
          <w:rFonts w:ascii="Courier New" w:cs="Courier New" w:eastAsia="Courier New" w:hAnsi="Courier New"/>
          <w:sz w:val="15"/>
          <w:szCs w:val="15"/>
          <w:color w:val="auto"/>
        </w:rPr>
        <w:t>") and NN, INC., a Delaware corporation, including its wholly-owned subsidiaries and affiliated companies (collectively, "</w:t>
      </w:r>
      <w:r>
        <w:rPr>
          <w:rFonts w:ascii="Courier New" w:cs="Courier New" w:eastAsia="Courier New" w:hAnsi="Courier New"/>
          <w:sz w:val="15"/>
          <w:szCs w:val="15"/>
          <w:b w:val="1"/>
          <w:bCs w:val="1"/>
          <w:color w:val="auto"/>
        </w:rPr>
        <w:t>Employer</w:t>
      </w:r>
      <w:r>
        <w:rPr>
          <w:rFonts w:ascii="Courier New" w:cs="Courier New" w:eastAsia="Courier New" w:hAnsi="Courier New"/>
          <w:sz w:val="15"/>
          <w:szCs w:val="15"/>
          <w:color w:val="auto"/>
        </w:rPr>
        <w:t>").</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RECITALS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WHEREAS, </w:t>
      </w:r>
      <w:r>
        <w:rPr>
          <w:rFonts w:ascii="Courier New" w:cs="Courier New" w:eastAsia="Courier New" w:hAnsi="Courier New"/>
          <w:sz w:val="15"/>
          <w:szCs w:val="15"/>
          <w:color w:val="auto"/>
        </w:rPr>
        <w:t>the Board of Directors of Employer (the "</w:t>
      </w:r>
      <w:r>
        <w:rPr>
          <w:rFonts w:ascii="Courier New" w:cs="Courier New" w:eastAsia="Courier New" w:hAnsi="Courier New"/>
          <w:sz w:val="15"/>
          <w:szCs w:val="15"/>
          <w:b w:val="1"/>
          <w:bCs w:val="1"/>
          <w:color w:val="auto"/>
        </w:rPr>
        <w:t>Board</w:t>
      </w:r>
      <w:r>
        <w:rPr>
          <w:rFonts w:ascii="Courier New" w:cs="Courier New" w:eastAsia="Courier New" w:hAnsi="Courier New"/>
          <w:sz w:val="15"/>
          <w:szCs w:val="15"/>
          <w:color w:val="auto"/>
        </w:rPr>
        <w:t>") has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determined that it is in the best interests of Employer to reinforce and encourage the continuity of management personnel in anticipation of a possible or potential Change of Control (as defined below); and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WHEREAS, </w:t>
      </w:r>
      <w:r>
        <w:rPr>
          <w:rFonts w:ascii="Courier New" w:cs="Courier New" w:eastAsia="Courier New" w:hAnsi="Courier New"/>
          <w:sz w:val="15"/>
          <w:szCs w:val="15"/>
          <w:color w:val="auto"/>
        </w:rPr>
        <w:t>the Board believes this objective can best be served by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providing for a compensation arrangement for Employee upon Employee's termination of employment under certain circumstances in the event of a Change of Control.</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b w:val="1"/>
          <w:bCs w:val="1"/>
          <w:color w:val="auto"/>
        </w:rPr>
        <w:t xml:space="preserve">NOW, THEREFORE, </w:t>
      </w:r>
      <w:r>
        <w:rPr>
          <w:rFonts w:ascii="Courier New" w:cs="Courier New" w:eastAsia="Courier New" w:hAnsi="Courier New"/>
          <w:sz w:val="15"/>
          <w:szCs w:val="15"/>
          <w:color w:val="auto"/>
        </w:rPr>
        <w:t>in consideration of the mutual promises and covenants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as hereinafter set forth, the parties agree as follows:</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left="1100" w:hanging="275"/>
        <w:spacing w:after="0"/>
        <w:tabs>
          <w:tab w:leader="none" w:pos="1100" w:val="left"/>
        </w:tabs>
        <w:numPr>
          <w:ilvl w:val="0"/>
          <w:numId w:val="2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General. </w:t>
      </w:r>
      <w:r>
        <w:rPr>
          <w:rFonts w:ascii="Courier New" w:cs="Courier New" w:eastAsia="Courier New" w:hAnsi="Courier New"/>
          <w:sz w:val="15"/>
          <w:szCs w:val="15"/>
          <w:color w:val="auto"/>
        </w:rPr>
        <w:t>Employer is engaged in the (i) manufacture and supply</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of precision steel balls and rollers to domestic and international anti-friction bearing manufacturers, automotive original equipment manufacturers and the automotive aftermarket, the gas and mining industries, producers of drilling bits for oil, gas and water wells and producers of stainless steel valves and pumps, (ii) full-service design and manufacture of plastic injection molded components to the bearing, automotive, electronic, leisure and consumer markets, and (iii) the manufacture and supply of rubber seals to domestic and international anti-friction bearing manufacturers. Employee is employed by Employer in a senior management position in which Employee has or will have access to the Employer's confidential information and trade secrets.</w:t>
      </w:r>
    </w:p>
    <w:p>
      <w:pPr>
        <w:spacing w:after="0" w:line="182" w:lineRule="exact"/>
        <w:rPr>
          <w:sz w:val="20"/>
          <w:szCs w:val="20"/>
          <w:color w:val="auto"/>
        </w:rPr>
      </w:pPr>
    </w:p>
    <w:p>
      <w:pPr>
        <w:ind w:right="3119" w:firstLine="825"/>
        <w:spacing w:after="0" w:line="251" w:lineRule="auto"/>
        <w:tabs>
          <w:tab w:leader="none" w:pos="1107" w:val="left"/>
        </w:tabs>
        <w:numPr>
          <w:ilvl w:val="0"/>
          <w:numId w:val="3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Employment Relationship. </w:t>
      </w:r>
      <w:r>
        <w:rPr>
          <w:rFonts w:ascii="Courier New" w:cs="Courier New" w:eastAsia="Courier New" w:hAnsi="Courier New"/>
          <w:sz w:val="15"/>
          <w:szCs w:val="15"/>
          <w:color w:val="auto"/>
        </w:rPr>
        <w:t>Except as specifically set forth herein,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the terms and conditions of Employee's employment are set forth in the Employment Agreement dated May 7, 1998 between Employee and Employer (the "Employment Agreement"), a copy of which is attached hereto as Exhibit A.</w:t>
      </w:r>
    </w:p>
    <w:p>
      <w:pPr>
        <w:spacing w:after="0" w:line="176" w:lineRule="exact"/>
        <w:rPr>
          <w:rFonts w:ascii="Courier New" w:cs="Courier New" w:eastAsia="Courier New" w:hAnsi="Courier New"/>
          <w:sz w:val="15"/>
          <w:szCs w:val="15"/>
          <w:b w:val="1"/>
          <w:bCs w:val="1"/>
          <w:color w:val="auto"/>
        </w:rPr>
      </w:pPr>
    </w:p>
    <w:p>
      <w:pPr>
        <w:ind w:left="1100" w:hanging="275"/>
        <w:spacing w:after="0"/>
        <w:tabs>
          <w:tab w:leader="none" w:pos="1100" w:val="left"/>
        </w:tabs>
        <w:numPr>
          <w:ilvl w:val="0"/>
          <w:numId w:val="3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Upon Change of Control.</w:t>
      </w:r>
    </w:p>
    <w:p>
      <w:pPr>
        <w:spacing w:after="0" w:line="184" w:lineRule="exact"/>
        <w:rPr>
          <w:rFonts w:ascii="Courier New" w:cs="Courier New" w:eastAsia="Courier New" w:hAnsi="Courier New"/>
          <w:sz w:val="15"/>
          <w:szCs w:val="15"/>
          <w:b w:val="1"/>
          <w:bCs w:val="1"/>
          <w:color w:val="auto"/>
        </w:rPr>
      </w:pPr>
    </w:p>
    <w:p>
      <w:pPr>
        <w:ind w:left="920" w:right="2839" w:firstLine="459"/>
        <w:spacing w:after="0" w:line="251" w:lineRule="auto"/>
        <w:tabs>
          <w:tab w:leader="none" w:pos="175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In the event that Employee's employment is terminated within two (2) years following a "Change of Control" (as defined below) and such termination is either (i) Without Cause (as defined below), or (ii) is a Constructive Termination (as defined below), Employee shall receive, in addition to all compensation due and payable to or accrued for the benefit of Employee as of the date of termination: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4" w:lineRule="exact"/>
        <w:rPr>
          <w:rFonts w:ascii="Courier New" w:cs="Courier New" w:eastAsia="Courier New" w:hAnsi="Courier New"/>
          <w:sz w:val="15"/>
          <w:szCs w:val="15"/>
          <w:color w:val="auto"/>
        </w:rPr>
      </w:pPr>
    </w:p>
    <w:p>
      <w:pPr>
        <w:ind w:left="1380" w:right="2839" w:firstLine="460"/>
        <w:spacing w:after="0" w:line="251" w:lineRule="auto"/>
        <w:tabs>
          <w:tab w:leader="none" w:pos="2210" w:val="left"/>
        </w:tabs>
        <w:numPr>
          <w:ilvl w:val="2"/>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equal to an amount set forth on Schedule A to this Agreement ("</w:t>
      </w:r>
      <w:r>
        <w:rPr>
          <w:rFonts w:ascii="Courier New" w:cs="Courier New" w:eastAsia="Courier New" w:hAnsi="Courier New"/>
          <w:sz w:val="15"/>
          <w:szCs w:val="15"/>
          <w:b w:val="1"/>
          <w:bCs w:val="1"/>
          <w:color w:val="auto"/>
        </w:rPr>
        <w:t>Severance Payment</w:t>
      </w:r>
      <w:r>
        <w:rPr>
          <w:rFonts w:ascii="Courier New" w:cs="Courier New" w:eastAsia="Courier New" w:hAnsi="Courier New"/>
          <w:sz w:val="15"/>
          <w:szCs w:val="15"/>
          <w:color w:val="auto"/>
        </w:rPr>
        <w:t>"). The Severance Payment shall be made by wire transfer of immediately available funds to an account designated by Employee within seven (7) business days following the date of termination;</w:t>
      </w:r>
    </w:p>
    <w:p>
      <w:pPr>
        <w:spacing w:after="0" w:line="176" w:lineRule="exact"/>
        <w:rPr>
          <w:rFonts w:ascii="Courier New" w:cs="Courier New" w:eastAsia="Courier New" w:hAnsi="Courier New"/>
          <w:sz w:val="15"/>
          <w:szCs w:val="15"/>
          <w:color w:val="auto"/>
        </w:rPr>
      </w:pPr>
    </w:p>
    <w:p>
      <w:pPr>
        <w:ind w:left="1380" w:right="2939" w:firstLine="460"/>
        <w:spacing w:after="0" w:line="251" w:lineRule="auto"/>
        <w:tabs>
          <w:tab w:leader="none" w:pos="2303" w:val="left"/>
        </w:tabs>
        <w:numPr>
          <w:ilvl w:val="2"/>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equal to the annual bonus to which Employee would have been entitled but for Employee's termination of employment for the year of Employee's termination, pro-rated for the portion of the year during which he was employed by Employer ("</w:t>
      </w:r>
      <w:r>
        <w:rPr>
          <w:rFonts w:ascii="Courier New" w:cs="Courier New" w:eastAsia="Courier New" w:hAnsi="Courier New"/>
          <w:sz w:val="15"/>
          <w:szCs w:val="15"/>
          <w:b w:val="1"/>
          <w:bCs w:val="1"/>
          <w:color w:val="auto"/>
        </w:rPr>
        <w:t>Pro-rated Bonus</w:t>
      </w:r>
      <w:r>
        <w:rPr>
          <w:rFonts w:ascii="Courier New" w:cs="Courier New" w:eastAsia="Courier New" w:hAnsi="Courier New"/>
          <w:sz w:val="15"/>
          <w:szCs w:val="15"/>
          <w:color w:val="auto"/>
        </w:rPr>
        <w:t>"). The Pro-rated Bonus shall be payable to Employee at the end of the calendar year for which the bonus is payable, in accordance with Employer's normal bonus procedures; and</w:t>
      </w:r>
    </w:p>
    <w:p>
      <w:pPr>
        <w:spacing w:after="0" w:line="175" w:lineRule="exact"/>
        <w:rPr>
          <w:rFonts w:ascii="Courier New" w:cs="Courier New" w:eastAsia="Courier New" w:hAnsi="Courier New"/>
          <w:sz w:val="15"/>
          <w:szCs w:val="15"/>
          <w:color w:val="auto"/>
        </w:rPr>
      </w:pPr>
    </w:p>
    <w:p>
      <w:pPr>
        <w:ind w:left="1380" w:right="3019" w:firstLine="460"/>
        <w:spacing w:after="0" w:line="250" w:lineRule="auto"/>
        <w:tabs>
          <w:tab w:leader="none" w:pos="2395" w:val="left"/>
        </w:tabs>
        <w:numPr>
          <w:ilvl w:val="2"/>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twenty-four months after such termination (the "</w:t>
      </w:r>
      <w:r>
        <w:rPr>
          <w:rFonts w:ascii="Courier New" w:cs="Courier New" w:eastAsia="Courier New" w:hAnsi="Courier New"/>
          <w:sz w:val="15"/>
          <w:szCs w:val="15"/>
          <w:b w:val="1"/>
          <w:bCs w:val="1"/>
          <w:color w:val="auto"/>
        </w:rPr>
        <w:t>Coverage Period</w:t>
      </w:r>
      <w:r>
        <w:rPr>
          <w:rFonts w:ascii="Courier New" w:cs="Courier New" w:eastAsia="Courier New" w:hAnsi="Courier New"/>
          <w:sz w:val="15"/>
          <w:szCs w:val="15"/>
          <w:color w:val="auto"/>
        </w:rPr>
        <w:t>"), medical, dental, prescription drug, life, accidental death and disability insurance coverage substantially similar to the coverage which Employee was receiving or entitled to receive immediately prior to the date of the termination of Employee's employment ("</w:t>
      </w:r>
      <w:r>
        <w:rPr>
          <w:rFonts w:ascii="Courier New" w:cs="Courier New" w:eastAsia="Courier New" w:hAnsi="Courier New"/>
          <w:sz w:val="15"/>
          <w:szCs w:val="15"/>
          <w:b w:val="1"/>
          <w:bCs w:val="1"/>
          <w:color w:val="auto"/>
        </w:rPr>
        <w:t>Insurance Benefits</w:t>
      </w:r>
      <w:r>
        <w:rPr>
          <w:rFonts w:ascii="Courier New" w:cs="Courier New" w:eastAsia="Courier New" w:hAnsi="Courier New"/>
          <w:sz w:val="15"/>
          <w:szCs w:val="15"/>
          <w:color w:val="auto"/>
        </w:rPr>
        <w:t>"). Notwithstanding the foregoing, Employee shall not be entitled to receive the Insurance Benefits (or a portion thereof) to the extent that Employee obtains other employment that provides equal or greater benefits during the Coverage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-3164840</wp:posOffset>
            </wp:positionV>
            <wp:extent cx="728916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162"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The Severance Payment, Pro-rated Bonus and Insurance Benefits are collectively referred to in this Agreement as the "Severance Benefit."</w:t>
      </w:r>
    </w:p>
    <w:p>
      <w:pPr>
        <w:spacing w:after="0" w:line="174" w:lineRule="exact"/>
        <w:rPr>
          <w:sz w:val="20"/>
          <w:szCs w:val="20"/>
          <w:color w:val="auto"/>
        </w:rPr>
      </w:pPr>
    </w:p>
    <w:p>
      <w:pPr>
        <w:ind w:left="1740" w:hanging="361"/>
        <w:spacing w:after="0"/>
        <w:tabs>
          <w:tab w:leader="none" w:pos="17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Excise Tax.</w:t>
      </w:r>
    </w:p>
    <w:p>
      <w:pPr>
        <w:spacing w:after="0" w:line="184" w:lineRule="exact"/>
        <w:rPr>
          <w:rFonts w:ascii="Courier New" w:cs="Courier New" w:eastAsia="Courier New" w:hAnsi="Courier New"/>
          <w:sz w:val="15"/>
          <w:szCs w:val="15"/>
          <w:color w:val="auto"/>
        </w:rPr>
      </w:pPr>
    </w:p>
    <w:p>
      <w:pPr>
        <w:ind w:left="2200" w:hanging="360"/>
        <w:spacing w:after="0"/>
        <w:tabs>
          <w:tab w:leader="none" w:pos="220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in</w:t>
      </w:r>
    </w:p>
    <w:p>
      <w:pPr>
        <w:sectPr>
          <w:pgSz w:w="11900" w:h="16838" w:orient="portrait"/>
          <w:cols w:equalWidth="0" w:num="1">
            <w:col w:w="10219"/>
          </w:cols>
          <w:pgMar w:left="240" w:top="319" w:right="1440" w:bottom="0" w:gutter="0" w:footer="0" w:header="0"/>
        </w:sectPr>
      </w:pPr>
    </w:p>
    <w:bookmarkStart w:id="44" w:name="page45"/>
    <w:bookmarkEnd w:id="44"/>
    <w:p>
      <w:pPr>
        <w:ind w:left="560" w:right="2939"/>
        <w:spacing w:after="0" w:line="250" w:lineRule="auto"/>
        <w:rPr>
          <w:sz w:val="20"/>
          <w:szCs w:val="20"/>
          <w:color w:val="auto"/>
        </w:rPr>
      </w:pPr>
      <w:r>
        <w:rPr>
          <w:rFonts w:ascii="Courier New" w:cs="Courier New" w:eastAsia="Courier New" w:hAnsi="Courier New"/>
          <w:sz w:val="15"/>
          <w:szCs w:val="15"/>
          <w:color w:val="auto"/>
        </w:rPr>
        <w:t>this Agreement, in no event shall a Severance Benefit payable pursuant to this Section 3 exceed an amount equal to the lesser of (i) 2.99 times the "base amount" (as defined in Section 280G(b)(3) of the Internal Revenue Code of 1986, as amended (the "</w:t>
      </w:r>
      <w:r>
        <w:rPr>
          <w:rFonts w:ascii="Courier New" w:cs="Courier New" w:eastAsia="Courier New" w:hAnsi="Courier New"/>
          <w:sz w:val="15"/>
          <w:szCs w:val="15"/>
          <w:b w:val="1"/>
          <w:bCs w:val="1"/>
          <w:color w:val="auto"/>
        </w:rPr>
        <w:t>Code</w:t>
      </w:r>
      <w:r>
        <w:rPr>
          <w:rFonts w:ascii="Courier New" w:cs="Courier New" w:eastAsia="Courier New" w:hAnsi="Courier New"/>
          <w:sz w:val="15"/>
          <w:szCs w:val="15"/>
          <w:color w:val="auto"/>
        </w:rPr>
        <w:t>")) of Employee's compensation, or (ii) such other</w:t>
      </w:r>
    </w:p>
    <w:p>
      <w:pPr>
        <w:spacing w:after="0" w:line="2" w:lineRule="exact"/>
        <w:rPr>
          <w:sz w:val="20"/>
          <w:szCs w:val="20"/>
          <w:color w:val="auto"/>
        </w:rPr>
      </w:pPr>
    </w:p>
    <w:p>
      <w:pPr>
        <w:ind w:left="560" w:right="3019"/>
        <w:spacing w:after="0" w:line="250" w:lineRule="auto"/>
        <w:rPr>
          <w:sz w:val="20"/>
          <w:szCs w:val="20"/>
          <w:color w:val="auto"/>
        </w:rPr>
      </w:pPr>
      <w:r>
        <w:rPr>
          <w:rFonts w:ascii="Courier New" w:cs="Courier New" w:eastAsia="Courier New" w:hAnsi="Courier New"/>
          <w:sz w:val="15"/>
          <w:szCs w:val="15"/>
          <w:color w:val="auto"/>
        </w:rPr>
        <w:t>amount which would constitute a "parachute payment" (as defined in Section 280G of the Code). In the event that it shall be determined that any Severance Benefit to Employee (whether paid or payable or distributed or distributable) would be subject to the excise tax imposed by Section 4999 of the Code, or any successor provision thereto (the "</w:t>
      </w:r>
      <w:r>
        <w:rPr>
          <w:rFonts w:ascii="Courier New" w:cs="Courier New" w:eastAsia="Courier New" w:hAnsi="Courier New"/>
          <w:sz w:val="15"/>
          <w:szCs w:val="15"/>
          <w:b w:val="1"/>
          <w:bCs w:val="1"/>
          <w:color w:val="auto"/>
        </w:rPr>
        <w:t>Excise Tax</w:t>
      </w:r>
      <w:r>
        <w:rPr>
          <w:rFonts w:ascii="Courier New" w:cs="Courier New" w:eastAsia="Courier New" w:hAnsi="Courier New"/>
          <w:sz w:val="15"/>
          <w:szCs w:val="15"/>
          <w:color w:val="auto"/>
        </w:rPr>
        <w:t>"), then</w:t>
      </w:r>
    </w:p>
    <w:p>
      <w:pPr>
        <w:spacing w:after="0" w:line="3" w:lineRule="exact"/>
        <w:rPr>
          <w:sz w:val="20"/>
          <w:szCs w:val="20"/>
          <w:color w:val="auto"/>
        </w:rPr>
      </w:pPr>
    </w:p>
    <w:p>
      <w:pPr>
        <w:ind w:left="560" w:right="2839"/>
        <w:spacing w:after="0" w:line="250" w:lineRule="auto"/>
        <w:rPr>
          <w:sz w:val="20"/>
          <w:szCs w:val="20"/>
          <w:color w:val="auto"/>
        </w:rPr>
      </w:pPr>
      <w:r>
        <w:rPr>
          <w:rFonts w:ascii="Courier New" w:cs="Courier New" w:eastAsia="Courier New" w:hAnsi="Courier New"/>
          <w:sz w:val="15"/>
          <w:szCs w:val="15"/>
          <w:color w:val="auto"/>
        </w:rPr>
        <w:t>Employee shall be entitled to receive from Employer an additional payment (the "</w:t>
      </w:r>
      <w:r>
        <w:rPr>
          <w:rFonts w:ascii="Courier New" w:cs="Courier New" w:eastAsia="Courier New" w:hAnsi="Courier New"/>
          <w:sz w:val="15"/>
          <w:szCs w:val="15"/>
          <w:b w:val="1"/>
          <w:bCs w:val="1"/>
          <w:color w:val="auto"/>
        </w:rPr>
        <w:t>Gross-Up Payment</w:t>
      </w:r>
      <w:r>
        <w:rPr>
          <w:rFonts w:ascii="Courier New" w:cs="Courier New" w:eastAsia="Courier New" w:hAnsi="Courier New"/>
          <w:sz w:val="15"/>
          <w:szCs w:val="15"/>
          <w:color w:val="auto"/>
        </w:rPr>
        <w:t>") in an amount such that</w:t>
      </w:r>
    </w:p>
    <w:p>
      <w:pPr>
        <w:spacing w:after="0" w:line="1" w:lineRule="exact"/>
        <w:rPr>
          <w:sz w:val="20"/>
          <w:szCs w:val="20"/>
          <w:color w:val="auto"/>
        </w:rPr>
      </w:pPr>
    </w:p>
    <w:p>
      <w:pPr>
        <w:ind w:left="560" w:right="2939"/>
        <w:spacing w:after="0" w:line="251" w:lineRule="auto"/>
        <w:rPr>
          <w:sz w:val="20"/>
          <w:szCs w:val="20"/>
          <w:color w:val="auto"/>
        </w:rPr>
      </w:pPr>
      <w:r>
        <w:rPr>
          <w:rFonts w:ascii="Courier New" w:cs="Courier New" w:eastAsia="Courier New" w:hAnsi="Courier New"/>
          <w:sz w:val="15"/>
          <w:szCs w:val="15"/>
          <w:color w:val="auto"/>
        </w:rPr>
        <w:t>the net amount of the Severance Benefit and the Gross-Up Payment retained by Employee after the calculation and deduction of all Excise Taxes (including any interest or penalties imposed with respect to such taxes) on the payment and all Federal, state and local income tax, employment tax and Excise Tax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35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00" w:right="2839" w:firstLine="459"/>
        <w:spacing w:after="0" w:line="250" w:lineRule="auto"/>
        <w:tabs>
          <w:tab w:leader="none" w:pos="102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notify Employer in writing of any claim by the Internal Revenue Service that, if successful, would require the payment by Employer of the Gross-Up Payment. Such notification shall be given as soon as practicable after Employee is informed in writing of such claim and shall apprise Employer of the nature of such claim and the date on which such claim is requested to be paid. Employee shall not pay such claim prior to the expiration of the 30-day period following the date on which Employee gives such notice to Employer (or such shorter period ending on the date that any payment of taxes, interest and/or penalties with respect to such claim is due). If Employer notifies Employee in writing prior to the expiration of such period that it desires to contest such claim, Employee shall:</w:t>
      </w:r>
    </w:p>
    <w:p>
      <w:pPr>
        <w:spacing w:after="0" w:line="182" w:lineRule="exact"/>
        <w:rPr>
          <w:rFonts w:ascii="Courier New" w:cs="Courier New" w:eastAsia="Courier New" w:hAnsi="Courier New"/>
          <w:sz w:val="15"/>
          <w:szCs w:val="15"/>
          <w:color w:val="auto"/>
        </w:rPr>
      </w:pPr>
    </w:p>
    <w:p>
      <w:pPr>
        <w:ind w:left="560" w:right="3119" w:firstLine="460"/>
        <w:spacing w:after="0" w:line="253" w:lineRule="auto"/>
        <w:tabs>
          <w:tab w:leader="none" w:pos="139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Employer any information reasonably requested by Employer relating to such claim;</w:t>
      </w:r>
    </w:p>
    <w:p>
      <w:pPr>
        <w:spacing w:after="0" w:line="174" w:lineRule="exact"/>
        <w:rPr>
          <w:rFonts w:ascii="Courier New" w:cs="Courier New" w:eastAsia="Courier New" w:hAnsi="Courier New"/>
          <w:sz w:val="15"/>
          <w:szCs w:val="15"/>
          <w:color w:val="auto"/>
        </w:rPr>
      </w:pPr>
    </w:p>
    <w:p>
      <w:pPr>
        <w:ind w:left="560" w:right="3019" w:firstLine="460"/>
        <w:spacing w:after="0" w:line="251" w:lineRule="auto"/>
        <w:tabs>
          <w:tab w:leader="none" w:pos="139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Employer shall reasonably request in writing from time to time, including, without limitation, accepting legal representation with respect to such claim by an attorney reasonably selected by Employer;</w:t>
      </w:r>
    </w:p>
    <w:p>
      <w:pPr>
        <w:spacing w:after="0" w:line="176" w:lineRule="exact"/>
        <w:rPr>
          <w:rFonts w:ascii="Courier New" w:cs="Courier New" w:eastAsia="Courier New" w:hAnsi="Courier New"/>
          <w:sz w:val="15"/>
          <w:szCs w:val="15"/>
          <w:color w:val="auto"/>
        </w:rPr>
      </w:pPr>
    </w:p>
    <w:p>
      <w:pPr>
        <w:ind w:left="560" w:right="3479" w:firstLine="460"/>
        <w:spacing w:after="0" w:line="253" w:lineRule="auto"/>
        <w:tabs>
          <w:tab w:leader="none" w:pos="139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Employer in good faith in order to effectively contest such claim; and</w:t>
      </w:r>
    </w:p>
    <w:p>
      <w:pPr>
        <w:spacing w:after="0" w:line="174" w:lineRule="exact"/>
        <w:rPr>
          <w:rFonts w:ascii="Courier New" w:cs="Courier New" w:eastAsia="Courier New" w:hAnsi="Courier New"/>
          <w:sz w:val="15"/>
          <w:szCs w:val="15"/>
          <w:color w:val="auto"/>
        </w:rPr>
      </w:pPr>
    </w:p>
    <w:p>
      <w:pPr>
        <w:ind w:left="560" w:right="3479" w:firstLine="460"/>
        <w:spacing w:after="0" w:line="253" w:lineRule="auto"/>
        <w:tabs>
          <w:tab w:leader="none" w:pos="139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Employer to participate in any proceedings relating to such claims;</w:t>
      </w:r>
    </w:p>
    <w:p>
      <w:pPr>
        <w:spacing w:after="0" w:line="17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that Employer shall bear and pay directly all costs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 xml:space="preserve">and expenses (including additional interest and penalties) incurred in connection with such contest and shall indemnify Employee for and hold Employee harmless from, on an after-tax basis, any Excise Tax or income tax (including interest and penalties with respect thereto) imposed as a result of such representation and payment of all related costs and expenses. Without limiting the foregoing provisions of this section, Employer shall control all proceedings taken in connection with such contest and, at its sole option, may pursue or forgo any and all administrative appeals, proceedings, hearings and conferences with the taxing authority in respect of such claim and may, at its sole option, either direct Employee to pay the tax claimed and sue for a refund or contest the claim in any permissible manner, and Employee agrees to prosecute such contest to a determination before any administrative tribunal, in a court of initial jurisdiction and in one or more appellate courts, as Employer shall determine; </w:t>
      </w: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xml:space="preserve">, that if Employer directs Employee to pay such claim and sue for a refund, Employer shall advance the amount of such payment to Employee, on an interest-free basis, and shall indemnify Employee for and hold Employee harmless from, on an after-tax basis, any Excise Tax or income tax (including interest or penalties with respect thereto) imposed with respect to such advance or with respect to any imputed income with respect to such advance (including as a result of any forgiveness by Employer of such advance); </w:t>
      </w:r>
      <w:r>
        <w:rPr>
          <w:rFonts w:ascii="Courier New" w:cs="Courier New" w:eastAsia="Courier New" w:hAnsi="Courier New"/>
          <w:sz w:val="15"/>
          <w:szCs w:val="15"/>
          <w:i w:val="1"/>
          <w:iCs w:val="1"/>
          <w:color w:val="auto"/>
        </w:rPr>
        <w:t>provided, further</w:t>
      </w:r>
      <w:r>
        <w:rPr>
          <w:rFonts w:ascii="Courier New" w:cs="Courier New" w:eastAsia="Courier New" w:hAnsi="Courier New"/>
          <w:sz w:val="15"/>
          <w:szCs w:val="15"/>
          <w:color w:val="auto"/>
        </w:rPr>
        <w:t>, that any extension of the statute of limitations relating to the payment of taxes for the taxable year of Employee with respect to which such contested amount is claimed to</w:t>
      </w:r>
    </w:p>
    <w:p>
      <w:pPr>
        <w:spacing w:after="0" w:line="36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100" w:right="3019"/>
        <w:spacing w:after="0" w:line="251" w:lineRule="auto"/>
        <w:rPr>
          <w:sz w:val="20"/>
          <w:szCs w:val="20"/>
          <w:color w:val="auto"/>
        </w:rPr>
      </w:pPr>
      <w:r>
        <w:rPr>
          <w:rFonts w:ascii="Courier New" w:cs="Courier New" w:eastAsia="Courier New" w:hAnsi="Courier New"/>
          <w:sz w:val="15"/>
          <w:szCs w:val="15"/>
          <w:color w:val="auto"/>
        </w:rPr>
        <w:t>be due is limited solely to such contested amount. Furthermore, Employer's control of the contest shall be limited to issues with respect to which a Gross-Up Payment would be payable hereunder and Employee shall be entitled to settle or contest, as the case may be, any other issue raised by the Internal Revenue Service or any other</w:t>
      </w:r>
    </w:p>
    <w:p>
      <w:pPr>
        <w:sectPr>
          <w:pgSz w:w="11900" w:h="16838" w:orient="portrait"/>
          <w:cols w:equalWidth="0" w:num="1">
            <w:col w:w="9399"/>
          </w:cols>
          <w:pgMar w:left="1060" w:top="142" w:right="1440" w:bottom="0" w:gutter="0" w:footer="0" w:header="0"/>
        </w:sectPr>
      </w:pPr>
    </w:p>
    <w:bookmarkStart w:id="45" w:name="page46"/>
    <w:bookmarkEnd w:id="45"/>
    <w:p>
      <w:pPr>
        <w:ind w:left="95"/>
        <w:spacing w:after="0"/>
        <w:rPr>
          <w:sz w:val="20"/>
          <w:szCs w:val="20"/>
          <w:color w:val="auto"/>
        </w:rPr>
      </w:pPr>
      <w:r>
        <w:rPr>
          <w:rFonts w:ascii="Courier New" w:cs="Courier New" w:eastAsia="Courier New" w:hAnsi="Courier New"/>
          <w:sz w:val="15"/>
          <w:szCs w:val="15"/>
          <w:color w:val="auto"/>
        </w:rPr>
        <w:t>taxing authority.</w:t>
      </w:r>
    </w:p>
    <w:p>
      <w:pPr>
        <w:spacing w:after="0" w:line="185" w:lineRule="exact"/>
        <w:rPr>
          <w:sz w:val="20"/>
          <w:szCs w:val="20"/>
          <w:color w:val="auto"/>
        </w:rPr>
      </w:pPr>
    </w:p>
    <w:p>
      <w:pPr>
        <w:ind w:left="95" w:right="2839" w:firstLine="459"/>
        <w:spacing w:after="0" w:line="250" w:lineRule="auto"/>
        <w:tabs>
          <w:tab w:leader="none" w:pos="925"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"Change of Control" shall mean: (i) a person, corporation, entity or group (A) makes a tender or exchange offer for the issued and outstanding voting stock of Employer and beneficially owns thirty percent (30%) or more of the issued and outstanding voting stock of Employer after such tender or exchange offer, or (B) acquires, directly or indirectly, the beneficial ownership of thirty percent (30%) or more of the issued and outstanding voting stock of Employer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Employer); (ii) Employer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Employer immediately prior to the transaction; (iii) Employer sells fifty percent (50%) or more of its assets to any other person or persons (other than an affiliate or affiliates of Employer); or (iv) individuals who, as of the date hereof, constitute the Board (the "</w:t>
      </w:r>
      <w:r>
        <w:rPr>
          <w:rFonts w:ascii="Courier New" w:cs="Courier New" w:eastAsia="Courier New" w:hAnsi="Courier New"/>
          <w:sz w:val="15"/>
          <w:szCs w:val="15"/>
          <w:b w:val="1"/>
          <w:bCs w:val="1"/>
          <w:color w:val="auto"/>
        </w:rPr>
        <w:t>Incumbent Board</w:t>
      </w:r>
      <w:r>
        <w:rPr>
          <w:rFonts w:ascii="Courier New" w:cs="Courier New" w:eastAsia="Courier New" w:hAnsi="Courier New"/>
          <w:sz w:val="15"/>
          <w:szCs w:val="15"/>
          <w:color w:val="auto"/>
        </w:rPr>
        <w:t>") cease for any reason to constitute at</w:t>
      </w:r>
    </w:p>
    <w:p>
      <w:pPr>
        <w:spacing w:after="0" w:line="9" w:lineRule="exact"/>
        <w:rPr>
          <w:rFonts w:ascii="Courier New" w:cs="Courier New" w:eastAsia="Courier New" w:hAnsi="Courier New"/>
          <w:sz w:val="15"/>
          <w:szCs w:val="15"/>
          <w:color w:val="auto"/>
        </w:rPr>
      </w:pPr>
    </w:p>
    <w:p>
      <w:pPr>
        <w:ind w:left="9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least seventy-five percent (75%) of the Board; provided, however, that any individual becoming a director subsequent to the date hereof, whose election or nomination was approved by a majority of the directors then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352" w:lineRule="exact"/>
        <w:rPr>
          <w:rFonts w:ascii="Courier New" w:cs="Courier New" w:eastAsia="Courier New" w:hAnsi="Courier New"/>
          <w:sz w:val="15"/>
          <w:szCs w:val="15"/>
          <w:color w:val="auto"/>
        </w:rPr>
      </w:pPr>
    </w:p>
    <w:p>
      <w:pPr>
        <w:ind w:left="95" w:right="2939" w:firstLine="459"/>
        <w:spacing w:after="0" w:line="250" w:lineRule="auto"/>
        <w:tabs>
          <w:tab w:leader="none" w:pos="925"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"Without Cause" shall mean termination of Employee by Employer for reasons other than: (i) the willful, persistent failure of Employee (after thirty (30) days written notice and a reasonable opportunity to cure) to perform his material duties for reasons other than death or disability; (ii) the breach by Employee of any material provision of this Agreement; or</w:t>
      </w:r>
    </w:p>
    <w:p>
      <w:pPr>
        <w:spacing w:after="0" w:line="2" w:lineRule="exact"/>
        <w:rPr>
          <w:rFonts w:ascii="Courier New" w:cs="Courier New" w:eastAsia="Courier New" w:hAnsi="Courier New"/>
          <w:sz w:val="15"/>
          <w:szCs w:val="15"/>
          <w:color w:val="auto"/>
        </w:rPr>
      </w:pPr>
    </w:p>
    <w:p>
      <w:pPr>
        <w:ind w:left="95" w:right="2839" w:hanging="3"/>
        <w:spacing w:after="0" w:line="252" w:lineRule="auto"/>
        <w:tabs>
          <w:tab w:leader="none" w:pos="6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conviction of a felony involving dishonesty, deceit or moral turpitude by a trial court of competent jurisdiction, whether or not an appeal is taken.</w:t>
      </w:r>
    </w:p>
    <w:p>
      <w:pPr>
        <w:spacing w:after="0" w:line="174" w:lineRule="exact"/>
        <w:rPr>
          <w:rFonts w:ascii="Courier New" w:cs="Courier New" w:eastAsia="Courier New" w:hAnsi="Courier New"/>
          <w:sz w:val="15"/>
          <w:szCs w:val="15"/>
          <w:color w:val="auto"/>
        </w:rPr>
      </w:pPr>
    </w:p>
    <w:p>
      <w:pPr>
        <w:ind w:left="915" w:hanging="361"/>
        <w:spacing w:after="0"/>
        <w:tabs>
          <w:tab w:leader="none" w:pos="915"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Constructive Termination. "Constructive Termination" shall</w:t>
      </w:r>
    </w:p>
    <w:p>
      <w:pPr>
        <w:spacing w:after="0" w:line="7" w:lineRule="exact"/>
        <w:rPr>
          <w:rFonts w:ascii="Courier New" w:cs="Courier New" w:eastAsia="Courier New" w:hAnsi="Courier New"/>
          <w:sz w:val="15"/>
          <w:szCs w:val="15"/>
          <w:color w:val="auto"/>
        </w:rPr>
      </w:pPr>
    </w:p>
    <w:p>
      <w:pPr>
        <w:ind w:left="9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mean: (i) a material, adverse change of Employee's responsibilities, authority, status, position, offices, titles, duties or reporting requirements (including directorships); (ii) an adverse change in Employee's annual compensation or benefits; (iii) a requirement to relocate in excess of fifty (50) miles from Employee's then current place of employment; or (iv) the breach by Employer of any material provision of this Agreement, other than a breach that is remedied by Employer within 10 days after receipt of notice thereof from Employee. For purposes of this definition, Employee's responsibilities, authority, status, position,</w:t>
      </w:r>
    </w:p>
    <w:p>
      <w:pPr>
        <w:spacing w:after="0" w:line="359" w:lineRule="exact"/>
        <w:rPr>
          <w:sz w:val="20"/>
          <w:szCs w:val="20"/>
          <w:color w:val="auto"/>
        </w:rPr>
      </w:pPr>
    </w:p>
    <w:p>
      <w:pPr>
        <w:ind w:left="2775"/>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88265</wp:posOffset>
            </wp:positionV>
            <wp:extent cx="72891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95" w:right="2939"/>
        <w:spacing w:after="0" w:line="251" w:lineRule="auto"/>
        <w:rPr>
          <w:sz w:val="20"/>
          <w:szCs w:val="20"/>
          <w:color w:val="auto"/>
        </w:rPr>
      </w:pPr>
      <w:r>
        <w:rPr>
          <w:rFonts w:ascii="Courier New" w:cs="Courier New" w:eastAsia="Courier New" w:hAnsi="Courier New"/>
          <w:sz w:val="15"/>
          <w:szCs w:val="15"/>
          <w:color w:val="auto"/>
        </w:rPr>
        <w:t>offices, titles, duties and reporting requirements are to be determined as of the date of this Agreement. For purposes of this Section, all determinations of Constructive Termination shall be made in good faith by Employee and shall be conclusive.</w:t>
      </w:r>
    </w:p>
    <w:p>
      <w:pPr>
        <w:spacing w:after="0" w:line="176" w:lineRule="exact"/>
        <w:rPr>
          <w:sz w:val="20"/>
          <w:szCs w:val="20"/>
          <w:color w:val="auto"/>
        </w:rPr>
      </w:pPr>
    </w:p>
    <w:p>
      <w:pPr>
        <w:ind w:left="95" w:right="2939" w:firstLine="459"/>
        <w:spacing w:after="0" w:line="251" w:lineRule="auto"/>
        <w:tabs>
          <w:tab w:leader="none" w:pos="925"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Severance Benefits. The Severance Benefit payable to Employee pursuant to this Section 3 shall be reduced by any severance benefits to which Employee is entitled under Employer's severance policies for terminated employees generally or any termination payments payable to Employee under Employee's Employment Agreement.</w:t>
      </w:r>
    </w:p>
    <w:p>
      <w:pPr>
        <w:spacing w:after="0" w:line="176" w:lineRule="exact"/>
        <w:rPr>
          <w:rFonts w:ascii="Courier New" w:cs="Courier New" w:eastAsia="Courier New" w:hAnsi="Courier New"/>
          <w:sz w:val="15"/>
          <w:szCs w:val="15"/>
          <w:color w:val="auto"/>
        </w:rPr>
      </w:pPr>
    </w:p>
    <w:p>
      <w:pPr>
        <w:ind w:left="275" w:hanging="275"/>
        <w:spacing w:after="0"/>
        <w:tabs>
          <w:tab w:leader="none" w:pos="275" w:val="left"/>
        </w:tabs>
        <w:numPr>
          <w:ilvl w:val="0"/>
          <w:numId w:val="3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Employee's Acknowledgments and Covenants.</w:t>
      </w:r>
    </w:p>
    <w:p>
      <w:pPr>
        <w:spacing w:after="0" w:line="184" w:lineRule="exact"/>
        <w:rPr>
          <w:rFonts w:ascii="Courier New" w:cs="Courier New" w:eastAsia="Courier New" w:hAnsi="Courier New"/>
          <w:sz w:val="15"/>
          <w:szCs w:val="15"/>
          <w:b w:val="1"/>
          <w:bCs w:val="1"/>
          <w:color w:val="auto"/>
        </w:rPr>
      </w:pPr>
    </w:p>
    <w:p>
      <w:pPr>
        <w:ind w:left="95" w:right="2839" w:firstLine="459"/>
        <w:spacing w:after="0" w:line="250" w:lineRule="auto"/>
        <w:tabs>
          <w:tab w:leader="none" w:pos="925"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Materials and Information. Employer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other information about the business in which employer is engaged that is not known to the public and gives Employer an opportunity to obtain an advantage over competitors who do not know of such information (collectively, "</w:t>
      </w:r>
      <w:r>
        <w:rPr>
          <w:rFonts w:ascii="Courier New" w:cs="Courier New" w:eastAsia="Courier New" w:hAnsi="Courier New"/>
          <w:sz w:val="15"/>
          <w:szCs w:val="15"/>
          <w:b w:val="1"/>
          <w:bCs w:val="1"/>
          <w:color w:val="auto"/>
        </w:rPr>
        <w:t>Confidential Information</w:t>
      </w:r>
      <w:r>
        <w:rPr>
          <w:rFonts w:ascii="Courier New" w:cs="Courier New" w:eastAsia="Courier New" w:hAnsi="Courier New"/>
          <w:sz w:val="15"/>
          <w:szCs w:val="15"/>
          <w:color w:val="auto"/>
        </w:rPr>
        <w:t>"). In performing duties for Employer, Employee regularly will be exposed to and work with the Confidential Information. Employee acknowledges that such Confidential Information is critical to Employer's success and that Employer has invested substantial sums of money in developing the Confidential Information. While Employee is employed by Employer and after such employment ends for any reason, Employee will never reproduce, publish, disclose, use, reveal, show or otherwise</w:t>
      </w:r>
    </w:p>
    <w:p>
      <w:pPr>
        <w:sectPr>
          <w:pgSz w:w="11900" w:h="16838" w:orient="portrait"/>
          <w:cols w:equalWidth="0" w:num="1">
            <w:col w:w="9394"/>
          </w:cols>
          <w:pgMar w:left="1065" w:top="142" w:right="1440" w:bottom="0" w:gutter="0" w:footer="0" w:header="0"/>
        </w:sectPr>
      </w:pPr>
    </w:p>
    <w:bookmarkStart w:id="46" w:name="page47"/>
    <w:bookmarkEnd w:id="46"/>
    <w:p>
      <w:pPr>
        <w:ind w:left="920" w:right="3399"/>
        <w:spacing w:after="0" w:line="253" w:lineRule="auto"/>
        <w:rPr>
          <w:sz w:val="20"/>
          <w:szCs w:val="20"/>
          <w:color w:val="auto"/>
        </w:rPr>
      </w:pPr>
      <w:r>
        <w:rPr>
          <w:rFonts w:ascii="Courier New" w:cs="Courier New" w:eastAsia="Courier New" w:hAnsi="Courier New"/>
          <w:sz w:val="15"/>
          <w:szCs w:val="15"/>
          <w:color w:val="auto"/>
        </w:rPr>
        <w:t>communicate to any person or entity any Confidential Information unless specifically directed by Employer to do so in writing.</w:t>
      </w:r>
    </w:p>
    <w:p>
      <w:pPr>
        <w:spacing w:after="0" w:line="174" w:lineRule="exact"/>
        <w:rPr>
          <w:sz w:val="20"/>
          <w:szCs w:val="20"/>
          <w:color w:val="auto"/>
        </w:rPr>
      </w:pPr>
    </w:p>
    <w:p>
      <w:pPr>
        <w:ind w:left="920" w:right="2839" w:firstLine="459"/>
        <w:spacing w:after="0" w:line="251" w:lineRule="auto"/>
        <w:tabs>
          <w:tab w:leader="none" w:pos="17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While Employee is employed by Employer and for twenty-four (24) months after such employment ends for any reason, Employee, acting either directly or indirectly, or through any other person, firm, or corporation, will not hire contract with or employ any employee of Employer or induce or attempt to induce or influence any employee of Employer to terminate employment with Employer. Such nonsolicitation restriction shall not apply to Employee in the case of the solicitation of his or her immediate family members.</w:t>
      </w:r>
    </w:p>
    <w:p>
      <w:pPr>
        <w:spacing w:after="0" w:line="352" w:lineRule="exact"/>
        <w:rPr>
          <w:rFonts w:ascii="Courier New" w:cs="Courier New" w:eastAsia="Courier New" w:hAnsi="Courier New"/>
          <w:sz w:val="15"/>
          <w:szCs w:val="15"/>
          <w:color w:val="auto"/>
        </w:rPr>
      </w:pPr>
    </w:p>
    <w:p>
      <w:pPr>
        <w:ind w:left="920" w:right="2939" w:firstLine="459"/>
        <w:spacing w:after="0" w:line="250" w:lineRule="auto"/>
        <w:tabs>
          <w:tab w:leader="none" w:pos="17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 While Employee is employed by Employer and for twenty-four (24) months after such employment ends for any reason, Employee will not, directly or indirectly, or through any other person, firm or corporation (i) be employed by, consult for, have any ownership interest in or engage in any activity on behalf of any competing business, or (ii) call on, solicit or communicate with any of Employer's customers (whether actual or potential) for the purpose of selling precision steel balls and rollers and other related items to such customer other than for the benefit of Employer. As used in this Agreement, the term "competing business" means a business that is a manufacturer and supplier of precision steel balls and rollers to anti-</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920" w:right="2839"/>
        <w:spacing w:after="0" w:line="250" w:lineRule="auto"/>
        <w:rPr>
          <w:sz w:val="20"/>
          <w:szCs w:val="20"/>
          <w:color w:val="auto"/>
        </w:rPr>
      </w:pPr>
      <w:r>
        <w:rPr>
          <w:rFonts w:ascii="Courier New" w:cs="Courier New" w:eastAsia="Courier New" w:hAnsi="Courier New"/>
          <w:sz w:val="15"/>
          <w:szCs w:val="15"/>
          <w:color w:val="auto"/>
        </w:rPr>
        <w:t>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Employee or any other employee of Employer had business contact on behalf of Employer during the eighteen (18) months immediately before Employee's employment with Employer ended). Notwithstanding the foregoing, this paragraph shall not be construed to prohibit Employee from owning less than five percent (5%) of the outstanding securities of a corporation which is publicly traded on a securities exchange or over-the-counter.</w:t>
      </w:r>
    </w:p>
    <w:p>
      <w:pPr>
        <w:spacing w:after="0" w:line="182" w:lineRule="exact"/>
        <w:rPr>
          <w:sz w:val="20"/>
          <w:szCs w:val="20"/>
          <w:color w:val="auto"/>
        </w:rPr>
      </w:pPr>
    </w:p>
    <w:p>
      <w:pPr>
        <w:ind w:left="920" w:right="2939" w:firstLine="459"/>
        <w:spacing w:after="0" w:line="251" w:lineRule="auto"/>
        <w:tabs>
          <w:tab w:leader="none" w:pos="175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Confidential Materials and Information. Employee agrees that whenever Employee's employment with Employer ends for any reason, all documents containing or referring to Confidential Information as may be in Employee's possession or control will be delivered by Employee to Employer immediately, with no request being required.</w:t>
      </w:r>
    </w:p>
    <w:p>
      <w:pPr>
        <w:spacing w:after="0" w:line="175" w:lineRule="exact"/>
        <w:rPr>
          <w:rFonts w:ascii="Courier New" w:cs="Courier New" w:eastAsia="Courier New" w:hAnsi="Courier New"/>
          <w:sz w:val="15"/>
          <w:szCs w:val="15"/>
          <w:color w:val="auto"/>
        </w:rPr>
      </w:pPr>
    </w:p>
    <w:p>
      <w:pPr>
        <w:ind w:left="920" w:right="2839" w:firstLine="459"/>
        <w:spacing w:after="0" w:line="250" w:lineRule="auto"/>
        <w:tabs>
          <w:tab w:leader="none" w:pos="175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Acknowledgments; Irreparable Harm. Employee agrees that the restrictions on competition, solicitation and disclosure in this Agreement are fair, reasonable and necessary for the protection of the interests of Employer. Employee further agrees that a breach of any of the covenants set forth in this Section 4 will result in irreparable injury and damage to Employer for which Employer would have no adequate remedy at law, and Employee further agrees that in the event of a breach, Employer will be entitled to an immediate restraining order and injunction to prevent such violation or continued violation, without having to prove damages, in addition to any other remedies to which Employer may be entitled at law or equity.</w:t>
      </w:r>
    </w:p>
    <w:p>
      <w:pPr>
        <w:spacing w:after="0" w:line="182" w:lineRule="exact"/>
        <w:rPr>
          <w:rFonts w:ascii="Courier New" w:cs="Courier New" w:eastAsia="Courier New" w:hAnsi="Courier New"/>
          <w:sz w:val="15"/>
          <w:szCs w:val="15"/>
          <w:color w:val="auto"/>
        </w:rPr>
      </w:pPr>
    </w:p>
    <w:p>
      <w:pPr>
        <w:ind w:left="920" w:right="3219" w:firstLine="459"/>
        <w:spacing w:after="0" w:line="251" w:lineRule="auto"/>
        <w:tabs>
          <w:tab w:leader="none" w:pos="175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to Subsequent Employers. Employee grants Employer the right to notify any future employer or prospective employer of Employee concerning the existence of and terms of this Agreement and grants Employer the right to provide a copy of this Agreement to any such subsequent employer or prospective employer.</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3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Mitigation. </w:t>
      </w:r>
      <w:r>
        <w:rPr>
          <w:rFonts w:ascii="Courier New" w:cs="Courier New" w:eastAsia="Courier New" w:hAnsi="Courier New"/>
          <w:sz w:val="15"/>
          <w:szCs w:val="15"/>
          <w:color w:val="auto"/>
        </w:rPr>
        <w:t>Employer's obligation to make the payments provided for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in this Agreement and otherwise to perform its obligations hereunder shall not be affected by any set-off, counterclaim, recoupment, defense or other claim, right or action which Employer may have against Employee or others. In no event shall Employee be obligated to seek other employment or take any other action by way of mitigation of the amounts payable to Employee under any of the provisions of this agreement and such amounts shall not be reduced whether or not Employee obtains other employment.</w:t>
      </w:r>
    </w:p>
    <w:p>
      <w:pPr>
        <w:spacing w:after="0" w:line="175" w:lineRule="exact"/>
        <w:rPr>
          <w:rFonts w:ascii="Courier New" w:cs="Courier New" w:eastAsia="Courier New" w:hAnsi="Courier New"/>
          <w:sz w:val="15"/>
          <w:szCs w:val="15"/>
          <w:b w:val="1"/>
          <w:bCs w:val="1"/>
          <w:color w:val="auto"/>
        </w:rPr>
      </w:pPr>
    </w:p>
    <w:p>
      <w:pPr>
        <w:ind w:right="2839" w:firstLine="825"/>
        <w:spacing w:after="0" w:line="250" w:lineRule="auto"/>
        <w:tabs>
          <w:tab w:leader="none" w:pos="1107" w:val="left"/>
        </w:tabs>
        <w:numPr>
          <w:ilvl w:val="0"/>
          <w:numId w:val="3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Resolution of Disputes. </w:t>
      </w:r>
      <w:r>
        <w:rPr>
          <w:rFonts w:ascii="Courier New" w:cs="Courier New" w:eastAsia="Courier New" w:hAnsi="Courier New"/>
          <w:sz w:val="15"/>
          <w:szCs w:val="15"/>
          <w:color w:val="auto"/>
        </w:rPr>
        <w:t>Any dispute or claim arising out of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Employer agrees to pay promptly as incurred, to the full extent permitted by law, all legal fees and expenses which Employee may reasonably incur as a result of any dispute (regardless of the outcome thereof) by Employer, Employee or others of the validity or enforceability of, or liability under, any provision of this Agreement or any guarantee of</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performance thereof (including as a result of any dispute by Employee regarding the amount of any payment pursuant to this agreement), plus in each case interest on any delayed payment at the rate published from time to time in The Wall Street Journal as the prime rate of interest plus two percent (2%).</w:t>
      </w:r>
    </w:p>
    <w:p>
      <w:pPr>
        <w:sectPr>
          <w:pgSz w:w="11900" w:h="16838" w:orient="portrait"/>
          <w:cols w:equalWidth="0" w:num="1">
            <w:col w:w="10219"/>
          </w:cols>
          <w:pgMar w:left="240" w:top="142" w:right="1440" w:bottom="0" w:gutter="0" w:footer="0" w:header="0"/>
        </w:sectPr>
      </w:pPr>
    </w:p>
    <w:bookmarkStart w:id="47" w:name="page48"/>
    <w:bookmarkEnd w:id="47"/>
    <w:p>
      <w:pPr>
        <w:ind w:left="5" w:right="4060" w:firstLine="825"/>
        <w:spacing w:after="0" w:line="252" w:lineRule="auto"/>
        <w:tabs>
          <w:tab w:leader="none" w:pos="1113" w:val="left"/>
        </w:tabs>
        <w:numPr>
          <w:ilvl w:val="0"/>
          <w:numId w:val="4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Withholding. </w:t>
      </w:r>
      <w:r>
        <w:rPr>
          <w:rFonts w:ascii="Courier New" w:cs="Courier New" w:eastAsia="Courier New" w:hAnsi="Courier New"/>
          <w:sz w:val="15"/>
          <w:szCs w:val="15"/>
          <w:color w:val="auto"/>
        </w:rPr>
        <w:t>Employer may withhold from any amounts payable under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this Agreement the minimum Federal, state or local taxes as shall be required to be withheld pursuant to any applicable law or regulation.</w:t>
      </w:r>
    </w:p>
    <w:p>
      <w:pPr>
        <w:spacing w:after="0" w:line="174" w:lineRule="exact"/>
        <w:rPr>
          <w:rFonts w:ascii="Courier New" w:cs="Courier New" w:eastAsia="Courier New" w:hAnsi="Courier New"/>
          <w:sz w:val="15"/>
          <w:szCs w:val="15"/>
          <w:b w:val="1"/>
          <w:bCs w:val="1"/>
          <w:color w:val="auto"/>
        </w:rPr>
      </w:pPr>
    </w:p>
    <w:p>
      <w:pPr>
        <w:ind w:left="5" w:right="4160" w:firstLine="825"/>
        <w:spacing w:after="0" w:line="250" w:lineRule="auto"/>
        <w:tabs>
          <w:tab w:leader="none" w:pos="1113" w:val="left"/>
        </w:tabs>
        <w:numPr>
          <w:ilvl w:val="0"/>
          <w:numId w:val="4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Successors. </w:t>
      </w:r>
      <w:r>
        <w:rPr>
          <w:rFonts w:ascii="Courier New" w:cs="Courier New" w:eastAsia="Courier New" w:hAnsi="Courier New"/>
          <w:sz w:val="15"/>
          <w:szCs w:val="15"/>
          <w:color w:val="auto"/>
        </w:rPr>
        <w:t>This Agreement is binding on, and shall inure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benefit of Employee and Employer, and all successors and assigns of Employer. Employer will require any successor (whether direct or indirect, by purchase, merger, consolidation or otherwise) to all or substantially all of the business and/or assets of Employer to assume expressly and agree to perform this Agreement in the same manner and to the same extent that Employer would be required to perform it if no such succession had taken place. Failure of Employer to obtain such agreement prior to the effectiveness of any such succession shall be a material breach of this Agreement and shall entitle Employee to any Severance Benefit payable pursuant to Section 3(a) hereof.</w:t>
      </w:r>
    </w:p>
    <w:p>
      <w:pPr>
        <w:spacing w:after="0" w:line="181" w:lineRule="exact"/>
        <w:rPr>
          <w:rFonts w:ascii="Courier New" w:cs="Courier New" w:eastAsia="Courier New" w:hAnsi="Courier New"/>
          <w:sz w:val="15"/>
          <w:szCs w:val="15"/>
          <w:b w:val="1"/>
          <w:bCs w:val="1"/>
          <w:color w:val="auto"/>
        </w:rPr>
      </w:pPr>
    </w:p>
    <w:p>
      <w:pPr>
        <w:ind w:left="5" w:right="4440" w:firstLine="825"/>
        <w:spacing w:after="0" w:line="253" w:lineRule="auto"/>
        <w:tabs>
          <w:tab w:leader="none" w:pos="1113" w:val="left"/>
        </w:tabs>
        <w:numPr>
          <w:ilvl w:val="0"/>
          <w:numId w:val="4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Applicable Law. </w:t>
      </w:r>
      <w:r>
        <w:rPr>
          <w:rFonts w:ascii="Courier New" w:cs="Courier New" w:eastAsia="Courier New" w:hAnsi="Courier New"/>
          <w:sz w:val="15"/>
          <w:szCs w:val="15"/>
          <w:color w:val="auto"/>
        </w:rPr>
        <w:t>This Agreement will be interpreted, governed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enforced according to the law of the State of Tennessee.</w:t>
      </w:r>
    </w:p>
    <w:p>
      <w:pPr>
        <w:spacing w:after="0" w:line="174" w:lineRule="exact"/>
        <w:rPr>
          <w:rFonts w:ascii="Courier New" w:cs="Courier New" w:eastAsia="Courier New" w:hAnsi="Courier New"/>
          <w:sz w:val="15"/>
          <w:szCs w:val="15"/>
          <w:b w:val="1"/>
          <w:bCs w:val="1"/>
          <w:color w:val="auto"/>
        </w:rPr>
      </w:pPr>
    </w:p>
    <w:p>
      <w:pPr>
        <w:ind w:left="5" w:right="4240" w:firstLine="825"/>
        <w:spacing w:after="0" w:line="251" w:lineRule="auto"/>
        <w:tabs>
          <w:tab w:leader="none" w:pos="1205" w:val="left"/>
        </w:tabs>
        <w:numPr>
          <w:ilvl w:val="0"/>
          <w:numId w:val="4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Separability. </w:t>
      </w:r>
      <w:r>
        <w:rPr>
          <w:rFonts w:ascii="Courier New" w:cs="Courier New" w:eastAsia="Courier New" w:hAnsi="Courier New"/>
          <w:sz w:val="15"/>
          <w:szCs w:val="15"/>
          <w:color w:val="auto"/>
        </w:rPr>
        <w:t>If any portion of this Agreement is held to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invalid or unenforceable in any respect, Employee and Employer agree that such invalid and unenforceable part will be modified to permit the Agreement to be enforced to the maximum extent permitted by the court, with the remaining portions unaffected by the invalidity or unenforceability of any part of this Agreement.</w:t>
      </w:r>
    </w:p>
    <w:p>
      <w:pPr>
        <w:spacing w:after="0" w:line="175" w:lineRule="exact"/>
        <w:rPr>
          <w:rFonts w:ascii="Courier New" w:cs="Courier New" w:eastAsia="Courier New" w:hAnsi="Courier New"/>
          <w:sz w:val="15"/>
          <w:szCs w:val="15"/>
          <w:b w:val="1"/>
          <w:bCs w:val="1"/>
          <w:color w:val="auto"/>
        </w:rPr>
      </w:pPr>
    </w:p>
    <w:p>
      <w:pPr>
        <w:ind w:left="5" w:right="4060" w:firstLine="825"/>
        <w:spacing w:after="0" w:line="251" w:lineRule="auto"/>
        <w:tabs>
          <w:tab w:leader="none" w:pos="1205" w:val="left"/>
        </w:tabs>
        <w:numPr>
          <w:ilvl w:val="0"/>
          <w:numId w:val="4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Waiver. </w:t>
      </w:r>
      <w:r>
        <w:rPr>
          <w:rFonts w:ascii="Courier New" w:cs="Courier New" w:eastAsia="Courier New" w:hAnsi="Courier New"/>
          <w:sz w:val="15"/>
          <w:szCs w:val="15"/>
          <w:color w:val="auto"/>
        </w:rPr>
        <w:t>This Agreement may be modified, supplemented or amended,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and any provision of this Agreement can be waived, only by written instrument making specific reference to this Agreement signed by the party against whom enforcement of any such modification, supplement, amendment or waiver is sought.</w:t>
      </w:r>
    </w:p>
    <w:p>
      <w:pPr>
        <w:spacing w:after="0" w:line="176" w:lineRule="exact"/>
        <w:rPr>
          <w:rFonts w:ascii="Courier New" w:cs="Courier New" w:eastAsia="Courier New" w:hAnsi="Courier New"/>
          <w:sz w:val="15"/>
          <w:szCs w:val="15"/>
          <w:b w:val="1"/>
          <w:bCs w:val="1"/>
          <w:color w:val="auto"/>
        </w:rPr>
      </w:pPr>
    </w:p>
    <w:p>
      <w:pPr>
        <w:ind w:left="1205" w:hanging="375"/>
        <w:spacing w:after="0"/>
        <w:tabs>
          <w:tab w:leader="none" w:pos="1205" w:val="left"/>
        </w:tabs>
        <w:numPr>
          <w:ilvl w:val="0"/>
          <w:numId w:val="4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Complete Agreement. </w:t>
      </w:r>
      <w:r>
        <w:rPr>
          <w:rFonts w:ascii="Courier New" w:cs="Courier New" w:eastAsia="Courier New" w:hAnsi="Courier New"/>
          <w:sz w:val="15"/>
          <w:szCs w:val="15"/>
          <w:color w:val="auto"/>
        </w:rPr>
        <w:t>This Agreement contains the entire</w:t>
      </w:r>
    </w:p>
    <w:p>
      <w:pPr>
        <w:spacing w:after="0" w:line="8" w:lineRule="exact"/>
        <w:rPr>
          <w:sz w:val="20"/>
          <w:szCs w:val="20"/>
          <w:color w:val="auto"/>
        </w:rPr>
      </w:pPr>
    </w:p>
    <w:p>
      <w:pPr>
        <w:ind w:left="5" w:right="4340"/>
        <w:spacing w:after="0" w:line="252" w:lineRule="auto"/>
        <w:rPr>
          <w:sz w:val="20"/>
          <w:szCs w:val="20"/>
          <w:color w:val="auto"/>
        </w:rPr>
      </w:pPr>
      <w:r>
        <w:rPr>
          <w:rFonts w:ascii="Courier New" w:cs="Courier New" w:eastAsia="Courier New" w:hAnsi="Courier New"/>
          <w:sz w:val="15"/>
          <w:szCs w:val="15"/>
          <w:color w:val="auto"/>
        </w:rPr>
        <w:t>agreement between Employer and Employee as to the subject matter hereof. This Agreement shall not be subject to the terms and conditions of any agreement concerning arbitration or dispute resolution between Employer and Employee.</w:t>
      </w:r>
    </w:p>
    <w:p>
      <w:pPr>
        <w:spacing w:after="0" w:line="175" w:lineRule="exact"/>
        <w:rPr>
          <w:sz w:val="20"/>
          <w:szCs w:val="20"/>
          <w:color w:val="auto"/>
        </w:rPr>
      </w:pPr>
    </w:p>
    <w:p>
      <w:pPr>
        <w:ind w:left="5" w:right="4160" w:firstLine="830"/>
        <w:spacing w:after="0" w:line="253" w:lineRule="auto"/>
        <w:rPr>
          <w:sz w:val="20"/>
          <w:szCs w:val="20"/>
          <w:color w:val="auto"/>
        </w:rPr>
      </w:pPr>
      <w:r>
        <w:rPr>
          <w:rFonts w:ascii="Courier New" w:cs="Courier New" w:eastAsia="Courier New" w:hAnsi="Courier New"/>
          <w:sz w:val="15"/>
          <w:szCs w:val="15"/>
          <w:color w:val="auto"/>
        </w:rPr>
        <w:t>EMPLOYEE ACKNOWLEDGES THAT HE/SHE HAS READ THE ENTIRE CONTENTS OF THIS AGREEMENT AND THAT HE/SHE UNDERSTANDS ITS TERMS.</w:t>
      </w:r>
    </w:p>
    <w:p>
      <w:pPr>
        <w:spacing w:after="0" w:line="200" w:lineRule="exact"/>
        <w:rPr>
          <w:sz w:val="20"/>
          <w:szCs w:val="20"/>
          <w:color w:val="auto"/>
        </w:rPr>
      </w:pPr>
    </w:p>
    <w:p>
      <w:pPr>
        <w:spacing w:after="0" w:line="329"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[Signatures on following page]</w:t>
      </w:r>
    </w:p>
    <w:p>
      <w:pPr>
        <w:spacing w:after="0" w:line="200" w:lineRule="exact"/>
        <w:rPr>
          <w:sz w:val="20"/>
          <w:szCs w:val="20"/>
          <w:color w:val="auto"/>
        </w:rPr>
      </w:pPr>
    </w:p>
    <w:p>
      <w:pPr>
        <w:spacing w:after="0" w:line="34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 w:right="4700" w:firstLine="830"/>
        <w:spacing w:after="0" w:line="253" w:lineRule="auto"/>
        <w:rPr>
          <w:sz w:val="20"/>
          <w:szCs w:val="20"/>
          <w:color w:val="auto"/>
        </w:rPr>
      </w:pPr>
      <w:r>
        <w:rPr>
          <w:rFonts w:ascii="Courier New" w:cs="Courier New" w:eastAsia="Courier New" w:hAnsi="Courier New"/>
          <w:sz w:val="15"/>
          <w:szCs w:val="15"/>
          <w:color w:val="auto"/>
        </w:rPr>
        <w:t>IN WITNESS WHEREOF, each of the parties hereto has executed this Agreement as of the date first written above.</w:t>
      </w:r>
    </w:p>
    <w:p>
      <w:pPr>
        <w:spacing w:after="0" w:line="174"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EMPLOYEE:</w:t>
      </w:r>
    </w:p>
    <w:p>
      <w:pPr>
        <w:spacing w:after="0" w:line="200" w:lineRule="exact"/>
        <w:rPr>
          <w:sz w:val="20"/>
          <w:szCs w:val="20"/>
          <w:color w:val="auto"/>
        </w:rPr>
      </w:pPr>
    </w:p>
    <w:p>
      <w:pPr>
        <w:spacing w:after="0" w:line="34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/s/ Frank Gentry</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5"/>
        <w:spacing w:after="0"/>
        <w:tabs>
          <w:tab w:leader="none" w:pos="3945" w:val="left"/>
        </w:tabs>
        <w:rPr>
          <w:sz w:val="20"/>
          <w:szCs w:val="20"/>
          <w:color w:val="auto"/>
        </w:rPr>
      </w:pPr>
      <w:r>
        <w:rPr>
          <w:rFonts w:ascii="Courier New" w:cs="Courier New" w:eastAsia="Courier New" w:hAnsi="Courier New"/>
          <w:sz w:val="15"/>
          <w:szCs w:val="15"/>
          <w:color w:val="auto"/>
        </w:rPr>
        <w:t>Name:</w:t>
        <w:tab/>
        <w:t>Frank T. Gentry III</w:t>
      </w:r>
    </w:p>
    <w:p>
      <w:pPr>
        <w:spacing w:after="0" w:line="200" w:lineRule="exact"/>
        <w:rPr>
          <w:sz w:val="20"/>
          <w:szCs w:val="20"/>
          <w:color w:val="auto"/>
        </w:rPr>
      </w:pPr>
    </w:p>
    <w:p>
      <w:pPr>
        <w:spacing w:after="0" w:line="340"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including its subsidiaries and affiliates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c>
          <w:tcPr>
            <w:tcW w:w="7760" w:type="dxa"/>
            <w:vAlign w:val="bottom"/>
          </w:tcPr>
          <w:p>
            <w:pPr>
              <w:jc w:val="right"/>
              <w:ind w:right="5283"/>
              <w:spacing w:after="0"/>
              <w:rPr>
                <w:sz w:val="20"/>
                <w:szCs w:val="20"/>
                <w:color w:val="auto"/>
              </w:rPr>
            </w:pPr>
            <w:r>
              <w:rPr>
                <w:rFonts w:ascii="Courier New" w:cs="Courier New" w:eastAsia="Courier New" w:hAnsi="Courier New"/>
                <w:sz w:val="15"/>
                <w:szCs w:val="15"/>
                <w:color w:val="auto"/>
              </w:rPr>
              <w:t>/s/ Roderick R. Baty</w:t>
            </w:r>
          </w:p>
        </w:tc>
      </w:tr>
      <w:tr>
        <w:trPr>
          <w:trHeight w:val="177"/>
        </w:trPr>
        <w:tc>
          <w:tcPr>
            <w:tcW w:w="3680" w:type="dxa"/>
            <w:vAlign w:val="bottom"/>
          </w:tcPr>
          <w:p>
            <w:pPr>
              <w:spacing w:after="0"/>
              <w:rPr>
                <w:sz w:val="15"/>
                <w:szCs w:val="15"/>
                <w:color w:val="auto"/>
              </w:rPr>
            </w:pPr>
          </w:p>
        </w:tc>
        <w:tc>
          <w:tcPr>
            <w:tcW w:w="7760" w:type="dxa"/>
            <w:vAlign w:val="bottom"/>
          </w:tcPr>
          <w:p>
            <w:pPr>
              <w:jc w:val="right"/>
              <w:ind w:right="3983"/>
              <w:spacing w:after="0"/>
              <w:rPr>
                <w:sz w:val="20"/>
                <w:szCs w:val="20"/>
                <w:color w:val="auto"/>
              </w:rPr>
            </w:pPr>
            <w:r>
              <w:rPr>
                <w:rFonts w:ascii="Courier New" w:cs="Courier New" w:eastAsia="Courier New" w:hAnsi="Courier New"/>
                <w:sz w:val="15"/>
                <w:szCs w:val="15"/>
                <w:color w:val="auto"/>
              </w:rPr>
              <w:t>----------------------------------------</w:t>
            </w:r>
          </w:p>
        </w:tc>
      </w:tr>
      <w:tr>
        <w:trPr>
          <w:trHeight w:val="177"/>
        </w:trPr>
        <w:tc>
          <w:tcPr>
            <w:tcW w:w="3680" w:type="dxa"/>
            <w:vAlign w:val="bottom"/>
          </w:tcPr>
          <w:p>
            <w:pPr>
              <w:spacing w:after="0"/>
              <w:rPr>
                <w:sz w:val="15"/>
                <w:szCs w:val="15"/>
                <w:color w:val="auto"/>
              </w:rPr>
            </w:pPr>
          </w:p>
        </w:tc>
        <w:tc>
          <w:tcPr>
            <w:tcW w:w="7760" w:type="dxa"/>
            <w:vAlign w:val="bottom"/>
          </w:tcPr>
          <w:p>
            <w:pPr>
              <w:jc w:val="right"/>
              <w:ind w:right="5183"/>
              <w:spacing w:after="0"/>
              <w:rPr>
                <w:sz w:val="20"/>
                <w:szCs w:val="20"/>
                <w:color w:val="auto"/>
              </w:rPr>
            </w:pPr>
            <w:r>
              <w:rPr>
                <w:rFonts w:ascii="Courier New" w:cs="Courier New" w:eastAsia="Courier New" w:hAnsi="Courier New"/>
                <w:sz w:val="15"/>
                <w:szCs w:val="15"/>
                <w:color w:val="auto"/>
              </w:rPr>
              <w:t>Roderick R. Baty</w:t>
            </w:r>
          </w:p>
        </w:tc>
      </w:tr>
      <w:tr>
        <w:trPr>
          <w:trHeight w:val="355"/>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7760" w:type="dxa"/>
            <w:vAlign w:val="bottom"/>
          </w:tcPr>
          <w:p>
            <w:pPr>
              <w:spacing w:after="0"/>
              <w:rPr>
                <w:sz w:val="24"/>
                <w:szCs w:val="24"/>
                <w:color w:val="auto"/>
              </w:rPr>
            </w:pPr>
          </w:p>
        </w:tc>
      </w:tr>
      <w:tr>
        <w:trPr>
          <w:trHeight w:val="161"/>
        </w:trPr>
        <w:tc>
          <w:tcPr>
            <w:tcW w:w="3680" w:type="dxa"/>
            <w:vAlign w:val="bottom"/>
            <w:tcBorders>
              <w:bottom w:val="single" w:sz="8" w:color="9A9A9A"/>
            </w:tcBorders>
          </w:tcPr>
          <w:p>
            <w:pPr>
              <w:spacing w:after="0"/>
              <w:rPr>
                <w:sz w:val="13"/>
                <w:szCs w:val="13"/>
                <w:color w:val="auto"/>
              </w:rPr>
            </w:pPr>
          </w:p>
        </w:tc>
        <w:tc>
          <w:tcPr>
            <w:tcW w:w="776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-27305</wp:posOffset>
            </wp:positionV>
            <wp:extent cx="3302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b w:val="1"/>
          <w:bCs w:val="1"/>
          <w:color w:val="auto"/>
        </w:rPr>
        <w:t>Schedule A</w:t>
      </w:r>
    </w:p>
    <w:p>
      <w:pPr>
        <w:spacing w:after="0" w:line="362"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Employee's Severance Payment shall be a lump sum payment equal to:</w:t>
      </w:r>
    </w:p>
    <w:p>
      <w:pPr>
        <w:spacing w:after="0" w:line="185" w:lineRule="exact"/>
        <w:rPr>
          <w:sz w:val="20"/>
          <w:szCs w:val="20"/>
          <w:color w:val="auto"/>
        </w:rPr>
      </w:pPr>
    </w:p>
    <w:p>
      <w:pPr>
        <w:ind w:left="465" w:right="4980" w:hanging="465"/>
        <w:spacing w:after="0" w:line="253" w:lineRule="auto"/>
        <w:tabs>
          <w:tab w:leader="none" w:pos="46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times such Employee's base salary (as of the date of Employee's termination); plus</w:t>
      </w:r>
    </w:p>
    <w:p>
      <w:pPr>
        <w:spacing w:after="0" w:line="174" w:lineRule="exact"/>
        <w:rPr>
          <w:rFonts w:ascii="Courier New" w:cs="Courier New" w:eastAsia="Courier New" w:hAnsi="Courier New"/>
          <w:sz w:val="15"/>
          <w:szCs w:val="15"/>
          <w:color w:val="auto"/>
        </w:rPr>
      </w:pPr>
    </w:p>
    <w:p>
      <w:pPr>
        <w:ind w:left="465" w:right="4620" w:hanging="465"/>
        <w:spacing w:after="0" w:line="253" w:lineRule="auto"/>
        <w:tabs>
          <w:tab w:leader="none" w:pos="46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times such Employee's median bonus available at the following bonus target percentage: 35%; plus</w:t>
      </w:r>
    </w:p>
    <w:p>
      <w:pPr>
        <w:spacing w:after="0" w:line="174" w:lineRule="exact"/>
        <w:rPr>
          <w:rFonts w:ascii="Courier New" w:cs="Courier New" w:eastAsia="Courier New" w:hAnsi="Courier New"/>
          <w:sz w:val="15"/>
          <w:szCs w:val="15"/>
          <w:color w:val="auto"/>
        </w:rPr>
      </w:pPr>
    </w:p>
    <w:p>
      <w:pPr>
        <w:ind w:left="465" w:right="4340" w:hanging="465"/>
        <w:spacing w:after="0" w:line="252" w:lineRule="auto"/>
        <w:tabs>
          <w:tab w:leader="none" w:pos="46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2 times Employee's annual automobile allowance or the annual cost to Employee of obtaining a motor vehicle comparable to that provided by Employer to Employee.</w:t>
      </w:r>
    </w:p>
    <w:p>
      <w:pPr>
        <w:sectPr>
          <w:pgSz w:w="11900" w:h="16838" w:orient="portrait"/>
          <w:cols w:equalWidth="0" w:num="1">
            <w:col w:w="11445"/>
          </w:cols>
          <w:pgMar w:left="235" w:top="319" w:right="219" w:bottom="207" w:gutter="0" w:footer="0" w:header="0"/>
        </w:sectPr>
      </w:pPr>
    </w:p>
    <w:bookmarkStart w:id="48" w:name="page49"/>
    <w:bookmarkEnd w:id="48"/>
    <w:p>
      <w:pPr>
        <w:ind w:left="240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9019"/>
          </w:cols>
          <w:pgMar w:left="1440" w:top="496"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b w:val="1"/>
          <w:bCs w:val="1"/>
          <w:color w:val="auto"/>
        </w:rPr>
        <w:t>Exhibit 10.18</w:t>
      </w:r>
    </w:p>
    <w:p>
      <w:pPr>
        <w:spacing w:after="0" w:line="200" w:lineRule="exact"/>
        <w:rPr>
          <w:sz w:val="20"/>
          <w:szCs w:val="20"/>
          <w:color w:val="auto"/>
        </w:rPr>
      </w:pPr>
    </w:p>
    <w:p>
      <w:pPr>
        <w:spacing w:after="0" w:line="34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AMENDMENT NO. 1 TO</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EMPLOYMENT AGREEMENT</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THIS AMENDMENT NO. 1 TO EMPLOYMENT AGREEMENT (the "Amendment") is made and entered into as of the 21st day of January, 2002 (the "Effective Date") by and between NN, Inc., a Delaware corporation (the "Company") and Roderick R. Baty (the "Executive").</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RECITALS</w:t>
      </w:r>
    </w:p>
    <w:p>
      <w:pPr>
        <w:spacing w:after="0" w:line="18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WHEREAS, the Company and Executive are parties to that certain Employment Agreement dated as of August 1, 1997 (the "Employment Agreement") containing the terms and conditions of Executive's employment with the Company;</w:t>
      </w:r>
    </w:p>
    <w:p>
      <w:pPr>
        <w:spacing w:after="0" w:line="175"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WHEREAS, the Company and Executive now wish to amend the Employment Agreement to provide for mandatory arbitration in the event of any dispute arising under the Employment Agreement;</w:t>
      </w:r>
    </w:p>
    <w:p>
      <w:pPr>
        <w:spacing w:after="0" w:line="175" w:lineRule="exact"/>
        <w:rPr>
          <w:sz w:val="20"/>
          <w:szCs w:val="20"/>
          <w:color w:val="auto"/>
        </w:rPr>
      </w:pPr>
    </w:p>
    <w:p>
      <w:pPr>
        <w:ind w:right="3299" w:firstLine="830"/>
        <w:spacing w:after="0" w:line="251" w:lineRule="auto"/>
        <w:rPr>
          <w:sz w:val="20"/>
          <w:szCs w:val="20"/>
          <w:color w:val="auto"/>
        </w:rPr>
      </w:pPr>
      <w:r>
        <w:rPr>
          <w:rFonts w:ascii="Courier New" w:cs="Courier New" w:eastAsia="Courier New" w:hAnsi="Courier New"/>
          <w:sz w:val="15"/>
          <w:szCs w:val="15"/>
          <w:color w:val="auto"/>
        </w:rPr>
        <w:t>NOW, THEREFORE, in consideration of the mutual covenants contained herein and for other good and valuable consideration, the receipt and sufficiency of which is hereby acknowledged, the parties hereby agree as follows:</w:t>
      </w:r>
    </w:p>
    <w:p>
      <w:pPr>
        <w:spacing w:after="0" w:line="17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b w:val="1"/>
          <w:bCs w:val="1"/>
          <w:color w:val="auto"/>
        </w:rPr>
        <w:t xml:space="preserve">Section 1. Definitions. </w:t>
      </w:r>
      <w:r>
        <w:rPr>
          <w:rFonts w:ascii="Courier New" w:cs="Courier New" w:eastAsia="Courier New" w:hAnsi="Courier New"/>
          <w:sz w:val="15"/>
          <w:szCs w:val="15"/>
          <w:color w:val="auto"/>
        </w:rPr>
        <w:t>Except as otherwise provided herein, all</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capitalized terms shall have the same definitions in this Amendment as they have in the Employment Agreement.</w:t>
      </w:r>
    </w:p>
    <w:p>
      <w:pPr>
        <w:spacing w:after="0" w:line="175"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b w:val="1"/>
          <w:bCs w:val="1"/>
          <w:color w:val="auto"/>
        </w:rPr>
        <w:t xml:space="preserve">Section 2. </w:t>
      </w:r>
      <w:r>
        <w:rPr>
          <w:rFonts w:ascii="Courier New" w:cs="Courier New" w:eastAsia="Courier New" w:hAnsi="Courier New"/>
          <w:sz w:val="15"/>
          <w:szCs w:val="15"/>
          <w:color w:val="auto"/>
        </w:rPr>
        <w:t>Addition of Paragraph 23. Paragraph 23 shall be added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agreement and shall read in its entirety as follows:</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 xml:space="preserve">"23. </w:t>
      </w:r>
      <w:r>
        <w:rPr>
          <w:rFonts w:ascii="Courier New" w:cs="Courier New" w:eastAsia="Courier New" w:hAnsi="Courier New"/>
          <w:sz w:val="15"/>
          <w:szCs w:val="15"/>
          <w:b w:val="1"/>
          <w:bCs w:val="1"/>
          <w:color w:val="auto"/>
        </w:rPr>
        <w:t>Resolution of Disputes.</w:t>
      </w:r>
      <w:r>
        <w:rPr>
          <w:rFonts w:ascii="Courier New" w:cs="Courier New" w:eastAsia="Courier New" w:hAnsi="Courier New"/>
          <w:sz w:val="15"/>
          <w:szCs w:val="15"/>
          <w:color w:val="auto"/>
        </w:rPr>
        <w:t xml:space="preserve">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7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b w:val="1"/>
          <w:bCs w:val="1"/>
          <w:color w:val="auto"/>
        </w:rPr>
        <w:t xml:space="preserve">Section 4. No Other Changes. </w:t>
      </w:r>
      <w:r>
        <w:rPr>
          <w:rFonts w:ascii="Courier New" w:cs="Courier New" w:eastAsia="Courier New" w:hAnsi="Courier New"/>
          <w:sz w:val="15"/>
          <w:szCs w:val="15"/>
          <w:color w:val="auto"/>
        </w:rPr>
        <w:t>Except as provided in this Amendment, all</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other terms and provisions of the Employment Agreement shall remain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194310</wp:posOffset>
            </wp:positionV>
            <wp:extent cx="72891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b w:val="1"/>
          <w:bCs w:val="1"/>
          <w:color w:val="auto"/>
        </w:rPr>
        <w:t>IN WITNESS WHEREOF</w:t>
      </w:r>
      <w:r>
        <w:rPr>
          <w:rFonts w:ascii="Courier New" w:cs="Courier New" w:eastAsia="Courier New" w:hAnsi="Courier New"/>
          <w:sz w:val="15"/>
          <w:szCs w:val="15"/>
          <w:color w:val="auto"/>
        </w:rPr>
        <w:t>, the undersigned have executed this Amendment as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the date first above written.</w:t>
      </w:r>
    </w:p>
    <w:p>
      <w:pPr>
        <w:sectPr>
          <w:pgSz w:w="11900" w:h="16838" w:orient="portrait"/>
          <w:cols w:equalWidth="0" w:num="1">
            <w:col w:w="10219"/>
          </w:cols>
          <w:pgMar w:left="240" w:top="319" w:right="1440" w:bottom="1440" w:gutter="0" w:footer="0" w:header="0"/>
        </w:sectPr>
      </w:pP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INC.</w:t>
      </w:r>
    </w:p>
    <w:p>
      <w:pPr>
        <w:spacing w:after="0" w:line="185" w:lineRule="exact"/>
        <w:rPr>
          <w:sz w:val="20"/>
          <w:szCs w:val="20"/>
          <w:color w:val="auto"/>
        </w:rPr>
      </w:pPr>
    </w:p>
    <w:p>
      <w:pPr>
        <w:sectPr>
          <w:pgSz w:w="11900" w:h="16838" w:orient="portrait"/>
          <w:cols w:equalWidth="0" w:num="2">
            <w:col w:w="3340" w:space="720"/>
            <w:col w:w="6159"/>
          </w:cols>
          <w:pgMar w:left="240" w:top="319" w:right="1440" w:bottom="1440" w:gutter="0" w:footer="0" w:header="0"/>
          <w:type w:val="continuous"/>
        </w:sectPr>
      </w:pPr>
    </w:p>
    <w:p>
      <w:pPr>
        <w:ind w:left="40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/s/ David L. Dyckman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David L. Dyckman</w:t>
      </w:r>
    </w:p>
    <w:p>
      <w:pPr>
        <w:spacing w:after="0" w:line="185" w:lineRule="exact"/>
        <w:rPr>
          <w:sz w:val="20"/>
          <w:szCs w:val="20"/>
          <w:color w:val="auto"/>
        </w:rPr>
      </w:pPr>
    </w:p>
    <w:p>
      <w:pPr>
        <w:sectPr>
          <w:pgSz w:w="11900" w:h="16838" w:orient="portrait"/>
          <w:cols w:equalWidth="0" w:num="2">
            <w:col w:w="4340" w:space="0"/>
            <w:col w:w="5879"/>
          </w:cols>
          <w:pgMar w:left="240" w:top="319" w:right="1440" w:bottom="1440" w:gutter="0" w:footer="0" w:header="0"/>
          <w:type w:val="continuous"/>
        </w:sectPr>
      </w:pPr>
    </w:p>
    <w:p>
      <w:pPr>
        <w:ind w:left="820"/>
        <w:spacing w:after="0"/>
        <w:rPr>
          <w:sz w:val="20"/>
          <w:szCs w:val="20"/>
          <w:color w:val="auto"/>
        </w:rPr>
      </w:pPr>
      <w:r>
        <w:rPr>
          <w:rFonts w:ascii="Courier New" w:cs="Courier New" w:eastAsia="Courier New" w:hAnsi="Courier New"/>
          <w:sz w:val="15"/>
          <w:szCs w:val="15"/>
          <w:color w:val="auto"/>
        </w:rPr>
        <w:t>THE EXECUTIVE:</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5"/>
          <w:szCs w:val="15"/>
          <w:color w:val="auto"/>
        </w:rPr>
        <w:t>/s/ Roderick R. Baty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Roderick R. Baty</w:t>
      </w:r>
    </w:p>
    <w:p>
      <w:pPr>
        <w:spacing w:after="0" w:line="200" w:lineRule="exact"/>
        <w:rPr>
          <w:sz w:val="20"/>
          <w:szCs w:val="20"/>
          <w:color w:val="auto"/>
        </w:rPr>
      </w:pPr>
    </w:p>
    <w:p>
      <w:pPr>
        <w:sectPr>
          <w:pgSz w:w="11900" w:h="16838" w:orient="portrait"/>
          <w:cols w:equalWidth="0" w:num="2">
            <w:col w:w="3340" w:space="720"/>
            <w:col w:w="6159"/>
          </w:cols>
          <w:pgMar w:left="240" w:top="3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319" w:right="1440" w:bottom="1440" w:gutter="0" w:footer="0" w:header="0"/>
          <w:type w:val="continuous"/>
        </w:sectPr>
      </w:pPr>
    </w:p>
    <w:bookmarkStart w:id="50" w:name="page51"/>
    <w:bookmarkEnd w:id="50"/>
    <w:p>
      <w:pPr>
        <w:spacing w:after="0"/>
        <w:rPr>
          <w:sz w:val="20"/>
          <w:szCs w:val="20"/>
          <w:color w:val="auto"/>
        </w:rPr>
      </w:pPr>
      <w:r>
        <w:rPr>
          <w:rFonts w:ascii="Courier New" w:cs="Courier New" w:eastAsia="Courier New" w:hAnsi="Courier New"/>
          <w:sz w:val="15"/>
          <w:szCs w:val="15"/>
          <w:b w:val="1"/>
          <w:bCs w:val="1"/>
          <w:color w:val="auto"/>
        </w:rPr>
        <w:t>Exhibit 10.19</w:t>
      </w:r>
    </w:p>
    <w:p>
      <w:pPr>
        <w:spacing w:after="0" w:line="36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b w:val="1"/>
          <w:bCs w:val="1"/>
          <w:color w:val="auto"/>
        </w:rPr>
        <w:t>CHANGE OF CONTROL AND NONCOMPETITION AGREEMENT</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THIS AGREEMENT ("Agreement") </w:t>
      </w:r>
      <w:r>
        <w:rPr>
          <w:rFonts w:ascii="Courier New" w:cs="Courier New" w:eastAsia="Courier New" w:hAnsi="Courier New"/>
          <w:sz w:val="15"/>
          <w:szCs w:val="15"/>
          <w:color w:val="auto"/>
        </w:rPr>
        <w:t>is made and entered into this 21st day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January, 2002, by and between RODERICK R. BATY ("</w:t>
      </w:r>
      <w:r>
        <w:rPr>
          <w:rFonts w:ascii="Courier New" w:cs="Courier New" w:eastAsia="Courier New" w:hAnsi="Courier New"/>
          <w:sz w:val="15"/>
          <w:szCs w:val="15"/>
          <w:b w:val="1"/>
          <w:bCs w:val="1"/>
          <w:color w:val="auto"/>
        </w:rPr>
        <w:t>Employee</w:t>
      </w:r>
      <w:r>
        <w:rPr>
          <w:rFonts w:ascii="Courier New" w:cs="Courier New" w:eastAsia="Courier New" w:hAnsi="Courier New"/>
          <w:sz w:val="15"/>
          <w:szCs w:val="15"/>
          <w:color w:val="auto"/>
        </w:rPr>
        <w:t>") and NN, INC., a Delaware corporation, including its wholly-owned subsidiaries and affiliated companies (collectively, "</w:t>
      </w:r>
      <w:r>
        <w:rPr>
          <w:rFonts w:ascii="Courier New" w:cs="Courier New" w:eastAsia="Courier New" w:hAnsi="Courier New"/>
          <w:sz w:val="15"/>
          <w:szCs w:val="15"/>
          <w:b w:val="1"/>
          <w:bCs w:val="1"/>
          <w:color w:val="auto"/>
        </w:rPr>
        <w:t>Employer</w:t>
      </w:r>
      <w:r>
        <w:rPr>
          <w:rFonts w:ascii="Courier New" w:cs="Courier New" w:eastAsia="Courier New" w:hAnsi="Courier New"/>
          <w:sz w:val="15"/>
          <w:szCs w:val="15"/>
          <w:color w:val="auto"/>
        </w:rPr>
        <w:t>").</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b w:val="1"/>
          <w:bCs w:val="1"/>
          <w:color w:val="auto"/>
        </w:rPr>
        <w:t>RECITALS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WHEREAS</w:t>
      </w:r>
      <w:r>
        <w:rPr>
          <w:rFonts w:ascii="Courier New" w:cs="Courier New" w:eastAsia="Courier New" w:hAnsi="Courier New"/>
          <w:sz w:val="15"/>
          <w:szCs w:val="15"/>
          <w:color w:val="auto"/>
        </w:rPr>
        <w:t>, the Board of Directors of Employer (the "</w:t>
      </w:r>
      <w:r>
        <w:rPr>
          <w:rFonts w:ascii="Courier New" w:cs="Courier New" w:eastAsia="Courier New" w:hAnsi="Courier New"/>
          <w:sz w:val="15"/>
          <w:szCs w:val="15"/>
          <w:b w:val="1"/>
          <w:bCs w:val="1"/>
          <w:color w:val="auto"/>
        </w:rPr>
        <w:t>Board</w:t>
      </w:r>
      <w:r>
        <w:rPr>
          <w:rFonts w:ascii="Courier New" w:cs="Courier New" w:eastAsia="Courier New" w:hAnsi="Courier New"/>
          <w:sz w:val="15"/>
          <w:szCs w:val="15"/>
          <w:color w:val="auto"/>
        </w:rPr>
        <w:t>") has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determined that it is in the best interests of Employer to reinforce and encourage the continuity of management personnel in anticipation of a possible or potential Change of Control (as defined below); and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WHEREAS</w:t>
      </w:r>
      <w:r>
        <w:rPr>
          <w:rFonts w:ascii="Courier New" w:cs="Courier New" w:eastAsia="Courier New" w:hAnsi="Courier New"/>
          <w:sz w:val="15"/>
          <w:szCs w:val="15"/>
          <w:color w:val="auto"/>
        </w:rPr>
        <w:t>, the Board believes this objective can best be served by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providing for a compensation arrangement for Employee upon Employee's termination of employment under certain circumstances in the event of a Change of Control.</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b w:val="1"/>
          <w:bCs w:val="1"/>
          <w:color w:val="auto"/>
        </w:rPr>
        <w:t>NOW, THEREFORE</w:t>
      </w:r>
      <w:r>
        <w:rPr>
          <w:rFonts w:ascii="Courier New" w:cs="Courier New" w:eastAsia="Courier New" w:hAnsi="Courier New"/>
          <w:sz w:val="15"/>
          <w:szCs w:val="15"/>
          <w:color w:val="auto"/>
        </w:rPr>
        <w:t>, in consideration of the mutual promises and covenants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as hereinafter set forth, the parties agree as follows:</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right="2839" w:firstLine="456"/>
        <w:spacing w:after="0" w:line="250" w:lineRule="auto"/>
        <w:tabs>
          <w:tab w:leader="none" w:pos="738" w:val="left"/>
        </w:tabs>
        <w:numPr>
          <w:ilvl w:val="0"/>
          <w:numId w:val="4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General. </w:t>
      </w:r>
      <w:r>
        <w:rPr>
          <w:rFonts w:ascii="Courier New" w:cs="Courier New" w:eastAsia="Courier New" w:hAnsi="Courier New"/>
          <w:sz w:val="15"/>
          <w:szCs w:val="15"/>
          <w:color w:val="auto"/>
        </w:rPr>
        <w:t>Employer is engaged in the (i) manufacture and supply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precision steel balls and rollers to domestic and international anti-friction bearing manufacturers, automotive original equipment manufacturers and the automotive aftermarket, the gas and mining industries, producers of drilling bits for oil, gas and water wells and producers of stainless steel valves and pumps, (ii) full-service design and manufacture of plastic injection molded components to the bearing, automotive, electronic, leisure and consumer markets, and (iii) the manufacture and supply of rubber seals to domestic and international anti-friction bearing manufacturers. Employee is employed by Employer in a senior management position in which Employee has or will have access to the Employer's confidential information and trade secrets.</w:t>
      </w:r>
    </w:p>
    <w:p>
      <w:pPr>
        <w:spacing w:after="0" w:line="182" w:lineRule="exact"/>
        <w:rPr>
          <w:rFonts w:ascii="Courier New" w:cs="Courier New" w:eastAsia="Courier New" w:hAnsi="Courier New"/>
          <w:sz w:val="15"/>
          <w:szCs w:val="15"/>
          <w:b w:val="1"/>
          <w:bCs w:val="1"/>
          <w:color w:val="auto"/>
        </w:rPr>
      </w:pPr>
    </w:p>
    <w:p>
      <w:pPr>
        <w:ind w:right="3119" w:firstLine="456"/>
        <w:spacing w:after="0" w:line="251" w:lineRule="auto"/>
        <w:tabs>
          <w:tab w:leader="none" w:pos="738" w:val="left"/>
        </w:tabs>
        <w:numPr>
          <w:ilvl w:val="0"/>
          <w:numId w:val="4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Employment Relationship. </w:t>
      </w:r>
      <w:r>
        <w:rPr>
          <w:rFonts w:ascii="Courier New" w:cs="Courier New" w:eastAsia="Courier New" w:hAnsi="Courier New"/>
          <w:sz w:val="15"/>
          <w:szCs w:val="15"/>
          <w:color w:val="auto"/>
        </w:rPr>
        <w:t>Except as specifically set forth herein,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terms and conditions of Employee's employment are set forth in the Employment Agreement dated August 1, 1997 between Employee and Employer (the "Employment Agreement"), a copy of which is attached hereto as Exhibit A</w:t>
      </w:r>
    </w:p>
    <w:p>
      <w:pPr>
        <w:spacing w:after="0" w:line="176" w:lineRule="exact"/>
        <w:rPr>
          <w:rFonts w:ascii="Courier New" w:cs="Courier New" w:eastAsia="Courier New" w:hAnsi="Courier New"/>
          <w:sz w:val="15"/>
          <w:szCs w:val="15"/>
          <w:b w:val="1"/>
          <w:bCs w:val="1"/>
          <w:color w:val="auto"/>
        </w:rPr>
      </w:pPr>
    </w:p>
    <w:p>
      <w:pPr>
        <w:ind w:left="740" w:hanging="284"/>
        <w:spacing w:after="0"/>
        <w:tabs>
          <w:tab w:leader="none" w:pos="740" w:val="left"/>
        </w:tabs>
        <w:numPr>
          <w:ilvl w:val="0"/>
          <w:numId w:val="4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Upon Change of Control.</w:t>
      </w:r>
    </w:p>
    <w:p>
      <w:pPr>
        <w:spacing w:after="0" w:line="184" w:lineRule="exact"/>
        <w:rPr>
          <w:rFonts w:ascii="Courier New" w:cs="Courier New" w:eastAsia="Courier New" w:hAnsi="Courier New"/>
          <w:sz w:val="15"/>
          <w:szCs w:val="15"/>
          <w:b w:val="1"/>
          <w:bCs w:val="1"/>
          <w:color w:val="auto"/>
        </w:rPr>
      </w:pPr>
    </w:p>
    <w:p>
      <w:pPr>
        <w:ind w:left="460" w:right="2839" w:firstLine="457"/>
        <w:spacing w:after="0" w:line="251" w:lineRule="auto"/>
        <w:tabs>
          <w:tab w:leader="none" w:pos="129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In the event that Employee's employment is terminated within two (2) years following a "Change of Control" (as defined below) and such termination is either (i) Without Cause (as defined below), or (ii) is a Constructive Termination (as defined below), Employee shall receive, in addition to all compensation due and payable to or accrued for the benefit of Employee as of the date of termination: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4" w:lineRule="exact"/>
        <w:rPr>
          <w:rFonts w:ascii="Courier New" w:cs="Courier New" w:eastAsia="Courier New" w:hAnsi="Courier New"/>
          <w:sz w:val="15"/>
          <w:szCs w:val="15"/>
          <w:color w:val="auto"/>
        </w:rPr>
      </w:pPr>
    </w:p>
    <w:p>
      <w:pPr>
        <w:ind w:left="920" w:right="2839" w:firstLine="459"/>
        <w:spacing w:after="0" w:line="251" w:lineRule="auto"/>
        <w:tabs>
          <w:tab w:leader="none" w:pos="1750" w:val="left"/>
        </w:tabs>
        <w:numPr>
          <w:ilvl w:val="2"/>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equal to an amount set forth on Schedule A to this Agreement ("</w:t>
      </w:r>
      <w:r>
        <w:rPr>
          <w:rFonts w:ascii="Courier New" w:cs="Courier New" w:eastAsia="Courier New" w:hAnsi="Courier New"/>
          <w:sz w:val="15"/>
          <w:szCs w:val="15"/>
          <w:b w:val="1"/>
          <w:bCs w:val="1"/>
          <w:color w:val="auto"/>
        </w:rPr>
        <w:t>Severance Payment</w:t>
      </w:r>
      <w:r>
        <w:rPr>
          <w:rFonts w:ascii="Courier New" w:cs="Courier New" w:eastAsia="Courier New" w:hAnsi="Courier New"/>
          <w:sz w:val="15"/>
          <w:szCs w:val="15"/>
          <w:color w:val="auto"/>
        </w:rPr>
        <w:t>"). The Severance Payment shall be made by wire transfer of immediately available funds to an account designated by Employee within seven (7) business days following the date of termination;</w:t>
      </w:r>
    </w:p>
    <w:p>
      <w:pPr>
        <w:spacing w:after="0" w:line="176" w:lineRule="exact"/>
        <w:rPr>
          <w:rFonts w:ascii="Courier New" w:cs="Courier New" w:eastAsia="Courier New" w:hAnsi="Courier New"/>
          <w:sz w:val="15"/>
          <w:szCs w:val="15"/>
          <w:color w:val="auto"/>
        </w:rPr>
      </w:pPr>
    </w:p>
    <w:p>
      <w:pPr>
        <w:ind w:left="920" w:right="2939" w:firstLine="459"/>
        <w:spacing w:after="0" w:line="250" w:lineRule="auto"/>
        <w:tabs>
          <w:tab w:leader="none" w:pos="1843" w:val="left"/>
        </w:tabs>
        <w:numPr>
          <w:ilvl w:val="2"/>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equal to the annual bonus to which Employee would have been entitled but for Employee's termination of employment for the year of Employee's termination, pro-rated for the portion of the year during which he was employed by Employer ("</w:t>
      </w:r>
      <w:r>
        <w:rPr>
          <w:rFonts w:ascii="Courier New" w:cs="Courier New" w:eastAsia="Courier New" w:hAnsi="Courier New"/>
          <w:sz w:val="15"/>
          <w:szCs w:val="15"/>
          <w:b w:val="1"/>
          <w:bCs w:val="1"/>
          <w:color w:val="auto"/>
        </w:rPr>
        <w:t>Pro-rated</w:t>
      </w:r>
    </w:p>
    <w:p>
      <w:pPr>
        <w:spacing w:after="0" w:line="1"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Bonus</w:t>
      </w:r>
      <w:r>
        <w:rPr>
          <w:rFonts w:ascii="Courier New" w:cs="Courier New" w:eastAsia="Courier New" w:hAnsi="Courier New"/>
          <w:sz w:val="15"/>
          <w:szCs w:val="15"/>
          <w:color w:val="auto"/>
        </w:rPr>
        <w:t>"). The Pro-rated Bonus shall be payable to Employee at the</w:t>
      </w:r>
    </w:p>
    <w:p>
      <w:pPr>
        <w:spacing w:after="0" w:line="7" w:lineRule="exact"/>
        <w:rPr>
          <w:rFonts w:ascii="Courier New" w:cs="Courier New" w:eastAsia="Courier New" w:hAnsi="Courier New"/>
          <w:sz w:val="15"/>
          <w:szCs w:val="15"/>
          <w:color w:val="auto"/>
        </w:rPr>
      </w:pPr>
    </w:p>
    <w:p>
      <w:pPr>
        <w:ind w:left="920" w:right="28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end of the calendar year for which the bonus is payable, in accordance with Employer's normal bonus procedures; and</w:t>
      </w:r>
    </w:p>
    <w:p>
      <w:pPr>
        <w:spacing w:after="0" w:line="174" w:lineRule="exact"/>
        <w:rPr>
          <w:rFonts w:ascii="Courier New" w:cs="Courier New" w:eastAsia="Courier New" w:hAnsi="Courier New"/>
          <w:sz w:val="15"/>
          <w:szCs w:val="15"/>
          <w:color w:val="auto"/>
        </w:rPr>
      </w:pPr>
    </w:p>
    <w:p>
      <w:pPr>
        <w:ind w:left="1940" w:hanging="561"/>
        <w:spacing w:after="0"/>
        <w:tabs>
          <w:tab w:leader="none" w:pos="1940" w:val="left"/>
        </w:tabs>
        <w:numPr>
          <w:ilvl w:val="2"/>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thirty months after such termination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-1924050</wp:posOffset>
            </wp:positionV>
            <wp:extent cx="72891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ind w:left="920" w:right="2839"/>
        <w:spacing w:after="0" w:line="251" w:lineRule="auto"/>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15"/>
          <w:szCs w:val="15"/>
          <w:b w:val="1"/>
          <w:bCs w:val="1"/>
          <w:color w:val="auto"/>
        </w:rPr>
        <w:t>Coverage Period</w:t>
      </w:r>
      <w:r>
        <w:rPr>
          <w:rFonts w:ascii="Courier New" w:cs="Courier New" w:eastAsia="Courier New" w:hAnsi="Courier New"/>
          <w:sz w:val="15"/>
          <w:szCs w:val="15"/>
          <w:color w:val="auto"/>
        </w:rPr>
        <w:t>"), medical, dental, prescription drug, life, accidental death and disability insurance coverage substantially similar to the coverage which Employee was receiving or entitled to receive immediately prior to the date of the termination of Employee's employment ("</w:t>
      </w:r>
      <w:r>
        <w:rPr>
          <w:rFonts w:ascii="Courier New" w:cs="Courier New" w:eastAsia="Courier New" w:hAnsi="Courier New"/>
          <w:sz w:val="15"/>
          <w:szCs w:val="15"/>
          <w:b w:val="1"/>
          <w:bCs w:val="1"/>
          <w:color w:val="auto"/>
        </w:rPr>
        <w:t>Insurance Benefits</w:t>
      </w:r>
      <w:r>
        <w:rPr>
          <w:rFonts w:ascii="Courier New" w:cs="Courier New" w:eastAsia="Courier New" w:hAnsi="Courier New"/>
          <w:sz w:val="15"/>
          <w:szCs w:val="15"/>
          <w:color w:val="auto"/>
        </w:rPr>
        <w:t>"). Notwithstanding the foregoing, Employee shall not be entitled to receive the Insurance Benefits (or a portion thereof) to the extent that Employee obtains other employment that provides equal or greater benefits during the Coverage Period.</w:t>
      </w:r>
    </w:p>
    <w:p>
      <w:pPr>
        <w:spacing w:after="0" w:line="175"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The Severance Payment, Pro-rated Bonus and Insurance Benefits are collectively referred to in this Agreement as the "Severance Benefit."</w:t>
      </w:r>
    </w:p>
    <w:p>
      <w:pPr>
        <w:spacing w:after="0" w:line="174" w:lineRule="exact"/>
        <w:rPr>
          <w:sz w:val="20"/>
          <w:szCs w:val="20"/>
          <w:color w:val="auto"/>
        </w:rPr>
      </w:pPr>
    </w:p>
    <w:p>
      <w:pPr>
        <w:ind w:left="1280" w:hanging="363"/>
        <w:spacing w:after="0"/>
        <w:tabs>
          <w:tab w:leader="none" w:pos="12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Excise Tax.</w:t>
      </w:r>
    </w:p>
    <w:p>
      <w:pPr>
        <w:spacing w:after="0" w:line="184" w:lineRule="exact"/>
        <w:rPr>
          <w:rFonts w:ascii="Courier New" w:cs="Courier New" w:eastAsia="Courier New" w:hAnsi="Courier New"/>
          <w:sz w:val="15"/>
          <w:szCs w:val="15"/>
          <w:color w:val="auto"/>
        </w:rPr>
      </w:pPr>
    </w:p>
    <w:p>
      <w:pPr>
        <w:ind w:left="920" w:right="2939" w:firstLine="459"/>
        <w:spacing w:after="0" w:line="251" w:lineRule="auto"/>
        <w:tabs>
          <w:tab w:leader="none" w:pos="175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in this Agreement, in no event shall a Severance Benefit payable pursuant to this Section 3 exceed an amount equal to the lesser of (i) 2.99 times the "base amount" (as defined in Section 280G(b)(3) of the Internal Revenue Code of 1986, as amended (the "</w:t>
      </w:r>
      <w:r>
        <w:rPr>
          <w:rFonts w:ascii="Courier New" w:cs="Courier New" w:eastAsia="Courier New" w:hAnsi="Courier New"/>
          <w:sz w:val="15"/>
          <w:szCs w:val="15"/>
          <w:b w:val="1"/>
          <w:bCs w:val="1"/>
          <w:color w:val="auto"/>
        </w:rPr>
        <w:t>Code</w:t>
      </w:r>
      <w:r>
        <w:rPr>
          <w:rFonts w:ascii="Courier New" w:cs="Courier New" w:eastAsia="Courier New" w:hAnsi="Courier New"/>
          <w:sz w:val="15"/>
          <w:szCs w:val="15"/>
          <w:color w:val="auto"/>
        </w:rPr>
        <w:t>")) of Employee's compensation, or (ii) such other amount which would constitute a "parachute payment" (as defined in Section 280G of the Code). In the</w:t>
      </w:r>
    </w:p>
    <w:p>
      <w:pPr>
        <w:sectPr>
          <w:pgSz w:w="11900" w:h="16838" w:orient="portrait"/>
          <w:cols w:equalWidth="0" w:num="1">
            <w:col w:w="10219"/>
          </w:cols>
          <w:pgMar w:left="240" w:top="319" w:right="1440" w:bottom="0" w:gutter="0" w:footer="0" w:header="0"/>
        </w:sectPr>
      </w:pPr>
    </w:p>
    <w:bookmarkStart w:id="51" w:name="page52"/>
    <w:bookmarkEnd w:id="51"/>
    <w:p>
      <w:pPr>
        <w:ind w:left="100" w:right="2839"/>
        <w:spacing w:after="0" w:line="250" w:lineRule="auto"/>
        <w:rPr>
          <w:sz w:val="20"/>
          <w:szCs w:val="20"/>
          <w:color w:val="auto"/>
        </w:rPr>
      </w:pPr>
      <w:r>
        <w:rPr>
          <w:rFonts w:ascii="Courier New" w:cs="Courier New" w:eastAsia="Courier New" w:hAnsi="Courier New"/>
          <w:sz w:val="15"/>
          <w:szCs w:val="15"/>
          <w:color w:val="auto"/>
        </w:rPr>
        <w:t>event that it shall be determined that any Severance Benefit to Employee (whether paid or payable or distributed or distributable) would be subject to the excise tax imposed by Section 4999 of the Code, or any successor provision thereto (the "</w:t>
      </w:r>
      <w:r>
        <w:rPr>
          <w:rFonts w:ascii="Courier New" w:cs="Courier New" w:eastAsia="Courier New" w:hAnsi="Courier New"/>
          <w:sz w:val="15"/>
          <w:szCs w:val="15"/>
          <w:b w:val="1"/>
          <w:bCs w:val="1"/>
          <w:color w:val="auto"/>
        </w:rPr>
        <w:t>Excise Tax</w:t>
      </w:r>
      <w:r>
        <w:rPr>
          <w:rFonts w:ascii="Courier New" w:cs="Courier New" w:eastAsia="Courier New" w:hAnsi="Courier New"/>
          <w:sz w:val="15"/>
          <w:szCs w:val="15"/>
          <w:color w:val="auto"/>
        </w:rPr>
        <w:t>"), then Employee shall be entitled to receive from Employer an additional payment (the "</w:t>
      </w:r>
      <w:r>
        <w:rPr>
          <w:rFonts w:ascii="Courier New" w:cs="Courier New" w:eastAsia="Courier New" w:hAnsi="Courier New"/>
          <w:sz w:val="15"/>
          <w:szCs w:val="15"/>
          <w:b w:val="1"/>
          <w:bCs w:val="1"/>
          <w:color w:val="auto"/>
        </w:rPr>
        <w:t>Gross-Up Payment</w:t>
      </w:r>
      <w:r>
        <w:rPr>
          <w:rFonts w:ascii="Courier New" w:cs="Courier New" w:eastAsia="Courier New" w:hAnsi="Courier New"/>
          <w:sz w:val="15"/>
          <w:szCs w:val="15"/>
          <w:color w:val="auto"/>
        </w:rPr>
        <w:t>") in an amount such that the net amount of the Severance Benefit and the Gross-Up Payment retained by Employee after the calculation and deduction of all Excise Taxes (including any interest or penalties imposed with respect to such taxes) on the payment and all Federal, state and local income tax, employment tax and Excise Tax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36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100" w:right="2839" w:firstLine="459"/>
        <w:spacing w:after="0" w:line="250" w:lineRule="auto"/>
        <w:tabs>
          <w:tab w:leader="none" w:pos="1023"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notify Employer in writing of any claim by the Internal Revenue Service that, if successful, would require the payment by Employer of the Gross-Up Payment. Such notification shall be given as soon as practicable after Employee is informed in writing of such claim and shall apprise Employer of the nature of such claim and the date on which such claim is requested to be paid. Employee shall not pay such claim prior to the expiration of the 30-day period following the date on which Employee gives such notice to Employer (or such shorter period ending on the date that any payment of taxes, interest and/or penalties with respect to such claim is due). If Employer notifies Employee in writing prior to the expiration of such period that it desires to contest such claim, Employee shall:</w:t>
      </w:r>
    </w:p>
    <w:p>
      <w:pPr>
        <w:spacing w:after="0" w:line="182" w:lineRule="exact"/>
        <w:rPr>
          <w:rFonts w:ascii="Courier New" w:cs="Courier New" w:eastAsia="Courier New" w:hAnsi="Courier New"/>
          <w:sz w:val="15"/>
          <w:szCs w:val="15"/>
          <w:color w:val="auto"/>
        </w:rPr>
      </w:pPr>
    </w:p>
    <w:p>
      <w:pPr>
        <w:ind w:left="560" w:right="3119" w:firstLine="460"/>
        <w:spacing w:after="0" w:line="253" w:lineRule="auto"/>
        <w:tabs>
          <w:tab w:leader="none" w:pos="139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Employer any information reasonably requested by Employer relating to such claim;</w:t>
      </w:r>
    </w:p>
    <w:p>
      <w:pPr>
        <w:spacing w:after="0" w:line="174" w:lineRule="exact"/>
        <w:rPr>
          <w:rFonts w:ascii="Courier New" w:cs="Courier New" w:eastAsia="Courier New" w:hAnsi="Courier New"/>
          <w:sz w:val="15"/>
          <w:szCs w:val="15"/>
          <w:color w:val="auto"/>
        </w:rPr>
      </w:pPr>
    </w:p>
    <w:p>
      <w:pPr>
        <w:ind w:left="560" w:right="3019" w:firstLine="460"/>
        <w:spacing w:after="0" w:line="251" w:lineRule="auto"/>
        <w:tabs>
          <w:tab w:leader="none" w:pos="139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Employer shall reasonably request in writing from time to time, including, without limitation, accepting legal representation with respect to such claim by an attorney reasonably selected by Employer;</w:t>
      </w:r>
    </w:p>
    <w:p>
      <w:pPr>
        <w:spacing w:after="0" w:line="176" w:lineRule="exact"/>
        <w:rPr>
          <w:rFonts w:ascii="Courier New" w:cs="Courier New" w:eastAsia="Courier New" w:hAnsi="Courier New"/>
          <w:sz w:val="15"/>
          <w:szCs w:val="15"/>
          <w:color w:val="auto"/>
        </w:rPr>
      </w:pPr>
    </w:p>
    <w:p>
      <w:pPr>
        <w:ind w:left="560" w:right="3479" w:firstLine="460"/>
        <w:spacing w:after="0" w:line="253" w:lineRule="auto"/>
        <w:tabs>
          <w:tab w:leader="none" w:pos="139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Employer in good faith in order to effectively contest such claim; and</w:t>
      </w:r>
    </w:p>
    <w:p>
      <w:pPr>
        <w:spacing w:after="0" w:line="174" w:lineRule="exact"/>
        <w:rPr>
          <w:rFonts w:ascii="Courier New" w:cs="Courier New" w:eastAsia="Courier New" w:hAnsi="Courier New"/>
          <w:sz w:val="15"/>
          <w:szCs w:val="15"/>
          <w:color w:val="auto"/>
        </w:rPr>
      </w:pPr>
    </w:p>
    <w:p>
      <w:pPr>
        <w:ind w:left="560" w:right="3479" w:firstLine="460"/>
        <w:spacing w:after="0" w:line="253" w:lineRule="auto"/>
        <w:tabs>
          <w:tab w:leader="none" w:pos="139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Employer to participate in any proceedings relating to such claims;</w:t>
      </w:r>
    </w:p>
    <w:p>
      <w:pPr>
        <w:spacing w:after="0" w:line="17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i w:val="1"/>
          <w:iCs w:val="1"/>
          <w:color w:val="auto"/>
        </w:rPr>
        <w:t xml:space="preserve">provided, however, </w:t>
      </w:r>
      <w:r>
        <w:rPr>
          <w:rFonts w:ascii="Courier New" w:cs="Courier New" w:eastAsia="Courier New" w:hAnsi="Courier New"/>
          <w:sz w:val="15"/>
          <w:szCs w:val="15"/>
          <w:color w:val="auto"/>
        </w:rPr>
        <w:t>that Employer shall bear and pay directly all costs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 xml:space="preserve">and expenses (including additional interest and penalties) incurred in connection with such contest and shall indemnify Employee for and hold Employee harmless from, on an after-tax basis, any Excise Tax or income tax (including interest and penalties with respect thereto) imposed as a result of such representation and payment of all related costs and expenses. Without limiting the foregoing provisions of this section, Employer shall control all proceedings taken in connection with such contest and, at its sole option, may pursue or forgo any and all administrative appeals, proceedings, hearings and conferences with the taxing authority in respect of such claim and may, at its sole option, either direct Employee to pay the tax claimed and sue for a refund or contest the claim in any permissible manner, and Employee agrees to prosecute such contest to a determination before any administrative tribunal, in a court of initial jurisdiction and in one or more appellate courts, as Employer shall determine; </w:t>
      </w: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xml:space="preserve"> that if Employer directs Employee to pay such claim and sue for a refund, Employer shall advance the amount of such payment to Employee, on an interest-free basis, and shall indemnify Employee for and hold Employee harmless from, on an after-tax basis, any Excise Tax or income tax (including interest or penalties with respect thereto) imposed with respect to such advance or with respect to any imputed income with respect to such advance (including as a result of any forgiveness by Employer of such advance); </w:t>
      </w:r>
      <w:r>
        <w:rPr>
          <w:rFonts w:ascii="Courier New" w:cs="Courier New" w:eastAsia="Courier New" w:hAnsi="Courier New"/>
          <w:sz w:val="15"/>
          <w:szCs w:val="15"/>
          <w:i w:val="1"/>
          <w:iCs w:val="1"/>
          <w:color w:val="auto"/>
        </w:rPr>
        <w:t>provided, further</w:t>
      </w:r>
      <w:r>
        <w:rPr>
          <w:rFonts w:ascii="Courier New" w:cs="Courier New" w:eastAsia="Courier New" w:hAnsi="Courier New"/>
          <w:sz w:val="15"/>
          <w:szCs w:val="15"/>
          <w:color w:val="auto"/>
        </w:rPr>
        <w:t>, that any extension of the statute of limitations relating to the payment of taxes for the taxable year of Employee with respect to which such contested amount is claimed to</w:t>
      </w:r>
    </w:p>
    <w:p>
      <w:pPr>
        <w:spacing w:after="0" w:line="18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be due is limited solely to such contested amount. Furthermore, Employer's control of the contest shall be limited to issues with respect to which a Gross-Up Payment would be payable hereunder and Employee shall be entitled to settle or contest, as the case may be, any other issue raised by the Internal Revenue Service or any other taxing authority.</w:t>
      </w:r>
    </w:p>
    <w:p>
      <w:pPr>
        <w:spacing w:after="0" w:line="176" w:lineRule="exact"/>
        <w:rPr>
          <w:sz w:val="20"/>
          <w:szCs w:val="20"/>
          <w:color w:val="auto"/>
        </w:rPr>
      </w:pPr>
    </w:p>
    <w:p>
      <w:pPr>
        <w:ind w:right="2839" w:firstLine="374"/>
        <w:spacing w:after="0" w:line="251" w:lineRule="auto"/>
        <w:tabs>
          <w:tab w:leader="none" w:pos="101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"Change of Control" shall mean: (i) a person, corporation, entity or group (A) makes a tender or exchange offer for the issued and outstanding voting stock of Employer and beneficially owns thirty percent (30%) or more of the issued and outstanding voting stock of Employer after such tender or exchange offer, or (B) acquires, directly or indirectly, the beneficial ownership of thirty percent (30%) or more of the issued and outstanding</w:t>
      </w:r>
    </w:p>
    <w:p>
      <w:pPr>
        <w:sectPr>
          <w:pgSz w:w="11900" w:h="16838" w:orient="portrait"/>
          <w:cols w:equalWidth="0" w:num="1">
            <w:col w:w="9399"/>
          </w:cols>
          <w:pgMar w:left="1060" w:top="142" w:right="1440" w:bottom="0" w:gutter="0" w:footer="0" w:header="0"/>
        </w:sectPr>
      </w:pPr>
    </w:p>
    <w:bookmarkStart w:id="52" w:name="page53"/>
    <w:bookmarkEnd w:id="52"/>
    <w:p>
      <w:pPr>
        <w:ind w:right="2839"/>
        <w:spacing w:after="0" w:line="250" w:lineRule="auto"/>
        <w:rPr>
          <w:sz w:val="20"/>
          <w:szCs w:val="20"/>
          <w:color w:val="auto"/>
        </w:rPr>
      </w:pPr>
      <w:r>
        <w:rPr>
          <w:rFonts w:ascii="Courier New" w:cs="Courier New" w:eastAsia="Courier New" w:hAnsi="Courier New"/>
          <w:sz w:val="15"/>
          <w:szCs w:val="15"/>
          <w:color w:val="auto"/>
        </w:rPr>
        <w:t>voting stock of Employer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Employer); (ii) Employer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Employer immediately prior to the transaction; (iii) Employer sells fifty percent (50%) or more of its assets to any other person or persons (other than an affiliate or affiliates of Employer); or (iv) individuals who, as of the date hereof, constitute the Board (the "Incumbent Board") cease for any reason to constitute at least seventy-five percent (75%) of the Board; provided, however, that any individual becoming a director subsequent to the date hereof, whose election or nomination was approved by a majority of the directors then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188" w:lineRule="exact"/>
        <w:rPr>
          <w:sz w:val="20"/>
          <w:szCs w:val="20"/>
          <w:color w:val="auto"/>
        </w:rPr>
      </w:pPr>
    </w:p>
    <w:p>
      <w:pPr>
        <w:ind w:right="2759" w:firstLine="559"/>
        <w:spacing w:after="0" w:line="250" w:lineRule="auto"/>
        <w:tabs>
          <w:tab w:leader="none" w:pos="1107"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"Without Cause" shall mean termination of Employee by Employer for reasons other than: (i) the willful, persistent failure of Employee (after thirty (30) days written notice and a reasonable opportunity to cure) to perform his material duties for reasons other than death or disability; (ii) the breach by Employee of any material provision of this Agreement; or</w:t>
      </w:r>
    </w:p>
    <w:p>
      <w:pPr>
        <w:spacing w:after="0" w:line="2" w:lineRule="exact"/>
        <w:rPr>
          <w:rFonts w:ascii="Courier New" w:cs="Courier New" w:eastAsia="Courier New" w:hAnsi="Courier New"/>
          <w:sz w:val="15"/>
          <w:szCs w:val="15"/>
          <w:color w:val="auto"/>
        </w:rPr>
      </w:pPr>
    </w:p>
    <w:p>
      <w:pPr>
        <w:ind w:right="2839" w:firstLine="5"/>
        <w:spacing w:after="0" w:line="252" w:lineRule="auto"/>
        <w:tabs>
          <w:tab w:leader="none" w:pos="55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conviction of a felony involving dishonesty, deceit or moral turpitude by a trial court of competent jurisdiction, whether or not an appeal is taken.</w:t>
      </w:r>
    </w:p>
    <w:p>
      <w:pPr>
        <w:spacing w:after="0" w:line="174" w:lineRule="exact"/>
        <w:rPr>
          <w:rFonts w:ascii="Courier New" w:cs="Courier New" w:eastAsia="Courier New" w:hAnsi="Courier New"/>
          <w:sz w:val="15"/>
          <w:szCs w:val="15"/>
          <w:color w:val="auto"/>
        </w:rPr>
      </w:pPr>
    </w:p>
    <w:p>
      <w:pPr>
        <w:ind w:left="1120" w:hanging="561"/>
        <w:spacing w:after="0"/>
        <w:tabs>
          <w:tab w:leader="none" w:pos="112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Constructive Termination. "Constructive Termination" shall</w:t>
      </w:r>
    </w:p>
    <w:p>
      <w:pPr>
        <w:spacing w:after="0" w:line="7" w:lineRule="exact"/>
        <w:rPr>
          <w:rFonts w:ascii="Courier New" w:cs="Courier New" w:eastAsia="Courier New" w:hAnsi="Courier New"/>
          <w:sz w:val="15"/>
          <w:szCs w:val="15"/>
          <w:color w:val="auto"/>
        </w:rPr>
      </w:pPr>
    </w:p>
    <w:p>
      <w:pPr>
        <w:ind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mean: (i) a material, adverse change of Employee's responsibilities, authority, status, position, offices, titles, duties or reporting requirements (including directorships); (ii) an adverse change in Employee's annual compensation or benefits; (iii) a requirement to relocate in excess of fifty (50) miles from Employee's then current place of employment; or (iv) the breach by Employer of any material provision of this Agreement, other than a breach that is remedied by Employer within 10 days after receipt of notice thereof from Employee. For purposes of this definition, Employee's responsibilities, authority, status, position,</w:t>
      </w:r>
    </w:p>
    <w:p>
      <w:pPr>
        <w:spacing w:after="0" w:line="35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100" w:right="2939"/>
        <w:spacing w:after="0" w:line="251" w:lineRule="auto"/>
        <w:rPr>
          <w:sz w:val="20"/>
          <w:szCs w:val="20"/>
          <w:color w:val="auto"/>
        </w:rPr>
      </w:pPr>
      <w:r>
        <w:rPr>
          <w:rFonts w:ascii="Courier New" w:cs="Courier New" w:eastAsia="Courier New" w:hAnsi="Courier New"/>
          <w:sz w:val="15"/>
          <w:szCs w:val="15"/>
          <w:color w:val="auto"/>
        </w:rPr>
        <w:t>offices, titles, duties and reporting requirements are to be determined as of the date of this Agreement. For purposes of this Section, all determinations of Constructive Termination shall be made in good faith by Employee and shall be conclusive.</w:t>
      </w:r>
    </w:p>
    <w:p>
      <w:pPr>
        <w:spacing w:after="0" w:line="176" w:lineRule="exact"/>
        <w:rPr>
          <w:sz w:val="20"/>
          <w:szCs w:val="20"/>
          <w:color w:val="auto"/>
        </w:rPr>
      </w:pPr>
    </w:p>
    <w:p>
      <w:pPr>
        <w:ind w:right="2839" w:firstLine="466"/>
        <w:spacing w:after="0" w:line="251" w:lineRule="auto"/>
        <w:tabs>
          <w:tab w:leader="none" w:pos="1015"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Severance Benefits. The Severance Benefit payable to Employee pursuant to this Section 3 shall be reduced by any severance benefits to which Employee is entitled under Employer's severance policies for terminated employees generally or any termination payments payable to Employee under Employee's Employment Agreement.</w:t>
      </w:r>
    </w:p>
    <w:p>
      <w:pPr>
        <w:spacing w:after="0" w:line="176" w:lineRule="exact"/>
        <w:rPr>
          <w:rFonts w:ascii="Courier New" w:cs="Courier New" w:eastAsia="Courier New" w:hAnsi="Courier New"/>
          <w:sz w:val="15"/>
          <w:szCs w:val="15"/>
          <w:color w:val="auto"/>
        </w:rPr>
      </w:pPr>
    </w:p>
    <w:p>
      <w:pPr>
        <w:ind w:left="280" w:hanging="275"/>
        <w:spacing w:after="0"/>
        <w:tabs>
          <w:tab w:leader="none" w:pos="280" w:val="left"/>
        </w:tabs>
        <w:numPr>
          <w:ilvl w:val="0"/>
          <w:numId w:val="4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Employee's Acknowledgments and Covenants.</w:t>
      </w:r>
    </w:p>
    <w:p>
      <w:pPr>
        <w:spacing w:after="0" w:line="184" w:lineRule="exact"/>
        <w:rPr>
          <w:rFonts w:ascii="Courier New" w:cs="Courier New" w:eastAsia="Courier New" w:hAnsi="Courier New"/>
          <w:sz w:val="15"/>
          <w:szCs w:val="15"/>
          <w:b w:val="1"/>
          <w:bCs w:val="1"/>
          <w:color w:val="auto"/>
        </w:rPr>
      </w:pPr>
    </w:p>
    <w:p>
      <w:pPr>
        <w:ind w:left="100" w:right="2839" w:firstLine="459"/>
        <w:spacing w:after="0" w:line="250" w:lineRule="auto"/>
        <w:tabs>
          <w:tab w:leader="none" w:pos="930"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Materials and Information. Employer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other information about the business in which employer is engaged that is not known to the public and gives Employer an opportunity to obtain an advantage over competitors who do not know of such information (collectively, "</w:t>
      </w:r>
      <w:r>
        <w:rPr>
          <w:rFonts w:ascii="Courier New" w:cs="Courier New" w:eastAsia="Courier New" w:hAnsi="Courier New"/>
          <w:sz w:val="15"/>
          <w:szCs w:val="15"/>
          <w:b w:val="1"/>
          <w:bCs w:val="1"/>
          <w:color w:val="auto"/>
        </w:rPr>
        <w:t>Confidential Information</w:t>
      </w:r>
      <w:r>
        <w:rPr>
          <w:rFonts w:ascii="Courier New" w:cs="Courier New" w:eastAsia="Courier New" w:hAnsi="Courier New"/>
          <w:sz w:val="15"/>
          <w:szCs w:val="15"/>
          <w:color w:val="auto"/>
        </w:rPr>
        <w:t>"). In performing duties for Employer, Employee regularly will be exposed to and work with the Confidential Information. Employee acknowledges that such Confidential Information is critical to Employer's success and that Employer has invested substantial sums of money in developing the Confidential Information. While Employee is employed by Employer and after such employment ends for any reason, Employee will never reproduce, publish, disclose, use, reveal, show or otherwise communicate to any person or entity any Confidential Information unless specifically directed by Employer to do so in writing.</w:t>
      </w:r>
    </w:p>
    <w:p>
      <w:pPr>
        <w:spacing w:after="0" w:line="186" w:lineRule="exact"/>
        <w:rPr>
          <w:rFonts w:ascii="Courier New" w:cs="Courier New" w:eastAsia="Courier New" w:hAnsi="Courier New"/>
          <w:sz w:val="15"/>
          <w:szCs w:val="15"/>
          <w:color w:val="auto"/>
        </w:rPr>
      </w:pPr>
    </w:p>
    <w:p>
      <w:pPr>
        <w:ind w:left="100" w:right="2839" w:firstLine="459"/>
        <w:spacing w:after="0" w:line="251" w:lineRule="auto"/>
        <w:tabs>
          <w:tab w:leader="none" w:pos="930"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While Employee is employed by Employer and for twenty-four (24) months after such employment ends for any reason, Employee, acting either directly or indirectly, or through any other person, firm, or corporation, will not hire contract with or employ any employee of Employer or induce or attempt to induce or influence any employee of Employer to terminate employment with Employer. Such nonsolicitation restriction shall not apply to Employee</w:t>
      </w:r>
    </w:p>
    <w:p>
      <w:pPr>
        <w:sectPr>
          <w:pgSz w:w="11900" w:h="16838" w:orient="portrait"/>
          <w:cols w:equalWidth="0" w:num="1">
            <w:col w:w="9399"/>
          </w:cols>
          <w:pgMar w:left="1060" w:top="142" w:right="1440" w:bottom="0" w:gutter="0" w:footer="0" w:header="0"/>
        </w:sectPr>
      </w:pPr>
    </w:p>
    <w:bookmarkStart w:id="53" w:name="page54"/>
    <w:bookmarkEnd w:id="53"/>
    <w:p>
      <w:pPr>
        <w:ind w:left="920" w:right="3579"/>
        <w:spacing w:after="0" w:line="253" w:lineRule="auto"/>
        <w:rPr>
          <w:sz w:val="20"/>
          <w:szCs w:val="20"/>
          <w:color w:val="auto"/>
        </w:rPr>
      </w:pPr>
      <w:r>
        <w:rPr>
          <w:rFonts w:ascii="Courier New" w:cs="Courier New" w:eastAsia="Courier New" w:hAnsi="Courier New"/>
          <w:sz w:val="15"/>
          <w:szCs w:val="15"/>
          <w:color w:val="auto"/>
        </w:rPr>
        <w:t>in the case of the solicitation of his or her immediate family members.</w:t>
      </w:r>
    </w:p>
    <w:p>
      <w:pPr>
        <w:spacing w:after="0" w:line="174" w:lineRule="exact"/>
        <w:rPr>
          <w:sz w:val="20"/>
          <w:szCs w:val="20"/>
          <w:color w:val="auto"/>
        </w:rPr>
      </w:pPr>
    </w:p>
    <w:p>
      <w:pPr>
        <w:ind w:left="920" w:right="2939" w:firstLine="459"/>
        <w:spacing w:after="0" w:line="250" w:lineRule="auto"/>
        <w:tabs>
          <w:tab w:leader="none" w:pos="17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 While Employee is employed by Employer and for twenty-four (24) months after such employment ends for any reason, Employee will not, directly or indirectly, or through any other person, firm or corporation (i) be employed by, consult for, have any ownership interest in or engage in any activity on behalf of any competing business, or (ii) call on, solicit or communicate with any of Employer's customers (whether actual or potential) for the purpose of selling precision steel balls and rollers and other related items to such customer other than for the benefit of Employer. As used in this Agreement, the term "competing business" means a business that is a manufacturer and supplier of precision steel balls and rollers to anti-</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20" w:right="2839"/>
        <w:spacing w:after="0" w:line="250" w:lineRule="auto"/>
        <w:rPr>
          <w:sz w:val="20"/>
          <w:szCs w:val="20"/>
          <w:color w:val="auto"/>
        </w:rPr>
      </w:pPr>
      <w:r>
        <w:rPr>
          <w:rFonts w:ascii="Courier New" w:cs="Courier New" w:eastAsia="Courier New" w:hAnsi="Courier New"/>
          <w:sz w:val="15"/>
          <w:szCs w:val="15"/>
          <w:color w:val="auto"/>
        </w:rPr>
        <w:t>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Employee or any other employee of Employer had business contact on behalf of Employer during the eighteen (18) months immediately before Employee's employment with Employer ended). Notwithstanding the foregoing, this paragraph shall not be construed to prohibit Employee from owning less than five percent (5%) of the outstanding securities of a corporation which is publicly traded on a securities exchange or over-the-counter.</w:t>
      </w:r>
    </w:p>
    <w:p>
      <w:pPr>
        <w:spacing w:after="0" w:line="182" w:lineRule="exact"/>
        <w:rPr>
          <w:sz w:val="20"/>
          <w:szCs w:val="20"/>
          <w:color w:val="auto"/>
        </w:rPr>
      </w:pPr>
    </w:p>
    <w:p>
      <w:pPr>
        <w:ind w:left="920" w:right="2939" w:firstLine="459"/>
        <w:spacing w:after="0" w:line="251" w:lineRule="auto"/>
        <w:tabs>
          <w:tab w:leader="none" w:pos="175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Confidential Materials and Information. Employee agrees that whenever Employee's employment with Employer ends for any reason, all documents containing or referring to Confidential Information as may be in Employee's possession or control will be delivered by Employee to Employer immediately, with no request being required.</w:t>
      </w:r>
    </w:p>
    <w:p>
      <w:pPr>
        <w:spacing w:after="0" w:line="175" w:lineRule="exact"/>
        <w:rPr>
          <w:rFonts w:ascii="Courier New" w:cs="Courier New" w:eastAsia="Courier New" w:hAnsi="Courier New"/>
          <w:sz w:val="15"/>
          <w:szCs w:val="15"/>
          <w:color w:val="auto"/>
        </w:rPr>
      </w:pPr>
    </w:p>
    <w:p>
      <w:pPr>
        <w:ind w:left="920" w:right="2839" w:firstLine="459"/>
        <w:spacing w:after="0" w:line="250" w:lineRule="auto"/>
        <w:tabs>
          <w:tab w:leader="none" w:pos="175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Acknowledgments; Irreparable Harm. Employee agrees that the restrictions on competition, solicitation and disclosure in this Agreement are fair, reasonable and necessary for the protection of the interests of Employer. Employee further agrees that a breach of any of the covenants set forth in this Section 4 will result in irreparable injury and damage to Employer for which Employer would have no adequate remedy at law, and Employee further agrees that in the event of a breach, Employer will be entitled to an immediate restraining order and injunction to prevent such violation or continued violation, without having to prove damages, in addition to any other remedies to which Employer may be entitled at law or equity.</w:t>
      </w:r>
    </w:p>
    <w:p>
      <w:pPr>
        <w:spacing w:after="0" w:line="182" w:lineRule="exact"/>
        <w:rPr>
          <w:rFonts w:ascii="Courier New" w:cs="Courier New" w:eastAsia="Courier New" w:hAnsi="Courier New"/>
          <w:sz w:val="15"/>
          <w:szCs w:val="15"/>
          <w:color w:val="auto"/>
        </w:rPr>
      </w:pPr>
    </w:p>
    <w:p>
      <w:pPr>
        <w:ind w:left="920" w:right="3219" w:firstLine="459"/>
        <w:spacing w:after="0" w:line="251" w:lineRule="auto"/>
        <w:tabs>
          <w:tab w:leader="none" w:pos="175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to Subsequent Employers. Employee grants Employer the right to notify any future employer or prospective employer of Employee concerning the existence of and terms of this Agreement and grants Employer the right to provide a copy of this Agreement to any such subsequent employer or prospective employer.</w:t>
      </w:r>
    </w:p>
    <w:p>
      <w:pPr>
        <w:spacing w:after="0" w:line="176" w:lineRule="exact"/>
        <w:rPr>
          <w:rFonts w:ascii="Courier New" w:cs="Courier New" w:eastAsia="Courier New" w:hAnsi="Courier New"/>
          <w:sz w:val="15"/>
          <w:szCs w:val="15"/>
          <w:color w:val="auto"/>
        </w:rPr>
      </w:pPr>
    </w:p>
    <w:p>
      <w:pPr>
        <w:ind w:right="2839" w:firstLine="456"/>
        <w:spacing w:after="0" w:line="251" w:lineRule="auto"/>
        <w:tabs>
          <w:tab w:leader="none" w:pos="738" w:val="left"/>
        </w:tabs>
        <w:numPr>
          <w:ilvl w:val="0"/>
          <w:numId w:val="5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Mitigation. </w:t>
      </w:r>
      <w:r>
        <w:rPr>
          <w:rFonts w:ascii="Courier New" w:cs="Courier New" w:eastAsia="Courier New" w:hAnsi="Courier New"/>
          <w:sz w:val="15"/>
          <w:szCs w:val="15"/>
          <w:color w:val="auto"/>
        </w:rPr>
        <w:t>Employer's obligation to make the payments provided for in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this Agreement and otherwise to perform its obligations hereunder shall not be affected by any set-off, counterclaim, recoupment, defense or other claim, right or action which Employer may have against Employee or others. In no event shall Employee be obligated to seek other employment or take any other action by way of mitigation of the amounts payable to Employee under any of the provisions of this agreement and such amounts shall not be reduced whether or not Employee obtains other employment.</w:t>
      </w:r>
    </w:p>
    <w:p>
      <w:pPr>
        <w:spacing w:after="0" w:line="175" w:lineRule="exact"/>
        <w:rPr>
          <w:rFonts w:ascii="Courier New" w:cs="Courier New" w:eastAsia="Courier New" w:hAnsi="Courier New"/>
          <w:sz w:val="15"/>
          <w:szCs w:val="15"/>
          <w:b w:val="1"/>
          <w:bCs w:val="1"/>
          <w:color w:val="auto"/>
        </w:rPr>
      </w:pPr>
    </w:p>
    <w:p>
      <w:pPr>
        <w:ind w:right="2939" w:firstLine="456"/>
        <w:spacing w:after="0" w:line="250" w:lineRule="auto"/>
        <w:tabs>
          <w:tab w:leader="none" w:pos="738" w:val="left"/>
        </w:tabs>
        <w:numPr>
          <w:ilvl w:val="0"/>
          <w:numId w:val="5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Resolution of Disputes</w:t>
      </w:r>
      <w:r>
        <w:rPr>
          <w:rFonts w:ascii="Courier New" w:cs="Courier New" w:eastAsia="Courier New" w:hAnsi="Courier New"/>
          <w:sz w:val="15"/>
          <w:szCs w:val="15"/>
          <w:color w:val="auto"/>
        </w:rPr>
        <w:t>. Any dispute or claim arising out of or relating</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Employer agrees to pay promptly as incurred, to the full extent permitted by law, all legal fees and expenses which Employee may reasonably incur as a result of any dispute (regardless of the outcome thereof) by Employer, Employee or others of the validity or enforceability of, or liability under, any provision of this Agreement or any guarantee of</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 xml:space="preserve">performance thereof (including as a result of any dispute by Employee regarding the amount of any payment pursuant to this agreement), plus in each case interest on any delayed payment at the rate published from time to time in </w:t>
      </w:r>
      <w:r>
        <w:rPr>
          <w:rFonts w:ascii="Courier New" w:cs="Courier New" w:eastAsia="Courier New" w:hAnsi="Courier New"/>
          <w:sz w:val="15"/>
          <w:szCs w:val="15"/>
          <w:i w:val="1"/>
          <w:iCs w:val="1"/>
          <w:color w:val="auto"/>
        </w:rPr>
        <w:t>The</w:t>
      </w:r>
      <w:r>
        <w:rPr>
          <w:rFonts w:ascii="Courier New" w:cs="Courier New" w:eastAsia="Courier New" w:hAnsi="Courier New"/>
          <w:sz w:val="15"/>
          <w:szCs w:val="15"/>
          <w:color w:val="auto"/>
        </w:rPr>
        <w:t xml:space="preserve"> </w:t>
      </w:r>
      <w:r>
        <w:rPr>
          <w:rFonts w:ascii="Courier New" w:cs="Courier New" w:eastAsia="Courier New" w:hAnsi="Courier New"/>
          <w:sz w:val="15"/>
          <w:szCs w:val="15"/>
          <w:i w:val="1"/>
          <w:iCs w:val="1"/>
          <w:color w:val="auto"/>
        </w:rPr>
        <w:t xml:space="preserve">Wall Street Journal </w:t>
      </w:r>
      <w:r>
        <w:rPr>
          <w:rFonts w:ascii="Courier New" w:cs="Courier New" w:eastAsia="Courier New" w:hAnsi="Courier New"/>
          <w:sz w:val="15"/>
          <w:szCs w:val="15"/>
          <w:color w:val="auto"/>
        </w:rPr>
        <w:t>as the prime rate of interest plus two percent (2%).</w:t>
      </w:r>
    </w:p>
    <w:p>
      <w:pPr>
        <w:spacing w:after="0" w:line="176" w:lineRule="exact"/>
        <w:rPr>
          <w:sz w:val="20"/>
          <w:szCs w:val="20"/>
          <w:color w:val="auto"/>
        </w:rPr>
      </w:pPr>
    </w:p>
    <w:p>
      <w:pPr>
        <w:jc w:val="both"/>
        <w:ind w:right="3019" w:firstLine="456"/>
        <w:spacing w:after="0" w:line="252" w:lineRule="auto"/>
        <w:tabs>
          <w:tab w:leader="none" w:pos="738" w:val="left"/>
        </w:tabs>
        <w:numPr>
          <w:ilvl w:val="0"/>
          <w:numId w:val="5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Withholding. </w:t>
      </w:r>
      <w:r>
        <w:rPr>
          <w:rFonts w:ascii="Courier New" w:cs="Courier New" w:eastAsia="Courier New" w:hAnsi="Courier New"/>
          <w:sz w:val="15"/>
          <w:szCs w:val="15"/>
          <w:color w:val="auto"/>
        </w:rPr>
        <w:t>Employer may withhold from any amounts payable under this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Agreement the minimum Federal, state or local taxes as shall be required to be withheld pursuant to any applicable law or regulation.</w:t>
      </w:r>
    </w:p>
    <w:p>
      <w:pPr>
        <w:spacing w:after="0" w:line="174" w:lineRule="exact"/>
        <w:rPr>
          <w:rFonts w:ascii="Courier New" w:cs="Courier New" w:eastAsia="Courier New" w:hAnsi="Courier New"/>
          <w:sz w:val="15"/>
          <w:szCs w:val="15"/>
          <w:b w:val="1"/>
          <w:bCs w:val="1"/>
          <w:color w:val="auto"/>
        </w:rPr>
      </w:pPr>
    </w:p>
    <w:p>
      <w:pPr>
        <w:ind w:right="2839" w:firstLine="456"/>
        <w:spacing w:after="0" w:line="253" w:lineRule="auto"/>
        <w:tabs>
          <w:tab w:leader="none" w:pos="738" w:val="left"/>
        </w:tabs>
        <w:numPr>
          <w:ilvl w:val="0"/>
          <w:numId w:val="5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Successors. </w:t>
      </w:r>
      <w:r>
        <w:rPr>
          <w:rFonts w:ascii="Courier New" w:cs="Courier New" w:eastAsia="Courier New" w:hAnsi="Courier New"/>
          <w:sz w:val="15"/>
          <w:szCs w:val="15"/>
          <w:color w:val="auto"/>
        </w:rPr>
        <w:t>This Agreement is binding on, and shall inure to the benefit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of Employee and Employer, and all successors and assigns of Employer. Employer</w:t>
      </w:r>
    </w:p>
    <w:p>
      <w:pPr>
        <w:sectPr>
          <w:pgSz w:w="11900" w:h="16838" w:orient="portrait"/>
          <w:cols w:equalWidth="0" w:num="1">
            <w:col w:w="10219"/>
          </w:cols>
          <w:pgMar w:left="240" w:top="142" w:right="1440" w:bottom="0" w:gutter="0" w:footer="0" w:header="0"/>
        </w:sectPr>
      </w:pPr>
    </w:p>
    <w:bookmarkStart w:id="54" w:name="page55"/>
    <w:bookmarkEnd w:id="54"/>
    <w:p>
      <w:pPr>
        <w:ind w:left="5" w:right="2939"/>
        <w:spacing w:after="0" w:line="251" w:lineRule="auto"/>
        <w:rPr>
          <w:sz w:val="20"/>
          <w:szCs w:val="20"/>
          <w:color w:val="auto"/>
        </w:rPr>
      </w:pPr>
      <w:r>
        <w:rPr>
          <w:rFonts w:ascii="Courier New" w:cs="Courier New" w:eastAsia="Courier New" w:hAnsi="Courier New"/>
          <w:sz w:val="15"/>
          <w:szCs w:val="15"/>
          <w:color w:val="auto"/>
        </w:rPr>
        <w:t>will require any successor (whether direct or indirect, by purchase, merger, consolidation or otherwise) to all or substantially all of the business and/or assets of Employer to assume expressly and agree to perform this Agreement in the same manner and to the same extent that Employer would be required to perform it if no such succession had taken place. Failure of Employer to obtain such agreement prior to the effectiveness of any such succession shall be a material breach of this Agreement and shall entitle Employee to any Severance Benefit payable pursuant to Section 3(a) hereof.</w:t>
      </w:r>
    </w:p>
    <w:p>
      <w:pPr>
        <w:spacing w:after="0" w:line="175" w:lineRule="exact"/>
        <w:rPr>
          <w:sz w:val="20"/>
          <w:szCs w:val="20"/>
          <w:color w:val="auto"/>
        </w:rPr>
      </w:pPr>
    </w:p>
    <w:p>
      <w:pPr>
        <w:ind w:left="5" w:right="3579" w:firstLine="456"/>
        <w:spacing w:after="0" w:line="253" w:lineRule="auto"/>
        <w:tabs>
          <w:tab w:leader="none" w:pos="744" w:val="left"/>
        </w:tabs>
        <w:numPr>
          <w:ilvl w:val="0"/>
          <w:numId w:val="5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Applicable Law. </w:t>
      </w:r>
      <w:r>
        <w:rPr>
          <w:rFonts w:ascii="Courier New" w:cs="Courier New" w:eastAsia="Courier New" w:hAnsi="Courier New"/>
          <w:sz w:val="15"/>
          <w:szCs w:val="15"/>
          <w:color w:val="auto"/>
        </w:rPr>
        <w:t>This Agreement will be interpreted, governed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enforced according to the law of the State of Tennessee.</w:t>
      </w:r>
    </w:p>
    <w:p>
      <w:pPr>
        <w:spacing w:after="0" w:line="174" w:lineRule="exact"/>
        <w:rPr>
          <w:rFonts w:ascii="Courier New" w:cs="Courier New" w:eastAsia="Courier New" w:hAnsi="Courier New"/>
          <w:sz w:val="15"/>
          <w:szCs w:val="15"/>
          <w:b w:val="1"/>
          <w:bCs w:val="1"/>
          <w:color w:val="auto"/>
        </w:rPr>
      </w:pPr>
    </w:p>
    <w:p>
      <w:pPr>
        <w:ind w:left="5" w:right="2839" w:firstLine="456"/>
        <w:spacing w:after="0" w:line="251" w:lineRule="auto"/>
        <w:tabs>
          <w:tab w:leader="none" w:pos="836" w:val="left"/>
        </w:tabs>
        <w:numPr>
          <w:ilvl w:val="0"/>
          <w:numId w:val="5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Separability. </w:t>
      </w:r>
      <w:r>
        <w:rPr>
          <w:rFonts w:ascii="Courier New" w:cs="Courier New" w:eastAsia="Courier New" w:hAnsi="Courier New"/>
          <w:sz w:val="15"/>
          <w:szCs w:val="15"/>
          <w:color w:val="auto"/>
        </w:rPr>
        <w:t>If any portion of this Agreement is held to be invalid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unenforceable in any respect, Employee and Employer agree that such invalid and unenforceable part will be modified to permit the Agreement to be enforced to the maximum extent permitted by the court, with the remaining portions unaffected by the invalidity or unenforceability of any part of this Agreement.</w:t>
      </w:r>
    </w:p>
    <w:p>
      <w:pPr>
        <w:spacing w:after="0" w:line="176" w:lineRule="exact"/>
        <w:rPr>
          <w:rFonts w:ascii="Courier New" w:cs="Courier New" w:eastAsia="Courier New" w:hAnsi="Courier New"/>
          <w:sz w:val="15"/>
          <w:szCs w:val="15"/>
          <w:b w:val="1"/>
          <w:bCs w:val="1"/>
          <w:color w:val="auto"/>
        </w:rPr>
      </w:pPr>
    </w:p>
    <w:p>
      <w:pPr>
        <w:ind w:left="5" w:right="2839" w:firstLine="456"/>
        <w:spacing w:after="0" w:line="251" w:lineRule="auto"/>
        <w:tabs>
          <w:tab w:leader="none" w:pos="836" w:val="left"/>
        </w:tabs>
        <w:numPr>
          <w:ilvl w:val="0"/>
          <w:numId w:val="5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Waiver. </w:t>
      </w:r>
      <w:r>
        <w:rPr>
          <w:rFonts w:ascii="Courier New" w:cs="Courier New" w:eastAsia="Courier New" w:hAnsi="Courier New"/>
          <w:sz w:val="15"/>
          <w:szCs w:val="15"/>
          <w:color w:val="auto"/>
        </w:rPr>
        <w:t>This Agreement may be modified, supplemented or amended,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any provision of this Agreement can be waived, only by written instrument making specific reference to this Agreement signed by the party against whom enforcement of any such modification, supplement, amendment or waiver is sought.</w:t>
      </w:r>
    </w:p>
    <w:p>
      <w:pPr>
        <w:spacing w:after="0" w:line="176" w:lineRule="exact"/>
        <w:rPr>
          <w:rFonts w:ascii="Courier New" w:cs="Courier New" w:eastAsia="Courier New" w:hAnsi="Courier New"/>
          <w:sz w:val="15"/>
          <w:szCs w:val="15"/>
          <w:b w:val="1"/>
          <w:bCs w:val="1"/>
          <w:color w:val="auto"/>
        </w:rPr>
      </w:pPr>
    </w:p>
    <w:p>
      <w:pPr>
        <w:ind w:left="5" w:right="3119" w:firstLine="456"/>
        <w:spacing w:after="0" w:line="251" w:lineRule="auto"/>
        <w:tabs>
          <w:tab w:leader="none" w:pos="836" w:val="left"/>
        </w:tabs>
        <w:numPr>
          <w:ilvl w:val="0"/>
          <w:numId w:val="5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Complete Agreement. </w:t>
      </w:r>
      <w:r>
        <w:rPr>
          <w:rFonts w:ascii="Courier New" w:cs="Courier New" w:eastAsia="Courier New" w:hAnsi="Courier New"/>
          <w:sz w:val="15"/>
          <w:szCs w:val="15"/>
          <w:color w:val="auto"/>
        </w:rPr>
        <w:t>This Agreement contains the entire agreement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between Employer and Employee as to the subject matter hereof. This Agreement shall not be subject to the terms and conditions of any agreement concerning arbitration or dispute resolution between Employer and Employee.</w:t>
      </w:r>
    </w:p>
    <w:p>
      <w:pPr>
        <w:spacing w:after="0" w:line="176" w:lineRule="exact"/>
        <w:rPr>
          <w:sz w:val="20"/>
          <w:szCs w:val="20"/>
          <w:color w:val="auto"/>
        </w:rPr>
      </w:pPr>
    </w:p>
    <w:p>
      <w:pPr>
        <w:ind w:left="5" w:right="2939" w:firstLine="830"/>
        <w:spacing w:after="0" w:line="253" w:lineRule="auto"/>
        <w:rPr>
          <w:sz w:val="20"/>
          <w:szCs w:val="20"/>
          <w:color w:val="auto"/>
        </w:rPr>
      </w:pPr>
      <w:r>
        <w:rPr>
          <w:rFonts w:ascii="Courier New" w:cs="Courier New" w:eastAsia="Courier New" w:hAnsi="Courier New"/>
          <w:sz w:val="15"/>
          <w:szCs w:val="15"/>
          <w:color w:val="auto"/>
        </w:rPr>
        <w:t>EMPLOYEE ACKNOWLEDGES THAT HE/SHE HAS READ THE ENTIRE CONTENTS OF THIS AGREEMENT AND THAT HE/SHE UNDERSTANDS ITS TERMS.</w:t>
      </w:r>
    </w:p>
    <w:p>
      <w:pPr>
        <w:spacing w:after="0" w:line="200" w:lineRule="exact"/>
        <w:rPr>
          <w:sz w:val="20"/>
          <w:szCs w:val="20"/>
          <w:color w:val="auto"/>
        </w:rPr>
      </w:pPr>
    </w:p>
    <w:p>
      <w:pPr>
        <w:spacing w:after="0" w:line="329"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[Signatures on following page]</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 w:right="3479" w:firstLine="830"/>
        <w:spacing w:after="0" w:line="253" w:lineRule="auto"/>
        <w:rPr>
          <w:sz w:val="20"/>
          <w:szCs w:val="20"/>
          <w:color w:val="auto"/>
        </w:rPr>
      </w:pPr>
      <w:r>
        <w:rPr>
          <w:rFonts w:ascii="Courier New" w:cs="Courier New" w:eastAsia="Courier New" w:hAnsi="Courier New"/>
          <w:sz w:val="15"/>
          <w:szCs w:val="15"/>
          <w:color w:val="auto"/>
        </w:rPr>
        <w:t>IN WITNESS WHEREOF, each of the parties hereto has executed this Agreement as of the date first written above.</w:t>
      </w:r>
    </w:p>
    <w:p>
      <w:pPr>
        <w:spacing w:after="0" w:line="174"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EMPLOYEE:</w:t>
      </w:r>
    </w:p>
    <w:p>
      <w:pPr>
        <w:spacing w:after="0" w:line="200" w:lineRule="exact"/>
        <w:rPr>
          <w:sz w:val="20"/>
          <w:szCs w:val="20"/>
          <w:color w:val="auto"/>
        </w:rPr>
      </w:pPr>
    </w:p>
    <w:p>
      <w:pPr>
        <w:spacing w:after="0" w:line="340"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/s/ Roderick R. Baty</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5"/>
        <w:spacing w:after="0"/>
        <w:tabs>
          <w:tab w:leader="none" w:pos="3945" w:val="left"/>
        </w:tabs>
        <w:rPr>
          <w:sz w:val="20"/>
          <w:szCs w:val="20"/>
          <w:color w:val="auto"/>
        </w:rPr>
      </w:pPr>
      <w:r>
        <w:rPr>
          <w:rFonts w:ascii="Courier New" w:cs="Courier New" w:eastAsia="Courier New" w:hAnsi="Courier New"/>
          <w:sz w:val="15"/>
          <w:szCs w:val="15"/>
          <w:color w:val="auto"/>
        </w:rPr>
        <w:t>Name:</w:t>
        <w:tab/>
        <w:t>Roderick R. Baty</w:t>
      </w:r>
    </w:p>
    <w:p>
      <w:pPr>
        <w:spacing w:after="0" w:line="200" w:lineRule="exact"/>
        <w:rPr>
          <w:sz w:val="20"/>
          <w:szCs w:val="20"/>
          <w:color w:val="auto"/>
        </w:rPr>
      </w:pPr>
    </w:p>
    <w:p>
      <w:pPr>
        <w:spacing w:after="0" w:line="340"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including its subsidiaries and affiliates</w:t>
      </w:r>
    </w:p>
    <w:p>
      <w:pPr>
        <w:spacing w:after="0" w:line="362" w:lineRule="exact"/>
        <w:rPr>
          <w:sz w:val="20"/>
          <w:szCs w:val="20"/>
          <w:color w:val="auto"/>
        </w:rPr>
      </w:pPr>
    </w:p>
    <w:p>
      <w:pPr>
        <w:ind w:left="3405"/>
        <w:spacing w:after="0"/>
        <w:tabs>
          <w:tab w:leader="none" w:pos="404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L. Dyckman</w:t>
      </w:r>
    </w:p>
    <w:p>
      <w:pPr>
        <w:spacing w:after="0" w:line="8"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105"/>
        <w:spacing w:after="0"/>
        <w:rPr>
          <w:sz w:val="20"/>
          <w:szCs w:val="20"/>
          <w:color w:val="auto"/>
        </w:rPr>
      </w:pPr>
      <w:r>
        <w:rPr>
          <w:rFonts w:ascii="Courier New" w:cs="Courier New" w:eastAsia="Courier New" w:hAnsi="Courier New"/>
          <w:sz w:val="15"/>
          <w:szCs w:val="15"/>
          <w:color w:val="auto"/>
        </w:rPr>
        <w:t>David L. Dyckman</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201295</wp:posOffset>
            </wp:positionV>
            <wp:extent cx="728916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Schedule A</w:t>
      </w:r>
    </w:p>
    <w:p>
      <w:pPr>
        <w:spacing w:after="0" w:line="362"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Employee's Severance Payment shall be a lump sum payment equal to:</w:t>
      </w:r>
    </w:p>
    <w:p>
      <w:pPr>
        <w:spacing w:after="0" w:line="185" w:lineRule="exact"/>
        <w:rPr>
          <w:sz w:val="20"/>
          <w:szCs w:val="20"/>
          <w:color w:val="auto"/>
        </w:rPr>
      </w:pPr>
    </w:p>
    <w:p>
      <w:pPr>
        <w:ind w:left="465" w:right="3579" w:hanging="465"/>
        <w:spacing w:after="0" w:line="253" w:lineRule="auto"/>
        <w:tabs>
          <w:tab w:leader="none" w:pos="46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times such Employee's base salary (as of the date of Employee's termination); plus</w:t>
      </w:r>
    </w:p>
    <w:p>
      <w:pPr>
        <w:spacing w:after="0" w:line="174" w:lineRule="exact"/>
        <w:rPr>
          <w:rFonts w:ascii="Courier New" w:cs="Courier New" w:eastAsia="Courier New" w:hAnsi="Courier New"/>
          <w:sz w:val="15"/>
          <w:szCs w:val="15"/>
          <w:color w:val="auto"/>
        </w:rPr>
      </w:pPr>
    </w:p>
    <w:p>
      <w:pPr>
        <w:ind w:left="465" w:right="3219" w:hanging="465"/>
        <w:spacing w:after="0" w:line="253" w:lineRule="auto"/>
        <w:tabs>
          <w:tab w:leader="none" w:pos="46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times such Employee's median bonus available at the following bonus target percentage: 40%; plus</w:t>
      </w:r>
    </w:p>
    <w:p>
      <w:pPr>
        <w:spacing w:after="0" w:line="174" w:lineRule="exact"/>
        <w:rPr>
          <w:rFonts w:ascii="Courier New" w:cs="Courier New" w:eastAsia="Courier New" w:hAnsi="Courier New"/>
          <w:sz w:val="15"/>
          <w:szCs w:val="15"/>
          <w:color w:val="auto"/>
        </w:rPr>
      </w:pPr>
    </w:p>
    <w:p>
      <w:pPr>
        <w:ind w:left="465" w:right="2939" w:hanging="465"/>
        <w:spacing w:after="0" w:line="252" w:lineRule="auto"/>
        <w:tabs>
          <w:tab w:leader="none" w:pos="46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2.5 times Employee's annual automobile allowance or the annual cost to Employee of obtaining a motor vehicle comparable to that provided by Employer to Employee.</w:t>
      </w:r>
    </w:p>
    <w:p>
      <w:pPr>
        <w:sectPr>
          <w:pgSz w:w="11900" w:h="16838" w:orient="portrait"/>
          <w:cols w:equalWidth="0" w:num="1">
            <w:col w:w="10225"/>
          </w:cols>
          <w:pgMar w:left="235" w:top="142" w:right="1440" w:bottom="4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5"/>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25"/>
          </w:cols>
          <w:pgMar w:left="235" w:top="142" w:right="1440" w:bottom="417" w:gutter="0" w:footer="0" w:header="0"/>
          <w:type w:val="continuous"/>
        </w:sectPr>
      </w:pPr>
    </w:p>
    <w:bookmarkStart w:id="55" w:name="page56"/>
    <w:bookmarkEnd w:id="55"/>
    <w:p>
      <w:pPr>
        <w:spacing w:after="0"/>
        <w:rPr>
          <w:sz w:val="20"/>
          <w:szCs w:val="20"/>
          <w:color w:val="auto"/>
        </w:rPr>
      </w:pPr>
      <w:r>
        <w:rPr>
          <w:rFonts w:ascii="Courier New" w:cs="Courier New" w:eastAsia="Courier New" w:hAnsi="Courier New"/>
          <w:sz w:val="15"/>
          <w:szCs w:val="15"/>
          <w:b w:val="1"/>
          <w:bCs w:val="1"/>
          <w:color w:val="auto"/>
        </w:rPr>
        <w:t>Exhibit 10.20</w:t>
      </w:r>
    </w:p>
    <w:p>
      <w:pPr>
        <w:spacing w:after="0" w:line="200" w:lineRule="exact"/>
        <w:rPr>
          <w:sz w:val="20"/>
          <w:szCs w:val="20"/>
          <w:color w:val="auto"/>
        </w:rPr>
      </w:pPr>
    </w:p>
    <w:p>
      <w:pPr>
        <w:spacing w:after="0" w:line="340"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b w:val="1"/>
          <w:bCs w:val="1"/>
          <w:color w:val="auto"/>
        </w:rPr>
        <w:t>EMPLOYMENT AGREEMENT</w:t>
      </w:r>
    </w:p>
    <w:p>
      <w:pPr>
        <w:spacing w:after="0" w:line="36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This AGREEMENT is made as of January 21, 2002, by and between NN, Inc., a Delaware corporation, having its principal place of business located at 2000 Water's Edge Drive, Building C, Suite 12, Johnson City, Tennessee 37604 (the "Company") and Robert R. Sams (the "Executive").</w:t>
      </w:r>
    </w:p>
    <w:p>
      <w:pPr>
        <w:spacing w:after="0" w:line="17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 I T N E S S E T H :</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WHEREAS, the Company's Board of Directors (the "Board") has determined that it is in the best interest of the Company and its shareholders to employ the Executive as Vice-President of Market Services of the Company and the Executive desires to serve in that capacity;</w:t>
      </w:r>
    </w:p>
    <w:p>
      <w:pPr>
        <w:spacing w:after="0" w:line="176"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NOW, THEREFORE, in consideration of the foregoing and of the respective covenants and agreements of the parties herein contained, the parties hereto, intending to be legally bound, agree as follows:</w:t>
      </w:r>
    </w:p>
    <w:p>
      <w:pPr>
        <w:spacing w:after="0" w:line="175" w:lineRule="exact"/>
        <w:rPr>
          <w:sz w:val="20"/>
          <w:szCs w:val="20"/>
          <w:color w:val="auto"/>
        </w:rPr>
      </w:pPr>
    </w:p>
    <w:p>
      <w:pPr>
        <w:ind w:right="3019" w:firstLine="825"/>
        <w:spacing w:after="0" w:line="251" w:lineRule="auto"/>
        <w:tabs>
          <w:tab w:leader="none" w:pos="110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Employment. </w:t>
      </w:r>
      <w:r>
        <w:rPr>
          <w:rFonts w:ascii="Courier New" w:cs="Courier New" w:eastAsia="Courier New" w:hAnsi="Courier New"/>
          <w:sz w:val="15"/>
          <w:szCs w:val="15"/>
          <w:color w:val="auto"/>
        </w:rPr>
        <w:t>The Company agrees to continue to employ the Executive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and the Executive hereby agrees to continue to be employed for the period of time set forth in Paragraph 2, subject to the terms and conditions set forth herein.</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Term. </w:t>
      </w:r>
      <w:r>
        <w:rPr>
          <w:rFonts w:ascii="Courier New" w:cs="Courier New" w:eastAsia="Courier New" w:hAnsi="Courier New"/>
          <w:sz w:val="15"/>
          <w:szCs w:val="15"/>
          <w:color w:val="auto"/>
        </w:rPr>
        <w:t>Subject to the terms hereof, Company agrees to employ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Executive for a period of two years commencing upon January 21, 2002 and expiring on January 20, 2004 (the "Employment Term") (unless sooner terminated as provided herein). The Employment Term shall be extended automatically from time to time, on a rolling basis, for additional one year periods, unless either party gives written notice of termination to the other at least six (6) months prior to the date that the Employment Term is scheduled to expire.</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Position and Responsibilities. </w:t>
      </w:r>
      <w:r>
        <w:rPr>
          <w:rFonts w:ascii="Courier New" w:cs="Courier New" w:eastAsia="Courier New" w:hAnsi="Courier New"/>
          <w:sz w:val="15"/>
          <w:szCs w:val="15"/>
          <w:color w:val="auto"/>
        </w:rPr>
        <w:t>The Executive shall serve as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Vice-President of Market Services of the Company, reporting to the President and Chief Executive Officer, and shall have supervision and control over, and responsibility for, the sales marketing operations and activities of the Company. The Executive shall also have such other powers and duties as may from time to time be prescribed by the President or Chief Executive Officer; provided, however, that such duties shall be consistent with the Executive's position as the officer in charge of business development activities and principal financial officer of the Company.</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Diligence. </w:t>
      </w:r>
      <w:r>
        <w:rPr>
          <w:rFonts w:ascii="Courier New" w:cs="Courier New" w:eastAsia="Courier New" w:hAnsi="Courier New"/>
          <w:sz w:val="15"/>
          <w:szCs w:val="15"/>
          <w:color w:val="auto"/>
        </w:rPr>
        <w:t>Executive agrees to serve in the respective positions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referred to in Paragraph 3 and to perform diligently the duties and services appertaining to each such office, as well as such additional duties and services appropriate to each such office which the parties mutually may agree upon from time to time.</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Time. </w:t>
      </w:r>
      <w:r>
        <w:rPr>
          <w:rFonts w:ascii="Courier New" w:cs="Courier New" w:eastAsia="Courier New" w:hAnsi="Courier New"/>
          <w:sz w:val="15"/>
          <w:szCs w:val="15"/>
          <w:color w:val="auto"/>
        </w:rPr>
        <w:t>Executive agrees to devote his entire working time and efforts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to the business and affairs of the Company and its affiliates and not to engage, directly or indirectly, in any other business or businesses, whether or not similar to that of the Company, except with the consent of the President and Chief Executive Officer and the Board.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195580</wp:posOffset>
            </wp:positionV>
            <wp:extent cx="728916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notwithstanding, the parties recognize and agree that Executive (i) may engage in personal investments, subject to any restrictions set forth in the Non-Competition and Confidentiality Agreement referenced in Paragraph 7 and (ii) subject to the prior consent of the President, may serve on the board of directors of other companies, provided such service does not conflict with the business and affairs of the Company or interfere with Executive's performance of his duties hereunder.</w:t>
      </w:r>
    </w:p>
    <w:p>
      <w:pPr>
        <w:spacing w:after="0" w:line="176" w:lineRule="exact"/>
        <w:rPr>
          <w:sz w:val="20"/>
          <w:szCs w:val="20"/>
          <w:color w:val="auto"/>
        </w:rPr>
      </w:pPr>
    </w:p>
    <w:p>
      <w:pPr>
        <w:ind w:left="1100" w:hanging="275"/>
        <w:spacing w:after="0"/>
        <w:tabs>
          <w:tab w:leader="none" w:pos="1100" w:val="left"/>
        </w:tabs>
        <w:numPr>
          <w:ilvl w:val="0"/>
          <w:numId w:val="5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Compensation.</w:t>
      </w:r>
    </w:p>
    <w:p>
      <w:pPr>
        <w:spacing w:after="0" w:line="362" w:lineRule="exact"/>
        <w:rPr>
          <w:rFonts w:ascii="Courier New" w:cs="Courier New" w:eastAsia="Courier New" w:hAnsi="Courier New"/>
          <w:sz w:val="15"/>
          <w:szCs w:val="15"/>
          <w:b w:val="1"/>
          <w:bCs w:val="1"/>
          <w:color w:val="auto"/>
        </w:rPr>
      </w:pPr>
    </w:p>
    <w:p>
      <w:pPr>
        <w:ind w:left="460" w:right="2839" w:firstLine="457"/>
        <w:spacing w:after="0" w:line="251" w:lineRule="auto"/>
        <w:tabs>
          <w:tab w:leader="none" w:pos="129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During the Employment Term, the Executive shall receive an annual salary of $145,000.00 per year, which annual salary shall be subject to such increases as the Board in its sole discretion may from time to time determine (the "Annual Salary"). The Annual Salary shall be payable by the Company in accordance with its regular compensation policies and practices for paying executives.</w:t>
      </w:r>
    </w:p>
    <w:p>
      <w:pPr>
        <w:spacing w:after="0" w:line="175"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During the term of his employment hereunder, the Executive shall be entitled to be reimbursed for all reasonable business expenses incurred by him in connection with his services hereunder, including but not limited to expenses for entertainment and travel, in accordance with the policies and procedures from time to time in effect for the Company's senior executive officers. The Company retains the right to establish limits on the types or amounts of business expenses that the Executive may incur.</w:t>
      </w:r>
    </w:p>
    <w:p>
      <w:pPr>
        <w:spacing w:after="0" w:line="175" w:lineRule="exact"/>
        <w:rPr>
          <w:rFonts w:ascii="Courier New" w:cs="Courier New" w:eastAsia="Courier New" w:hAnsi="Courier New"/>
          <w:sz w:val="15"/>
          <w:szCs w:val="15"/>
          <w:color w:val="auto"/>
        </w:rPr>
      </w:pPr>
    </w:p>
    <w:p>
      <w:pPr>
        <w:ind w:left="460" w:right="3119" w:firstLine="457"/>
        <w:spacing w:after="0" w:line="251" w:lineRule="auto"/>
        <w:tabs>
          <w:tab w:leader="none" w:pos="129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Programs. The Executive shall be entitled to participate in all of the Company's employee benefit plans and programs (including life, disability, and health insurance plans and programs and savings plans and programs) to the extent his position, tenure, salary,</w:t>
      </w:r>
    </w:p>
    <w:p>
      <w:pPr>
        <w:sectPr>
          <w:pgSz w:w="11900" w:h="16838" w:orient="portrait"/>
          <w:cols w:equalWidth="0" w:num="1">
            <w:col w:w="10219"/>
          </w:cols>
          <w:pgMar w:left="240" w:top="319" w:right="1440" w:bottom="0" w:gutter="0" w:footer="0" w:header="0"/>
        </w:sectPr>
      </w:pPr>
    </w:p>
    <w:bookmarkStart w:id="56" w:name="page57"/>
    <w:bookmarkEnd w:id="56"/>
    <w:p>
      <w:pPr>
        <w:ind w:right="2939"/>
        <w:spacing w:after="0" w:line="251" w:lineRule="auto"/>
        <w:rPr>
          <w:sz w:val="20"/>
          <w:szCs w:val="20"/>
          <w:color w:val="auto"/>
        </w:rPr>
      </w:pPr>
      <w:r>
        <w:rPr>
          <w:rFonts w:ascii="Courier New" w:cs="Courier New" w:eastAsia="Courier New" w:hAnsi="Courier New"/>
          <w:sz w:val="15"/>
          <w:szCs w:val="15"/>
          <w:color w:val="auto"/>
        </w:rPr>
        <w:t>age, health and other qualifications make him eligible to participate, subject to the rules and regulations applicable thereto. The Company retains the right to abolish or alter the terms of any employee benefit programs, plans or policies that it may establish, provided such abolition or amendment shall be applicable to the senior officers of the Company generally.</w:t>
      </w:r>
    </w:p>
    <w:p>
      <w:pPr>
        <w:spacing w:after="0" w:line="176" w:lineRule="exact"/>
        <w:rPr>
          <w:sz w:val="20"/>
          <w:szCs w:val="20"/>
          <w:color w:val="auto"/>
        </w:rPr>
      </w:pPr>
    </w:p>
    <w:p>
      <w:pPr>
        <w:ind w:right="2939" w:firstLine="457"/>
        <w:spacing w:after="0" w:line="251" w:lineRule="auto"/>
        <w:tabs>
          <w:tab w:leader="none" w:pos="83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and Other Absences. The Executive shall be entitled to the number of paid vacation days in each calendar year determined by the Company from time to time for its senior executive officers generally. The Executive shall also be entitled to all paid absences for holidays or illnesses in accordance with the Company's plans, policies or provisions applicable to senior executive employees.</w:t>
      </w:r>
    </w:p>
    <w:p>
      <w:pPr>
        <w:spacing w:after="0" w:line="175" w:lineRule="exact"/>
        <w:rPr>
          <w:rFonts w:ascii="Courier New" w:cs="Courier New" w:eastAsia="Courier New" w:hAnsi="Courier New"/>
          <w:sz w:val="15"/>
          <w:szCs w:val="15"/>
          <w:color w:val="auto"/>
        </w:rPr>
      </w:pPr>
    </w:p>
    <w:p>
      <w:pPr>
        <w:ind w:left="-460" w:right="2839" w:firstLine="825"/>
        <w:spacing w:after="0" w:line="251" w:lineRule="auto"/>
        <w:tabs>
          <w:tab w:leader="none" w:pos="647" w:val="left"/>
        </w:tabs>
        <w:numPr>
          <w:ilvl w:val="0"/>
          <w:numId w:val="5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Confidentiality and Non-Competition. </w:t>
      </w:r>
      <w:r>
        <w:rPr>
          <w:rFonts w:ascii="Courier New" w:cs="Courier New" w:eastAsia="Courier New" w:hAnsi="Courier New"/>
          <w:sz w:val="15"/>
          <w:szCs w:val="15"/>
          <w:color w:val="auto"/>
        </w:rPr>
        <w:t>As a material inducement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Company entering into this Agreement and in consideration for the Executive's continued employment, Executive hereby reconfirms and agrees to continue to be bound in all respects by the terms of that certain Non-Competition and Confidentiality Agreement, dated January 21, 2002, between Executive and the Company, a copy of which is attached hereto as Exhibit A.</w:t>
      </w:r>
    </w:p>
    <w:p>
      <w:pPr>
        <w:spacing w:after="0" w:line="175" w:lineRule="exact"/>
        <w:rPr>
          <w:rFonts w:ascii="Courier New" w:cs="Courier New" w:eastAsia="Courier New" w:hAnsi="Courier New"/>
          <w:sz w:val="15"/>
          <w:szCs w:val="15"/>
          <w:b w:val="1"/>
          <w:bCs w:val="1"/>
          <w:color w:val="auto"/>
        </w:rPr>
      </w:pPr>
    </w:p>
    <w:p>
      <w:pPr>
        <w:ind w:left="640" w:hanging="275"/>
        <w:spacing w:after="0"/>
        <w:tabs>
          <w:tab w:leader="none" w:pos="640" w:val="left"/>
        </w:tabs>
        <w:numPr>
          <w:ilvl w:val="0"/>
          <w:numId w:val="5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of Employment.</w:t>
      </w:r>
    </w:p>
    <w:p>
      <w:pPr>
        <w:spacing w:after="0" w:line="184" w:lineRule="exact"/>
        <w:rPr>
          <w:rFonts w:ascii="Courier New" w:cs="Courier New" w:eastAsia="Courier New" w:hAnsi="Courier New"/>
          <w:sz w:val="15"/>
          <w:szCs w:val="15"/>
          <w:b w:val="1"/>
          <w:bCs w:val="1"/>
          <w:color w:val="auto"/>
        </w:rPr>
      </w:pPr>
    </w:p>
    <w:p>
      <w:pPr>
        <w:ind w:right="2839" w:firstLine="457"/>
        <w:spacing w:after="0" w:line="251" w:lineRule="auto"/>
        <w:tabs>
          <w:tab w:leader="none" w:pos="83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The Executive's employment shall terminate automatically upon the Executive's death during the Employment Term. The Company shall be entitled to terminate the Executive's employment because of the Executive's disability during the Employment Term if, as a result of the Executive's incapacity due to physical or mental illness</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(hereinafter "Disability"), the Executive shall have been absent from his duties hereunder for one hundred and twenty (120) days during any three hundred and sixty (360) day period.</w:t>
      </w:r>
    </w:p>
    <w:p>
      <w:pPr>
        <w:spacing w:after="0" w:line="175" w:lineRule="exact"/>
        <w:rPr>
          <w:sz w:val="20"/>
          <w:szCs w:val="20"/>
          <w:color w:val="auto"/>
        </w:rPr>
      </w:pPr>
    </w:p>
    <w:p>
      <w:pPr>
        <w:jc w:val="both"/>
        <w:ind w:right="3119" w:firstLine="457"/>
        <w:spacing w:after="0" w:line="252" w:lineRule="auto"/>
        <w:tabs>
          <w:tab w:leader="none" w:pos="83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Company for Cause. (i) The Company may terminate the Executive's employment during the Employment Term for Cause. "Cause" means:</w:t>
      </w:r>
    </w:p>
    <w:p>
      <w:pPr>
        <w:spacing w:after="0" w:line="174" w:lineRule="exact"/>
        <w:rPr>
          <w:rFonts w:ascii="Courier New" w:cs="Courier New" w:eastAsia="Courier New" w:hAnsi="Courier New"/>
          <w:sz w:val="15"/>
          <w:szCs w:val="15"/>
          <w:color w:val="auto"/>
        </w:rPr>
      </w:pPr>
    </w:p>
    <w:p>
      <w:pPr>
        <w:ind w:left="460" w:right="2839" w:firstLine="459"/>
        <w:spacing w:after="0" w:line="251" w:lineRule="auto"/>
        <w:tabs>
          <w:tab w:leader="none" w:pos="1198"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such breach;</w:t>
      </w:r>
    </w:p>
    <w:p>
      <w:pPr>
        <w:spacing w:after="0" w:line="353" w:lineRule="exact"/>
        <w:rPr>
          <w:rFonts w:ascii="Courier New" w:cs="Courier New" w:eastAsia="Courier New" w:hAnsi="Courier New"/>
          <w:sz w:val="15"/>
          <w:szCs w:val="15"/>
          <w:color w:val="auto"/>
        </w:rPr>
      </w:pPr>
    </w:p>
    <w:p>
      <w:pPr>
        <w:ind w:left="460" w:right="3119" w:firstLine="459"/>
        <w:spacing w:after="0" w:line="252" w:lineRule="auto"/>
        <w:tabs>
          <w:tab w:leader="none" w:pos="1198"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misconduct or gross negligence by the Executive, in either case that results in material damage to the business or reputation of the Company;</w:t>
      </w:r>
    </w:p>
    <w:p>
      <w:pPr>
        <w:spacing w:after="0" w:line="174" w:lineRule="exact"/>
        <w:rPr>
          <w:rFonts w:ascii="Courier New" w:cs="Courier New" w:eastAsia="Courier New" w:hAnsi="Courier New"/>
          <w:sz w:val="15"/>
          <w:szCs w:val="15"/>
          <w:color w:val="auto"/>
        </w:rPr>
      </w:pPr>
    </w:p>
    <w:p>
      <w:pPr>
        <w:ind w:left="460" w:right="2939" w:firstLine="459"/>
        <w:spacing w:after="0" w:line="251" w:lineRule="auto"/>
        <w:tabs>
          <w:tab w:leader="none" w:pos="1198"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by Executive of either this Agreement or that certain Non-Competition and Confidentiality Agreement referenced in Paragraph 8 which, if correctable, remains uncorrected for 10 days following written notice to Executive by the Board of such breach; or</w:t>
      </w:r>
    </w:p>
    <w:p>
      <w:pPr>
        <w:spacing w:after="0" w:line="176" w:lineRule="exact"/>
        <w:rPr>
          <w:rFonts w:ascii="Courier New" w:cs="Courier New" w:eastAsia="Courier New" w:hAnsi="Courier New"/>
          <w:sz w:val="15"/>
          <w:szCs w:val="15"/>
          <w:color w:val="auto"/>
        </w:rPr>
      </w:pPr>
    </w:p>
    <w:p>
      <w:pPr>
        <w:ind w:left="460" w:right="3299" w:firstLine="459"/>
        <w:spacing w:after="0" w:line="252" w:lineRule="auto"/>
        <w:tabs>
          <w:tab w:leader="none" w:pos="1198"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is convicted of a felony or any other crime involving moral turpitude (whether or not in connection with the performance by Executive of his duties under this Agreement).</w:t>
      </w:r>
    </w:p>
    <w:p>
      <w:pPr>
        <w:spacing w:after="0" w:line="174" w:lineRule="exact"/>
        <w:rPr>
          <w:rFonts w:ascii="Courier New" w:cs="Courier New" w:eastAsia="Courier New" w:hAnsi="Courier New"/>
          <w:sz w:val="15"/>
          <w:szCs w:val="15"/>
          <w:color w:val="auto"/>
        </w:rPr>
      </w:pPr>
    </w:p>
    <w:p>
      <w:pPr>
        <w:ind w:right="3119" w:firstLine="457"/>
        <w:spacing w:after="0" w:line="252" w:lineRule="auto"/>
        <w:tabs>
          <w:tab w:leader="none" w:pos="83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Company Without Cause. The Company may terminate the employment of Executive under this Agreement for any reason at any time.</w:t>
      </w:r>
    </w:p>
    <w:p>
      <w:pPr>
        <w:spacing w:after="0" w:line="174" w:lineRule="exact"/>
        <w:rPr>
          <w:rFonts w:ascii="Courier New" w:cs="Courier New" w:eastAsia="Courier New" w:hAnsi="Courier New"/>
          <w:sz w:val="15"/>
          <w:szCs w:val="15"/>
          <w:color w:val="auto"/>
        </w:rPr>
      </w:pPr>
    </w:p>
    <w:p>
      <w:pPr>
        <w:ind w:right="3119" w:firstLine="457"/>
        <w:spacing w:after="0" w:line="253" w:lineRule="auto"/>
        <w:tabs>
          <w:tab w:leader="none" w:pos="83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Executive for Good Reason. (i) The Executive may terminate employment for Good Reason. "Good Reason" means:</w:t>
      </w:r>
    </w:p>
    <w:p>
      <w:pPr>
        <w:spacing w:after="0" w:line="174" w:lineRule="exact"/>
        <w:rPr>
          <w:rFonts w:ascii="Courier New" w:cs="Courier New" w:eastAsia="Courier New" w:hAnsi="Courier New"/>
          <w:sz w:val="15"/>
          <w:szCs w:val="15"/>
          <w:color w:val="auto"/>
        </w:rPr>
      </w:pPr>
    </w:p>
    <w:p>
      <w:pPr>
        <w:ind w:left="460" w:right="2939" w:firstLine="459"/>
        <w:spacing w:after="0" w:line="251" w:lineRule="auto"/>
        <w:tabs>
          <w:tab w:leader="none" w:pos="1198"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175" w:lineRule="exact"/>
        <w:rPr>
          <w:rFonts w:ascii="Courier New" w:cs="Courier New" w:eastAsia="Courier New" w:hAnsi="Courier New"/>
          <w:sz w:val="15"/>
          <w:szCs w:val="15"/>
          <w:color w:val="auto"/>
        </w:rPr>
      </w:pPr>
    </w:p>
    <w:p>
      <w:pPr>
        <w:ind w:left="460" w:right="2839" w:firstLine="459"/>
        <w:spacing w:after="0" w:line="252" w:lineRule="auto"/>
        <w:tabs>
          <w:tab w:leader="none" w:pos="1198"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failure by the Company to comply with this Agreement, other than a failure that is remedied by the Company within 10 days after receipt of notice thereof from then Executive.</w:t>
      </w:r>
    </w:p>
    <w:p>
      <w:pPr>
        <w:spacing w:after="0" w:line="174" w:lineRule="exact"/>
        <w:rPr>
          <w:rFonts w:ascii="Courier New" w:cs="Courier New" w:eastAsia="Courier New" w:hAnsi="Courier New"/>
          <w:sz w:val="15"/>
          <w:szCs w:val="15"/>
          <w:color w:val="auto"/>
        </w:rPr>
      </w:pPr>
    </w:p>
    <w:p>
      <w:pPr>
        <w:jc w:val="both"/>
        <w:ind w:right="2939" w:firstLine="457"/>
        <w:spacing w:after="0" w:line="252" w:lineRule="auto"/>
        <w:tabs>
          <w:tab w:leader="none" w:pos="83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Without Good Reason. Executive may at any time terminate his employment under this Agreement without Good Reason.</w:t>
      </w:r>
    </w:p>
    <w:p>
      <w:pPr>
        <w:spacing w:after="0" w:line="174" w:lineRule="exact"/>
        <w:rPr>
          <w:rFonts w:ascii="Courier New" w:cs="Courier New" w:eastAsia="Courier New" w:hAnsi="Courier New"/>
          <w:sz w:val="15"/>
          <w:szCs w:val="15"/>
          <w:color w:val="auto"/>
        </w:rPr>
      </w:pPr>
    </w:p>
    <w:p>
      <w:pPr>
        <w:ind w:right="2839" w:firstLine="457"/>
        <w:spacing w:after="0" w:line="251" w:lineRule="auto"/>
        <w:tabs>
          <w:tab w:leader="none" w:pos="83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If Company or Executive desires to terminate Executive's employment hereunder at any time, it or he shall do so by giving written notice to the other party (following the expiration of any applicable cure periods) that it or he has elected to</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201295</wp:posOffset>
            </wp:positionV>
            <wp:extent cx="728916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ectPr>
          <w:pgSz w:w="11900" w:h="16838" w:orient="portrait"/>
          <w:cols w:equalWidth="0" w:num="1">
            <w:col w:w="9759"/>
          </w:cols>
          <w:pgMar w:left="700" w:top="142" w:right="1440" w:bottom="16" w:gutter="0" w:footer="0" w:header="0"/>
        </w:sectPr>
      </w:pPr>
    </w:p>
    <w:bookmarkStart w:id="57" w:name="page58"/>
    <w:bookmarkEnd w:id="57"/>
    <w:p>
      <w:pPr>
        <w:ind w:right="3019"/>
        <w:spacing w:after="0" w:line="251" w:lineRule="auto"/>
        <w:rPr>
          <w:sz w:val="20"/>
          <w:szCs w:val="20"/>
          <w:color w:val="auto"/>
        </w:rPr>
      </w:pPr>
      <w:r>
        <w:rPr>
          <w:rFonts w:ascii="Courier New" w:cs="Courier New" w:eastAsia="Courier New" w:hAnsi="Courier New"/>
          <w:sz w:val="15"/>
          <w:szCs w:val="15"/>
          <w:color w:val="auto"/>
        </w:rPr>
        <w:t>terminate Executive's employment hereunder and stating the effective date and reason for such termination. Any termination by Executive of his employment without Good Reason shall be made on not less than 14 days' notice.</w:t>
      </w:r>
    </w:p>
    <w:p>
      <w:pPr>
        <w:spacing w:after="0" w:line="176" w:lineRule="exact"/>
        <w:rPr>
          <w:sz w:val="20"/>
          <w:szCs w:val="20"/>
          <w:color w:val="auto"/>
        </w:rPr>
      </w:pPr>
    </w:p>
    <w:p>
      <w:pPr>
        <w:ind w:left="640" w:hanging="275"/>
        <w:spacing w:after="0"/>
        <w:tabs>
          <w:tab w:leader="none" w:pos="640" w:val="left"/>
        </w:tabs>
        <w:numPr>
          <w:ilvl w:val="0"/>
          <w:numId w:val="6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Effect of Termination.</w:t>
      </w:r>
    </w:p>
    <w:p>
      <w:pPr>
        <w:spacing w:after="0" w:line="184" w:lineRule="exact"/>
        <w:rPr>
          <w:rFonts w:ascii="Courier New" w:cs="Courier New" w:eastAsia="Courier New" w:hAnsi="Courier New"/>
          <w:sz w:val="15"/>
          <w:szCs w:val="15"/>
          <w:b w:val="1"/>
          <w:bCs w:val="1"/>
          <w:color w:val="auto"/>
        </w:rPr>
      </w:pPr>
    </w:p>
    <w:p>
      <w:pPr>
        <w:ind w:right="2939" w:firstLine="457"/>
        <w:spacing w:after="0" w:line="251" w:lineRule="auto"/>
        <w:tabs>
          <w:tab w:leader="none" w:pos="83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Termination for Cause; Death or Disability. In the event that Executive's employment is terminated pursuant to Paragraphs 8(a), 8(b) or 8(e), on the date of termination, the Company shall be liable to Executive as follows:</w:t>
      </w:r>
    </w:p>
    <w:p>
      <w:pPr>
        <w:spacing w:after="0" w:line="176" w:lineRule="exact"/>
        <w:rPr>
          <w:rFonts w:ascii="Courier New" w:cs="Courier New" w:eastAsia="Courier New" w:hAnsi="Courier New"/>
          <w:sz w:val="15"/>
          <w:szCs w:val="15"/>
          <w:color w:val="auto"/>
        </w:rPr>
      </w:pPr>
    </w:p>
    <w:p>
      <w:pPr>
        <w:ind w:left="460" w:right="2939" w:firstLine="459"/>
        <w:spacing w:after="0" w:line="253" w:lineRule="auto"/>
        <w:tabs>
          <w:tab w:leader="none" w:pos="1290"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entitled to receive the Annual Salary due to him through the date of termination of his employment.</w:t>
      </w:r>
    </w:p>
    <w:p>
      <w:pPr>
        <w:spacing w:after="0" w:line="174" w:lineRule="exact"/>
        <w:rPr>
          <w:rFonts w:ascii="Courier New" w:cs="Courier New" w:eastAsia="Courier New" w:hAnsi="Courier New"/>
          <w:sz w:val="15"/>
          <w:szCs w:val="15"/>
          <w:color w:val="auto"/>
        </w:rPr>
      </w:pPr>
    </w:p>
    <w:p>
      <w:pPr>
        <w:ind w:left="460" w:right="2839" w:firstLine="459"/>
        <w:spacing w:after="0" w:line="251" w:lineRule="auto"/>
        <w:tabs>
          <w:tab w:leader="none" w:pos="1383"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vested rights of Executive shall be paid to Executive in accordance with the Company's plans, programs or policies. Without limiting the foregoing, in the event of the termination of Executive's employment due to death or disability (Paragraph 8(a)), the rights and benefits of Executive (or his designated beneficiary or representatives, as applicable) under any Company life, health and long-term disability plans and policies shall be determined in accordance with the terms and provisions of such plans and policies.</w:t>
      </w:r>
    </w:p>
    <w:p>
      <w:pPr>
        <w:spacing w:after="0" w:line="175" w:lineRule="exact"/>
        <w:rPr>
          <w:rFonts w:ascii="Courier New" w:cs="Courier New" w:eastAsia="Courier New" w:hAnsi="Courier New"/>
          <w:sz w:val="15"/>
          <w:szCs w:val="15"/>
          <w:color w:val="auto"/>
        </w:rPr>
      </w:pPr>
    </w:p>
    <w:p>
      <w:pPr>
        <w:ind w:left="460" w:right="2939" w:firstLine="459"/>
        <w:spacing w:after="0" w:line="252" w:lineRule="auto"/>
        <w:tabs>
          <w:tab w:leader="none" w:pos="1475"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reimburse Executive for any and all reimbursable business expenses (to the extent not already reimbursed) upon Executive's properly accounting for the same.</w:t>
      </w:r>
    </w:p>
    <w:p>
      <w:pPr>
        <w:spacing w:after="0" w:line="174" w:lineRule="exact"/>
        <w:rPr>
          <w:rFonts w:ascii="Courier New" w:cs="Courier New" w:eastAsia="Courier New" w:hAnsi="Courier New"/>
          <w:sz w:val="15"/>
          <w:szCs w:val="15"/>
          <w:color w:val="auto"/>
        </w:rPr>
      </w:pPr>
    </w:p>
    <w:p>
      <w:pPr>
        <w:ind w:right="3019" w:firstLine="457"/>
        <w:spacing w:after="0" w:line="251" w:lineRule="auto"/>
        <w:tabs>
          <w:tab w:leader="none" w:pos="83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by Executive for Good Reason. In the event that the Company terminates Executive's employment without Cause pursuant to Paragraph 8(c) or Executive terminates his employment with the Company pursuant to Paragraph 8(d), the Company shall be liable as follows:</w:t>
      </w:r>
    </w:p>
    <w:p>
      <w:pPr>
        <w:spacing w:after="0" w:line="176" w:lineRule="exact"/>
        <w:rPr>
          <w:rFonts w:ascii="Courier New" w:cs="Courier New" w:eastAsia="Courier New" w:hAnsi="Courier New"/>
          <w:sz w:val="15"/>
          <w:szCs w:val="15"/>
          <w:color w:val="auto"/>
        </w:rPr>
      </w:pPr>
    </w:p>
    <w:p>
      <w:pPr>
        <w:ind w:left="460" w:right="2839" w:firstLine="459"/>
        <w:spacing w:after="0" w:line="251" w:lineRule="auto"/>
        <w:tabs>
          <w:tab w:leader="none" w:pos="1290"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entitled to receive the Annual Salary due to him through the date of termination of his Employment. In addition, Executive shall be entitled to receive continued monthly payments of his a Annual Salary, based on the Annual Salary in effect, on the date of termination, until the first anniversary of the date of termination.</w:t>
      </w:r>
    </w:p>
    <w:p>
      <w:pPr>
        <w:spacing w:after="0" w:line="353" w:lineRule="exact"/>
        <w:rPr>
          <w:rFonts w:ascii="Courier New" w:cs="Courier New" w:eastAsia="Courier New" w:hAnsi="Courier New"/>
          <w:sz w:val="15"/>
          <w:szCs w:val="15"/>
          <w:color w:val="auto"/>
        </w:rPr>
      </w:pPr>
    </w:p>
    <w:p>
      <w:pPr>
        <w:ind w:left="460" w:right="2839" w:firstLine="459"/>
        <w:spacing w:after="0" w:line="253" w:lineRule="auto"/>
        <w:tabs>
          <w:tab w:leader="none" w:pos="1383"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vested rights of Executive shall be paid to Executive in accordance with the Company's plans, programs or policies.</w:t>
      </w:r>
    </w:p>
    <w:p>
      <w:pPr>
        <w:spacing w:after="0" w:line="174" w:lineRule="exact"/>
        <w:rPr>
          <w:rFonts w:ascii="Courier New" w:cs="Courier New" w:eastAsia="Courier New" w:hAnsi="Courier New"/>
          <w:sz w:val="15"/>
          <w:szCs w:val="15"/>
          <w:color w:val="auto"/>
        </w:rPr>
      </w:pPr>
    </w:p>
    <w:p>
      <w:pPr>
        <w:ind w:left="460" w:right="2939" w:firstLine="459"/>
        <w:spacing w:after="0" w:line="252" w:lineRule="auto"/>
        <w:tabs>
          <w:tab w:leader="none" w:pos="1475"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reimburse Executive for any and all reimbursable business expenses (to the extent not already reimbursed) upon Executive's properly accounting for the same.</w:t>
      </w:r>
    </w:p>
    <w:p>
      <w:pPr>
        <w:spacing w:after="0" w:line="174" w:lineRule="exact"/>
        <w:rPr>
          <w:rFonts w:ascii="Courier New" w:cs="Courier New" w:eastAsia="Courier New" w:hAnsi="Courier New"/>
          <w:sz w:val="15"/>
          <w:szCs w:val="15"/>
          <w:color w:val="auto"/>
        </w:rPr>
      </w:pPr>
    </w:p>
    <w:p>
      <w:pPr>
        <w:ind w:left="460" w:right="2839" w:firstLine="459"/>
        <w:spacing w:after="0" w:line="251" w:lineRule="auto"/>
        <w:tabs>
          <w:tab w:leader="none" w:pos="1383"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and/or the Executive's family shall be entitled to receive health benefits (as contemplated by Paragraph 6(c) hereof) until the first anniversary of the date of termination at least equal to those which would have been provided to them in accordance with this Agreement if</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Executive's employment had not been terminated provided that the Company's obligation to provide such benefits shall be reduced by any comparable benefits (or amounts received by Executive in respect thereof) received by Executive under the terms of new employment undertaken by Executive after termination and prior to the first anniversary of the date of termination; and provided further, that the terms of the Company's health insurance plans shall be subject to amendment during such period, to the extent that such amendments are applicable to the executive officers of the Company generally.</w:t>
      </w:r>
    </w:p>
    <w:p>
      <w:pPr>
        <w:spacing w:after="0" w:line="175" w:lineRule="exact"/>
        <w:rPr>
          <w:sz w:val="20"/>
          <w:szCs w:val="20"/>
          <w:color w:val="auto"/>
        </w:rPr>
      </w:pPr>
    </w:p>
    <w:p>
      <w:pPr>
        <w:ind w:right="2939" w:firstLine="457"/>
        <w:spacing w:after="0" w:line="251" w:lineRule="auto"/>
        <w:tabs>
          <w:tab w:leader="none" w:pos="83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on Company Liability. Except as expressly set forth in this Paragraph 9,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9.</w:t>
      </w:r>
    </w:p>
    <w:p>
      <w:pPr>
        <w:spacing w:after="0" w:line="175" w:lineRule="exact"/>
        <w:rPr>
          <w:rFonts w:ascii="Courier New" w:cs="Courier New" w:eastAsia="Courier New" w:hAnsi="Courier New"/>
          <w:sz w:val="15"/>
          <w:szCs w:val="15"/>
          <w:color w:val="auto"/>
        </w:rPr>
      </w:pPr>
    </w:p>
    <w:p>
      <w:pPr>
        <w:ind w:left="740" w:hanging="375"/>
        <w:spacing w:after="0"/>
        <w:tabs>
          <w:tab w:leader="none" w:pos="740" w:val="left"/>
        </w:tabs>
        <w:numPr>
          <w:ilvl w:val="0"/>
          <w:numId w:val="6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Company Proprietary Rights.</w:t>
      </w:r>
    </w:p>
    <w:p>
      <w:pPr>
        <w:spacing w:after="0" w:line="184" w:lineRule="exact"/>
        <w:rPr>
          <w:rFonts w:ascii="Courier New" w:cs="Courier New" w:eastAsia="Courier New" w:hAnsi="Courier New"/>
          <w:sz w:val="15"/>
          <w:szCs w:val="15"/>
          <w:b w:val="1"/>
          <w:bCs w:val="1"/>
          <w:color w:val="auto"/>
        </w:rPr>
      </w:pPr>
    </w:p>
    <w:p>
      <w:pPr>
        <w:ind w:right="2839" w:firstLine="457"/>
        <w:spacing w:after="0" w:line="251" w:lineRule="auto"/>
        <w:tabs>
          <w:tab w:leader="none" w:pos="83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to Retain Rights.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175" w:lineRule="exact"/>
        <w:rPr>
          <w:rFonts w:ascii="Courier New" w:cs="Courier New" w:eastAsia="Courier New" w:hAnsi="Courier New"/>
          <w:sz w:val="15"/>
          <w:szCs w:val="15"/>
          <w:color w:val="auto"/>
        </w:rPr>
      </w:pPr>
    </w:p>
    <w:p>
      <w:pPr>
        <w:jc w:val="both"/>
        <w:ind w:right="2939" w:firstLine="457"/>
        <w:spacing w:after="0" w:line="251" w:lineRule="auto"/>
        <w:tabs>
          <w:tab w:leader="none" w:pos="83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At the request of the Company, Executive shall, at the Company's expense but without additional consideration, execute such documents and perform such other acts as the Company may deem necessary or appropriate to vest in the Company or its designee such title</w:t>
      </w:r>
    </w:p>
    <w:p>
      <w:pPr>
        <w:sectPr>
          <w:pgSz w:w="11900" w:h="16838" w:orient="portrait"/>
          <w:cols w:equalWidth="0" w:num="1">
            <w:col w:w="9759"/>
          </w:cols>
          <w:pgMar w:left="700" w:top="319" w:right="1440" w:bottom="0" w:gutter="0" w:footer="0" w:header="0"/>
        </w:sectPr>
      </w:pPr>
    </w:p>
    <w:bookmarkStart w:id="58" w:name="page59"/>
    <w:bookmarkEnd w:id="58"/>
    <w:p>
      <w:pPr>
        <w:ind w:left="460" w:right="4060"/>
        <w:spacing w:after="0" w:line="252" w:lineRule="auto"/>
        <w:rPr>
          <w:sz w:val="20"/>
          <w:szCs w:val="20"/>
          <w:color w:val="auto"/>
        </w:rPr>
      </w:pPr>
      <w:r>
        <w:rPr>
          <w:rFonts w:ascii="Courier New" w:cs="Courier New" w:eastAsia="Courier New" w:hAnsi="Courier New"/>
          <w:sz w:val="15"/>
          <w:szCs w:val="15"/>
          <w:color w:val="auto"/>
        </w:rPr>
        <w:t>as Executive may have to all Company Intellectual Property in which Executive may be able to claim any rights by virtue of his employment under this Agreement.</w:t>
      </w:r>
    </w:p>
    <w:p>
      <w:pPr>
        <w:spacing w:after="0" w:line="175" w:lineRule="exact"/>
        <w:rPr>
          <w:sz w:val="20"/>
          <w:szCs w:val="20"/>
          <w:color w:val="auto"/>
        </w:rPr>
      </w:pPr>
    </w:p>
    <w:p>
      <w:pPr>
        <w:ind w:left="460" w:right="4060" w:firstLine="457"/>
        <w:spacing w:after="0" w:line="251" w:lineRule="auto"/>
        <w:tabs>
          <w:tab w:leader="none" w:pos="129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Material. Upon the termination of the Employment Term, including any termination of employment described in Paragraph 8, the Executive will promptly return to the Company all copies of information protected by Paragraph 10(a) hereof or by Paragraph 3(a) of the Non-Competition and Confidentiality Agreement referenced in Paragraph 7, which are in his possession, custody or control, whether prepared by him or others, and the Executive agrees that he shall not retain any of same.</w:t>
      </w:r>
    </w:p>
    <w:p>
      <w:pPr>
        <w:spacing w:after="0" w:line="175" w:lineRule="exact"/>
        <w:rPr>
          <w:rFonts w:ascii="Courier New" w:cs="Courier New" w:eastAsia="Courier New" w:hAnsi="Courier New"/>
          <w:sz w:val="15"/>
          <w:szCs w:val="15"/>
          <w:color w:val="auto"/>
        </w:rPr>
      </w:pPr>
    </w:p>
    <w:p>
      <w:pPr>
        <w:ind w:right="4160" w:firstLine="825"/>
        <w:spacing w:after="0" w:line="251" w:lineRule="auto"/>
        <w:tabs>
          <w:tab w:leader="none" w:pos="1200" w:val="left"/>
        </w:tabs>
        <w:numPr>
          <w:ilvl w:val="0"/>
          <w:numId w:val="6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Representation and Warranty of Executive. </w:t>
      </w:r>
      <w:r>
        <w:rPr>
          <w:rFonts w:ascii="Courier New" w:cs="Courier New" w:eastAsia="Courier New" w:hAnsi="Courier New"/>
          <w:sz w:val="15"/>
          <w:szCs w:val="15"/>
          <w:color w:val="auto"/>
        </w:rPr>
        <w:t>Executive represents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4060" w:firstLine="825"/>
        <w:spacing w:after="0" w:line="251" w:lineRule="auto"/>
        <w:tabs>
          <w:tab w:leader="none" w:pos="1200" w:val="left"/>
        </w:tabs>
        <w:numPr>
          <w:ilvl w:val="0"/>
          <w:numId w:val="6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Resolution of Disputes. </w:t>
      </w:r>
      <w:r>
        <w:rPr>
          <w:rFonts w:ascii="Courier New" w:cs="Courier New" w:eastAsia="Courier New" w:hAnsi="Courier New"/>
          <w:sz w:val="15"/>
          <w:szCs w:val="15"/>
          <w:color w:val="auto"/>
        </w:rPr>
        <w:t>Any dispute or claim arising out of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75" w:lineRule="exact"/>
        <w:rPr>
          <w:rFonts w:ascii="Courier New" w:cs="Courier New" w:eastAsia="Courier New" w:hAnsi="Courier New"/>
          <w:sz w:val="15"/>
          <w:szCs w:val="15"/>
          <w:b w:val="1"/>
          <w:bCs w:val="1"/>
          <w:color w:val="auto"/>
        </w:rPr>
      </w:pPr>
    </w:p>
    <w:p>
      <w:pPr>
        <w:ind w:right="4060" w:firstLine="825"/>
        <w:spacing w:after="0" w:line="251" w:lineRule="auto"/>
        <w:tabs>
          <w:tab w:leader="none" w:pos="1200" w:val="left"/>
        </w:tabs>
        <w:numPr>
          <w:ilvl w:val="0"/>
          <w:numId w:val="6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Assignment. </w:t>
      </w:r>
      <w:r>
        <w:rPr>
          <w:rFonts w:ascii="Courier New" w:cs="Courier New" w:eastAsia="Courier New" w:hAnsi="Courier New"/>
          <w:sz w:val="15"/>
          <w:szCs w:val="15"/>
          <w:color w:val="auto"/>
        </w:rPr>
        <w:t>This Agreement, and the rights and obligations of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Company may assign this Agreement in connection with a merger or consolidation involving Company or a sale of substantially all its assets to the surviving corporation or purchaser, as the case may be, so long as such assignee assumes Company's obligations hereunder.</w:t>
      </w:r>
    </w:p>
    <w:p>
      <w:pPr>
        <w:spacing w:after="0" w:line="175" w:lineRule="exact"/>
        <w:rPr>
          <w:rFonts w:ascii="Courier New" w:cs="Courier New" w:eastAsia="Courier New" w:hAnsi="Courier New"/>
          <w:sz w:val="15"/>
          <w:szCs w:val="15"/>
          <w:b w:val="1"/>
          <w:bCs w:val="1"/>
          <w:color w:val="auto"/>
        </w:rPr>
      </w:pPr>
    </w:p>
    <w:p>
      <w:pPr>
        <w:ind w:right="4060" w:firstLine="825"/>
        <w:spacing w:after="0" w:line="252" w:lineRule="auto"/>
        <w:tabs>
          <w:tab w:leader="none" w:pos="1200" w:val="left"/>
        </w:tabs>
        <w:numPr>
          <w:ilvl w:val="0"/>
          <w:numId w:val="6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Withholding. </w:t>
      </w:r>
      <w:r>
        <w:rPr>
          <w:rFonts w:ascii="Courier New" w:cs="Courier New" w:eastAsia="Courier New" w:hAnsi="Courier New"/>
          <w:sz w:val="15"/>
          <w:szCs w:val="15"/>
          <w:color w:val="auto"/>
        </w:rPr>
        <w:t>Payment of Executive's Annual Salary and payment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provision of other compensation to Executive pursuant hereto shall be subject to such reporting and withholding for applicable taxes as is required by law.</w:t>
      </w:r>
    </w:p>
    <w:p>
      <w:pPr>
        <w:spacing w:after="0" w:line="174" w:lineRule="exact"/>
        <w:rPr>
          <w:rFonts w:ascii="Courier New" w:cs="Courier New" w:eastAsia="Courier New" w:hAnsi="Courier New"/>
          <w:sz w:val="15"/>
          <w:szCs w:val="15"/>
          <w:b w:val="1"/>
          <w:bCs w:val="1"/>
          <w:color w:val="auto"/>
        </w:rPr>
      </w:pPr>
    </w:p>
    <w:p>
      <w:pPr>
        <w:ind w:right="4060" w:firstLine="825"/>
        <w:spacing w:after="0" w:line="251" w:lineRule="auto"/>
        <w:tabs>
          <w:tab w:leader="none" w:pos="1200" w:val="left"/>
        </w:tabs>
        <w:numPr>
          <w:ilvl w:val="0"/>
          <w:numId w:val="6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Certain Expenses. </w:t>
      </w:r>
      <w:r>
        <w:rPr>
          <w:rFonts w:ascii="Courier New" w:cs="Courier New" w:eastAsia="Courier New" w:hAnsi="Courier New"/>
          <w:sz w:val="15"/>
          <w:szCs w:val="15"/>
          <w:color w:val="auto"/>
        </w:rPr>
        <w:t>Company, on or before the date hereof, shall pay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directly or reimburse Executive (at Executive's discretion) for the actual legal fees and other costs and expenses, if any, incurred by Executive in connection with the preparation, finalizing and execution of this Letter.</w:t>
      </w:r>
    </w:p>
    <w:p>
      <w:pPr>
        <w:spacing w:after="0" w:line="176" w:lineRule="exact"/>
        <w:rPr>
          <w:rFonts w:ascii="Courier New" w:cs="Courier New" w:eastAsia="Courier New" w:hAnsi="Courier New"/>
          <w:sz w:val="15"/>
          <w:szCs w:val="15"/>
          <w:b w:val="1"/>
          <w:bCs w:val="1"/>
          <w:color w:val="auto"/>
        </w:rPr>
      </w:pPr>
    </w:p>
    <w:p>
      <w:pPr>
        <w:ind w:right="4060" w:firstLine="825"/>
        <w:spacing w:after="0" w:line="252" w:lineRule="auto"/>
        <w:tabs>
          <w:tab w:leader="none" w:pos="1200" w:val="left"/>
        </w:tabs>
        <w:numPr>
          <w:ilvl w:val="0"/>
          <w:numId w:val="6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Severability. </w:t>
      </w:r>
      <w:r>
        <w:rPr>
          <w:rFonts w:ascii="Courier New" w:cs="Courier New" w:eastAsia="Courier New" w:hAnsi="Courier New"/>
          <w:sz w:val="15"/>
          <w:szCs w:val="15"/>
          <w:color w:val="auto"/>
        </w:rPr>
        <w:t>In the event that any provision or portion of this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Agreement is determine to be invalid or unenforceable for any reason, in whole or in part, the remaining provisions of this Agreement will be unaffected thereby and will remain in full force and effect to the fullest extent permitted by law.</w:t>
      </w:r>
    </w:p>
    <w:p>
      <w:pPr>
        <w:spacing w:after="0" w:line="350" w:lineRule="exact"/>
        <w:rPr>
          <w:rFonts w:ascii="Courier New" w:cs="Courier New" w:eastAsia="Courier New" w:hAnsi="Courier New"/>
          <w:sz w:val="15"/>
          <w:szCs w:val="15"/>
          <w:b w:val="1"/>
          <w:bCs w:val="1"/>
          <w:color w:val="auto"/>
        </w:rPr>
      </w:pPr>
    </w:p>
    <w:p>
      <w:pPr>
        <w:ind w:right="4160" w:firstLine="825"/>
        <w:spacing w:after="0" w:line="251" w:lineRule="auto"/>
        <w:tabs>
          <w:tab w:leader="none" w:pos="1200" w:val="left"/>
        </w:tabs>
        <w:numPr>
          <w:ilvl w:val="0"/>
          <w:numId w:val="6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Notices. </w:t>
      </w:r>
      <w:r>
        <w:rPr>
          <w:rFonts w:ascii="Courier New" w:cs="Courier New" w:eastAsia="Courier New" w:hAnsi="Courier New"/>
          <w:sz w:val="15"/>
          <w:szCs w:val="15"/>
          <w:color w:val="auto"/>
        </w:rPr>
        <w:t>For all purposes of this Agreement, notices and all other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communications provided for herein shall be in writing and shall be deemed to have been duly given, in the case of a notice to the Company, when delivered to the Company at the following address, and in the case of a notice to Executive, when received by Executive, and in both cases addressed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tcPr>
          <w:p>
            <w:pPr>
              <w:ind w:left="1660"/>
              <w:spacing w:after="0"/>
              <w:rPr>
                <w:sz w:val="20"/>
                <w:szCs w:val="20"/>
                <w:color w:val="auto"/>
              </w:rPr>
            </w:pPr>
            <w:r>
              <w:rPr>
                <w:rFonts w:ascii="Courier New" w:cs="Courier New" w:eastAsia="Courier New" w:hAnsi="Courier New"/>
                <w:sz w:val="15"/>
                <w:szCs w:val="15"/>
                <w:color w:val="auto"/>
              </w:rPr>
              <w:t>If to Company, to:</w:t>
            </w:r>
          </w:p>
        </w:tc>
        <w:tc>
          <w:tcPr>
            <w:tcW w:w="2460" w:type="dxa"/>
            <w:vAlign w:val="bottom"/>
          </w:tcPr>
          <w:p>
            <w:pPr>
              <w:ind w:left="800"/>
              <w:spacing w:after="0"/>
              <w:rPr>
                <w:sz w:val="20"/>
                <w:szCs w:val="20"/>
                <w:color w:val="auto"/>
              </w:rPr>
            </w:pPr>
            <w:r>
              <w:rPr>
                <w:rFonts w:ascii="Courier New" w:cs="Courier New" w:eastAsia="Courier New" w:hAnsi="Courier New"/>
                <w:sz w:val="15"/>
                <w:szCs w:val="15"/>
                <w:color w:val="auto"/>
              </w:rPr>
              <w:t>NN, Inc.</w:t>
            </w:r>
          </w:p>
        </w:tc>
        <w:tc>
          <w:tcPr>
            <w:tcW w:w="5440" w:type="dxa"/>
            <w:vAlign w:val="bottom"/>
          </w:tcPr>
          <w:p>
            <w:pPr>
              <w:spacing w:after="0"/>
              <w:rPr>
                <w:sz w:val="14"/>
                <w:szCs w:val="14"/>
                <w:color w:val="auto"/>
              </w:rPr>
            </w:pPr>
          </w:p>
        </w:tc>
      </w:tr>
      <w:tr>
        <w:trPr>
          <w:trHeight w:val="177"/>
        </w:trPr>
        <w:tc>
          <w:tcPr>
            <w:tcW w:w="3540" w:type="dxa"/>
            <w:vAlign w:val="bottom"/>
          </w:tcPr>
          <w:p>
            <w:pPr>
              <w:spacing w:after="0"/>
              <w:rPr>
                <w:sz w:val="15"/>
                <w:szCs w:val="15"/>
                <w:color w:val="auto"/>
              </w:rPr>
            </w:pPr>
          </w:p>
        </w:tc>
        <w:tc>
          <w:tcPr>
            <w:tcW w:w="79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2000 Waters Edge Drive</w:t>
            </w:r>
          </w:p>
        </w:tc>
      </w:tr>
      <w:tr>
        <w:trPr>
          <w:trHeight w:val="177"/>
        </w:trPr>
        <w:tc>
          <w:tcPr>
            <w:tcW w:w="3540" w:type="dxa"/>
            <w:vAlign w:val="bottom"/>
          </w:tcPr>
          <w:p>
            <w:pPr>
              <w:spacing w:after="0"/>
              <w:rPr>
                <w:sz w:val="15"/>
                <w:szCs w:val="15"/>
                <w:color w:val="auto"/>
              </w:rPr>
            </w:pPr>
          </w:p>
        </w:tc>
        <w:tc>
          <w:tcPr>
            <w:tcW w:w="2460" w:type="dxa"/>
            <w:vAlign w:val="bottom"/>
          </w:tcPr>
          <w:p>
            <w:pPr>
              <w:ind w:left="800"/>
              <w:spacing w:after="0"/>
              <w:rPr>
                <w:sz w:val="20"/>
                <w:szCs w:val="20"/>
                <w:color w:val="auto"/>
              </w:rPr>
            </w:pPr>
            <w:r>
              <w:rPr>
                <w:rFonts w:ascii="Courier New" w:cs="Courier New" w:eastAsia="Courier New" w:hAnsi="Courier New"/>
                <w:sz w:val="15"/>
                <w:szCs w:val="15"/>
                <w:color w:val="auto"/>
              </w:rPr>
              <w:t>Building C, Suite</w:t>
            </w: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12</w:t>
            </w:r>
          </w:p>
        </w:tc>
      </w:tr>
      <w:tr>
        <w:trPr>
          <w:trHeight w:val="177"/>
        </w:trPr>
        <w:tc>
          <w:tcPr>
            <w:tcW w:w="3540" w:type="dxa"/>
            <w:vAlign w:val="bottom"/>
          </w:tcPr>
          <w:p>
            <w:pPr>
              <w:spacing w:after="0"/>
              <w:rPr>
                <w:sz w:val="15"/>
                <w:szCs w:val="15"/>
                <w:color w:val="auto"/>
              </w:rPr>
            </w:pPr>
          </w:p>
        </w:tc>
        <w:tc>
          <w:tcPr>
            <w:tcW w:w="79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Johnson City, Tennessee 37604</w:t>
            </w:r>
          </w:p>
        </w:tc>
      </w:tr>
      <w:tr>
        <w:trPr>
          <w:trHeight w:val="177"/>
        </w:trPr>
        <w:tc>
          <w:tcPr>
            <w:tcW w:w="3540" w:type="dxa"/>
            <w:vAlign w:val="bottom"/>
          </w:tcPr>
          <w:p>
            <w:pPr>
              <w:spacing w:after="0"/>
              <w:rPr>
                <w:sz w:val="15"/>
                <w:szCs w:val="15"/>
                <w:color w:val="auto"/>
              </w:rPr>
            </w:pPr>
          </w:p>
        </w:tc>
        <w:tc>
          <w:tcPr>
            <w:tcW w:w="79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Attention: President</w:t>
            </w:r>
          </w:p>
        </w:tc>
      </w:tr>
      <w:tr>
        <w:trPr>
          <w:trHeight w:val="355"/>
        </w:trPr>
        <w:tc>
          <w:tcPr>
            <w:tcW w:w="3540" w:type="dxa"/>
            <w:vAlign w:val="bottom"/>
          </w:tcPr>
          <w:p>
            <w:pPr>
              <w:ind w:left="1660"/>
              <w:spacing w:after="0"/>
              <w:rPr>
                <w:sz w:val="20"/>
                <w:szCs w:val="20"/>
                <w:color w:val="auto"/>
              </w:rPr>
            </w:pPr>
            <w:r>
              <w:rPr>
                <w:rFonts w:ascii="Courier New" w:cs="Courier New" w:eastAsia="Courier New" w:hAnsi="Courier New"/>
                <w:sz w:val="15"/>
                <w:szCs w:val="15"/>
                <w:color w:val="auto"/>
              </w:rPr>
              <w:t>If to Executive, to:</w:t>
            </w:r>
          </w:p>
        </w:tc>
        <w:tc>
          <w:tcPr>
            <w:tcW w:w="2460" w:type="dxa"/>
            <w:vAlign w:val="bottom"/>
          </w:tcPr>
          <w:p>
            <w:pPr>
              <w:ind w:left="800"/>
              <w:spacing w:after="0"/>
              <w:rPr>
                <w:sz w:val="20"/>
                <w:szCs w:val="20"/>
                <w:color w:val="auto"/>
              </w:rPr>
            </w:pPr>
            <w:r>
              <w:rPr>
                <w:rFonts w:ascii="Courier New" w:cs="Courier New" w:eastAsia="Courier New" w:hAnsi="Courier New"/>
                <w:sz w:val="15"/>
                <w:szCs w:val="15"/>
                <w:color w:val="auto"/>
              </w:rPr>
              <w:t>Robert R. Sams</w:t>
            </w:r>
          </w:p>
        </w:tc>
        <w:tc>
          <w:tcPr>
            <w:tcW w:w="5440" w:type="dxa"/>
            <w:vAlign w:val="bottom"/>
          </w:tcPr>
          <w:p>
            <w:pPr>
              <w:spacing w:after="0"/>
              <w:rPr>
                <w:sz w:val="24"/>
                <w:szCs w:val="24"/>
                <w:color w:val="auto"/>
              </w:rPr>
            </w:pPr>
          </w:p>
        </w:tc>
      </w:tr>
      <w:tr>
        <w:trPr>
          <w:trHeight w:val="177"/>
        </w:trPr>
        <w:tc>
          <w:tcPr>
            <w:tcW w:w="3540" w:type="dxa"/>
            <w:vAlign w:val="bottom"/>
          </w:tcPr>
          <w:p>
            <w:pPr>
              <w:spacing w:after="0"/>
              <w:rPr>
                <w:sz w:val="15"/>
                <w:szCs w:val="15"/>
                <w:color w:val="auto"/>
              </w:rPr>
            </w:pPr>
          </w:p>
        </w:tc>
        <w:tc>
          <w:tcPr>
            <w:tcW w:w="2460" w:type="dxa"/>
            <w:vAlign w:val="bottom"/>
          </w:tcPr>
          <w:p>
            <w:pPr>
              <w:ind w:left="800"/>
              <w:spacing w:after="0"/>
              <w:rPr>
                <w:sz w:val="20"/>
                <w:szCs w:val="20"/>
                <w:color w:val="auto"/>
              </w:rPr>
            </w:pPr>
            <w:r>
              <w:rPr>
                <w:rFonts w:ascii="Courier New" w:cs="Courier New" w:eastAsia="Courier New" w:hAnsi="Courier New"/>
                <w:sz w:val="15"/>
                <w:szCs w:val="15"/>
                <w:color w:val="auto"/>
              </w:rPr>
              <w:t>2311 Granite Drive</w:t>
            </w:r>
          </w:p>
        </w:tc>
        <w:tc>
          <w:tcPr>
            <w:tcW w:w="5440" w:type="dxa"/>
            <w:vAlign w:val="bottom"/>
          </w:tcPr>
          <w:p>
            <w:pPr>
              <w:spacing w:after="0"/>
              <w:rPr>
                <w:sz w:val="15"/>
                <w:szCs w:val="15"/>
                <w:color w:val="auto"/>
              </w:rPr>
            </w:pPr>
          </w:p>
        </w:tc>
      </w:tr>
      <w:tr>
        <w:trPr>
          <w:trHeight w:val="177"/>
        </w:trPr>
        <w:tc>
          <w:tcPr>
            <w:tcW w:w="3540" w:type="dxa"/>
            <w:vAlign w:val="bottom"/>
          </w:tcPr>
          <w:p>
            <w:pPr>
              <w:spacing w:after="0"/>
              <w:rPr>
                <w:sz w:val="15"/>
                <w:szCs w:val="15"/>
                <w:color w:val="auto"/>
              </w:rPr>
            </w:pPr>
          </w:p>
        </w:tc>
        <w:tc>
          <w:tcPr>
            <w:tcW w:w="2460" w:type="dxa"/>
            <w:vAlign w:val="bottom"/>
          </w:tcPr>
          <w:p>
            <w:pPr>
              <w:ind w:left="800"/>
              <w:spacing w:after="0"/>
              <w:rPr>
                <w:sz w:val="20"/>
                <w:szCs w:val="20"/>
                <w:color w:val="auto"/>
              </w:rPr>
            </w:pPr>
            <w:r>
              <w:rPr>
                <w:rFonts w:ascii="Courier New" w:cs="Courier New" w:eastAsia="Courier New" w:hAnsi="Courier New"/>
                <w:sz w:val="15"/>
                <w:szCs w:val="15"/>
                <w:color w:val="auto"/>
              </w:rPr>
              <w:t>Johnson City, TN</w:t>
            </w: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37604</w:t>
            </w:r>
          </w:p>
        </w:tc>
      </w:tr>
      <w:tr>
        <w:trPr>
          <w:trHeight w:val="532"/>
        </w:trPr>
        <w:tc>
          <w:tcPr>
            <w:tcW w:w="3540" w:type="dxa"/>
            <w:vAlign w:val="bottom"/>
          </w:tcPr>
          <w:p>
            <w:pPr>
              <w:spacing w:after="0"/>
              <w:rPr>
                <w:sz w:val="24"/>
                <w:szCs w:val="24"/>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5"/>
                <w:szCs w:val="15"/>
                <w:color w:val="auto"/>
              </w:rPr>
              <w:t>6</w:t>
            </w:r>
          </w:p>
        </w:tc>
        <w:tc>
          <w:tcPr>
            <w:tcW w:w="5440" w:type="dxa"/>
            <w:vAlign w:val="bottom"/>
          </w:tcPr>
          <w:p>
            <w:pPr>
              <w:spacing w:after="0"/>
              <w:rPr>
                <w:sz w:val="24"/>
                <w:szCs w:val="24"/>
                <w:color w:val="auto"/>
              </w:rPr>
            </w:pPr>
          </w:p>
        </w:tc>
      </w:tr>
      <w:tr>
        <w:trPr>
          <w:trHeight w:val="161"/>
        </w:trPr>
        <w:tc>
          <w:tcPr>
            <w:tcW w:w="3540" w:type="dxa"/>
            <w:vAlign w:val="bottom"/>
            <w:tcBorders>
              <w:bottom w:val="single" w:sz="8" w:color="9A9A9A"/>
            </w:tcBorders>
          </w:tcPr>
          <w:p>
            <w:pPr>
              <w:spacing w:after="0"/>
              <w:rPr>
                <w:sz w:val="13"/>
                <w:szCs w:val="13"/>
                <w:color w:val="auto"/>
              </w:rPr>
            </w:pPr>
          </w:p>
        </w:tc>
        <w:tc>
          <w:tcPr>
            <w:tcW w:w="2460" w:type="dxa"/>
            <w:vAlign w:val="bottom"/>
            <w:tcBorders>
              <w:bottom w:val="single" w:sz="8" w:color="9A9A9A"/>
            </w:tcBorders>
          </w:tcPr>
          <w:p>
            <w:pPr>
              <w:spacing w:after="0"/>
              <w:rPr>
                <w:sz w:val="13"/>
                <w:szCs w:val="13"/>
                <w:color w:val="auto"/>
              </w:rPr>
            </w:pPr>
          </w:p>
        </w:tc>
        <w:tc>
          <w:tcPr>
            <w:tcW w:w="544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-27305</wp:posOffset>
            </wp:positionV>
            <wp:extent cx="3302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313" w:lineRule="exact"/>
        <w:rPr>
          <w:sz w:val="20"/>
          <w:szCs w:val="20"/>
          <w:color w:val="auto"/>
        </w:rPr>
      </w:pPr>
    </w:p>
    <w:p>
      <w:pPr>
        <w:ind w:right="4060" w:firstLine="825"/>
        <w:spacing w:after="0" w:line="251" w:lineRule="auto"/>
        <w:tabs>
          <w:tab w:leader="none" w:pos="1200" w:val="left"/>
        </w:tabs>
        <w:numPr>
          <w:ilvl w:val="0"/>
          <w:numId w:val="6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Modifications and Waivers. </w:t>
      </w:r>
      <w:r>
        <w:rPr>
          <w:rFonts w:ascii="Courier New" w:cs="Courier New" w:eastAsia="Courier New" w:hAnsi="Courier New"/>
          <w:sz w:val="15"/>
          <w:szCs w:val="15"/>
          <w:color w:val="auto"/>
        </w:rPr>
        <w:t>No provision of this Agreement may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modified or discharged unless such modification or discharge is authorized by the Board and is agreed to in writing, signed by the Executive and by an officer of the Company duly authorized by the Board. No waiver by either party hereto of any breach by the other party hereto of any condition or provision of this Agreement to be performed by such other party will be deemed a waiver of similar or dissimilar provisions or conditions at the time or at any prior or subsequent time.</w:t>
      </w:r>
    </w:p>
    <w:p>
      <w:pPr>
        <w:spacing w:after="0" w:line="175" w:lineRule="exact"/>
        <w:rPr>
          <w:rFonts w:ascii="Courier New" w:cs="Courier New" w:eastAsia="Courier New" w:hAnsi="Courier New"/>
          <w:sz w:val="15"/>
          <w:szCs w:val="15"/>
          <w:b w:val="1"/>
          <w:bCs w:val="1"/>
          <w:color w:val="auto"/>
        </w:rPr>
      </w:pPr>
    </w:p>
    <w:p>
      <w:pPr>
        <w:ind w:right="4440" w:firstLine="825"/>
        <w:spacing w:after="0" w:line="251" w:lineRule="auto"/>
        <w:tabs>
          <w:tab w:leader="none" w:pos="1200" w:val="left"/>
        </w:tabs>
        <w:numPr>
          <w:ilvl w:val="0"/>
          <w:numId w:val="6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Entire Agreement. </w:t>
      </w:r>
      <w:r>
        <w:rPr>
          <w:rFonts w:ascii="Courier New" w:cs="Courier New" w:eastAsia="Courier New" w:hAnsi="Courier New"/>
          <w:sz w:val="15"/>
          <w:szCs w:val="15"/>
          <w:color w:val="auto"/>
        </w:rPr>
        <w:t>This Agreement and the Non-Competition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Confidentially Agreement constitute the entire understanding of the parties hereto with respect to their subject matter. This Agreement and the Non-Competition and Confidentiality Agreement supersede all prior agreements between the parties hereto with respect to their subject matter.</w:t>
      </w:r>
    </w:p>
    <w:p>
      <w:pPr>
        <w:sectPr>
          <w:pgSz w:w="11900" w:h="16838" w:orient="portrait"/>
          <w:cols w:equalWidth="0" w:num="1">
            <w:col w:w="11440"/>
          </w:cols>
          <w:pgMar w:left="240" w:top="142" w:right="219" w:bottom="0" w:gutter="0" w:footer="0" w:header="0"/>
        </w:sectPr>
      </w:pPr>
    </w:p>
    <w:bookmarkStart w:id="59" w:name="page60"/>
    <w:bookmarkEnd w:id="59"/>
    <w:p>
      <w:pPr>
        <w:ind w:right="3019" w:firstLine="825"/>
        <w:spacing w:after="0" w:line="253" w:lineRule="auto"/>
        <w:tabs>
          <w:tab w:leader="none" w:pos="1200" w:val="left"/>
        </w:tabs>
        <w:numPr>
          <w:ilvl w:val="0"/>
          <w:numId w:val="6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Governing Law. </w:t>
      </w:r>
      <w:r>
        <w:rPr>
          <w:rFonts w:ascii="Courier New" w:cs="Courier New" w:eastAsia="Courier New" w:hAnsi="Courier New"/>
          <w:sz w:val="15"/>
          <w:szCs w:val="15"/>
          <w:color w:val="auto"/>
        </w:rPr>
        <w:t>This Agreement will be governed by the laws of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State of Tennessee without regard for its conflict of laws rules.</w:t>
      </w:r>
    </w:p>
    <w:p>
      <w:pPr>
        <w:spacing w:after="0" w:line="174" w:lineRule="exact"/>
        <w:rPr>
          <w:rFonts w:ascii="Courier New" w:cs="Courier New" w:eastAsia="Courier New" w:hAnsi="Courier New"/>
          <w:sz w:val="15"/>
          <w:szCs w:val="15"/>
          <w:b w:val="1"/>
          <w:bCs w:val="1"/>
          <w:color w:val="auto"/>
        </w:rPr>
      </w:pPr>
    </w:p>
    <w:p>
      <w:pPr>
        <w:jc w:val="both"/>
        <w:ind w:right="2939" w:firstLine="825"/>
        <w:spacing w:after="0" w:line="252" w:lineRule="auto"/>
        <w:tabs>
          <w:tab w:leader="none" w:pos="1200" w:val="left"/>
        </w:tabs>
        <w:numPr>
          <w:ilvl w:val="0"/>
          <w:numId w:val="6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Counterparts. </w:t>
      </w:r>
      <w:r>
        <w:rPr>
          <w:rFonts w:ascii="Courier New" w:cs="Courier New" w:eastAsia="Courier New" w:hAnsi="Courier New"/>
          <w:sz w:val="15"/>
          <w:szCs w:val="15"/>
          <w:color w:val="auto"/>
        </w:rPr>
        <w:t>This Agreement may be executed simultaneously in one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or more counterparts, each of which will be deemed to be an original but all of which together will constitute one and the same instrument.</w:t>
      </w:r>
    </w:p>
    <w:p>
      <w:pPr>
        <w:spacing w:after="0" w:line="174" w:lineRule="exact"/>
        <w:rPr>
          <w:rFonts w:ascii="Courier New" w:cs="Courier New" w:eastAsia="Courier New" w:hAnsi="Courier New"/>
          <w:sz w:val="15"/>
          <w:szCs w:val="15"/>
          <w:b w:val="1"/>
          <w:bCs w:val="1"/>
          <w:color w:val="auto"/>
        </w:rPr>
      </w:pPr>
    </w:p>
    <w:p>
      <w:pPr>
        <w:ind w:right="2839" w:firstLine="825"/>
        <w:spacing w:after="0" w:line="251" w:lineRule="auto"/>
        <w:tabs>
          <w:tab w:leader="none" w:pos="1200" w:val="left"/>
        </w:tabs>
        <w:numPr>
          <w:ilvl w:val="0"/>
          <w:numId w:val="6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Headings, Etc. </w:t>
      </w:r>
      <w:r>
        <w:rPr>
          <w:rFonts w:ascii="Courier New" w:cs="Courier New" w:eastAsia="Courier New" w:hAnsi="Courier New"/>
          <w:sz w:val="15"/>
          <w:szCs w:val="15"/>
          <w:color w:val="auto"/>
        </w:rPr>
        <w:t>The section headings contained in this Agreement are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for convenience of reference only and will not be deemed to control or affect the meaning or construction of any provision of this Agreement. Reference to Paragraphs are to Paragraphs in this Agreement.</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 WITNESS WHEREOF, the parties hereto have executed this Agreement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date first above written.</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NN, INC.</w:t>
      </w:r>
    </w:p>
    <w:p>
      <w:pPr>
        <w:spacing w:after="0" w:line="185" w:lineRule="exact"/>
        <w:rPr>
          <w:sz w:val="20"/>
          <w:szCs w:val="20"/>
          <w:color w:val="auto"/>
        </w:rPr>
      </w:pPr>
    </w:p>
    <w:p>
      <w:pPr>
        <w:ind w:left="3320"/>
        <w:spacing w:after="0"/>
        <w:tabs>
          <w:tab w:leader="none" w:pos="41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Roderick R. Baty</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Robert R. Sams</w:t>
      </w:r>
    </w:p>
    <w:p>
      <w:pPr>
        <w:spacing w:after="0" w:line="185" w:lineRule="exact"/>
        <w:rPr>
          <w:sz w:val="20"/>
          <w:szCs w:val="20"/>
          <w:color w:val="auto"/>
        </w:rPr>
      </w:pPr>
    </w:p>
    <w:p>
      <w:pPr>
        <w:ind w:left="3320"/>
        <w:spacing w:after="0"/>
        <w:tabs>
          <w:tab w:leader="none" w:pos="41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Robert R. Sams</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42"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b w:val="1"/>
          <w:bCs w:val="1"/>
          <w:color w:val="auto"/>
        </w:rPr>
        <w:t>Exhibit 10.21</w:t>
      </w:r>
    </w:p>
    <w:p>
      <w:pPr>
        <w:spacing w:after="0" w:line="200" w:lineRule="exact"/>
        <w:rPr>
          <w:sz w:val="20"/>
          <w:szCs w:val="20"/>
          <w:color w:val="auto"/>
        </w:rPr>
      </w:pPr>
    </w:p>
    <w:p>
      <w:pPr>
        <w:spacing w:after="0" w:line="340"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b w:val="1"/>
          <w:bCs w:val="1"/>
          <w:color w:val="auto"/>
        </w:rPr>
        <w:t>CHANGE OF CONTROL AND NONCOMPETITION AGREEMENT</w:t>
      </w:r>
    </w:p>
    <w:p>
      <w:pPr>
        <w:spacing w:after="0" w:line="36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THIS AGREEMENT ("Agreement") </w:t>
      </w:r>
      <w:r>
        <w:rPr>
          <w:rFonts w:ascii="Courier New" w:cs="Courier New" w:eastAsia="Courier New" w:hAnsi="Courier New"/>
          <w:sz w:val="15"/>
          <w:szCs w:val="15"/>
          <w:color w:val="auto"/>
        </w:rPr>
        <w:t>is made and entered into this 21st day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January, 2002, by and between ROBERT R. SAMS ("</w:t>
      </w:r>
      <w:r>
        <w:rPr>
          <w:rFonts w:ascii="Courier New" w:cs="Courier New" w:eastAsia="Courier New" w:hAnsi="Courier New"/>
          <w:sz w:val="15"/>
          <w:szCs w:val="15"/>
          <w:b w:val="1"/>
          <w:bCs w:val="1"/>
          <w:color w:val="auto"/>
        </w:rPr>
        <w:t>Employee</w:t>
      </w:r>
      <w:r>
        <w:rPr>
          <w:rFonts w:ascii="Courier New" w:cs="Courier New" w:eastAsia="Courier New" w:hAnsi="Courier New"/>
          <w:sz w:val="15"/>
          <w:szCs w:val="15"/>
          <w:color w:val="auto"/>
        </w:rPr>
        <w:t>") and NN, INC., a Delaware corporation, including its wholly-owned subsidiaries and affiliated companies (collectively, "</w:t>
      </w:r>
      <w:r>
        <w:rPr>
          <w:rFonts w:ascii="Courier New" w:cs="Courier New" w:eastAsia="Courier New" w:hAnsi="Courier New"/>
          <w:sz w:val="15"/>
          <w:szCs w:val="15"/>
          <w:b w:val="1"/>
          <w:bCs w:val="1"/>
          <w:color w:val="auto"/>
        </w:rPr>
        <w:t>Employer</w:t>
      </w:r>
      <w:r>
        <w:rPr>
          <w:rFonts w:ascii="Courier New" w:cs="Courier New" w:eastAsia="Courier New" w:hAnsi="Courier New"/>
          <w:sz w:val="15"/>
          <w:szCs w:val="15"/>
          <w:color w:val="auto"/>
        </w:rPr>
        <w:t>").</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RECITALS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WHEREAS, </w:t>
      </w:r>
      <w:r>
        <w:rPr>
          <w:rFonts w:ascii="Courier New" w:cs="Courier New" w:eastAsia="Courier New" w:hAnsi="Courier New"/>
          <w:sz w:val="15"/>
          <w:szCs w:val="15"/>
          <w:color w:val="auto"/>
        </w:rPr>
        <w:t>the Board of Directors of Employer (the "</w:t>
      </w:r>
      <w:r>
        <w:rPr>
          <w:rFonts w:ascii="Courier New" w:cs="Courier New" w:eastAsia="Courier New" w:hAnsi="Courier New"/>
          <w:sz w:val="15"/>
          <w:szCs w:val="15"/>
          <w:b w:val="1"/>
          <w:bCs w:val="1"/>
          <w:color w:val="auto"/>
        </w:rPr>
        <w:t>Board</w:t>
      </w:r>
      <w:r>
        <w:rPr>
          <w:rFonts w:ascii="Courier New" w:cs="Courier New" w:eastAsia="Courier New" w:hAnsi="Courier New"/>
          <w:sz w:val="15"/>
          <w:szCs w:val="15"/>
          <w:color w:val="auto"/>
        </w:rPr>
        <w:t>") has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determined that it is in the best interests of Employer to reinforce and encourage the continuity of management personnel in anticipation of a possible or potential Change of Control (as defined below); and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WHEREAS, </w:t>
      </w:r>
      <w:r>
        <w:rPr>
          <w:rFonts w:ascii="Courier New" w:cs="Courier New" w:eastAsia="Courier New" w:hAnsi="Courier New"/>
          <w:sz w:val="15"/>
          <w:szCs w:val="15"/>
          <w:color w:val="auto"/>
        </w:rPr>
        <w:t>the Board believes this objective can best be served by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providing for a compensation arrangement for Employee upon Employee's termination of employment under certain circumstances in the event of a Change of Control.</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b w:val="1"/>
          <w:bCs w:val="1"/>
          <w:color w:val="auto"/>
        </w:rPr>
        <w:t xml:space="preserve">NOW, THEREFORE, </w:t>
      </w:r>
      <w:r>
        <w:rPr>
          <w:rFonts w:ascii="Courier New" w:cs="Courier New" w:eastAsia="Courier New" w:hAnsi="Courier New"/>
          <w:sz w:val="15"/>
          <w:szCs w:val="15"/>
          <w:color w:val="auto"/>
        </w:rPr>
        <w:t>in consideration of the mutual promises and covenants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as hereinafter set forth, the parties agree as follows:</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left="1100" w:hanging="275"/>
        <w:spacing w:after="0"/>
        <w:tabs>
          <w:tab w:leader="none" w:pos="1100" w:val="left"/>
        </w:tabs>
        <w:numPr>
          <w:ilvl w:val="0"/>
          <w:numId w:val="6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General. </w:t>
      </w:r>
      <w:r>
        <w:rPr>
          <w:rFonts w:ascii="Courier New" w:cs="Courier New" w:eastAsia="Courier New" w:hAnsi="Courier New"/>
          <w:sz w:val="15"/>
          <w:szCs w:val="15"/>
          <w:color w:val="auto"/>
        </w:rPr>
        <w:t>Employer is engaged in the (i) manufacture and supply</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of precision steel balls and rollers to domestic and international anti-friction bearing manufacturers, automotive original equipment manufacturers and the automotive aftermarket, the gas and mining industries, producers of drilling bits for oil, gas and water wells and producers of stainless steel valves and pumps, (ii) full-service design and manufacture of plastic injection molded components to the bearing, automotive, electronic, leisure and consumer markets, and (iii) the manufacture and supply of rubber seals to domestic and international anti-friction bearing manufacturers. Employee is employed by Employer in a senior management position in which Employee has or will have access to the Employer's confidential information and trade secrets.</w:t>
      </w:r>
    </w:p>
    <w:p>
      <w:pPr>
        <w:spacing w:after="0" w:line="182" w:lineRule="exact"/>
        <w:rPr>
          <w:sz w:val="20"/>
          <w:szCs w:val="20"/>
          <w:color w:val="auto"/>
        </w:rPr>
      </w:pPr>
    </w:p>
    <w:p>
      <w:pPr>
        <w:ind w:right="3019" w:firstLine="825"/>
        <w:spacing w:after="0" w:line="251" w:lineRule="auto"/>
        <w:tabs>
          <w:tab w:leader="none" w:pos="1107" w:val="left"/>
        </w:tabs>
        <w:numPr>
          <w:ilvl w:val="0"/>
          <w:numId w:val="7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Employment Relationship. </w:t>
      </w:r>
      <w:r>
        <w:rPr>
          <w:rFonts w:ascii="Courier New" w:cs="Courier New" w:eastAsia="Courier New" w:hAnsi="Courier New"/>
          <w:sz w:val="15"/>
          <w:szCs w:val="15"/>
          <w:color w:val="auto"/>
        </w:rPr>
        <w:t>Except as specifically set forth herein,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the terms and conditions of Employee's employment are set forth in the Employment Agreement dated January 21, 2002 between Employee and Employer (the "Employment Agreement"), a copy of which is attached hereto as Exhibit A.</w:t>
      </w:r>
    </w:p>
    <w:p>
      <w:pPr>
        <w:spacing w:after="0" w:line="176" w:lineRule="exact"/>
        <w:rPr>
          <w:rFonts w:ascii="Courier New" w:cs="Courier New" w:eastAsia="Courier New" w:hAnsi="Courier New"/>
          <w:sz w:val="15"/>
          <w:szCs w:val="15"/>
          <w:b w:val="1"/>
          <w:bCs w:val="1"/>
          <w:color w:val="auto"/>
        </w:rPr>
      </w:pPr>
    </w:p>
    <w:p>
      <w:pPr>
        <w:ind w:left="1100" w:hanging="275"/>
        <w:spacing w:after="0"/>
        <w:tabs>
          <w:tab w:leader="none" w:pos="1100" w:val="left"/>
        </w:tabs>
        <w:numPr>
          <w:ilvl w:val="0"/>
          <w:numId w:val="7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Upon Change of Control.</w:t>
      </w:r>
    </w:p>
    <w:p>
      <w:pPr>
        <w:spacing w:after="0" w:line="184" w:lineRule="exact"/>
        <w:rPr>
          <w:rFonts w:ascii="Courier New" w:cs="Courier New" w:eastAsia="Courier New" w:hAnsi="Courier New"/>
          <w:sz w:val="15"/>
          <w:szCs w:val="15"/>
          <w:b w:val="1"/>
          <w:bCs w:val="1"/>
          <w:color w:val="auto"/>
        </w:rPr>
      </w:pPr>
    </w:p>
    <w:p>
      <w:pPr>
        <w:ind w:left="920" w:right="2839" w:firstLine="459"/>
        <w:spacing w:after="0" w:line="251" w:lineRule="auto"/>
        <w:tabs>
          <w:tab w:leader="none" w:pos="175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In the event that Employee's employment is terminated within two (2) years following a "Change of Control" (as defined below) and such termination is either (i) Without Cause (as defined below), or (ii) is a Constructive Termination (as defined below), Employee shall receive, in addition to all compensation due and payable to or accrued for the benefit of Employee as of the date of termination: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4" w:lineRule="exact"/>
        <w:rPr>
          <w:rFonts w:ascii="Courier New" w:cs="Courier New" w:eastAsia="Courier New" w:hAnsi="Courier New"/>
          <w:sz w:val="15"/>
          <w:szCs w:val="15"/>
          <w:color w:val="auto"/>
        </w:rPr>
      </w:pPr>
    </w:p>
    <w:p>
      <w:pPr>
        <w:ind w:left="1380" w:right="2839" w:firstLine="460"/>
        <w:spacing w:after="0" w:line="251" w:lineRule="auto"/>
        <w:tabs>
          <w:tab w:leader="none" w:pos="2210"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equal to an amount set forth on Schedule A to this Agreement ("</w:t>
      </w:r>
      <w:r>
        <w:rPr>
          <w:rFonts w:ascii="Courier New" w:cs="Courier New" w:eastAsia="Courier New" w:hAnsi="Courier New"/>
          <w:sz w:val="15"/>
          <w:szCs w:val="15"/>
          <w:b w:val="1"/>
          <w:bCs w:val="1"/>
          <w:color w:val="auto"/>
        </w:rPr>
        <w:t>Severance Payment</w:t>
      </w:r>
      <w:r>
        <w:rPr>
          <w:rFonts w:ascii="Courier New" w:cs="Courier New" w:eastAsia="Courier New" w:hAnsi="Courier New"/>
          <w:sz w:val="15"/>
          <w:szCs w:val="15"/>
          <w:color w:val="auto"/>
        </w:rPr>
        <w:t>"). The Severance Payment shall be made by wire transfer of immediately available funds to an account designated by Employee within seven (7) business days following the date of termination;</w:t>
      </w:r>
    </w:p>
    <w:p>
      <w:pPr>
        <w:spacing w:after="0" w:line="176" w:lineRule="exact"/>
        <w:rPr>
          <w:rFonts w:ascii="Courier New" w:cs="Courier New" w:eastAsia="Courier New" w:hAnsi="Courier New"/>
          <w:sz w:val="15"/>
          <w:szCs w:val="15"/>
          <w:color w:val="auto"/>
        </w:rPr>
      </w:pPr>
    </w:p>
    <w:p>
      <w:pPr>
        <w:ind w:left="1380" w:right="2939" w:firstLine="460"/>
        <w:spacing w:after="0" w:line="251" w:lineRule="auto"/>
        <w:tabs>
          <w:tab w:leader="none" w:pos="2303"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equal to the annual bonus to which Employee would have been entitled but for Employee's termination of employment for the year of Employee's termination, pro-rated for the portion of the year during which he was employed by Employer ("</w:t>
      </w:r>
      <w:r>
        <w:rPr>
          <w:rFonts w:ascii="Courier New" w:cs="Courier New" w:eastAsia="Courier New" w:hAnsi="Courier New"/>
          <w:sz w:val="15"/>
          <w:szCs w:val="15"/>
          <w:b w:val="1"/>
          <w:bCs w:val="1"/>
          <w:color w:val="auto"/>
        </w:rPr>
        <w:t>Pro-rated Bonus</w:t>
      </w:r>
      <w:r>
        <w:rPr>
          <w:rFonts w:ascii="Courier New" w:cs="Courier New" w:eastAsia="Courier New" w:hAnsi="Courier New"/>
          <w:sz w:val="15"/>
          <w:szCs w:val="15"/>
          <w:color w:val="auto"/>
        </w:rPr>
        <w:t>"). The Pro-rated Bonus shall be payable to Employee at the end of the calendar year for which the bonus is payable, in accordance with Employer's normal bonus procedures; and</w:t>
      </w:r>
    </w:p>
    <w:p>
      <w:pPr>
        <w:spacing w:after="0" w:line="175" w:lineRule="exact"/>
        <w:rPr>
          <w:rFonts w:ascii="Courier New" w:cs="Courier New" w:eastAsia="Courier New" w:hAnsi="Courier New"/>
          <w:sz w:val="15"/>
          <w:szCs w:val="15"/>
          <w:color w:val="auto"/>
        </w:rPr>
      </w:pPr>
    </w:p>
    <w:p>
      <w:pPr>
        <w:ind w:left="1380" w:right="3019" w:firstLine="460"/>
        <w:spacing w:after="0" w:line="250" w:lineRule="auto"/>
        <w:tabs>
          <w:tab w:leader="none" w:pos="2395"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twenty-four months after such termination (the "</w:t>
      </w:r>
      <w:r>
        <w:rPr>
          <w:rFonts w:ascii="Courier New" w:cs="Courier New" w:eastAsia="Courier New" w:hAnsi="Courier New"/>
          <w:sz w:val="15"/>
          <w:szCs w:val="15"/>
          <w:b w:val="1"/>
          <w:bCs w:val="1"/>
          <w:color w:val="auto"/>
        </w:rPr>
        <w:t>Coverage Period</w:t>
      </w:r>
      <w:r>
        <w:rPr>
          <w:rFonts w:ascii="Courier New" w:cs="Courier New" w:eastAsia="Courier New" w:hAnsi="Courier New"/>
          <w:sz w:val="15"/>
          <w:szCs w:val="15"/>
          <w:color w:val="auto"/>
        </w:rPr>
        <w:t>"), medical, dental, prescription drug, life, accidental death and disability insurance coverage substantially similar to the coverage which Employee was receiving or entitled to receive immediately prior to the date of the termination of Employee's employment ("</w:t>
      </w:r>
      <w:r>
        <w:rPr>
          <w:rFonts w:ascii="Courier New" w:cs="Courier New" w:eastAsia="Courier New" w:hAnsi="Courier New"/>
          <w:sz w:val="15"/>
          <w:szCs w:val="15"/>
          <w:b w:val="1"/>
          <w:bCs w:val="1"/>
          <w:color w:val="auto"/>
        </w:rPr>
        <w:t>Insurance Benefits</w:t>
      </w:r>
      <w:r>
        <w:rPr>
          <w:rFonts w:ascii="Courier New" w:cs="Courier New" w:eastAsia="Courier New" w:hAnsi="Courier New"/>
          <w:sz w:val="15"/>
          <w:szCs w:val="15"/>
          <w:color w:val="auto"/>
        </w:rPr>
        <w:t>"). Notwithstanding the foregoing, Employee shall not be entitled to receive the Insurance Benefits (or a portion thereof) to the extent that Employee obtains other employment that provides equal or greater benefits during the Coverage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-3164840</wp:posOffset>
            </wp:positionV>
            <wp:extent cx="728916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162"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The Severance Payment, Pro-rated Bonus and Insurance Benefits are collectively referred to in this Agreement as the "Severance Benefit."</w:t>
      </w:r>
    </w:p>
    <w:p>
      <w:pPr>
        <w:spacing w:after="0" w:line="174" w:lineRule="exact"/>
        <w:rPr>
          <w:sz w:val="20"/>
          <w:szCs w:val="20"/>
          <w:color w:val="auto"/>
        </w:rPr>
      </w:pPr>
    </w:p>
    <w:p>
      <w:pPr>
        <w:ind w:left="1740" w:hanging="361"/>
        <w:spacing w:after="0"/>
        <w:tabs>
          <w:tab w:leader="none" w:pos="17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Excise Tax.</w:t>
      </w:r>
    </w:p>
    <w:p>
      <w:pPr>
        <w:spacing w:after="0" w:line="184" w:lineRule="exact"/>
        <w:rPr>
          <w:rFonts w:ascii="Courier New" w:cs="Courier New" w:eastAsia="Courier New" w:hAnsi="Courier New"/>
          <w:sz w:val="15"/>
          <w:szCs w:val="15"/>
          <w:color w:val="auto"/>
        </w:rPr>
      </w:pPr>
    </w:p>
    <w:p>
      <w:pPr>
        <w:ind w:left="2200" w:hanging="360"/>
        <w:spacing w:after="0"/>
        <w:tabs>
          <w:tab w:leader="none" w:pos="220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in</w:t>
      </w:r>
    </w:p>
    <w:p>
      <w:pPr>
        <w:sectPr>
          <w:pgSz w:w="11900" w:h="16838" w:orient="portrait"/>
          <w:cols w:equalWidth="0" w:num="1">
            <w:col w:w="10219"/>
          </w:cols>
          <w:pgMar w:left="240" w:top="319" w:right="1440" w:bottom="0" w:gutter="0" w:footer="0" w:header="0"/>
        </w:sectPr>
      </w:pPr>
    </w:p>
    <w:bookmarkStart w:id="61" w:name="page62"/>
    <w:bookmarkEnd w:id="61"/>
    <w:p>
      <w:pPr>
        <w:ind w:left="560" w:right="2839"/>
        <w:spacing w:after="0" w:line="250" w:lineRule="auto"/>
        <w:rPr>
          <w:sz w:val="20"/>
          <w:szCs w:val="20"/>
          <w:color w:val="auto"/>
        </w:rPr>
      </w:pPr>
      <w:r>
        <w:rPr>
          <w:rFonts w:ascii="Courier New" w:cs="Courier New" w:eastAsia="Courier New" w:hAnsi="Courier New"/>
          <w:sz w:val="15"/>
          <w:szCs w:val="15"/>
          <w:color w:val="auto"/>
        </w:rPr>
        <w:t>this Agreement, in no event shall a Severance Benefit payable pursuant to this Section 3 exceed an amount equal to the lesser of (i) 2.99 times the "base amount" (as defined in Section 280G(b)(3) of the Internal Revenue Code of 1986, as amended (the "</w:t>
      </w:r>
      <w:r>
        <w:rPr>
          <w:rFonts w:ascii="Courier New" w:cs="Courier New" w:eastAsia="Courier New" w:hAnsi="Courier New"/>
          <w:sz w:val="15"/>
          <w:szCs w:val="15"/>
          <w:b w:val="1"/>
          <w:bCs w:val="1"/>
          <w:color w:val="auto"/>
        </w:rPr>
        <w:t>Code</w:t>
      </w:r>
      <w:r>
        <w:rPr>
          <w:rFonts w:ascii="Courier New" w:cs="Courier New" w:eastAsia="Courier New" w:hAnsi="Courier New"/>
          <w:sz w:val="15"/>
          <w:szCs w:val="15"/>
          <w:color w:val="auto"/>
        </w:rPr>
        <w:t>")) of Employee's compensation, or (ii) such other amount which would constitute a "parachute payment" (as defined in Section 280G of the Code). In the event that it shall be determined that any Severance Benefit to Employee (whether paid or payable or distributed or distributable) would be subject to the excise tax imposed by Section 4999 of the Code, or any successor provision thereto (the "</w:t>
      </w:r>
      <w:r>
        <w:rPr>
          <w:rFonts w:ascii="Courier New" w:cs="Courier New" w:eastAsia="Courier New" w:hAnsi="Courier New"/>
          <w:sz w:val="15"/>
          <w:szCs w:val="15"/>
          <w:b w:val="1"/>
          <w:bCs w:val="1"/>
          <w:color w:val="auto"/>
        </w:rPr>
        <w:t>Excise Tax</w:t>
      </w:r>
      <w:r>
        <w:rPr>
          <w:rFonts w:ascii="Courier New" w:cs="Courier New" w:eastAsia="Courier New" w:hAnsi="Courier New"/>
          <w:sz w:val="15"/>
          <w:szCs w:val="15"/>
          <w:color w:val="auto"/>
        </w:rPr>
        <w:t>"), then Employee shall be entitled to receive from Employer an additional payment (the "</w:t>
      </w:r>
      <w:r>
        <w:rPr>
          <w:rFonts w:ascii="Courier New" w:cs="Courier New" w:eastAsia="Courier New" w:hAnsi="Courier New"/>
          <w:sz w:val="15"/>
          <w:szCs w:val="15"/>
          <w:b w:val="1"/>
          <w:bCs w:val="1"/>
          <w:color w:val="auto"/>
        </w:rPr>
        <w:t>Gross-Up Payment</w:t>
      </w:r>
      <w:r>
        <w:rPr>
          <w:rFonts w:ascii="Courier New" w:cs="Courier New" w:eastAsia="Courier New" w:hAnsi="Courier New"/>
          <w:sz w:val="15"/>
          <w:szCs w:val="15"/>
          <w:color w:val="auto"/>
        </w:rPr>
        <w:t>") in an amount such that the net amount of the Severance Benefit and the Gross-Up Payment retained by Employee after the calculation and deduction of all Excise Taxes (including any interest or penalties imposed with respect to such taxes) on the payment and all Federal, state and local income tax, employment tax and Excise Tax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36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60" w:right="2839" w:firstLine="460"/>
        <w:spacing w:after="0" w:line="250" w:lineRule="auto"/>
        <w:tabs>
          <w:tab w:leader="none" w:pos="148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notify Employer in writing of any claim by the Internal Revenue Service that, if successful, would require the payment by Employer of the Gross-Up Payment. Such notification shall be given as soon as practicable after Employee is informed in writing of such claim and shall apprise Employer of the nature of such claim and the date on which such claim is requested to be paid. Employee shall not pay such claim prior to the expiration of the 30-day period following the date on which Employee gives such notice to Employer (or such shorter period ending on the date that any payment of taxes, interest and/or penalties with respect to such claim is due). If Employer notifies Employee in writing prior to the expiration of such period that it desires to contest such claim, Employee shall:</w:t>
      </w:r>
    </w:p>
    <w:p>
      <w:pPr>
        <w:spacing w:after="0" w:line="183" w:lineRule="exact"/>
        <w:rPr>
          <w:rFonts w:ascii="Courier New" w:cs="Courier New" w:eastAsia="Courier New" w:hAnsi="Courier New"/>
          <w:sz w:val="15"/>
          <w:szCs w:val="15"/>
          <w:color w:val="auto"/>
        </w:rPr>
      </w:pPr>
    </w:p>
    <w:p>
      <w:pPr>
        <w:ind w:left="1020" w:right="2939" w:firstLine="461"/>
        <w:spacing w:after="0" w:line="253" w:lineRule="auto"/>
        <w:tabs>
          <w:tab w:leader="none" w:pos="185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Employer any information reasonably requested by Employer relating to such claim;</w:t>
      </w:r>
    </w:p>
    <w:p>
      <w:pPr>
        <w:spacing w:after="0" w:line="174" w:lineRule="exact"/>
        <w:rPr>
          <w:rFonts w:ascii="Courier New" w:cs="Courier New" w:eastAsia="Courier New" w:hAnsi="Courier New"/>
          <w:sz w:val="15"/>
          <w:szCs w:val="15"/>
          <w:color w:val="auto"/>
        </w:rPr>
      </w:pPr>
    </w:p>
    <w:p>
      <w:pPr>
        <w:ind w:left="1020" w:right="2839" w:firstLine="461"/>
        <w:spacing w:after="0" w:line="251" w:lineRule="auto"/>
        <w:tabs>
          <w:tab w:leader="none" w:pos="185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Employer shall reasonably request in writing from time to time, including, without limitation, accepting legal representation with respect to such claim by an attorney reasonably selected by Employer;</w:t>
      </w:r>
    </w:p>
    <w:p>
      <w:pPr>
        <w:spacing w:after="0" w:line="176" w:lineRule="exact"/>
        <w:rPr>
          <w:rFonts w:ascii="Courier New" w:cs="Courier New" w:eastAsia="Courier New" w:hAnsi="Courier New"/>
          <w:sz w:val="15"/>
          <w:szCs w:val="15"/>
          <w:color w:val="auto"/>
        </w:rPr>
      </w:pPr>
    </w:p>
    <w:p>
      <w:pPr>
        <w:ind w:left="1020" w:right="3019" w:firstLine="461"/>
        <w:spacing w:after="0" w:line="253" w:lineRule="auto"/>
        <w:tabs>
          <w:tab w:leader="none" w:pos="185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Employer in good faith in order to effectively contest such claim; and</w:t>
      </w:r>
    </w:p>
    <w:p>
      <w:pPr>
        <w:spacing w:after="0" w:line="174" w:lineRule="exact"/>
        <w:rPr>
          <w:rFonts w:ascii="Courier New" w:cs="Courier New" w:eastAsia="Courier New" w:hAnsi="Courier New"/>
          <w:sz w:val="15"/>
          <w:szCs w:val="15"/>
          <w:color w:val="auto"/>
        </w:rPr>
      </w:pPr>
    </w:p>
    <w:p>
      <w:pPr>
        <w:ind w:left="1020" w:right="3019" w:firstLine="461"/>
        <w:spacing w:after="0" w:line="253" w:lineRule="auto"/>
        <w:tabs>
          <w:tab w:leader="none" w:pos="185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Employer to participate in any proceedings relating to such claims;</w:t>
      </w:r>
    </w:p>
    <w:p>
      <w:pPr>
        <w:spacing w:after="0" w:line="17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that Employer shall bear and pay directly all costs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 xml:space="preserve">and expenses (including additional interest and penalties) incurred in connection with such contest and shall indemnify Employee for and hold Employee harmless from, on an after-tax basis, any Excise Tax or income tax (including interest and penalties with respect thereto) imposed as a result of such representation and payment of all related costs and expenses. Without limiting the foregoing provisions of this section, Employer shall control all proceedings taken in connection with such contest and, at its sole option, may pursue or forgo any and all administrative appeals, proceedings, hearings and conferences with the taxing authority in respect of such claim and may, at its sole option, either direct Employee to pay the tax claimed and sue for a refund or contest the claim in any permissible manner, and Employee agrees to prosecute such contest to a determination before any administrative tribunal, in a court of initial jurisdiction and in one or more appellate courts, as Employer shall determine; </w:t>
      </w: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xml:space="preserve">, that if Employer directs Employee to pay such claim and sue for a refund, Employer shall advance the amount of such payment to Employee, on an interest-free basis, and shall indemnify Employee for and hold Employee harmless from, on an after-tax basis, any Excise Tax or income tax (including interest or penalties with respect thereto) imposed with respect to such advance or with respect to any imputed income with respect to such advance (including as a result of any forgiveness by Employer of such advance); </w:t>
      </w:r>
      <w:r>
        <w:rPr>
          <w:rFonts w:ascii="Courier New" w:cs="Courier New" w:eastAsia="Courier New" w:hAnsi="Courier New"/>
          <w:sz w:val="15"/>
          <w:szCs w:val="15"/>
          <w:i w:val="1"/>
          <w:iCs w:val="1"/>
          <w:color w:val="auto"/>
        </w:rPr>
        <w:t>provided, further</w:t>
      </w:r>
      <w:r>
        <w:rPr>
          <w:rFonts w:ascii="Courier New" w:cs="Courier New" w:eastAsia="Courier New" w:hAnsi="Courier New"/>
          <w:sz w:val="15"/>
          <w:szCs w:val="15"/>
          <w:color w:val="auto"/>
        </w:rPr>
        <w:t>, that any extension of the statute of limitations relating to the payment of taxes for the taxable year of Employee with respect to which such contested amount is claimed to</w:t>
      </w:r>
    </w:p>
    <w:p>
      <w:pPr>
        <w:spacing w:after="0" w:line="18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100" w:right="3019"/>
        <w:spacing w:after="0" w:line="251" w:lineRule="auto"/>
        <w:rPr>
          <w:sz w:val="20"/>
          <w:szCs w:val="20"/>
          <w:color w:val="auto"/>
        </w:rPr>
      </w:pPr>
      <w:r>
        <w:rPr>
          <w:rFonts w:ascii="Courier New" w:cs="Courier New" w:eastAsia="Courier New" w:hAnsi="Courier New"/>
          <w:sz w:val="15"/>
          <w:szCs w:val="15"/>
          <w:color w:val="auto"/>
        </w:rPr>
        <w:t>be due is limited solely to such contested amount. Furthermore, Employer's control of the contest shall be limited to issues with respect to which a Gross-Up Payment would be payable hereunder and Employee shall be entitled to settle or contest, as the case may be, any other issue raised by the Internal Revenue Service or any other</w:t>
      </w:r>
    </w:p>
    <w:p>
      <w:pPr>
        <w:sectPr>
          <w:pgSz w:w="11900" w:h="16838" w:orient="portrait"/>
          <w:cols w:equalWidth="0" w:num="1">
            <w:col w:w="9399"/>
          </w:cols>
          <w:pgMar w:left="1060" w:top="142" w:right="1440" w:bottom="0" w:gutter="0" w:footer="0" w:header="0"/>
        </w:sectPr>
      </w:pPr>
    </w:p>
    <w:bookmarkStart w:id="62" w:name="page63"/>
    <w:bookmarkEnd w:id="62"/>
    <w:p>
      <w:pPr>
        <w:ind w:left="95"/>
        <w:spacing w:after="0"/>
        <w:rPr>
          <w:sz w:val="20"/>
          <w:szCs w:val="20"/>
          <w:color w:val="auto"/>
        </w:rPr>
      </w:pPr>
      <w:r>
        <w:rPr>
          <w:rFonts w:ascii="Courier New" w:cs="Courier New" w:eastAsia="Courier New" w:hAnsi="Courier New"/>
          <w:sz w:val="15"/>
          <w:szCs w:val="15"/>
          <w:color w:val="auto"/>
        </w:rPr>
        <w:t>taxing authority.</w:t>
      </w:r>
    </w:p>
    <w:p>
      <w:pPr>
        <w:spacing w:after="0" w:line="185" w:lineRule="exact"/>
        <w:rPr>
          <w:sz w:val="20"/>
          <w:szCs w:val="20"/>
          <w:color w:val="auto"/>
        </w:rPr>
      </w:pPr>
    </w:p>
    <w:p>
      <w:pPr>
        <w:ind w:left="95" w:right="2839" w:firstLine="459"/>
        <w:spacing w:after="0" w:line="250" w:lineRule="auto"/>
        <w:tabs>
          <w:tab w:leader="none" w:pos="925"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"Change of Control" shall mean: (i) a person, corporation, entity or group (A) makes a tender or exchange offer for the issued and outstanding voting stock of Employer and beneficially owns thirty percent (30%) or more of the issued and outstanding voting stock of Employer after such tender or exchange offer, or (B) acquires, directly or indirectly, the beneficial ownership of thirty percent (30%) or more of the issued and outstanding voting stock of Employer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Employer); (ii) Employer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Employer immediately prior to the transaction; (iii) Employer sells fifty percent (50%) or more of its assets to any other person or persons (other than an affiliate or affiliates of Employer); or (iv) individuals who, as of the date hereof, constitute the Board (the "</w:t>
      </w:r>
      <w:r>
        <w:rPr>
          <w:rFonts w:ascii="Courier New" w:cs="Courier New" w:eastAsia="Courier New" w:hAnsi="Courier New"/>
          <w:sz w:val="15"/>
          <w:szCs w:val="15"/>
          <w:b w:val="1"/>
          <w:bCs w:val="1"/>
          <w:color w:val="auto"/>
        </w:rPr>
        <w:t>Incumbent Board</w:t>
      </w:r>
      <w:r>
        <w:rPr>
          <w:rFonts w:ascii="Courier New" w:cs="Courier New" w:eastAsia="Courier New" w:hAnsi="Courier New"/>
          <w:sz w:val="15"/>
          <w:szCs w:val="15"/>
          <w:color w:val="auto"/>
        </w:rPr>
        <w:t>") cease for any reason to constitute at least seventy-five percent (75%) of the Board; provided, however, that any individual becoming a director subsequent to the date hereof, whose election or nomination was approved by a majority of the directors then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368" w:lineRule="exact"/>
        <w:rPr>
          <w:rFonts w:ascii="Courier New" w:cs="Courier New" w:eastAsia="Courier New" w:hAnsi="Courier New"/>
          <w:sz w:val="15"/>
          <w:szCs w:val="15"/>
          <w:color w:val="auto"/>
        </w:rPr>
      </w:pPr>
    </w:p>
    <w:p>
      <w:pPr>
        <w:ind w:left="95" w:right="2939" w:firstLine="459"/>
        <w:spacing w:after="0" w:line="250" w:lineRule="auto"/>
        <w:tabs>
          <w:tab w:leader="none" w:pos="925"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"Without Cause" shall mean termination of Employee by Employer for reasons other than: (i) the willful, persistent failure of Employee (after thirty (30) days written notice and a reasonable opportunity to cure) to perform his material duties for reasons other than death or disability; (ii) the breach by Employee of any material provision of this Agreement; or</w:t>
      </w:r>
    </w:p>
    <w:p>
      <w:pPr>
        <w:spacing w:after="0" w:line="2" w:lineRule="exact"/>
        <w:rPr>
          <w:rFonts w:ascii="Courier New" w:cs="Courier New" w:eastAsia="Courier New" w:hAnsi="Courier New"/>
          <w:sz w:val="15"/>
          <w:szCs w:val="15"/>
          <w:color w:val="auto"/>
        </w:rPr>
      </w:pPr>
    </w:p>
    <w:p>
      <w:pPr>
        <w:ind w:left="95" w:right="2839" w:hanging="3"/>
        <w:spacing w:after="0" w:line="252" w:lineRule="auto"/>
        <w:tabs>
          <w:tab w:leader="none" w:pos="64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conviction of a felony involving dishonesty, deceit or moral turpitude by a trial court of competent jurisdiction, whether or not an appeal is taken.</w:t>
      </w:r>
    </w:p>
    <w:p>
      <w:pPr>
        <w:spacing w:after="0" w:line="174" w:lineRule="exact"/>
        <w:rPr>
          <w:rFonts w:ascii="Courier New" w:cs="Courier New" w:eastAsia="Courier New" w:hAnsi="Courier New"/>
          <w:sz w:val="15"/>
          <w:szCs w:val="15"/>
          <w:color w:val="auto"/>
        </w:rPr>
      </w:pPr>
    </w:p>
    <w:p>
      <w:pPr>
        <w:ind w:left="915" w:hanging="361"/>
        <w:spacing w:after="0"/>
        <w:tabs>
          <w:tab w:leader="none" w:pos="915"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Constructive Termination. "Constructive Termination" shall</w:t>
      </w:r>
    </w:p>
    <w:p>
      <w:pPr>
        <w:spacing w:after="0" w:line="7" w:lineRule="exact"/>
        <w:rPr>
          <w:rFonts w:ascii="Courier New" w:cs="Courier New" w:eastAsia="Courier New" w:hAnsi="Courier New"/>
          <w:sz w:val="15"/>
          <w:szCs w:val="15"/>
          <w:color w:val="auto"/>
        </w:rPr>
      </w:pPr>
    </w:p>
    <w:p>
      <w:pPr>
        <w:ind w:left="9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mean: (i) a material, adverse change of Employee's responsibilities, authority, status, position, offices, titles, duties or reporting requirements (including directorships); (ii) an adverse change in Employee's annual compensation or benefits; (iii) a requirement to relocate in excess of fifty (50) miles from Employee's then current place of employment; or (iv) the breach by Employer of any material provision of this Agreement, other than a breach that is remedied by Employer within 10 days after receipt of notice thereof from Employee. For purposes of this definition, Employee's responsibilities, authority, status, position,</w:t>
      </w:r>
    </w:p>
    <w:p>
      <w:pPr>
        <w:spacing w:after="0" w:line="359" w:lineRule="exact"/>
        <w:rPr>
          <w:sz w:val="20"/>
          <w:szCs w:val="20"/>
          <w:color w:val="auto"/>
        </w:rPr>
      </w:pPr>
    </w:p>
    <w:p>
      <w:pPr>
        <w:ind w:left="2775"/>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88265</wp:posOffset>
            </wp:positionV>
            <wp:extent cx="728916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95" w:right="2939"/>
        <w:spacing w:after="0" w:line="251" w:lineRule="auto"/>
        <w:rPr>
          <w:sz w:val="20"/>
          <w:szCs w:val="20"/>
          <w:color w:val="auto"/>
        </w:rPr>
      </w:pPr>
      <w:r>
        <w:rPr>
          <w:rFonts w:ascii="Courier New" w:cs="Courier New" w:eastAsia="Courier New" w:hAnsi="Courier New"/>
          <w:sz w:val="15"/>
          <w:szCs w:val="15"/>
          <w:color w:val="auto"/>
        </w:rPr>
        <w:t>offices, titles, duties and reporting requirements are to be determined as of the date of this Agreement. For purposes of this Section, all determinations of Constructive Termination shall be made in good faith by Employee and shall be conclusive.</w:t>
      </w:r>
    </w:p>
    <w:p>
      <w:pPr>
        <w:spacing w:after="0" w:line="176" w:lineRule="exact"/>
        <w:rPr>
          <w:sz w:val="20"/>
          <w:szCs w:val="20"/>
          <w:color w:val="auto"/>
        </w:rPr>
      </w:pPr>
    </w:p>
    <w:p>
      <w:pPr>
        <w:ind w:left="95" w:right="2939" w:firstLine="459"/>
        <w:spacing w:after="0" w:line="251" w:lineRule="auto"/>
        <w:tabs>
          <w:tab w:leader="none" w:pos="925"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Severance Benefits. The Severance Benefit payable to Employee pursuant to this Section 3 shall be reduced by any severance benefits to which Employee is entitled under Employer's severance policies for terminated employees generally or any termination payments payable to Employee under Employee's Employment Agreement.</w:t>
      </w:r>
    </w:p>
    <w:p>
      <w:pPr>
        <w:spacing w:after="0" w:line="176" w:lineRule="exact"/>
        <w:rPr>
          <w:rFonts w:ascii="Courier New" w:cs="Courier New" w:eastAsia="Courier New" w:hAnsi="Courier New"/>
          <w:sz w:val="15"/>
          <w:szCs w:val="15"/>
          <w:color w:val="auto"/>
        </w:rPr>
      </w:pPr>
    </w:p>
    <w:p>
      <w:pPr>
        <w:ind w:left="275" w:hanging="275"/>
        <w:spacing w:after="0"/>
        <w:tabs>
          <w:tab w:leader="none" w:pos="275" w:val="left"/>
        </w:tabs>
        <w:numPr>
          <w:ilvl w:val="0"/>
          <w:numId w:val="7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Employee's Acknowledgments and Covenants.</w:t>
      </w:r>
    </w:p>
    <w:p>
      <w:pPr>
        <w:spacing w:after="0" w:line="184" w:lineRule="exact"/>
        <w:rPr>
          <w:rFonts w:ascii="Courier New" w:cs="Courier New" w:eastAsia="Courier New" w:hAnsi="Courier New"/>
          <w:sz w:val="15"/>
          <w:szCs w:val="15"/>
          <w:b w:val="1"/>
          <w:bCs w:val="1"/>
          <w:color w:val="auto"/>
        </w:rPr>
      </w:pPr>
    </w:p>
    <w:p>
      <w:pPr>
        <w:ind w:left="95" w:right="2839" w:firstLine="459"/>
        <w:spacing w:after="0" w:line="250" w:lineRule="auto"/>
        <w:tabs>
          <w:tab w:leader="none" w:pos="925"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Materials and Information. Employer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other information about the business in which employer is engaged that is not known to the public and gives Employer an opportunity to obtain an advantage over competitors who do not know of such information (collectively, "</w:t>
      </w:r>
      <w:r>
        <w:rPr>
          <w:rFonts w:ascii="Courier New" w:cs="Courier New" w:eastAsia="Courier New" w:hAnsi="Courier New"/>
          <w:sz w:val="15"/>
          <w:szCs w:val="15"/>
          <w:b w:val="1"/>
          <w:bCs w:val="1"/>
          <w:color w:val="auto"/>
        </w:rPr>
        <w:t>Confidential Information</w:t>
      </w:r>
      <w:r>
        <w:rPr>
          <w:rFonts w:ascii="Courier New" w:cs="Courier New" w:eastAsia="Courier New" w:hAnsi="Courier New"/>
          <w:sz w:val="15"/>
          <w:szCs w:val="15"/>
          <w:color w:val="auto"/>
        </w:rPr>
        <w:t>"). In performing duties for Employer, Employee regularly will be exposed to and work with the Confidential Information. Employee acknowledges that such Confidential Information is critical to Employer's success and that Employer has invested substantial sums of money in developing the Confidential Information. While Employee is employed by Employer and after such employment ends for any reason, Employee will never reproduce, publish, disclose, use, reveal, show or otherwise</w:t>
      </w:r>
    </w:p>
    <w:p>
      <w:pPr>
        <w:sectPr>
          <w:pgSz w:w="11900" w:h="16838" w:orient="portrait"/>
          <w:cols w:equalWidth="0" w:num="1">
            <w:col w:w="9394"/>
          </w:cols>
          <w:pgMar w:left="1065" w:top="142" w:right="1440" w:bottom="0" w:gutter="0" w:footer="0" w:header="0"/>
        </w:sectPr>
      </w:pPr>
    </w:p>
    <w:bookmarkStart w:id="63" w:name="page64"/>
    <w:bookmarkEnd w:id="63"/>
    <w:p>
      <w:pPr>
        <w:ind w:left="920" w:right="3399"/>
        <w:spacing w:after="0" w:line="253" w:lineRule="auto"/>
        <w:rPr>
          <w:sz w:val="20"/>
          <w:szCs w:val="20"/>
          <w:color w:val="auto"/>
        </w:rPr>
      </w:pPr>
      <w:r>
        <w:rPr>
          <w:rFonts w:ascii="Courier New" w:cs="Courier New" w:eastAsia="Courier New" w:hAnsi="Courier New"/>
          <w:sz w:val="15"/>
          <w:szCs w:val="15"/>
          <w:color w:val="auto"/>
        </w:rPr>
        <w:t>communicate to any person or entity any Confidential Information unless specifically directed by Employer to do so in writing.</w:t>
      </w:r>
    </w:p>
    <w:p>
      <w:pPr>
        <w:spacing w:after="0" w:line="174" w:lineRule="exact"/>
        <w:rPr>
          <w:sz w:val="20"/>
          <w:szCs w:val="20"/>
          <w:color w:val="auto"/>
        </w:rPr>
      </w:pPr>
    </w:p>
    <w:p>
      <w:pPr>
        <w:ind w:left="920" w:right="2839" w:firstLine="459"/>
        <w:spacing w:after="0" w:line="251" w:lineRule="auto"/>
        <w:tabs>
          <w:tab w:leader="none" w:pos="175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While Employee is employed by Employer and for twenty-four (24) months after such employment ends for any reason, Employee, acting either directly or indirectly, or through any other person, firm, or corporation, will not hire contract with or employ any employee of Employer or induce or attempt to induce or influence any employee of Employer to terminate employment with Employer. Such nonsolicitation restriction shall not apply to Employee in the case of the solicitation of his or her immediate family members.</w:t>
      </w:r>
    </w:p>
    <w:p>
      <w:pPr>
        <w:spacing w:after="0" w:line="352" w:lineRule="exact"/>
        <w:rPr>
          <w:rFonts w:ascii="Courier New" w:cs="Courier New" w:eastAsia="Courier New" w:hAnsi="Courier New"/>
          <w:sz w:val="15"/>
          <w:szCs w:val="15"/>
          <w:color w:val="auto"/>
        </w:rPr>
      </w:pPr>
    </w:p>
    <w:p>
      <w:pPr>
        <w:ind w:left="920" w:right="2939" w:firstLine="459"/>
        <w:spacing w:after="0" w:line="250" w:lineRule="auto"/>
        <w:tabs>
          <w:tab w:leader="none" w:pos="175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 While Employee is employed by Employer and for twenty-four (24) months after such employment ends for any reason, Employee will not, directly or indirectly, or through any other person, firm or corporation (i) be employed by, consult for, have any ownership interest in or engage in any activity on behalf of any competing business, or (ii) call on, solicit or communicate with any of Employer's customers (whether actual or potential) for the purpose of selling precision steel balls and rollers and other related items to such customer other than for the benefit of Employer. As used in this Agreement, the term "competing business" means a business that is a manufacturer and supplier of precision steel balls and rollers to anti-</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920" w:right="2839"/>
        <w:spacing w:after="0" w:line="250" w:lineRule="auto"/>
        <w:rPr>
          <w:sz w:val="20"/>
          <w:szCs w:val="20"/>
          <w:color w:val="auto"/>
        </w:rPr>
      </w:pPr>
      <w:r>
        <w:rPr>
          <w:rFonts w:ascii="Courier New" w:cs="Courier New" w:eastAsia="Courier New" w:hAnsi="Courier New"/>
          <w:sz w:val="15"/>
          <w:szCs w:val="15"/>
          <w:color w:val="auto"/>
        </w:rPr>
        <w:t>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Employee or any other employee of Employer had business contact on behalf of Employer during the eighteen (18) months immediately before Employee's employment with Employer ended). Notwithstanding the foregoing, this paragraph shall not be construed to prohibit Employee from owning less than five percent (5%) of the outstanding securities of a corporation which is publicly traded on a securities exchange or over-the-counter.</w:t>
      </w:r>
    </w:p>
    <w:p>
      <w:pPr>
        <w:spacing w:after="0" w:line="182" w:lineRule="exact"/>
        <w:rPr>
          <w:sz w:val="20"/>
          <w:szCs w:val="20"/>
          <w:color w:val="auto"/>
        </w:rPr>
      </w:pPr>
    </w:p>
    <w:p>
      <w:pPr>
        <w:ind w:left="920" w:right="2939" w:firstLine="459"/>
        <w:spacing w:after="0" w:line="251" w:lineRule="auto"/>
        <w:tabs>
          <w:tab w:leader="none" w:pos="175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Confidential Materials and Information. Employee agrees that whenever Employee's employment with Employer ends for any reason, all documents containing or referring to Confidential Information as may be in Employee's possession or control will be delivered by Employee to Employer immediately, with no request being required.</w:t>
      </w:r>
    </w:p>
    <w:p>
      <w:pPr>
        <w:spacing w:after="0" w:line="175" w:lineRule="exact"/>
        <w:rPr>
          <w:rFonts w:ascii="Courier New" w:cs="Courier New" w:eastAsia="Courier New" w:hAnsi="Courier New"/>
          <w:sz w:val="15"/>
          <w:szCs w:val="15"/>
          <w:color w:val="auto"/>
        </w:rPr>
      </w:pPr>
    </w:p>
    <w:p>
      <w:pPr>
        <w:ind w:left="920" w:right="2839" w:firstLine="459"/>
        <w:spacing w:after="0" w:line="250" w:lineRule="auto"/>
        <w:tabs>
          <w:tab w:leader="none" w:pos="175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Acknowledgments; Irreparable Harm. Employee agrees that the restrictions on competition, solicitation and disclosure in this Agreement are fair, reasonable and necessary for the protection of the interests of Employer. Employee further agrees that a breach of any of the covenants set forth in this Section 4 will result in irreparable injury and damage to Employer for which Employer would have no adequate remedy at law, and Employee further agrees that in the event of a breach, Employer will be entitled to an immediate restraining order and injunction to prevent such violation or continued violation, without having to prove damages, in addition to any other remedies to which Employer may be entitled at law or equity.</w:t>
      </w:r>
    </w:p>
    <w:p>
      <w:pPr>
        <w:spacing w:after="0" w:line="182" w:lineRule="exact"/>
        <w:rPr>
          <w:rFonts w:ascii="Courier New" w:cs="Courier New" w:eastAsia="Courier New" w:hAnsi="Courier New"/>
          <w:sz w:val="15"/>
          <w:szCs w:val="15"/>
          <w:color w:val="auto"/>
        </w:rPr>
      </w:pPr>
    </w:p>
    <w:p>
      <w:pPr>
        <w:ind w:left="920" w:right="3219" w:firstLine="459"/>
        <w:spacing w:after="0" w:line="251" w:lineRule="auto"/>
        <w:tabs>
          <w:tab w:leader="none" w:pos="175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to Subsequent Employers. Employee grants Employer the right to notify any future employer or prospective employer of Employee concerning the existence of and terms of this Agreement and grants Employer the right to provide a copy of this Agreement to any such subsequent employer or prospective employer.</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7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Mitigation. </w:t>
      </w:r>
      <w:r>
        <w:rPr>
          <w:rFonts w:ascii="Courier New" w:cs="Courier New" w:eastAsia="Courier New" w:hAnsi="Courier New"/>
          <w:sz w:val="15"/>
          <w:szCs w:val="15"/>
          <w:color w:val="auto"/>
        </w:rPr>
        <w:t>Employer's obligation to make the payments provided for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in this Agreement and otherwise to perform its obligations hereunder shall not be affected by any set-off, counterclaim, recoupment, defense or other claim, right or action which Employer may have against Employee or others. In no event shall Employee be obligated to seek other employment or take any other action by way of mitigation of the amounts payable to Employee under any of the provisions of this agreement and such amounts shall not be reduced whether or not Employee obtains other employment.</w:t>
      </w:r>
    </w:p>
    <w:p>
      <w:pPr>
        <w:spacing w:after="0" w:line="175" w:lineRule="exact"/>
        <w:rPr>
          <w:rFonts w:ascii="Courier New" w:cs="Courier New" w:eastAsia="Courier New" w:hAnsi="Courier New"/>
          <w:sz w:val="15"/>
          <w:szCs w:val="15"/>
          <w:b w:val="1"/>
          <w:bCs w:val="1"/>
          <w:color w:val="auto"/>
        </w:rPr>
      </w:pPr>
    </w:p>
    <w:p>
      <w:pPr>
        <w:ind w:right="2839" w:firstLine="825"/>
        <w:spacing w:after="0" w:line="250" w:lineRule="auto"/>
        <w:tabs>
          <w:tab w:leader="none" w:pos="1107" w:val="left"/>
        </w:tabs>
        <w:numPr>
          <w:ilvl w:val="0"/>
          <w:numId w:val="7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Resolution of Disputes. </w:t>
      </w:r>
      <w:r>
        <w:rPr>
          <w:rFonts w:ascii="Courier New" w:cs="Courier New" w:eastAsia="Courier New" w:hAnsi="Courier New"/>
          <w:sz w:val="15"/>
          <w:szCs w:val="15"/>
          <w:color w:val="auto"/>
        </w:rPr>
        <w:t>Any dispute or claim arising out of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Employer agrees to pay promptly as incurred, to the full extent permitted by law, all legal fees and expenses which Employee may reasonably incur as a result of any dispute (regardless of the outcome thereof) by Employer, Employee or others of the validity or enforceability of, or liability under, any provision of this Agreement or any guarantee of</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thereof (including as a result of any dispute by Employee regarding</w:t>
      </w:r>
    </w:p>
    <w:p>
      <w:pPr>
        <w:sectPr>
          <w:pgSz w:w="11900" w:h="16838" w:orient="portrait"/>
          <w:cols w:equalWidth="0" w:num="1">
            <w:col w:w="10219"/>
          </w:cols>
          <w:pgMar w:left="240" w:top="142" w:right="1440" w:bottom="0" w:gutter="0" w:footer="0" w:header="0"/>
          <w:type w:val="continuous"/>
        </w:sectPr>
      </w:pPr>
    </w:p>
    <w:bookmarkStart w:id="64" w:name="page65"/>
    <w:bookmarkEnd w:id="64"/>
    <w:p>
      <w:pPr>
        <w:ind w:right="3019"/>
        <w:spacing w:after="0" w:line="252" w:lineRule="auto"/>
        <w:rPr>
          <w:sz w:val="20"/>
          <w:szCs w:val="20"/>
          <w:color w:val="auto"/>
        </w:rPr>
      </w:pPr>
      <w:r>
        <w:rPr>
          <w:rFonts w:ascii="Courier New" w:cs="Courier New" w:eastAsia="Courier New" w:hAnsi="Courier New"/>
          <w:sz w:val="15"/>
          <w:szCs w:val="15"/>
          <w:color w:val="auto"/>
        </w:rPr>
        <w:t xml:space="preserve">the amount of any payment pursuant to this agreement), plus in each case interest on any delayed payment at the rate published from time to time in </w:t>
      </w:r>
      <w:r>
        <w:rPr>
          <w:rFonts w:ascii="Courier New" w:cs="Courier New" w:eastAsia="Courier New" w:hAnsi="Courier New"/>
          <w:sz w:val="15"/>
          <w:szCs w:val="15"/>
          <w:i w:val="1"/>
          <w:iCs w:val="1"/>
          <w:color w:val="auto"/>
        </w:rPr>
        <w:t>The</w:t>
      </w:r>
      <w:r>
        <w:rPr>
          <w:rFonts w:ascii="Courier New" w:cs="Courier New" w:eastAsia="Courier New" w:hAnsi="Courier New"/>
          <w:sz w:val="15"/>
          <w:szCs w:val="15"/>
          <w:color w:val="auto"/>
        </w:rPr>
        <w:t xml:space="preserve"> </w:t>
      </w:r>
      <w:r>
        <w:rPr>
          <w:rFonts w:ascii="Courier New" w:cs="Courier New" w:eastAsia="Courier New" w:hAnsi="Courier New"/>
          <w:sz w:val="15"/>
          <w:szCs w:val="15"/>
          <w:i w:val="1"/>
          <w:iCs w:val="1"/>
          <w:color w:val="auto"/>
        </w:rPr>
        <w:t xml:space="preserve">Wall Street Journal </w:t>
      </w:r>
      <w:r>
        <w:rPr>
          <w:rFonts w:ascii="Courier New" w:cs="Courier New" w:eastAsia="Courier New" w:hAnsi="Courier New"/>
          <w:sz w:val="15"/>
          <w:szCs w:val="15"/>
          <w:color w:val="auto"/>
        </w:rPr>
        <w:t>as the prime rate of interest plus two percent (2%).</w:t>
      </w:r>
    </w:p>
    <w:p>
      <w:pPr>
        <w:spacing w:after="0" w:line="175" w:lineRule="exact"/>
        <w:rPr>
          <w:sz w:val="20"/>
          <w:szCs w:val="20"/>
          <w:color w:val="auto"/>
        </w:rPr>
      </w:pPr>
    </w:p>
    <w:p>
      <w:pPr>
        <w:ind w:right="2839" w:firstLine="825"/>
        <w:spacing w:after="0" w:line="252" w:lineRule="auto"/>
        <w:tabs>
          <w:tab w:leader="none" w:pos="1107" w:val="left"/>
        </w:tabs>
        <w:numPr>
          <w:ilvl w:val="0"/>
          <w:numId w:val="8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Withholding. </w:t>
      </w:r>
      <w:r>
        <w:rPr>
          <w:rFonts w:ascii="Courier New" w:cs="Courier New" w:eastAsia="Courier New" w:hAnsi="Courier New"/>
          <w:sz w:val="15"/>
          <w:szCs w:val="15"/>
          <w:color w:val="auto"/>
        </w:rPr>
        <w:t>Employer may withhold from any amounts payable under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this Agreement the minimum Federal, state or local taxes as shall be required to be withheld pursuant to any applicable law or regulation.</w:t>
      </w:r>
    </w:p>
    <w:p>
      <w:pPr>
        <w:spacing w:after="0" w:line="174" w:lineRule="exact"/>
        <w:rPr>
          <w:rFonts w:ascii="Courier New" w:cs="Courier New" w:eastAsia="Courier New" w:hAnsi="Courier New"/>
          <w:sz w:val="15"/>
          <w:szCs w:val="15"/>
          <w:b w:val="1"/>
          <w:bCs w:val="1"/>
          <w:color w:val="auto"/>
        </w:rPr>
      </w:pPr>
    </w:p>
    <w:p>
      <w:pPr>
        <w:ind w:right="2939" w:firstLine="825"/>
        <w:spacing w:after="0" w:line="250" w:lineRule="auto"/>
        <w:tabs>
          <w:tab w:leader="none" w:pos="1107" w:val="left"/>
        </w:tabs>
        <w:numPr>
          <w:ilvl w:val="0"/>
          <w:numId w:val="8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Successors. </w:t>
      </w:r>
      <w:r>
        <w:rPr>
          <w:rFonts w:ascii="Courier New" w:cs="Courier New" w:eastAsia="Courier New" w:hAnsi="Courier New"/>
          <w:sz w:val="15"/>
          <w:szCs w:val="15"/>
          <w:color w:val="auto"/>
        </w:rPr>
        <w:t>This Agreement is binding on, and shall inure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benefit of Employee and Employer, and all successors and assigns of Employer. Employer will require any successor (whether direct or indirect, by purchase, merger, consolidation or otherwise) to all or substantially all of the business and/or assets of Employer to assume expressly and agree to perform this Agreement in the same manner and to the same extent that Employer would be required to perform it if no such succession had taken place. Failure of Employer to obtain such agreement prior to the effectiveness of any such succession shall be a material breach of this Agreement and shall entitle Employee to any Severance Benefit payable pursuant to Section 3(a) hereof.</w:t>
      </w:r>
    </w:p>
    <w:p>
      <w:pPr>
        <w:spacing w:after="0" w:line="181" w:lineRule="exact"/>
        <w:rPr>
          <w:rFonts w:ascii="Courier New" w:cs="Courier New" w:eastAsia="Courier New" w:hAnsi="Courier New"/>
          <w:sz w:val="15"/>
          <w:szCs w:val="15"/>
          <w:b w:val="1"/>
          <w:bCs w:val="1"/>
          <w:color w:val="auto"/>
        </w:rPr>
      </w:pPr>
    </w:p>
    <w:p>
      <w:pPr>
        <w:ind w:right="3219" w:firstLine="825"/>
        <w:spacing w:after="0" w:line="253" w:lineRule="auto"/>
        <w:tabs>
          <w:tab w:leader="none" w:pos="1107" w:val="left"/>
        </w:tabs>
        <w:numPr>
          <w:ilvl w:val="0"/>
          <w:numId w:val="8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Applicable Law. </w:t>
      </w:r>
      <w:r>
        <w:rPr>
          <w:rFonts w:ascii="Courier New" w:cs="Courier New" w:eastAsia="Courier New" w:hAnsi="Courier New"/>
          <w:sz w:val="15"/>
          <w:szCs w:val="15"/>
          <w:color w:val="auto"/>
        </w:rPr>
        <w:t>This Agreement will be interpreted, governed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enforced according to the law of the State of Tennessee.</w:t>
      </w:r>
    </w:p>
    <w:p>
      <w:pPr>
        <w:spacing w:after="0" w:line="174" w:lineRule="exact"/>
        <w:rPr>
          <w:rFonts w:ascii="Courier New" w:cs="Courier New" w:eastAsia="Courier New" w:hAnsi="Courier New"/>
          <w:sz w:val="15"/>
          <w:szCs w:val="15"/>
          <w:b w:val="1"/>
          <w:bCs w:val="1"/>
          <w:color w:val="auto"/>
        </w:rPr>
      </w:pPr>
    </w:p>
    <w:p>
      <w:pPr>
        <w:ind w:right="3019" w:firstLine="825"/>
        <w:spacing w:after="0" w:line="251" w:lineRule="auto"/>
        <w:tabs>
          <w:tab w:leader="none" w:pos="1200" w:val="left"/>
        </w:tabs>
        <w:numPr>
          <w:ilvl w:val="0"/>
          <w:numId w:val="8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Separability. </w:t>
      </w:r>
      <w:r>
        <w:rPr>
          <w:rFonts w:ascii="Courier New" w:cs="Courier New" w:eastAsia="Courier New" w:hAnsi="Courier New"/>
          <w:sz w:val="15"/>
          <w:szCs w:val="15"/>
          <w:color w:val="auto"/>
        </w:rPr>
        <w:t>If any portion of this Agreement is held to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invalid or unenforceable in any respect, Employee and Employer agree that such invalid and unenforceable part will be modified to permit the Agreement to be enforced to the maximum extent permitted by the court, with the remaining portions unaffected by the invalidity or unenforceability of any part of this Agreement.</w:t>
      </w:r>
    </w:p>
    <w:p>
      <w:pPr>
        <w:spacing w:after="0" w:line="175" w:lineRule="exact"/>
        <w:rPr>
          <w:rFonts w:ascii="Courier New" w:cs="Courier New" w:eastAsia="Courier New" w:hAnsi="Courier New"/>
          <w:sz w:val="15"/>
          <w:szCs w:val="15"/>
          <w:b w:val="1"/>
          <w:bCs w:val="1"/>
          <w:color w:val="auto"/>
        </w:rPr>
      </w:pPr>
    </w:p>
    <w:p>
      <w:pPr>
        <w:ind w:right="2839" w:firstLine="825"/>
        <w:spacing w:after="0" w:line="251" w:lineRule="auto"/>
        <w:tabs>
          <w:tab w:leader="none" w:pos="1200" w:val="left"/>
        </w:tabs>
        <w:numPr>
          <w:ilvl w:val="0"/>
          <w:numId w:val="8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Waiver. </w:t>
      </w:r>
      <w:r>
        <w:rPr>
          <w:rFonts w:ascii="Courier New" w:cs="Courier New" w:eastAsia="Courier New" w:hAnsi="Courier New"/>
          <w:sz w:val="15"/>
          <w:szCs w:val="15"/>
          <w:color w:val="auto"/>
        </w:rPr>
        <w:t>This Agreement may be modified, supplemented or amended,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and any provision of this Agreement can be waived, only by written instrument making specific reference to this Agreement signed by the party against whom enforcement of any such modification, supplement, amendment or waiver is sought.</w:t>
      </w:r>
    </w:p>
    <w:p>
      <w:pPr>
        <w:spacing w:after="0" w:line="176" w:lineRule="exact"/>
        <w:rPr>
          <w:rFonts w:ascii="Courier New" w:cs="Courier New" w:eastAsia="Courier New" w:hAnsi="Courier New"/>
          <w:sz w:val="15"/>
          <w:szCs w:val="15"/>
          <w:b w:val="1"/>
          <w:bCs w:val="1"/>
          <w:color w:val="auto"/>
        </w:rPr>
      </w:pPr>
    </w:p>
    <w:p>
      <w:pPr>
        <w:jc w:val="both"/>
        <w:ind w:right="3119" w:firstLine="825"/>
        <w:spacing w:after="0" w:line="251" w:lineRule="auto"/>
        <w:tabs>
          <w:tab w:leader="none" w:pos="1200" w:val="left"/>
        </w:tabs>
        <w:numPr>
          <w:ilvl w:val="0"/>
          <w:numId w:val="8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Complete Agreement. </w:t>
      </w:r>
      <w:r>
        <w:rPr>
          <w:rFonts w:ascii="Courier New" w:cs="Courier New" w:eastAsia="Courier New" w:hAnsi="Courier New"/>
          <w:sz w:val="15"/>
          <w:szCs w:val="15"/>
          <w:color w:val="auto"/>
        </w:rPr>
        <w:t>This Agreement contains the entire agreement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between Employer and Employee as to the subject matter hereof. This Agreement shall not be subject to the terms and conditions of any agreement concerning arbitration or dispute resolution between Employer and Employee.</w:t>
      </w:r>
    </w:p>
    <w:p>
      <w:pPr>
        <w:spacing w:after="0" w:line="176"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EMPLOYEE ACKNOWLEDGES THAT HE/SHE HAS READ THE ENTIRE CONTENTS OF THIS AGREEMENT AND THAT HE/SHE UNDERSTANDS ITS TERMS.</w:t>
      </w:r>
    </w:p>
    <w:p>
      <w:pPr>
        <w:spacing w:after="0" w:line="200" w:lineRule="exact"/>
        <w:rPr>
          <w:sz w:val="20"/>
          <w:szCs w:val="20"/>
          <w:color w:val="auto"/>
        </w:rPr>
      </w:pPr>
    </w:p>
    <w:p>
      <w:pPr>
        <w:spacing w:after="0" w:line="329"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[Signatures on following page]</w:t>
      </w: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479" w:firstLine="830"/>
        <w:spacing w:after="0" w:line="253" w:lineRule="auto"/>
        <w:rPr>
          <w:sz w:val="20"/>
          <w:szCs w:val="20"/>
          <w:color w:val="auto"/>
        </w:rPr>
      </w:pPr>
      <w:r>
        <w:rPr>
          <w:rFonts w:ascii="Courier New" w:cs="Courier New" w:eastAsia="Courier New" w:hAnsi="Courier New"/>
          <w:sz w:val="15"/>
          <w:szCs w:val="15"/>
          <w:color w:val="auto"/>
        </w:rPr>
        <w:t>IN WITNESS WHEREOF, each of the parties hereto has executed this Agreement as of the date first written above.</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EMPLOYEE:</w:t>
      </w:r>
    </w:p>
    <w:p>
      <w:pPr>
        <w:spacing w:after="0" w:line="200" w:lineRule="exact"/>
        <w:rPr>
          <w:sz w:val="20"/>
          <w:szCs w:val="20"/>
          <w:color w:val="auto"/>
        </w:rPr>
      </w:pPr>
    </w:p>
    <w:p>
      <w:pPr>
        <w:spacing w:after="0" w:line="34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Robert R. Sams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tabs>
          <w:tab w:leader="none" w:pos="4040" w:val="left"/>
        </w:tabs>
        <w:rPr>
          <w:sz w:val="20"/>
          <w:szCs w:val="20"/>
          <w:color w:val="auto"/>
        </w:rPr>
      </w:pPr>
      <w:r>
        <w:rPr>
          <w:rFonts w:ascii="Courier New" w:cs="Courier New" w:eastAsia="Courier New" w:hAnsi="Courier New"/>
          <w:sz w:val="15"/>
          <w:szCs w:val="15"/>
          <w:color w:val="auto"/>
        </w:rPr>
        <w:t>Name:</w:t>
        <w:tab/>
        <w:t>Robert R. Sams</w:t>
      </w:r>
    </w:p>
    <w:p>
      <w:pPr>
        <w:spacing w:after="0" w:line="200" w:lineRule="exact"/>
        <w:rPr>
          <w:sz w:val="20"/>
          <w:szCs w:val="20"/>
          <w:color w:val="auto"/>
        </w:rPr>
      </w:pP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including its subsidiaries and affiliates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/s/ Roderick R. Baty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Roderick R. Baty</w:t>
      </w:r>
    </w:p>
    <w:p>
      <w:pPr>
        <w:spacing w:after="0" w:line="200" w:lineRule="exact"/>
        <w:rPr>
          <w:sz w:val="20"/>
          <w:szCs w:val="20"/>
          <w:color w:val="auto"/>
        </w:rPr>
      </w:pPr>
    </w:p>
    <w:p>
      <w:pPr>
        <w:sectPr>
          <w:pgSz w:w="11900" w:h="16838" w:orient="portrait"/>
          <w:cols w:equalWidth="0" w:num="2">
            <w:col w:w="3680" w:space="180"/>
            <w:col w:w="635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b w:val="1"/>
          <w:bCs w:val="1"/>
          <w:color w:val="auto"/>
        </w:rPr>
        <w:t>Schedule A</w:t>
      </w:r>
    </w:p>
    <w:p>
      <w:pPr>
        <w:spacing w:after="0" w:line="36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Employee's Severance Payment shall be a lump sum payment equal to:</w:t>
      </w:r>
    </w:p>
    <w:p>
      <w:pPr>
        <w:spacing w:after="0" w:line="18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2 times such Employee's base salary (as of the date of Employee's</w:t>
      </w:r>
    </w:p>
    <w:p>
      <w:pPr>
        <w:sectPr>
          <w:pgSz w:w="11900" w:h="16838" w:orient="portrait"/>
          <w:cols w:equalWidth="0" w:num="1">
            <w:col w:w="10219"/>
          </w:cols>
          <w:pgMar w:left="240" w:top="142" w:right="1440" w:bottom="0" w:gutter="0" w:footer="0" w:header="0"/>
          <w:type w:val="continuous"/>
        </w:sectPr>
      </w:pPr>
    </w:p>
    <w:bookmarkStart w:id="65" w:name="page66"/>
    <w:bookmarkEnd w:id="65"/>
    <w:p>
      <w:pPr>
        <w:ind w:left="465"/>
        <w:spacing w:after="0"/>
        <w:rPr>
          <w:sz w:val="20"/>
          <w:szCs w:val="20"/>
          <w:color w:val="auto"/>
        </w:rPr>
      </w:pPr>
      <w:r>
        <w:rPr>
          <w:rFonts w:ascii="Courier New" w:cs="Courier New" w:eastAsia="Courier New" w:hAnsi="Courier New"/>
          <w:sz w:val="15"/>
          <w:szCs w:val="15"/>
          <w:color w:val="auto"/>
        </w:rPr>
        <w:t>termination); plus</w:t>
      </w:r>
    </w:p>
    <w:p>
      <w:pPr>
        <w:spacing w:after="0" w:line="185" w:lineRule="exact"/>
        <w:rPr>
          <w:sz w:val="20"/>
          <w:szCs w:val="20"/>
          <w:color w:val="auto"/>
        </w:rPr>
      </w:pPr>
    </w:p>
    <w:p>
      <w:pPr>
        <w:ind w:left="465" w:right="3399" w:hanging="465"/>
        <w:spacing w:after="0" w:line="253" w:lineRule="auto"/>
        <w:tabs>
          <w:tab w:leader="none" w:pos="46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times such Employee's median bonus available at the following bonus target percentage: 35%; plus</w:t>
      </w:r>
    </w:p>
    <w:p>
      <w:pPr>
        <w:spacing w:after="0" w:line="174" w:lineRule="exact"/>
        <w:rPr>
          <w:rFonts w:ascii="Courier New" w:cs="Courier New" w:eastAsia="Courier New" w:hAnsi="Courier New"/>
          <w:sz w:val="15"/>
          <w:szCs w:val="15"/>
          <w:color w:val="auto"/>
        </w:rPr>
      </w:pPr>
    </w:p>
    <w:p>
      <w:pPr>
        <w:ind w:left="465" w:right="3119" w:hanging="465"/>
        <w:spacing w:after="0" w:line="252" w:lineRule="auto"/>
        <w:tabs>
          <w:tab w:leader="none" w:pos="46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2 times Employee's annual automobile allowance or the annual cost to Employee of obtaining a motor vehicle comparable to that provided by Employer to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142"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b w:val="1"/>
          <w:bCs w:val="1"/>
          <w:color w:val="auto"/>
        </w:rPr>
        <w:t>Exhibit 10.22</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b w:val="1"/>
          <w:bCs w:val="1"/>
          <w:color w:val="auto"/>
        </w:rPr>
        <w:t>EMPLOYMENT AGREEMENT</w:t>
      </w:r>
    </w:p>
    <w:p>
      <w:pPr>
        <w:spacing w:after="0" w:line="36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This AGREEMENT is made as of January 21, 2002, by and between NN, Inc., a Delaware corporation, having its principal place of business located at 2000 Water's Edge Drive, Building C, Suite 12, Johnson City, Tennessee 37604 (the "Company") and William C. Kelly, Jr. (the "Executive").</w:t>
      </w:r>
    </w:p>
    <w:p>
      <w:pPr>
        <w:spacing w:after="0" w:line="17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 I T N E S S E T H :</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WHEREAS, the Company's Board of Directors (the "Board") has determined that it is in the best interest of the Company and its shareholders to employ the Executive as Treasurer, Secretary and Chief Accounting Officer of the Company and the Executive desires to serve in that capacity;</w:t>
      </w:r>
    </w:p>
    <w:p>
      <w:pPr>
        <w:spacing w:after="0" w:line="176"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NOW, THEREFORE, in consideration of the foregoing and of the respective covenants and agreements of the parties herein contained, the parties hereto, intending to be legally bound, agree as follows:</w:t>
      </w:r>
    </w:p>
    <w:p>
      <w:pPr>
        <w:spacing w:after="0" w:line="175" w:lineRule="exact"/>
        <w:rPr>
          <w:sz w:val="20"/>
          <w:szCs w:val="20"/>
          <w:color w:val="auto"/>
        </w:rPr>
      </w:pPr>
    </w:p>
    <w:p>
      <w:pPr>
        <w:ind w:right="3019" w:firstLine="825"/>
        <w:spacing w:after="0" w:line="251" w:lineRule="auto"/>
        <w:tabs>
          <w:tab w:leader="none" w:pos="110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Employment</w:t>
      </w:r>
      <w:r>
        <w:rPr>
          <w:rFonts w:ascii="Courier New" w:cs="Courier New" w:eastAsia="Courier New" w:hAnsi="Courier New"/>
          <w:sz w:val="15"/>
          <w:szCs w:val="15"/>
          <w:color w:val="auto"/>
        </w:rPr>
        <w:t>. The Company agrees to continue to employ the Executive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and the Executive hereby agrees to continue to be employed for the period of time set forth in Paragraph 2, subject to the terms and conditions set forth herein.</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Term</w:t>
      </w:r>
      <w:r>
        <w:rPr>
          <w:rFonts w:ascii="Courier New" w:cs="Courier New" w:eastAsia="Courier New" w:hAnsi="Courier New"/>
          <w:sz w:val="15"/>
          <w:szCs w:val="15"/>
          <w:color w:val="auto"/>
        </w:rPr>
        <w:t>. Subject to the terms hereof, Company agrees to employ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Executive for a period of two years commencing upon January 21, 2002 and expiring on January 20, 2004 (the "Employment Term") (unless sooner terminated as provided herein). The Employment Term shall be extended automatically from time to time, on a rolling basis, for additional one year periods, unless either party gives written notice of termination to the other at least six (6) months prior to the date that the Employment Term is scheduled to expire.</w:t>
      </w:r>
    </w:p>
    <w:p>
      <w:pPr>
        <w:spacing w:after="0" w:line="175" w:lineRule="exact"/>
        <w:rPr>
          <w:rFonts w:ascii="Courier New" w:cs="Courier New" w:eastAsia="Courier New" w:hAnsi="Courier New"/>
          <w:sz w:val="15"/>
          <w:szCs w:val="15"/>
          <w:color w:val="auto"/>
        </w:rPr>
      </w:pPr>
    </w:p>
    <w:p>
      <w:pPr>
        <w:ind w:right="2939" w:firstLine="825"/>
        <w:spacing w:after="0" w:line="251" w:lineRule="auto"/>
        <w:tabs>
          <w:tab w:leader="none" w:pos="110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Position and Responsibilities</w:t>
      </w:r>
      <w:r>
        <w:rPr>
          <w:rFonts w:ascii="Courier New" w:cs="Courier New" w:eastAsia="Courier New" w:hAnsi="Courier New"/>
          <w:sz w:val="15"/>
          <w:szCs w:val="15"/>
          <w:color w:val="auto"/>
        </w:rPr>
        <w:t>. The Executive shall serve as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Treasurer, Secretary and Chief Accounting Officer of the Company, reporting to the President and Chief Executive Officer, and shall have supervision and control over, and responsibility for, the treasury and accounting activities of the Company. The Executive shall also have such other powers and duties as may from time to time be prescribed by the President or Chief Executive Officer; provided, however, that such duties shall be consistent with the Executive's position as the officer in charge of business development activities and principal financial officer of the Company.</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Diligence</w:t>
      </w:r>
      <w:r>
        <w:rPr>
          <w:rFonts w:ascii="Courier New" w:cs="Courier New" w:eastAsia="Courier New" w:hAnsi="Courier New"/>
          <w:sz w:val="15"/>
          <w:szCs w:val="15"/>
          <w:color w:val="auto"/>
        </w:rPr>
        <w:t>. Executive agrees to serve in the respective positions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referred to in Paragraph 3 and to perform diligently the duties and services appertaining to each such office, as well as such additional duties and services appropriate to each such office which the parties mutually may agree upon from time to time.</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Time</w:t>
      </w:r>
      <w:r>
        <w:rPr>
          <w:rFonts w:ascii="Courier New" w:cs="Courier New" w:eastAsia="Courier New" w:hAnsi="Courier New"/>
          <w:sz w:val="15"/>
          <w:szCs w:val="15"/>
          <w:color w:val="auto"/>
        </w:rPr>
        <w:t>. Executive agrees to devote his entire working time and efforts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to the business and affairs of the Company and its affiliates and not to engage, directly or indirectly, in any other business or businesses, whether or not similar to that of the Company, except with the consent of the President and Chief Executive Officer and the Board.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195580</wp:posOffset>
            </wp:positionV>
            <wp:extent cx="728916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notwithstanding, the parties recognize and agree that Executive (i) may engage in personal investments, subject to any restrictions set forth in the Non-Competition and Confidentiality Agreement referenced in Paragraph 7 and (ii) subject to the prior consent of the President, may serve on the board of directors of other companies, provided such service does not conflict with the business and affairs of the Company or interfere with Executive's performance of his duties hereunder.</w:t>
      </w:r>
    </w:p>
    <w:p>
      <w:pPr>
        <w:spacing w:after="0" w:line="176" w:lineRule="exact"/>
        <w:rPr>
          <w:sz w:val="20"/>
          <w:szCs w:val="20"/>
          <w:color w:val="auto"/>
        </w:rPr>
      </w:pPr>
    </w:p>
    <w:p>
      <w:pPr>
        <w:ind w:left="1100" w:hanging="275"/>
        <w:spacing w:after="0"/>
        <w:tabs>
          <w:tab w:leader="none" w:pos="1100" w:val="left"/>
        </w:tabs>
        <w:numPr>
          <w:ilvl w:val="0"/>
          <w:numId w:val="8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Compensation.</w:t>
      </w:r>
    </w:p>
    <w:p>
      <w:pPr>
        <w:spacing w:after="0" w:line="184" w:lineRule="exact"/>
        <w:rPr>
          <w:rFonts w:ascii="Courier New" w:cs="Courier New" w:eastAsia="Courier New" w:hAnsi="Courier New"/>
          <w:sz w:val="15"/>
          <w:szCs w:val="15"/>
          <w:b w:val="1"/>
          <w:bCs w:val="1"/>
          <w:color w:val="auto"/>
        </w:rPr>
      </w:pPr>
    </w:p>
    <w:p>
      <w:pPr>
        <w:ind w:left="460" w:right="2839" w:firstLine="457"/>
        <w:spacing w:after="0" w:line="251" w:lineRule="auto"/>
        <w:tabs>
          <w:tab w:leader="none" w:pos="129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During the Employment Term, the Executive shall receive an annual salary of $105,000 per year, which annual salary shall be subject to such increases as the Board in its sole discretion may from time to time determine (the "Annual Salary"). The Annual Salary shall be payable by the Company in accordance with its regular compensation policies and practices for paying executives.</w:t>
      </w:r>
    </w:p>
    <w:p>
      <w:pPr>
        <w:spacing w:after="0" w:line="175"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During the term of his employment hereunder, the Executive shall be entitled to be reimbursed for all reasonable business expenses incurred by him in connection with his services hereunder, including but not limited to expenses for entertainment and travel, in accordance with the policies and procedures from time to time in effect for the Company's senior executive officers. The Company retains the right to establish limits on the types or amounts of business expenses that the Executive may incur.</w:t>
      </w:r>
    </w:p>
    <w:p>
      <w:pPr>
        <w:spacing w:after="0" w:line="175" w:lineRule="exact"/>
        <w:rPr>
          <w:rFonts w:ascii="Courier New" w:cs="Courier New" w:eastAsia="Courier New" w:hAnsi="Courier New"/>
          <w:sz w:val="15"/>
          <w:szCs w:val="15"/>
          <w:color w:val="auto"/>
        </w:rPr>
      </w:pPr>
    </w:p>
    <w:p>
      <w:pPr>
        <w:ind w:left="460" w:right="2939" w:firstLine="457"/>
        <w:spacing w:after="0" w:line="251" w:lineRule="auto"/>
        <w:tabs>
          <w:tab w:leader="none" w:pos="129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Programs. The Executive shall be entitled to participate in all of the Company's employee benefit plans and programs (including life, disability, and health insurance plans and programs and savings plans and programs) to the extent his position, tenure, salary, age, health and other qualifications make him eligible to participate, subject to the rules and regulations applicable thereto. The Company retains the right to abolish or alter the terms of any employee benefit programs, plans or policies that it may establish, provided such abolition</w:t>
      </w:r>
    </w:p>
    <w:p>
      <w:pPr>
        <w:sectPr>
          <w:pgSz w:w="11900" w:h="16838" w:orient="portrait"/>
          <w:cols w:equalWidth="0" w:num="1">
            <w:col w:w="10219"/>
          </w:cols>
          <w:pgMar w:left="240" w:top="319" w:right="1440" w:bottom="0" w:gutter="0" w:footer="0" w:header="0"/>
        </w:sectPr>
      </w:pPr>
    </w:p>
    <w:bookmarkStart w:id="67" w:name="page68"/>
    <w:bookmarkEnd w:id="67"/>
    <w:p>
      <w:pPr>
        <w:ind w:right="3299"/>
        <w:spacing w:after="0" w:line="253" w:lineRule="auto"/>
        <w:rPr>
          <w:sz w:val="20"/>
          <w:szCs w:val="20"/>
          <w:color w:val="auto"/>
        </w:rPr>
      </w:pPr>
      <w:r>
        <w:rPr>
          <w:rFonts w:ascii="Courier New" w:cs="Courier New" w:eastAsia="Courier New" w:hAnsi="Courier New"/>
          <w:sz w:val="15"/>
          <w:szCs w:val="15"/>
          <w:color w:val="auto"/>
        </w:rPr>
        <w:t>or amendment shall be applicable to the senior officers of the Company generally.</w:t>
      </w:r>
    </w:p>
    <w:p>
      <w:pPr>
        <w:spacing w:after="0" w:line="174" w:lineRule="exact"/>
        <w:rPr>
          <w:sz w:val="20"/>
          <w:szCs w:val="20"/>
          <w:color w:val="auto"/>
        </w:rPr>
      </w:pPr>
    </w:p>
    <w:p>
      <w:pPr>
        <w:ind w:right="2939" w:firstLine="457"/>
        <w:spacing w:after="0" w:line="251" w:lineRule="auto"/>
        <w:tabs>
          <w:tab w:leader="none" w:pos="83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and Other Absences. The Executive shall be entitled to the number of paid vacation days in each calendar year determined by the Company from time to time for its senior executive officers generally. The Executive shall also be entitled to all paid absences for holidays or illnesses in accordance with the Company's plans, policies or provisions applicable to senior executive employees.</w:t>
      </w:r>
    </w:p>
    <w:p>
      <w:pPr>
        <w:spacing w:after="0" w:line="175" w:lineRule="exact"/>
        <w:rPr>
          <w:rFonts w:ascii="Courier New" w:cs="Courier New" w:eastAsia="Courier New" w:hAnsi="Courier New"/>
          <w:sz w:val="15"/>
          <w:szCs w:val="15"/>
          <w:color w:val="auto"/>
        </w:rPr>
      </w:pPr>
    </w:p>
    <w:p>
      <w:pPr>
        <w:ind w:left="-460" w:right="2839" w:firstLine="825"/>
        <w:spacing w:after="0" w:line="251" w:lineRule="auto"/>
        <w:tabs>
          <w:tab w:leader="none" w:pos="647" w:val="left"/>
        </w:tabs>
        <w:numPr>
          <w:ilvl w:val="0"/>
          <w:numId w:val="8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Confidentiality and Non-Competition. </w:t>
      </w:r>
      <w:r>
        <w:rPr>
          <w:rFonts w:ascii="Courier New" w:cs="Courier New" w:eastAsia="Courier New" w:hAnsi="Courier New"/>
          <w:sz w:val="15"/>
          <w:szCs w:val="15"/>
          <w:color w:val="auto"/>
        </w:rPr>
        <w:t>As a material inducement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Company entering into this Agreement and in consideration for the Executive's continued employment, Executive hereby reconfirms and agrees to continue to be bound in all respects by the terms of that certain Non-Competition and Confidentiality Agreement, dated January 21, 2002, between Executive and the Company, a copy of which is attached hereto as Exhibit A.</w:t>
      </w:r>
    </w:p>
    <w:p>
      <w:pPr>
        <w:spacing w:after="0" w:line="175" w:lineRule="exact"/>
        <w:rPr>
          <w:rFonts w:ascii="Courier New" w:cs="Courier New" w:eastAsia="Courier New" w:hAnsi="Courier New"/>
          <w:sz w:val="15"/>
          <w:szCs w:val="15"/>
          <w:b w:val="1"/>
          <w:bCs w:val="1"/>
          <w:color w:val="auto"/>
        </w:rPr>
      </w:pPr>
    </w:p>
    <w:p>
      <w:pPr>
        <w:ind w:left="640" w:hanging="275"/>
        <w:spacing w:after="0"/>
        <w:tabs>
          <w:tab w:leader="none" w:pos="640" w:val="left"/>
        </w:tabs>
        <w:numPr>
          <w:ilvl w:val="0"/>
          <w:numId w:val="8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of Employment.</w:t>
      </w:r>
    </w:p>
    <w:p>
      <w:pPr>
        <w:spacing w:after="0" w:line="184" w:lineRule="exact"/>
        <w:rPr>
          <w:rFonts w:ascii="Courier New" w:cs="Courier New" w:eastAsia="Courier New" w:hAnsi="Courier New"/>
          <w:sz w:val="15"/>
          <w:szCs w:val="15"/>
          <w:b w:val="1"/>
          <w:bCs w:val="1"/>
          <w:color w:val="auto"/>
        </w:rPr>
      </w:pPr>
    </w:p>
    <w:p>
      <w:pPr>
        <w:ind w:right="2839" w:firstLine="457"/>
        <w:spacing w:after="0" w:line="251" w:lineRule="auto"/>
        <w:tabs>
          <w:tab w:leader="none" w:pos="83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The Executive's employment shall terminate automatically upon the Executive's death during the Employment Term. The Company shall be entitled to terminate the Executive's employment because of the Executive's disability during the Employment Term if, as a result of the Executive's incapacity due to physical or mental illness</w:t>
      </w:r>
    </w:p>
    <w:p>
      <w:pPr>
        <w:spacing w:after="0" w:line="35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(hereinafter "Disability"), the Executive shall have been absent from his duties hereunder for one hundred and twenty (120) days during any three hundred and sixty (360) day period.</w:t>
      </w:r>
    </w:p>
    <w:p>
      <w:pPr>
        <w:spacing w:after="0" w:line="175" w:lineRule="exact"/>
        <w:rPr>
          <w:sz w:val="20"/>
          <w:szCs w:val="20"/>
          <w:color w:val="auto"/>
        </w:rPr>
      </w:pPr>
    </w:p>
    <w:p>
      <w:pPr>
        <w:jc w:val="both"/>
        <w:ind w:right="3119" w:firstLine="457"/>
        <w:spacing w:after="0" w:line="252" w:lineRule="auto"/>
        <w:tabs>
          <w:tab w:leader="none" w:pos="83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Company for Cause. (i) The Company may terminate the Executive's employment during the Employment Term for Cause. "Cause" means:</w:t>
      </w:r>
    </w:p>
    <w:p>
      <w:pPr>
        <w:spacing w:after="0" w:line="174" w:lineRule="exact"/>
        <w:rPr>
          <w:rFonts w:ascii="Courier New" w:cs="Courier New" w:eastAsia="Courier New" w:hAnsi="Courier New"/>
          <w:sz w:val="15"/>
          <w:szCs w:val="15"/>
          <w:color w:val="auto"/>
        </w:rPr>
      </w:pPr>
    </w:p>
    <w:p>
      <w:pPr>
        <w:ind w:left="460" w:right="2839" w:firstLine="459"/>
        <w:spacing w:after="0" w:line="251" w:lineRule="auto"/>
        <w:tabs>
          <w:tab w:leader="none" w:pos="1198"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such breach;</w:t>
      </w:r>
    </w:p>
    <w:p>
      <w:pPr>
        <w:spacing w:after="0" w:line="353" w:lineRule="exact"/>
        <w:rPr>
          <w:rFonts w:ascii="Courier New" w:cs="Courier New" w:eastAsia="Courier New" w:hAnsi="Courier New"/>
          <w:sz w:val="15"/>
          <w:szCs w:val="15"/>
          <w:color w:val="auto"/>
        </w:rPr>
      </w:pPr>
    </w:p>
    <w:p>
      <w:pPr>
        <w:ind w:left="460" w:right="3119" w:firstLine="459"/>
        <w:spacing w:after="0" w:line="252" w:lineRule="auto"/>
        <w:tabs>
          <w:tab w:leader="none" w:pos="1198"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misconduct or gross negligence by the Executive, in either case that results in material damage to the business or reputation of the Company;</w:t>
      </w:r>
    </w:p>
    <w:p>
      <w:pPr>
        <w:spacing w:after="0" w:line="174" w:lineRule="exact"/>
        <w:rPr>
          <w:rFonts w:ascii="Courier New" w:cs="Courier New" w:eastAsia="Courier New" w:hAnsi="Courier New"/>
          <w:sz w:val="15"/>
          <w:szCs w:val="15"/>
          <w:color w:val="auto"/>
        </w:rPr>
      </w:pPr>
    </w:p>
    <w:p>
      <w:pPr>
        <w:ind w:left="460" w:right="2939" w:firstLine="459"/>
        <w:spacing w:after="0" w:line="251" w:lineRule="auto"/>
        <w:tabs>
          <w:tab w:leader="none" w:pos="1198"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by Executive of either this Agreement or that certain Non-Competition and Confidentiality Agreement referenced in Paragraph 8 which, if correctable, remains uncorrected for 10 days following written notice to Executive by the Board of such breach; or</w:t>
      </w:r>
    </w:p>
    <w:p>
      <w:pPr>
        <w:spacing w:after="0" w:line="176" w:lineRule="exact"/>
        <w:rPr>
          <w:rFonts w:ascii="Courier New" w:cs="Courier New" w:eastAsia="Courier New" w:hAnsi="Courier New"/>
          <w:sz w:val="15"/>
          <w:szCs w:val="15"/>
          <w:color w:val="auto"/>
        </w:rPr>
      </w:pPr>
    </w:p>
    <w:p>
      <w:pPr>
        <w:ind w:left="460" w:right="3299" w:firstLine="459"/>
        <w:spacing w:after="0" w:line="252" w:lineRule="auto"/>
        <w:tabs>
          <w:tab w:leader="none" w:pos="1198"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is convicted of a felony or any other crime involving moral turpitude (whether or not in connection with the performance by Executive of his duties under this Agreement).</w:t>
      </w:r>
    </w:p>
    <w:p>
      <w:pPr>
        <w:spacing w:after="0" w:line="174" w:lineRule="exact"/>
        <w:rPr>
          <w:rFonts w:ascii="Courier New" w:cs="Courier New" w:eastAsia="Courier New" w:hAnsi="Courier New"/>
          <w:sz w:val="15"/>
          <w:szCs w:val="15"/>
          <w:color w:val="auto"/>
        </w:rPr>
      </w:pPr>
    </w:p>
    <w:p>
      <w:pPr>
        <w:ind w:right="3119" w:firstLine="457"/>
        <w:spacing w:after="0" w:line="252" w:lineRule="auto"/>
        <w:tabs>
          <w:tab w:leader="none" w:pos="83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Company Without Cause. The Company may terminate the employment of Executive under this Agreement for any reason at any time.</w:t>
      </w:r>
    </w:p>
    <w:p>
      <w:pPr>
        <w:spacing w:after="0" w:line="174" w:lineRule="exact"/>
        <w:rPr>
          <w:rFonts w:ascii="Courier New" w:cs="Courier New" w:eastAsia="Courier New" w:hAnsi="Courier New"/>
          <w:sz w:val="15"/>
          <w:szCs w:val="15"/>
          <w:color w:val="auto"/>
        </w:rPr>
      </w:pPr>
    </w:p>
    <w:p>
      <w:pPr>
        <w:ind w:right="3119" w:firstLine="457"/>
        <w:spacing w:after="0" w:line="253" w:lineRule="auto"/>
        <w:tabs>
          <w:tab w:leader="none" w:pos="83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Executive for Good Reason. (i) The Executive may terminate employment for Good Reason. "Good Reason" means:</w:t>
      </w:r>
    </w:p>
    <w:p>
      <w:pPr>
        <w:spacing w:after="0" w:line="174" w:lineRule="exact"/>
        <w:rPr>
          <w:rFonts w:ascii="Courier New" w:cs="Courier New" w:eastAsia="Courier New" w:hAnsi="Courier New"/>
          <w:sz w:val="15"/>
          <w:szCs w:val="15"/>
          <w:color w:val="auto"/>
        </w:rPr>
      </w:pPr>
    </w:p>
    <w:p>
      <w:pPr>
        <w:ind w:left="460" w:right="2939" w:firstLine="459"/>
        <w:spacing w:after="0" w:line="251" w:lineRule="auto"/>
        <w:tabs>
          <w:tab w:leader="none" w:pos="1198"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175" w:lineRule="exact"/>
        <w:rPr>
          <w:rFonts w:ascii="Courier New" w:cs="Courier New" w:eastAsia="Courier New" w:hAnsi="Courier New"/>
          <w:sz w:val="15"/>
          <w:szCs w:val="15"/>
          <w:color w:val="auto"/>
        </w:rPr>
      </w:pPr>
    </w:p>
    <w:p>
      <w:pPr>
        <w:ind w:left="460" w:right="2839" w:firstLine="459"/>
        <w:spacing w:after="0" w:line="252" w:lineRule="auto"/>
        <w:tabs>
          <w:tab w:leader="none" w:pos="1198"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failure by the Company to comply with this Agreement, other than a failure that is remedied by the Company within 10 days after receipt of notice thereof from then Executive.</w:t>
      </w:r>
    </w:p>
    <w:p>
      <w:pPr>
        <w:spacing w:after="0" w:line="174" w:lineRule="exact"/>
        <w:rPr>
          <w:rFonts w:ascii="Courier New" w:cs="Courier New" w:eastAsia="Courier New" w:hAnsi="Courier New"/>
          <w:sz w:val="15"/>
          <w:szCs w:val="15"/>
          <w:color w:val="auto"/>
        </w:rPr>
      </w:pPr>
    </w:p>
    <w:p>
      <w:pPr>
        <w:jc w:val="both"/>
        <w:ind w:right="2939" w:firstLine="457"/>
        <w:spacing w:after="0" w:line="252" w:lineRule="auto"/>
        <w:tabs>
          <w:tab w:leader="none" w:pos="83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Without Good Reason. Executive may at any time terminate his employment under this Agreement without Good Reason.</w:t>
      </w:r>
    </w:p>
    <w:p>
      <w:pPr>
        <w:spacing w:after="0" w:line="174" w:lineRule="exact"/>
        <w:rPr>
          <w:rFonts w:ascii="Courier New" w:cs="Courier New" w:eastAsia="Courier New" w:hAnsi="Courier New"/>
          <w:sz w:val="15"/>
          <w:szCs w:val="15"/>
          <w:color w:val="auto"/>
        </w:rPr>
      </w:pPr>
    </w:p>
    <w:p>
      <w:pPr>
        <w:ind w:right="2839" w:firstLine="457"/>
        <w:spacing w:after="0" w:line="251" w:lineRule="auto"/>
        <w:tabs>
          <w:tab w:leader="none" w:pos="83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If Company or Executive desires to terminate Executive's employment hereunder at any time, it or he shall do so by giving written notice to the other party (following the expiration of any applicable cure periods) that it or he has elected to</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terminate Executive's employment hereunder and stating the effective date and reason for such termination. Any termination by Executive of his</w:t>
      </w:r>
    </w:p>
    <w:p>
      <w:pPr>
        <w:sectPr>
          <w:pgSz w:w="11900" w:h="16838" w:orient="portrait"/>
          <w:cols w:equalWidth="0" w:num="1">
            <w:col w:w="9759"/>
          </w:cols>
          <w:pgMar w:left="700" w:top="142" w:right="1440" w:bottom="0" w:gutter="0" w:footer="0" w:header="0"/>
        </w:sectPr>
      </w:pPr>
    </w:p>
    <w:bookmarkStart w:id="68" w:name="page69"/>
    <w:bookmarkEnd w:id="68"/>
    <w:p>
      <w:pPr>
        <w:ind w:right="3299"/>
        <w:spacing w:after="0" w:line="253" w:lineRule="auto"/>
        <w:rPr>
          <w:sz w:val="20"/>
          <w:szCs w:val="20"/>
          <w:color w:val="auto"/>
        </w:rPr>
      </w:pPr>
      <w:r>
        <w:rPr>
          <w:rFonts w:ascii="Courier New" w:cs="Courier New" w:eastAsia="Courier New" w:hAnsi="Courier New"/>
          <w:sz w:val="15"/>
          <w:szCs w:val="15"/>
          <w:color w:val="auto"/>
        </w:rPr>
        <w:t>employment without Good Reason shall be made on not less than 14 days' notice.</w:t>
      </w:r>
    </w:p>
    <w:p>
      <w:pPr>
        <w:spacing w:after="0" w:line="174" w:lineRule="exact"/>
        <w:rPr>
          <w:sz w:val="20"/>
          <w:szCs w:val="20"/>
          <w:color w:val="auto"/>
        </w:rPr>
      </w:pPr>
    </w:p>
    <w:p>
      <w:pPr>
        <w:ind w:left="640" w:hanging="275"/>
        <w:spacing w:after="0"/>
        <w:tabs>
          <w:tab w:leader="none" w:pos="640" w:val="left"/>
        </w:tabs>
        <w:numPr>
          <w:ilvl w:val="0"/>
          <w:numId w:val="8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Effect of Termination.</w:t>
      </w:r>
    </w:p>
    <w:p>
      <w:pPr>
        <w:spacing w:after="0" w:line="184" w:lineRule="exact"/>
        <w:rPr>
          <w:rFonts w:ascii="Courier New" w:cs="Courier New" w:eastAsia="Courier New" w:hAnsi="Courier New"/>
          <w:sz w:val="15"/>
          <w:szCs w:val="15"/>
          <w:b w:val="1"/>
          <w:bCs w:val="1"/>
          <w:color w:val="auto"/>
        </w:rPr>
      </w:pPr>
    </w:p>
    <w:p>
      <w:pPr>
        <w:ind w:right="2939" w:firstLine="457"/>
        <w:spacing w:after="0" w:line="251" w:lineRule="auto"/>
        <w:tabs>
          <w:tab w:leader="none" w:pos="83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Termination for Cause; Death or Disability. In the event that Executive's employment is terminated pursuant to Paragraphs 8(a), 8(b) or 8(e), on the date of termination, the Company shall be liable to Executive as follows:</w:t>
      </w:r>
    </w:p>
    <w:p>
      <w:pPr>
        <w:spacing w:after="0" w:line="176" w:lineRule="exact"/>
        <w:rPr>
          <w:rFonts w:ascii="Courier New" w:cs="Courier New" w:eastAsia="Courier New" w:hAnsi="Courier New"/>
          <w:sz w:val="15"/>
          <w:szCs w:val="15"/>
          <w:color w:val="auto"/>
        </w:rPr>
      </w:pPr>
    </w:p>
    <w:p>
      <w:pPr>
        <w:ind w:left="460" w:right="2939" w:firstLine="459"/>
        <w:spacing w:after="0" w:line="253" w:lineRule="auto"/>
        <w:tabs>
          <w:tab w:leader="none" w:pos="1290"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entitled to receive the Annual Salary due to him through the date of termination of his employment.</w:t>
      </w:r>
    </w:p>
    <w:p>
      <w:pPr>
        <w:spacing w:after="0" w:line="174" w:lineRule="exact"/>
        <w:rPr>
          <w:rFonts w:ascii="Courier New" w:cs="Courier New" w:eastAsia="Courier New" w:hAnsi="Courier New"/>
          <w:sz w:val="15"/>
          <w:szCs w:val="15"/>
          <w:color w:val="auto"/>
        </w:rPr>
      </w:pPr>
    </w:p>
    <w:p>
      <w:pPr>
        <w:ind w:left="460" w:right="2839" w:firstLine="459"/>
        <w:spacing w:after="0" w:line="251" w:lineRule="auto"/>
        <w:tabs>
          <w:tab w:leader="none" w:pos="1383"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vested rights of Executive shall be paid to Executive in accordance with the Company's plans, programs or policies. Without limiting the foregoing, in the event of the termination of Executive's employment due to death or disability (Paragraph 8(a)), the rights and benefits of Executive (or his designated beneficiary or representatives, as applicable) under any Company life, health and long-term disability plans and policies shall be determined in accordance with the terms and provisions of such plans and policies.</w:t>
      </w:r>
    </w:p>
    <w:p>
      <w:pPr>
        <w:spacing w:after="0" w:line="175" w:lineRule="exact"/>
        <w:rPr>
          <w:rFonts w:ascii="Courier New" w:cs="Courier New" w:eastAsia="Courier New" w:hAnsi="Courier New"/>
          <w:sz w:val="15"/>
          <w:szCs w:val="15"/>
          <w:color w:val="auto"/>
        </w:rPr>
      </w:pPr>
    </w:p>
    <w:p>
      <w:pPr>
        <w:ind w:left="460" w:right="2939" w:firstLine="459"/>
        <w:spacing w:after="0" w:line="252" w:lineRule="auto"/>
        <w:tabs>
          <w:tab w:leader="none" w:pos="1475"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reimburse Executive for any and all reimbursable business expenses (to the extent not already reimbursed) upon Executive's properly accounting for the same.</w:t>
      </w:r>
    </w:p>
    <w:p>
      <w:pPr>
        <w:spacing w:after="0" w:line="174" w:lineRule="exact"/>
        <w:rPr>
          <w:rFonts w:ascii="Courier New" w:cs="Courier New" w:eastAsia="Courier New" w:hAnsi="Courier New"/>
          <w:sz w:val="15"/>
          <w:szCs w:val="15"/>
          <w:color w:val="auto"/>
        </w:rPr>
      </w:pPr>
    </w:p>
    <w:p>
      <w:pPr>
        <w:ind w:right="3019" w:firstLine="457"/>
        <w:spacing w:after="0" w:line="251" w:lineRule="auto"/>
        <w:tabs>
          <w:tab w:leader="none" w:pos="83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by Executive for Good Reason. In the event that the Company terminates Executive's employment without Cause pursuant to Paragraph 8(c) or Executive terminates his employment with the Company pursuant to Paragraph 8(d), the Company shall be liable as follows:</w:t>
      </w:r>
    </w:p>
    <w:p>
      <w:pPr>
        <w:spacing w:after="0" w:line="176" w:lineRule="exact"/>
        <w:rPr>
          <w:rFonts w:ascii="Courier New" w:cs="Courier New" w:eastAsia="Courier New" w:hAnsi="Courier New"/>
          <w:sz w:val="15"/>
          <w:szCs w:val="15"/>
          <w:color w:val="auto"/>
        </w:rPr>
      </w:pPr>
    </w:p>
    <w:p>
      <w:pPr>
        <w:ind w:left="460" w:right="2839" w:firstLine="459"/>
        <w:spacing w:after="0" w:line="251" w:lineRule="auto"/>
        <w:tabs>
          <w:tab w:leader="none" w:pos="1290"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entitled to receive the Annual Salary due to him through the date of termination of his Employment. In addition, Executive shall be entitled to receive continued monthly payments of his a Annual Salary, based on the Annual Salary in effect, on the date of termination, until the first anniversary of the date of termination.</w:t>
      </w:r>
    </w:p>
    <w:p>
      <w:pPr>
        <w:spacing w:after="0" w:line="353" w:lineRule="exact"/>
        <w:rPr>
          <w:rFonts w:ascii="Courier New" w:cs="Courier New" w:eastAsia="Courier New" w:hAnsi="Courier New"/>
          <w:sz w:val="15"/>
          <w:szCs w:val="15"/>
          <w:color w:val="auto"/>
        </w:rPr>
      </w:pPr>
    </w:p>
    <w:p>
      <w:pPr>
        <w:ind w:left="460" w:right="2839" w:firstLine="459"/>
        <w:spacing w:after="0" w:line="253" w:lineRule="auto"/>
        <w:tabs>
          <w:tab w:leader="none" w:pos="1383"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vested rights of Executive shall be paid to Executive in accordance with the Company's plans, programs or policies.</w:t>
      </w:r>
    </w:p>
    <w:p>
      <w:pPr>
        <w:spacing w:after="0" w:line="174" w:lineRule="exact"/>
        <w:rPr>
          <w:rFonts w:ascii="Courier New" w:cs="Courier New" w:eastAsia="Courier New" w:hAnsi="Courier New"/>
          <w:sz w:val="15"/>
          <w:szCs w:val="15"/>
          <w:color w:val="auto"/>
        </w:rPr>
      </w:pPr>
    </w:p>
    <w:p>
      <w:pPr>
        <w:ind w:left="460" w:right="2939" w:firstLine="459"/>
        <w:spacing w:after="0" w:line="252" w:lineRule="auto"/>
        <w:tabs>
          <w:tab w:leader="none" w:pos="1475"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reimburse Executive for any and all reimbursable business expenses (to the extent not already reimbursed) upon Executive's properly accounting for the same.</w:t>
      </w:r>
    </w:p>
    <w:p>
      <w:pPr>
        <w:spacing w:after="0" w:line="174" w:lineRule="exact"/>
        <w:rPr>
          <w:rFonts w:ascii="Courier New" w:cs="Courier New" w:eastAsia="Courier New" w:hAnsi="Courier New"/>
          <w:sz w:val="15"/>
          <w:szCs w:val="15"/>
          <w:color w:val="auto"/>
        </w:rPr>
      </w:pPr>
    </w:p>
    <w:p>
      <w:pPr>
        <w:ind w:left="460" w:right="2839" w:firstLine="459"/>
        <w:spacing w:after="0" w:line="251" w:lineRule="auto"/>
        <w:tabs>
          <w:tab w:leader="none" w:pos="1383"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and/or the Executive's family shall be entitled to receive health benefits (as contemplated by Paragraph 6(c) hereof) until the first anniversary of the date of termination at least equal to those which would have been provided to them in accordance with this Agreement if</w:t>
      </w:r>
    </w:p>
    <w:p>
      <w:pPr>
        <w:spacing w:after="0" w:line="35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Executive's employment had not been terminated provided that the Company's obligation to provide such benefits shall be reduced by any comparable benefits (or amounts received by Executive in respect thereof) received by Executive under the terms of new employment undertaken by Executive after termination and prior to the first anniversary of the date of termination; and provided further, that the terms of the Company's health insurance plans shall be subject to amendment during such period, to the extent that such amendments are applicable to the executive officers of the Company generally.</w:t>
      </w:r>
    </w:p>
    <w:p>
      <w:pPr>
        <w:spacing w:after="0" w:line="175" w:lineRule="exact"/>
        <w:rPr>
          <w:sz w:val="20"/>
          <w:szCs w:val="20"/>
          <w:color w:val="auto"/>
        </w:rPr>
      </w:pPr>
    </w:p>
    <w:p>
      <w:pPr>
        <w:ind w:right="2939" w:firstLine="457"/>
        <w:spacing w:after="0" w:line="251" w:lineRule="auto"/>
        <w:tabs>
          <w:tab w:leader="none" w:pos="83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on Company Liability. Except as expressly set forth in this Paragraph 9,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9.</w:t>
      </w:r>
    </w:p>
    <w:p>
      <w:pPr>
        <w:spacing w:after="0" w:line="175" w:lineRule="exact"/>
        <w:rPr>
          <w:rFonts w:ascii="Courier New" w:cs="Courier New" w:eastAsia="Courier New" w:hAnsi="Courier New"/>
          <w:sz w:val="15"/>
          <w:szCs w:val="15"/>
          <w:color w:val="auto"/>
        </w:rPr>
      </w:pPr>
    </w:p>
    <w:p>
      <w:pPr>
        <w:ind w:left="740" w:hanging="375"/>
        <w:spacing w:after="0"/>
        <w:tabs>
          <w:tab w:leader="none" w:pos="740" w:val="left"/>
        </w:tabs>
        <w:numPr>
          <w:ilvl w:val="0"/>
          <w:numId w:val="8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Company Proprietary Rights.</w:t>
      </w:r>
    </w:p>
    <w:p>
      <w:pPr>
        <w:spacing w:after="0" w:line="184" w:lineRule="exact"/>
        <w:rPr>
          <w:rFonts w:ascii="Courier New" w:cs="Courier New" w:eastAsia="Courier New" w:hAnsi="Courier New"/>
          <w:sz w:val="15"/>
          <w:szCs w:val="15"/>
          <w:b w:val="1"/>
          <w:bCs w:val="1"/>
          <w:color w:val="auto"/>
        </w:rPr>
      </w:pPr>
    </w:p>
    <w:p>
      <w:pPr>
        <w:ind w:right="2839" w:firstLine="457"/>
        <w:spacing w:after="0" w:line="251" w:lineRule="auto"/>
        <w:tabs>
          <w:tab w:leader="none" w:pos="83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to Retain Rights.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175" w:lineRule="exact"/>
        <w:rPr>
          <w:rFonts w:ascii="Courier New" w:cs="Courier New" w:eastAsia="Courier New" w:hAnsi="Courier New"/>
          <w:sz w:val="15"/>
          <w:szCs w:val="15"/>
          <w:color w:val="auto"/>
        </w:rPr>
      </w:pPr>
    </w:p>
    <w:p>
      <w:pPr>
        <w:ind w:right="2839" w:firstLine="457"/>
        <w:spacing w:after="0" w:line="251" w:lineRule="auto"/>
        <w:tabs>
          <w:tab w:leader="none" w:pos="83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w:t>
      </w:r>
    </w:p>
    <w:p>
      <w:pPr>
        <w:sectPr>
          <w:pgSz w:w="11900" w:h="16838" w:orient="portrait"/>
          <w:cols w:equalWidth="0" w:num="1">
            <w:col w:w="9759"/>
          </w:cols>
          <w:pgMar w:left="700" w:top="142" w:right="1440" w:bottom="0" w:gutter="0" w:footer="0" w:header="0"/>
        </w:sectPr>
      </w:pPr>
    </w:p>
    <w:bookmarkStart w:id="69" w:name="page70"/>
    <w:bookmarkEnd w:id="69"/>
    <w:p>
      <w:pPr>
        <w:ind w:left="460"/>
        <w:spacing w:after="0"/>
        <w:rPr>
          <w:sz w:val="20"/>
          <w:szCs w:val="20"/>
          <w:color w:val="auto"/>
        </w:rPr>
      </w:pPr>
      <w:r>
        <w:rPr>
          <w:rFonts w:ascii="Courier New" w:cs="Courier New" w:eastAsia="Courier New" w:hAnsi="Courier New"/>
          <w:sz w:val="15"/>
          <w:szCs w:val="15"/>
          <w:color w:val="auto"/>
        </w:rPr>
        <w:t>this Agreement.</w:t>
      </w:r>
    </w:p>
    <w:p>
      <w:pPr>
        <w:spacing w:after="0" w:line="185" w:lineRule="exact"/>
        <w:rPr>
          <w:sz w:val="20"/>
          <w:szCs w:val="20"/>
          <w:color w:val="auto"/>
        </w:rPr>
      </w:pPr>
    </w:p>
    <w:p>
      <w:pPr>
        <w:ind w:left="460" w:right="4060" w:firstLine="457"/>
        <w:spacing w:after="0" w:line="251" w:lineRule="auto"/>
        <w:tabs>
          <w:tab w:leader="none" w:pos="129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Material. Upon the termination of the Employment Term, including any termination of employment described in Paragraph 8, the Executive will promptly return to the Company all copies of information protected by Paragraph 10(a) hereof or by Paragraph 3(a) of the Non-Competition and Confidentiality Agreement referenced in Paragraph 7, which are in his possession, custody or control, whether prepared by him or others, and the Executive agrees that he shall not retain any of same.</w:t>
      </w:r>
    </w:p>
    <w:p>
      <w:pPr>
        <w:spacing w:after="0" w:line="175" w:lineRule="exact"/>
        <w:rPr>
          <w:rFonts w:ascii="Courier New" w:cs="Courier New" w:eastAsia="Courier New" w:hAnsi="Courier New"/>
          <w:sz w:val="15"/>
          <w:szCs w:val="15"/>
          <w:color w:val="auto"/>
        </w:rPr>
      </w:pPr>
    </w:p>
    <w:p>
      <w:pPr>
        <w:ind w:right="4160" w:firstLine="825"/>
        <w:spacing w:after="0" w:line="251" w:lineRule="auto"/>
        <w:tabs>
          <w:tab w:leader="none" w:pos="1200" w:val="left"/>
        </w:tabs>
        <w:numPr>
          <w:ilvl w:val="0"/>
          <w:numId w:val="9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Representation and Warranty of Executive. </w:t>
      </w:r>
      <w:r>
        <w:rPr>
          <w:rFonts w:ascii="Courier New" w:cs="Courier New" w:eastAsia="Courier New" w:hAnsi="Courier New"/>
          <w:sz w:val="15"/>
          <w:szCs w:val="15"/>
          <w:color w:val="auto"/>
        </w:rPr>
        <w:t>Executive represents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4060" w:firstLine="825"/>
        <w:spacing w:after="0" w:line="251" w:lineRule="auto"/>
        <w:tabs>
          <w:tab w:leader="none" w:pos="1200" w:val="left"/>
        </w:tabs>
        <w:numPr>
          <w:ilvl w:val="0"/>
          <w:numId w:val="9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Resolution of Disputes. </w:t>
      </w:r>
      <w:r>
        <w:rPr>
          <w:rFonts w:ascii="Courier New" w:cs="Courier New" w:eastAsia="Courier New" w:hAnsi="Courier New"/>
          <w:sz w:val="15"/>
          <w:szCs w:val="15"/>
          <w:color w:val="auto"/>
        </w:rPr>
        <w:t>Any dispute or claim arising out of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75" w:lineRule="exact"/>
        <w:rPr>
          <w:rFonts w:ascii="Courier New" w:cs="Courier New" w:eastAsia="Courier New" w:hAnsi="Courier New"/>
          <w:sz w:val="15"/>
          <w:szCs w:val="15"/>
          <w:b w:val="1"/>
          <w:bCs w:val="1"/>
          <w:color w:val="auto"/>
        </w:rPr>
      </w:pPr>
    </w:p>
    <w:p>
      <w:pPr>
        <w:ind w:right="4060" w:firstLine="825"/>
        <w:spacing w:after="0" w:line="251" w:lineRule="auto"/>
        <w:tabs>
          <w:tab w:leader="none" w:pos="1200" w:val="left"/>
        </w:tabs>
        <w:numPr>
          <w:ilvl w:val="0"/>
          <w:numId w:val="9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Assignment. </w:t>
      </w:r>
      <w:r>
        <w:rPr>
          <w:rFonts w:ascii="Courier New" w:cs="Courier New" w:eastAsia="Courier New" w:hAnsi="Courier New"/>
          <w:sz w:val="15"/>
          <w:szCs w:val="15"/>
          <w:color w:val="auto"/>
        </w:rPr>
        <w:t>This Agreement, and the rights and obligations of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Company may assign this Agreement in connection with a merger or consolidation involving Company or a sale of substantially all its assets to the surviving corporation or purchaser, as the case may be, so long as such assignee assumes Company's obligations hereunder.</w:t>
      </w:r>
    </w:p>
    <w:p>
      <w:pPr>
        <w:spacing w:after="0" w:line="175" w:lineRule="exact"/>
        <w:rPr>
          <w:rFonts w:ascii="Courier New" w:cs="Courier New" w:eastAsia="Courier New" w:hAnsi="Courier New"/>
          <w:sz w:val="15"/>
          <w:szCs w:val="15"/>
          <w:b w:val="1"/>
          <w:bCs w:val="1"/>
          <w:color w:val="auto"/>
        </w:rPr>
      </w:pPr>
    </w:p>
    <w:p>
      <w:pPr>
        <w:ind w:right="4060" w:firstLine="825"/>
        <w:spacing w:after="0" w:line="252" w:lineRule="auto"/>
        <w:tabs>
          <w:tab w:leader="none" w:pos="1200" w:val="left"/>
        </w:tabs>
        <w:numPr>
          <w:ilvl w:val="0"/>
          <w:numId w:val="9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Withholding. </w:t>
      </w:r>
      <w:r>
        <w:rPr>
          <w:rFonts w:ascii="Courier New" w:cs="Courier New" w:eastAsia="Courier New" w:hAnsi="Courier New"/>
          <w:sz w:val="15"/>
          <w:szCs w:val="15"/>
          <w:color w:val="auto"/>
        </w:rPr>
        <w:t>Payment of Executive's Annual Salary and payment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provision of other compensation to Executive pursuant hereto shall be subject to such reporting and withholding for applicable taxes as is required by law.</w:t>
      </w:r>
    </w:p>
    <w:p>
      <w:pPr>
        <w:spacing w:after="0" w:line="174" w:lineRule="exact"/>
        <w:rPr>
          <w:rFonts w:ascii="Courier New" w:cs="Courier New" w:eastAsia="Courier New" w:hAnsi="Courier New"/>
          <w:sz w:val="15"/>
          <w:szCs w:val="15"/>
          <w:b w:val="1"/>
          <w:bCs w:val="1"/>
          <w:color w:val="auto"/>
        </w:rPr>
      </w:pPr>
    </w:p>
    <w:p>
      <w:pPr>
        <w:ind w:right="4060" w:firstLine="825"/>
        <w:spacing w:after="0" w:line="251" w:lineRule="auto"/>
        <w:tabs>
          <w:tab w:leader="none" w:pos="1200" w:val="left"/>
        </w:tabs>
        <w:numPr>
          <w:ilvl w:val="0"/>
          <w:numId w:val="9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Certain Expenses. </w:t>
      </w:r>
      <w:r>
        <w:rPr>
          <w:rFonts w:ascii="Courier New" w:cs="Courier New" w:eastAsia="Courier New" w:hAnsi="Courier New"/>
          <w:sz w:val="15"/>
          <w:szCs w:val="15"/>
          <w:color w:val="auto"/>
        </w:rPr>
        <w:t>Company, on or before the date hereof, shall pay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directly or reimburse Executive (at Executive's discretion) for the actual legal fees and other costs and expenses, if any, incurred by Executive in connection with the preparation, finalizing and execution of this Letter.</w:t>
      </w:r>
    </w:p>
    <w:p>
      <w:pPr>
        <w:spacing w:after="0" w:line="176" w:lineRule="exact"/>
        <w:rPr>
          <w:rFonts w:ascii="Courier New" w:cs="Courier New" w:eastAsia="Courier New" w:hAnsi="Courier New"/>
          <w:sz w:val="15"/>
          <w:szCs w:val="15"/>
          <w:b w:val="1"/>
          <w:bCs w:val="1"/>
          <w:color w:val="auto"/>
        </w:rPr>
      </w:pPr>
    </w:p>
    <w:p>
      <w:pPr>
        <w:ind w:right="4060" w:firstLine="825"/>
        <w:spacing w:after="0" w:line="252" w:lineRule="auto"/>
        <w:tabs>
          <w:tab w:leader="none" w:pos="1200" w:val="left"/>
        </w:tabs>
        <w:numPr>
          <w:ilvl w:val="0"/>
          <w:numId w:val="9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Severability. </w:t>
      </w:r>
      <w:r>
        <w:rPr>
          <w:rFonts w:ascii="Courier New" w:cs="Courier New" w:eastAsia="Courier New" w:hAnsi="Courier New"/>
          <w:sz w:val="15"/>
          <w:szCs w:val="15"/>
          <w:color w:val="auto"/>
        </w:rPr>
        <w:t>In the event that any provision or portion of this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Agreement is determine to be invalid or unenforceable for any reason, in whole or in part, the remaining provisions of this Agreement will be unaffected thereby and will remain in full force and effect to the fullest extent permitted by law.</w:t>
      </w:r>
    </w:p>
    <w:p>
      <w:pPr>
        <w:spacing w:after="0" w:line="350" w:lineRule="exact"/>
        <w:rPr>
          <w:rFonts w:ascii="Courier New" w:cs="Courier New" w:eastAsia="Courier New" w:hAnsi="Courier New"/>
          <w:sz w:val="15"/>
          <w:szCs w:val="15"/>
          <w:b w:val="1"/>
          <w:bCs w:val="1"/>
          <w:color w:val="auto"/>
        </w:rPr>
      </w:pPr>
    </w:p>
    <w:p>
      <w:pPr>
        <w:ind w:right="4160" w:firstLine="825"/>
        <w:spacing w:after="0" w:line="251" w:lineRule="auto"/>
        <w:tabs>
          <w:tab w:leader="none" w:pos="1200" w:val="left"/>
        </w:tabs>
        <w:numPr>
          <w:ilvl w:val="0"/>
          <w:numId w:val="9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Notices. </w:t>
      </w:r>
      <w:r>
        <w:rPr>
          <w:rFonts w:ascii="Courier New" w:cs="Courier New" w:eastAsia="Courier New" w:hAnsi="Courier New"/>
          <w:sz w:val="15"/>
          <w:szCs w:val="15"/>
          <w:color w:val="auto"/>
        </w:rPr>
        <w:t>For all purposes of this Agreement, notices and all other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communications provided for herein shall be in writing and shall be deemed to have been duly given, in the case of a notice to the Company, when delivered to the Company at the following address, and in the case of a notice to Executive, when received by Executive, and in both cases addressed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820"/>
              <w:spacing w:after="0"/>
              <w:rPr>
                <w:sz w:val="20"/>
                <w:szCs w:val="20"/>
                <w:color w:val="auto"/>
              </w:rPr>
            </w:pPr>
            <w:r>
              <w:rPr>
                <w:rFonts w:ascii="Courier New" w:cs="Courier New" w:eastAsia="Courier New" w:hAnsi="Courier New"/>
                <w:sz w:val="15"/>
                <w:szCs w:val="15"/>
                <w:color w:val="auto"/>
              </w:rPr>
              <w:t>If to Company, to:</w:t>
            </w: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NN, Inc.</w:t>
            </w:r>
          </w:p>
        </w:tc>
      </w:tr>
      <w:tr>
        <w:trPr>
          <w:trHeight w:val="177"/>
        </w:trPr>
        <w:tc>
          <w:tcPr>
            <w:tcW w:w="3140" w:type="dxa"/>
            <w:vAlign w:val="bottom"/>
          </w:tcPr>
          <w:p>
            <w:pPr>
              <w:spacing w:after="0"/>
              <w:rPr>
                <w:sz w:val="15"/>
                <w:szCs w:val="15"/>
                <w:color w:val="auto"/>
              </w:rPr>
            </w:pP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2000 Waters Edge Drive</w:t>
            </w:r>
          </w:p>
        </w:tc>
      </w:tr>
      <w:tr>
        <w:trPr>
          <w:trHeight w:val="177"/>
        </w:trPr>
        <w:tc>
          <w:tcPr>
            <w:tcW w:w="3140" w:type="dxa"/>
            <w:vAlign w:val="bottom"/>
          </w:tcPr>
          <w:p>
            <w:pPr>
              <w:spacing w:after="0"/>
              <w:rPr>
                <w:sz w:val="15"/>
                <w:szCs w:val="15"/>
                <w:color w:val="auto"/>
              </w:rPr>
            </w:pP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Building C, Suite 12</w:t>
            </w:r>
          </w:p>
        </w:tc>
      </w:tr>
      <w:tr>
        <w:trPr>
          <w:trHeight w:val="177"/>
        </w:trPr>
        <w:tc>
          <w:tcPr>
            <w:tcW w:w="3140" w:type="dxa"/>
            <w:vAlign w:val="bottom"/>
          </w:tcPr>
          <w:p>
            <w:pPr>
              <w:spacing w:after="0"/>
              <w:rPr>
                <w:sz w:val="15"/>
                <w:szCs w:val="15"/>
                <w:color w:val="auto"/>
              </w:rPr>
            </w:pP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Johnson City, Tennessee 37604</w:t>
            </w:r>
          </w:p>
        </w:tc>
      </w:tr>
      <w:tr>
        <w:trPr>
          <w:trHeight w:val="177"/>
        </w:trPr>
        <w:tc>
          <w:tcPr>
            <w:tcW w:w="3140" w:type="dxa"/>
            <w:vAlign w:val="bottom"/>
          </w:tcPr>
          <w:p>
            <w:pPr>
              <w:spacing w:after="0"/>
              <w:rPr>
                <w:sz w:val="15"/>
                <w:szCs w:val="15"/>
                <w:color w:val="auto"/>
              </w:rPr>
            </w:pP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Attention: President</w:t>
            </w:r>
          </w:p>
        </w:tc>
      </w:tr>
      <w:tr>
        <w:trPr>
          <w:trHeight w:val="355"/>
        </w:trPr>
        <w:tc>
          <w:tcPr>
            <w:tcW w:w="3140" w:type="dxa"/>
            <w:vAlign w:val="bottom"/>
          </w:tcPr>
          <w:p>
            <w:pPr>
              <w:spacing w:after="0"/>
              <w:rPr>
                <w:sz w:val="24"/>
                <w:szCs w:val="24"/>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6</w:t>
            </w:r>
          </w:p>
        </w:tc>
      </w:tr>
      <w:tr>
        <w:trPr>
          <w:trHeight w:val="161"/>
        </w:trPr>
        <w:tc>
          <w:tcPr>
            <w:tcW w:w="3140" w:type="dxa"/>
            <w:vAlign w:val="bottom"/>
            <w:tcBorders>
              <w:bottom w:val="single" w:sz="8" w:color="9A9A9A"/>
            </w:tcBorders>
          </w:tcPr>
          <w:p>
            <w:pPr>
              <w:spacing w:after="0"/>
              <w:rPr>
                <w:sz w:val="13"/>
                <w:szCs w:val="13"/>
                <w:color w:val="auto"/>
              </w:rPr>
            </w:pPr>
          </w:p>
        </w:tc>
        <w:tc>
          <w:tcPr>
            <w:tcW w:w="8300" w:type="dxa"/>
            <w:vAlign w:val="bottom"/>
            <w:tcBorders>
              <w:bottom w:val="single" w:sz="8" w:color="9A9A9A"/>
            </w:tcBorders>
          </w:tcPr>
          <w:p>
            <w:pPr>
              <w:spacing w:after="0"/>
              <w:rPr>
                <w:sz w:val="13"/>
                <w:szCs w:val="13"/>
                <w:color w:val="auto"/>
              </w:rPr>
            </w:pPr>
          </w:p>
        </w:tc>
      </w:tr>
      <w:tr>
        <w:trPr>
          <w:trHeight w:val="683"/>
        </w:trPr>
        <w:tc>
          <w:tcPr>
            <w:tcW w:w="3140" w:type="dxa"/>
            <w:vAlign w:val="bottom"/>
          </w:tcPr>
          <w:p>
            <w:pPr>
              <w:ind w:left="820"/>
              <w:spacing w:after="0"/>
              <w:rPr>
                <w:sz w:val="20"/>
                <w:szCs w:val="20"/>
                <w:color w:val="auto"/>
              </w:rPr>
            </w:pPr>
            <w:r>
              <w:rPr>
                <w:rFonts w:ascii="Courier New" w:cs="Courier New" w:eastAsia="Courier New" w:hAnsi="Courier New"/>
                <w:sz w:val="15"/>
                <w:szCs w:val="15"/>
                <w:color w:val="auto"/>
              </w:rPr>
              <w:t>If to Executive, to:</w:t>
            </w: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William C. Kelly, Jr.</w:t>
            </w:r>
          </w:p>
        </w:tc>
      </w:tr>
      <w:tr>
        <w:trPr>
          <w:trHeight w:val="177"/>
        </w:trPr>
        <w:tc>
          <w:tcPr>
            <w:tcW w:w="3140" w:type="dxa"/>
            <w:vAlign w:val="bottom"/>
          </w:tcPr>
          <w:p>
            <w:pPr>
              <w:spacing w:after="0"/>
              <w:rPr>
                <w:sz w:val="15"/>
                <w:szCs w:val="15"/>
                <w:color w:val="auto"/>
              </w:rPr>
            </w:pP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____________________________________</w:t>
            </w:r>
          </w:p>
        </w:tc>
      </w:tr>
      <w:tr>
        <w:trPr>
          <w:trHeight w:val="355"/>
        </w:trPr>
        <w:tc>
          <w:tcPr>
            <w:tcW w:w="3140" w:type="dxa"/>
            <w:vAlign w:val="bottom"/>
          </w:tcPr>
          <w:p>
            <w:pPr>
              <w:spacing w:after="0"/>
              <w:rPr>
                <w:sz w:val="24"/>
                <w:szCs w:val="24"/>
                <w:color w:val="auto"/>
              </w:rPr>
            </w:pPr>
          </w:p>
        </w:tc>
        <w:tc>
          <w:tcPr>
            <w:tcW w:w="8300" w:type="dxa"/>
            <w:vAlign w:val="bottom"/>
          </w:tcPr>
          <w:p>
            <w:pPr>
              <w:ind w:left="820"/>
              <w:spacing w:after="0"/>
              <w:rPr>
                <w:sz w:val="20"/>
                <w:szCs w:val="20"/>
                <w:color w:val="auto"/>
              </w:rPr>
            </w:pPr>
            <w:r>
              <w:rPr>
                <w:rFonts w:ascii="Courier New" w:cs="Courier New" w:eastAsia="Courier New" w:hAnsi="Courier New"/>
                <w:sz w:val="15"/>
                <w:szCs w:val="15"/>
                <w:color w:val="auto"/>
              </w:rPr>
              <w:t>____________________________________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-798830</wp:posOffset>
            </wp:positionV>
            <wp:extent cx="33020"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-798830</wp:posOffset>
            </wp:positionV>
            <wp:extent cx="33020"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163" w:lineRule="exact"/>
        <w:rPr>
          <w:sz w:val="20"/>
          <w:szCs w:val="20"/>
          <w:color w:val="auto"/>
        </w:rPr>
      </w:pPr>
    </w:p>
    <w:p>
      <w:pPr>
        <w:ind w:right="4060" w:firstLine="825"/>
        <w:spacing w:after="0" w:line="251" w:lineRule="auto"/>
        <w:tabs>
          <w:tab w:leader="none" w:pos="1200" w:val="left"/>
        </w:tabs>
        <w:numPr>
          <w:ilvl w:val="0"/>
          <w:numId w:val="9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Modifications and Waivers. </w:t>
      </w:r>
      <w:r>
        <w:rPr>
          <w:rFonts w:ascii="Courier New" w:cs="Courier New" w:eastAsia="Courier New" w:hAnsi="Courier New"/>
          <w:sz w:val="15"/>
          <w:szCs w:val="15"/>
          <w:color w:val="auto"/>
        </w:rPr>
        <w:t>No provision of this Agreement may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modified or discharged unless such modification or discharge is authorized by the Board and is agreed to in writing, signed by the Executive and by an officer of the Company duly authorized by the Board. No waiver by either party hereto of any breach by the other party hereto of any condition or provision of this Agreement to be performed by such other party will be deemed a waiver of similar or dissimilar provisions or conditions at the time or at any prior or subsequent time.</w:t>
      </w:r>
    </w:p>
    <w:p>
      <w:pPr>
        <w:spacing w:after="0" w:line="175" w:lineRule="exact"/>
        <w:rPr>
          <w:rFonts w:ascii="Courier New" w:cs="Courier New" w:eastAsia="Courier New" w:hAnsi="Courier New"/>
          <w:sz w:val="15"/>
          <w:szCs w:val="15"/>
          <w:b w:val="1"/>
          <w:bCs w:val="1"/>
          <w:color w:val="auto"/>
        </w:rPr>
      </w:pPr>
    </w:p>
    <w:p>
      <w:pPr>
        <w:ind w:right="4440" w:firstLine="825"/>
        <w:spacing w:after="0" w:line="251" w:lineRule="auto"/>
        <w:tabs>
          <w:tab w:leader="none" w:pos="1200" w:val="left"/>
        </w:tabs>
        <w:numPr>
          <w:ilvl w:val="0"/>
          <w:numId w:val="9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Entire Agreement. </w:t>
      </w:r>
      <w:r>
        <w:rPr>
          <w:rFonts w:ascii="Courier New" w:cs="Courier New" w:eastAsia="Courier New" w:hAnsi="Courier New"/>
          <w:sz w:val="15"/>
          <w:szCs w:val="15"/>
          <w:color w:val="auto"/>
        </w:rPr>
        <w:t>This Agreement and the Non-Competition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Confidentially Agreement constitute the entire understanding of the parties hereto with respect to their subject matter. This Agreement and the Non-Competition and Confidentiality Agreement supersede all prior agreements between the parties hereto with respect to their subject matter.</w:t>
      </w:r>
    </w:p>
    <w:p>
      <w:pPr>
        <w:sectPr>
          <w:pgSz w:w="11900" w:h="16838" w:orient="portrait"/>
          <w:cols w:equalWidth="0" w:num="1">
            <w:col w:w="11440"/>
          </w:cols>
          <w:pgMar w:left="240" w:top="142" w:right="219" w:bottom="0" w:gutter="0" w:footer="0" w:header="0"/>
        </w:sectPr>
      </w:pPr>
    </w:p>
    <w:bookmarkStart w:id="70" w:name="page71"/>
    <w:bookmarkEnd w:id="70"/>
    <w:p>
      <w:pPr>
        <w:ind w:right="3019" w:firstLine="825"/>
        <w:spacing w:after="0" w:line="253" w:lineRule="auto"/>
        <w:tabs>
          <w:tab w:leader="none" w:pos="1200" w:val="left"/>
        </w:tabs>
        <w:numPr>
          <w:ilvl w:val="0"/>
          <w:numId w:val="9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Governing Law. </w:t>
      </w:r>
      <w:r>
        <w:rPr>
          <w:rFonts w:ascii="Courier New" w:cs="Courier New" w:eastAsia="Courier New" w:hAnsi="Courier New"/>
          <w:sz w:val="15"/>
          <w:szCs w:val="15"/>
          <w:color w:val="auto"/>
        </w:rPr>
        <w:t>This Agreement will be governed by the laws of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State of Tennessee without regard for its conflict of laws rules.</w:t>
      </w:r>
    </w:p>
    <w:p>
      <w:pPr>
        <w:spacing w:after="0" w:line="174" w:lineRule="exact"/>
        <w:rPr>
          <w:rFonts w:ascii="Courier New" w:cs="Courier New" w:eastAsia="Courier New" w:hAnsi="Courier New"/>
          <w:sz w:val="15"/>
          <w:szCs w:val="15"/>
          <w:b w:val="1"/>
          <w:bCs w:val="1"/>
          <w:color w:val="auto"/>
        </w:rPr>
      </w:pPr>
    </w:p>
    <w:p>
      <w:pPr>
        <w:jc w:val="both"/>
        <w:ind w:right="2939" w:firstLine="825"/>
        <w:spacing w:after="0" w:line="252" w:lineRule="auto"/>
        <w:tabs>
          <w:tab w:leader="none" w:pos="1200" w:val="left"/>
        </w:tabs>
        <w:numPr>
          <w:ilvl w:val="0"/>
          <w:numId w:val="9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Counterparts. </w:t>
      </w:r>
      <w:r>
        <w:rPr>
          <w:rFonts w:ascii="Courier New" w:cs="Courier New" w:eastAsia="Courier New" w:hAnsi="Courier New"/>
          <w:sz w:val="15"/>
          <w:szCs w:val="15"/>
          <w:color w:val="auto"/>
        </w:rPr>
        <w:t>This Agreement may be executed simultaneously in one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or more counterparts, each of which will be deemed to be an original but all of which together will constitute one and the same instrument.</w:t>
      </w:r>
    </w:p>
    <w:p>
      <w:pPr>
        <w:spacing w:after="0" w:line="174" w:lineRule="exact"/>
        <w:rPr>
          <w:rFonts w:ascii="Courier New" w:cs="Courier New" w:eastAsia="Courier New" w:hAnsi="Courier New"/>
          <w:sz w:val="15"/>
          <w:szCs w:val="15"/>
          <w:b w:val="1"/>
          <w:bCs w:val="1"/>
          <w:color w:val="auto"/>
        </w:rPr>
      </w:pPr>
    </w:p>
    <w:p>
      <w:pPr>
        <w:ind w:right="2839" w:firstLine="825"/>
        <w:spacing w:after="0" w:line="251" w:lineRule="auto"/>
        <w:tabs>
          <w:tab w:leader="none" w:pos="1200" w:val="left"/>
        </w:tabs>
        <w:numPr>
          <w:ilvl w:val="0"/>
          <w:numId w:val="9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Headings, Etc. </w:t>
      </w:r>
      <w:r>
        <w:rPr>
          <w:rFonts w:ascii="Courier New" w:cs="Courier New" w:eastAsia="Courier New" w:hAnsi="Courier New"/>
          <w:sz w:val="15"/>
          <w:szCs w:val="15"/>
          <w:color w:val="auto"/>
        </w:rPr>
        <w:t>The section headings contained in this Agreement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are for convenience of reference only and will not be deemed to control or affect the meaning or construction of any provision of this Agreement. Reference to Paragraphs are to Paragraphs in this Agreement.</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 WITNESS WHEREOF, the parties hereto have executed this Agreement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date first above written.</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NN, INC.</w:t>
      </w:r>
    </w:p>
    <w:p>
      <w:pPr>
        <w:spacing w:after="0" w:line="185" w:lineRule="exact"/>
        <w:rPr>
          <w:sz w:val="20"/>
          <w:szCs w:val="20"/>
          <w:color w:val="auto"/>
        </w:rPr>
      </w:pPr>
    </w:p>
    <w:p>
      <w:pPr>
        <w:ind w:left="3320"/>
        <w:spacing w:after="0"/>
        <w:tabs>
          <w:tab w:leader="none" w:pos="41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L. Dyckman</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William C. Kelly, Jr.</w:t>
      </w:r>
    </w:p>
    <w:p>
      <w:pPr>
        <w:spacing w:after="0" w:line="185" w:lineRule="exact"/>
        <w:rPr>
          <w:sz w:val="20"/>
          <w:szCs w:val="20"/>
          <w:color w:val="auto"/>
        </w:rPr>
      </w:pPr>
    </w:p>
    <w:p>
      <w:pPr>
        <w:ind w:left="3320"/>
        <w:spacing w:after="0"/>
        <w:tabs>
          <w:tab w:leader="none" w:pos="41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William C. Kelly, Jr.</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42"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b w:val="1"/>
          <w:bCs w:val="1"/>
          <w:color w:val="auto"/>
        </w:rPr>
        <w:t>Exhibit 10.23</w:t>
      </w:r>
    </w:p>
    <w:p>
      <w:pPr>
        <w:spacing w:after="0" w:line="200" w:lineRule="exact"/>
        <w:rPr>
          <w:sz w:val="20"/>
          <w:szCs w:val="20"/>
          <w:color w:val="auto"/>
        </w:rPr>
      </w:pPr>
    </w:p>
    <w:p>
      <w:pPr>
        <w:spacing w:after="0" w:line="340"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b w:val="1"/>
          <w:bCs w:val="1"/>
          <w:color w:val="auto"/>
        </w:rPr>
        <w:t>CHANGE OF CONTROL AND NONCOMPETITION AGREEMENT</w:t>
      </w:r>
    </w:p>
    <w:p>
      <w:pPr>
        <w:spacing w:after="0" w:line="36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THIS AGREEMENT ("Agreement") </w:t>
      </w:r>
      <w:r>
        <w:rPr>
          <w:rFonts w:ascii="Courier New" w:cs="Courier New" w:eastAsia="Courier New" w:hAnsi="Courier New"/>
          <w:sz w:val="15"/>
          <w:szCs w:val="15"/>
          <w:color w:val="auto"/>
        </w:rPr>
        <w:t>is made and entered into this 21st day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January, 2002, by and between WILLIAM C. KELLY, JR. ("</w:t>
      </w:r>
      <w:r>
        <w:rPr>
          <w:rFonts w:ascii="Courier New" w:cs="Courier New" w:eastAsia="Courier New" w:hAnsi="Courier New"/>
          <w:sz w:val="15"/>
          <w:szCs w:val="15"/>
          <w:b w:val="1"/>
          <w:bCs w:val="1"/>
          <w:color w:val="auto"/>
        </w:rPr>
        <w:t>Employee</w:t>
      </w:r>
      <w:r>
        <w:rPr>
          <w:rFonts w:ascii="Courier New" w:cs="Courier New" w:eastAsia="Courier New" w:hAnsi="Courier New"/>
          <w:sz w:val="15"/>
          <w:szCs w:val="15"/>
          <w:color w:val="auto"/>
        </w:rPr>
        <w:t>") and NN, INC., a Delaware corporation, including its wholly-owned subsidiaries and affiliated companies (collectively, "</w:t>
      </w:r>
      <w:r>
        <w:rPr>
          <w:rFonts w:ascii="Courier New" w:cs="Courier New" w:eastAsia="Courier New" w:hAnsi="Courier New"/>
          <w:sz w:val="15"/>
          <w:szCs w:val="15"/>
          <w:b w:val="1"/>
          <w:bCs w:val="1"/>
          <w:color w:val="auto"/>
        </w:rPr>
        <w:t>Employer</w:t>
      </w:r>
      <w:r>
        <w:rPr>
          <w:rFonts w:ascii="Courier New" w:cs="Courier New" w:eastAsia="Courier New" w:hAnsi="Courier New"/>
          <w:sz w:val="15"/>
          <w:szCs w:val="15"/>
          <w:color w:val="auto"/>
        </w:rPr>
        <w:t>").</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RECITALS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WHEREAS</w:t>
      </w:r>
      <w:r>
        <w:rPr>
          <w:rFonts w:ascii="Courier New" w:cs="Courier New" w:eastAsia="Courier New" w:hAnsi="Courier New"/>
          <w:sz w:val="15"/>
          <w:szCs w:val="15"/>
          <w:color w:val="auto"/>
        </w:rPr>
        <w:t>, the Board of Directors of Employer (the "</w:t>
      </w:r>
      <w:r>
        <w:rPr>
          <w:rFonts w:ascii="Courier New" w:cs="Courier New" w:eastAsia="Courier New" w:hAnsi="Courier New"/>
          <w:sz w:val="15"/>
          <w:szCs w:val="15"/>
          <w:b w:val="1"/>
          <w:bCs w:val="1"/>
          <w:color w:val="auto"/>
        </w:rPr>
        <w:t>Board</w:t>
      </w:r>
      <w:r>
        <w:rPr>
          <w:rFonts w:ascii="Courier New" w:cs="Courier New" w:eastAsia="Courier New" w:hAnsi="Courier New"/>
          <w:sz w:val="15"/>
          <w:szCs w:val="15"/>
          <w:color w:val="auto"/>
        </w:rPr>
        <w:t>") has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determined that it is in the best interests of Employer to reinforce and encourage the continuity of management personnel in anticipation of a possible or potential Change of Control (as defined below); and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WHEREAS</w:t>
      </w:r>
      <w:r>
        <w:rPr>
          <w:rFonts w:ascii="Courier New" w:cs="Courier New" w:eastAsia="Courier New" w:hAnsi="Courier New"/>
          <w:sz w:val="15"/>
          <w:szCs w:val="15"/>
          <w:color w:val="auto"/>
        </w:rPr>
        <w:t>, the Board believes this objective can best be served by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providing for a compensation arrangement for Employee upon Employee's termination of employment under certain circumstances in the event of a Change of Control.</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b w:val="1"/>
          <w:bCs w:val="1"/>
          <w:color w:val="auto"/>
        </w:rPr>
        <w:t>NOW, THEREFORE</w:t>
      </w:r>
      <w:r>
        <w:rPr>
          <w:rFonts w:ascii="Courier New" w:cs="Courier New" w:eastAsia="Courier New" w:hAnsi="Courier New"/>
          <w:sz w:val="15"/>
          <w:szCs w:val="15"/>
          <w:color w:val="auto"/>
        </w:rPr>
        <w:t>, in consideration of the mutual promises and covenants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as hereinafter set forth, the parties agree as follows:</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left="1100" w:hanging="275"/>
        <w:spacing w:after="0"/>
        <w:tabs>
          <w:tab w:leader="none" w:pos="1100" w:val="left"/>
        </w:tabs>
        <w:numPr>
          <w:ilvl w:val="0"/>
          <w:numId w:val="9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General. </w:t>
      </w:r>
      <w:r>
        <w:rPr>
          <w:rFonts w:ascii="Courier New" w:cs="Courier New" w:eastAsia="Courier New" w:hAnsi="Courier New"/>
          <w:sz w:val="15"/>
          <w:szCs w:val="15"/>
          <w:color w:val="auto"/>
        </w:rPr>
        <w:t>Employer is engaged in the (i) manufacture and supply</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of precision steel balls and rollers to domestic and international anti-friction bearing manufacturers, automotive original equipment manufacturers and the automotive aftermarket, the gas and mining industries, producers of drilling bits for oil, gas and water wells and producers of stainless steel valves and pumps, (ii) full-service design and manufacture of plastic injection molded components to the bearing, automotive, electronic, leisure and consumer markets, and (iii) the manufacture and supply of rubber seals to domestic and international anti-friction bearing manufacturers. Employee is employed by Employer in a senior management position in which Employee has or will have access to the Employer's confidential information and trade secrets.</w:t>
      </w:r>
    </w:p>
    <w:p>
      <w:pPr>
        <w:spacing w:after="0" w:line="182" w:lineRule="exact"/>
        <w:rPr>
          <w:sz w:val="20"/>
          <w:szCs w:val="20"/>
          <w:color w:val="auto"/>
        </w:rPr>
      </w:pPr>
    </w:p>
    <w:p>
      <w:pPr>
        <w:ind w:right="3019" w:firstLine="825"/>
        <w:spacing w:after="0" w:line="251" w:lineRule="auto"/>
        <w:tabs>
          <w:tab w:leader="none" w:pos="1107" w:val="left"/>
        </w:tabs>
        <w:numPr>
          <w:ilvl w:val="0"/>
          <w:numId w:val="9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Employment Relationship. </w:t>
      </w:r>
      <w:r>
        <w:rPr>
          <w:rFonts w:ascii="Courier New" w:cs="Courier New" w:eastAsia="Courier New" w:hAnsi="Courier New"/>
          <w:sz w:val="15"/>
          <w:szCs w:val="15"/>
          <w:color w:val="auto"/>
        </w:rPr>
        <w:t>Except as specifically set forth herein,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the terms and conditions of Employee's employment are set forth in the Employment Agreement dated January 21, 2002 between Employee and Employer (the "Employment Agreement"), a copy of which is attached hereto as Exhibit A.</w:t>
      </w:r>
    </w:p>
    <w:p>
      <w:pPr>
        <w:spacing w:after="0" w:line="176" w:lineRule="exact"/>
        <w:rPr>
          <w:rFonts w:ascii="Courier New" w:cs="Courier New" w:eastAsia="Courier New" w:hAnsi="Courier New"/>
          <w:sz w:val="15"/>
          <w:szCs w:val="15"/>
          <w:b w:val="1"/>
          <w:bCs w:val="1"/>
          <w:color w:val="auto"/>
        </w:rPr>
      </w:pPr>
    </w:p>
    <w:p>
      <w:pPr>
        <w:ind w:left="1100" w:hanging="275"/>
        <w:spacing w:after="0"/>
        <w:tabs>
          <w:tab w:leader="none" w:pos="1100" w:val="left"/>
        </w:tabs>
        <w:numPr>
          <w:ilvl w:val="0"/>
          <w:numId w:val="9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Upon Change of Control.</w:t>
      </w:r>
    </w:p>
    <w:p>
      <w:pPr>
        <w:spacing w:after="0" w:line="184" w:lineRule="exact"/>
        <w:rPr>
          <w:rFonts w:ascii="Courier New" w:cs="Courier New" w:eastAsia="Courier New" w:hAnsi="Courier New"/>
          <w:sz w:val="15"/>
          <w:szCs w:val="15"/>
          <w:b w:val="1"/>
          <w:bCs w:val="1"/>
          <w:color w:val="auto"/>
        </w:rPr>
      </w:pPr>
    </w:p>
    <w:p>
      <w:pPr>
        <w:ind w:left="920" w:right="2839" w:firstLine="459"/>
        <w:spacing w:after="0" w:line="251" w:lineRule="auto"/>
        <w:tabs>
          <w:tab w:leader="none" w:pos="175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In the event that Employee's employment is terminated within two (2) years following a "Change of Control" (as defined below) and such termination is either (i) Without Cause (as defined below), or (ii) is a Constructive Termination (as defined below), Employee shall receive, in addition to all compensation due and payable to or accrued for the benefit of Employee as of the date of termination: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4" w:lineRule="exact"/>
        <w:rPr>
          <w:rFonts w:ascii="Courier New" w:cs="Courier New" w:eastAsia="Courier New" w:hAnsi="Courier New"/>
          <w:sz w:val="15"/>
          <w:szCs w:val="15"/>
          <w:color w:val="auto"/>
        </w:rPr>
      </w:pPr>
    </w:p>
    <w:p>
      <w:pPr>
        <w:ind w:left="1380" w:right="2839" w:firstLine="460"/>
        <w:spacing w:after="0" w:line="251" w:lineRule="auto"/>
        <w:tabs>
          <w:tab w:leader="none" w:pos="2210" w:val="left"/>
        </w:tabs>
        <w:numPr>
          <w:ilvl w:val="2"/>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equal to an amount set forth on Schedule A to this Agreement ("</w:t>
      </w:r>
      <w:r>
        <w:rPr>
          <w:rFonts w:ascii="Courier New" w:cs="Courier New" w:eastAsia="Courier New" w:hAnsi="Courier New"/>
          <w:sz w:val="15"/>
          <w:szCs w:val="15"/>
          <w:b w:val="1"/>
          <w:bCs w:val="1"/>
          <w:color w:val="auto"/>
        </w:rPr>
        <w:t>Severance Payment</w:t>
      </w:r>
      <w:r>
        <w:rPr>
          <w:rFonts w:ascii="Courier New" w:cs="Courier New" w:eastAsia="Courier New" w:hAnsi="Courier New"/>
          <w:sz w:val="15"/>
          <w:szCs w:val="15"/>
          <w:color w:val="auto"/>
        </w:rPr>
        <w:t>"). The Severance Payment shall be made by wire transfer of immediately available funds to an account designated by Employee within seven (7) business days following the date of termination;</w:t>
      </w:r>
    </w:p>
    <w:p>
      <w:pPr>
        <w:spacing w:after="0" w:line="176" w:lineRule="exact"/>
        <w:rPr>
          <w:rFonts w:ascii="Courier New" w:cs="Courier New" w:eastAsia="Courier New" w:hAnsi="Courier New"/>
          <w:sz w:val="15"/>
          <w:szCs w:val="15"/>
          <w:color w:val="auto"/>
        </w:rPr>
      </w:pPr>
    </w:p>
    <w:p>
      <w:pPr>
        <w:ind w:left="1380" w:right="2939" w:firstLine="460"/>
        <w:spacing w:after="0" w:line="250" w:lineRule="auto"/>
        <w:tabs>
          <w:tab w:leader="none" w:pos="2303" w:val="left"/>
        </w:tabs>
        <w:numPr>
          <w:ilvl w:val="2"/>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equal to the annual bonus to which Employee would have been entitled but for Employee's termination of employment for the year of Employee's termination, pro-rated for the portion of the year during which he was employed by Employer ("</w:t>
      </w:r>
      <w:r>
        <w:rPr>
          <w:rFonts w:ascii="Courier New" w:cs="Courier New" w:eastAsia="Courier New" w:hAnsi="Courier New"/>
          <w:sz w:val="15"/>
          <w:szCs w:val="15"/>
          <w:b w:val="1"/>
          <w:bCs w:val="1"/>
          <w:color w:val="auto"/>
        </w:rPr>
        <w:t>Pro-rated Bonus</w:t>
      </w:r>
      <w:r>
        <w:rPr>
          <w:rFonts w:ascii="Courier New" w:cs="Courier New" w:eastAsia="Courier New" w:hAnsi="Courier New"/>
          <w:sz w:val="15"/>
          <w:szCs w:val="15"/>
          <w:color w:val="auto"/>
        </w:rPr>
        <w:t>"). The Pro-rated Bonus shall be payable</w:t>
      </w:r>
    </w:p>
    <w:p>
      <w:pPr>
        <w:spacing w:after="0" w:line="2" w:lineRule="exact"/>
        <w:rPr>
          <w:rFonts w:ascii="Courier New" w:cs="Courier New" w:eastAsia="Courier New" w:hAnsi="Courier New"/>
          <w:sz w:val="15"/>
          <w:szCs w:val="15"/>
          <w:color w:val="auto"/>
        </w:rPr>
      </w:pPr>
    </w:p>
    <w:p>
      <w:pPr>
        <w:ind w:left="1380" w:right="30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Employee at the end of the calendar year for which the bonus is payable, in accordance with Employer's normal bonus procedures; and</w:t>
      </w:r>
    </w:p>
    <w:p>
      <w:pPr>
        <w:spacing w:after="0" w:line="174" w:lineRule="exact"/>
        <w:rPr>
          <w:rFonts w:ascii="Courier New" w:cs="Courier New" w:eastAsia="Courier New" w:hAnsi="Courier New"/>
          <w:sz w:val="15"/>
          <w:szCs w:val="15"/>
          <w:color w:val="auto"/>
        </w:rPr>
      </w:pPr>
    </w:p>
    <w:p>
      <w:pPr>
        <w:ind w:left="1380" w:right="2839" w:firstLine="460"/>
        <w:spacing w:after="0" w:line="250" w:lineRule="auto"/>
        <w:tabs>
          <w:tab w:leader="none" w:pos="2395" w:val="left"/>
        </w:tabs>
        <w:numPr>
          <w:ilvl w:val="2"/>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eighteen months after such termination (the "</w:t>
      </w:r>
      <w:r>
        <w:rPr>
          <w:rFonts w:ascii="Courier New" w:cs="Courier New" w:eastAsia="Courier New" w:hAnsi="Courier New"/>
          <w:sz w:val="15"/>
          <w:szCs w:val="15"/>
          <w:b w:val="1"/>
          <w:bCs w:val="1"/>
          <w:color w:val="auto"/>
        </w:rPr>
        <w:t>Coverage Period</w:t>
      </w:r>
      <w:r>
        <w:rPr>
          <w:rFonts w:ascii="Courier New" w:cs="Courier New" w:eastAsia="Courier New" w:hAnsi="Courier New"/>
          <w:sz w:val="15"/>
          <w:szCs w:val="15"/>
          <w:color w:val="auto"/>
        </w:rPr>
        <w:t>"), medical, dental, prescription drug, life, accidental death and disability insurance coverage substantially similar to the coverage which Employee was receiving or entitled to receive immediately prior to the date of the termination of Employee's employment ("</w:t>
      </w:r>
      <w:r>
        <w:rPr>
          <w:rFonts w:ascii="Courier New" w:cs="Courier New" w:eastAsia="Courier New" w:hAnsi="Courier New"/>
          <w:sz w:val="15"/>
          <w:szCs w:val="15"/>
          <w:b w:val="1"/>
          <w:bCs w:val="1"/>
          <w:color w:val="auto"/>
        </w:rPr>
        <w:t>Insurance Benefits</w:t>
      </w:r>
      <w:r>
        <w:rPr>
          <w:rFonts w:ascii="Courier New" w:cs="Courier New" w:eastAsia="Courier New" w:hAnsi="Courier New"/>
          <w:sz w:val="15"/>
          <w:szCs w:val="15"/>
          <w:color w:val="auto"/>
        </w:rPr>
        <w:t>"). Notwithstanding the foregoing, Employee shall not be entitled to receive the Insurance Benefits (or a portion thereof) to the extent that Employee obtains other employment that provides equal or greater benefits during the Coverage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-3052445</wp:posOffset>
            </wp:positionV>
            <wp:extent cx="728916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162"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The Severance Payment, Pro-rated Bonus and Insurance Benefits are collectively referred to in this Agreement as the "Severance Benefit."</w:t>
      </w:r>
    </w:p>
    <w:p>
      <w:pPr>
        <w:spacing w:after="0" w:line="174" w:lineRule="exact"/>
        <w:rPr>
          <w:sz w:val="20"/>
          <w:szCs w:val="20"/>
          <w:color w:val="auto"/>
        </w:rPr>
      </w:pPr>
    </w:p>
    <w:p>
      <w:pPr>
        <w:ind w:left="1740" w:hanging="361"/>
        <w:spacing w:after="0"/>
        <w:tabs>
          <w:tab w:leader="none" w:pos="17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Excise Tax.</w:t>
      </w:r>
    </w:p>
    <w:p>
      <w:pPr>
        <w:spacing w:after="0" w:line="184" w:lineRule="exact"/>
        <w:rPr>
          <w:rFonts w:ascii="Courier New" w:cs="Courier New" w:eastAsia="Courier New" w:hAnsi="Courier New"/>
          <w:sz w:val="15"/>
          <w:szCs w:val="15"/>
          <w:color w:val="auto"/>
        </w:rPr>
      </w:pPr>
    </w:p>
    <w:p>
      <w:pPr>
        <w:ind w:left="1380" w:right="3119" w:firstLine="460"/>
        <w:spacing w:after="0" w:line="253" w:lineRule="auto"/>
        <w:tabs>
          <w:tab w:leader="none" w:pos="221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in this Agreement, in no event shall a Severance Benefit payable</w:t>
      </w:r>
    </w:p>
    <w:p>
      <w:pPr>
        <w:sectPr>
          <w:pgSz w:w="11900" w:h="16838" w:orient="portrait"/>
          <w:cols w:equalWidth="0" w:num="1">
            <w:col w:w="10219"/>
          </w:cols>
          <w:pgMar w:left="240" w:top="319" w:right="1440" w:bottom="0" w:gutter="0" w:footer="0" w:header="0"/>
        </w:sectPr>
      </w:pPr>
    </w:p>
    <w:bookmarkStart w:id="72" w:name="page73"/>
    <w:bookmarkEnd w:id="72"/>
    <w:p>
      <w:pPr>
        <w:ind w:left="560" w:right="2839"/>
        <w:spacing w:after="0" w:line="250" w:lineRule="auto"/>
        <w:rPr>
          <w:sz w:val="20"/>
          <w:szCs w:val="20"/>
          <w:color w:val="auto"/>
        </w:rPr>
      </w:pPr>
      <w:r>
        <w:rPr>
          <w:rFonts w:ascii="Courier New" w:cs="Courier New" w:eastAsia="Courier New" w:hAnsi="Courier New"/>
          <w:sz w:val="15"/>
          <w:szCs w:val="15"/>
          <w:color w:val="auto"/>
        </w:rPr>
        <w:t>pursuant to this Section 3 exceed an amount equal to the lesser of (i) 2.99 times the "base amount" (as defined in Section 280G(b)(3) of the Internal Revenue Code of 1986, as amended (the "</w:t>
      </w:r>
      <w:r>
        <w:rPr>
          <w:rFonts w:ascii="Courier New" w:cs="Courier New" w:eastAsia="Courier New" w:hAnsi="Courier New"/>
          <w:sz w:val="15"/>
          <w:szCs w:val="15"/>
          <w:b w:val="1"/>
          <w:bCs w:val="1"/>
          <w:color w:val="auto"/>
        </w:rPr>
        <w:t>Code</w:t>
      </w:r>
      <w:r>
        <w:rPr>
          <w:rFonts w:ascii="Courier New" w:cs="Courier New" w:eastAsia="Courier New" w:hAnsi="Courier New"/>
          <w:sz w:val="15"/>
          <w:szCs w:val="15"/>
          <w:color w:val="auto"/>
        </w:rPr>
        <w:t>")) of Employee's compensation, or (ii) such other amount which would constitute a "parachute payment" (as defined in Section 280G of the Code). In the event that it shall be determined that any Severance Benefit to Employee (whether paid or payable or distributed or distributable) would be subject to the excise tax imposed by Section 4999 of the Code, or any successor provision thereto (the "</w:t>
      </w:r>
      <w:r>
        <w:rPr>
          <w:rFonts w:ascii="Courier New" w:cs="Courier New" w:eastAsia="Courier New" w:hAnsi="Courier New"/>
          <w:sz w:val="15"/>
          <w:szCs w:val="15"/>
          <w:b w:val="1"/>
          <w:bCs w:val="1"/>
          <w:color w:val="auto"/>
        </w:rPr>
        <w:t>Excise Tax</w:t>
      </w:r>
      <w:r>
        <w:rPr>
          <w:rFonts w:ascii="Courier New" w:cs="Courier New" w:eastAsia="Courier New" w:hAnsi="Courier New"/>
          <w:sz w:val="15"/>
          <w:szCs w:val="15"/>
          <w:color w:val="auto"/>
        </w:rPr>
        <w:t>"), then Employee shall be entitled to receive from Employer an additional payment (the "</w:t>
      </w:r>
      <w:r>
        <w:rPr>
          <w:rFonts w:ascii="Courier New" w:cs="Courier New" w:eastAsia="Courier New" w:hAnsi="Courier New"/>
          <w:sz w:val="15"/>
          <w:szCs w:val="15"/>
          <w:b w:val="1"/>
          <w:bCs w:val="1"/>
          <w:color w:val="auto"/>
        </w:rPr>
        <w:t>Gross-Up Payment</w:t>
      </w:r>
      <w:r>
        <w:rPr>
          <w:rFonts w:ascii="Courier New" w:cs="Courier New" w:eastAsia="Courier New" w:hAnsi="Courier New"/>
          <w:sz w:val="15"/>
          <w:szCs w:val="15"/>
          <w:color w:val="auto"/>
        </w:rPr>
        <w:t>") in an amount such that the net amount of the Severance Benefit and the Gross-Up Payment retained by Employee after the calculation and deduction of all Excise Taxes (including any interest or penalties imposed with respect to such taxes) on the payment and all Federal, state and local income tax, employment tax and Excise Tax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364"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560" w:right="2839" w:firstLine="460"/>
        <w:spacing w:after="0" w:line="250" w:lineRule="auto"/>
        <w:tabs>
          <w:tab w:leader="none" w:pos="148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notify Employer in writing of any claim by the Internal Revenue Service that, if successful, would require the payment by Employer of the Gross-Up Payment. Such notification shall be given as soon as practicable after Employee is informed in writing of such claim and shall apprise Employer of the nature of such claim and the date on which such claim is requested to be paid. Employee shall not pay such claim prior to the expiration of the 30-day period following the date on which Employee gives such notice to Employer (or such shorter period ending on the date that any payment of taxes, interest and/or penalties with respect to such claim is due). If Employer notifies Employee in writing prior to the expiration of such period that it desires to contest such claim, Employee shall:</w:t>
      </w:r>
    </w:p>
    <w:p>
      <w:pPr>
        <w:spacing w:after="0" w:line="183" w:lineRule="exact"/>
        <w:rPr>
          <w:rFonts w:ascii="Courier New" w:cs="Courier New" w:eastAsia="Courier New" w:hAnsi="Courier New"/>
          <w:sz w:val="15"/>
          <w:szCs w:val="15"/>
          <w:color w:val="auto"/>
        </w:rPr>
      </w:pPr>
    </w:p>
    <w:p>
      <w:pPr>
        <w:ind w:left="1020" w:right="2939" w:firstLine="461"/>
        <w:spacing w:after="0" w:line="253" w:lineRule="auto"/>
        <w:tabs>
          <w:tab w:leader="none" w:pos="185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Employer any information reasonably requested by Employer relating to such claim;</w:t>
      </w:r>
    </w:p>
    <w:p>
      <w:pPr>
        <w:spacing w:after="0" w:line="174" w:lineRule="exact"/>
        <w:rPr>
          <w:rFonts w:ascii="Courier New" w:cs="Courier New" w:eastAsia="Courier New" w:hAnsi="Courier New"/>
          <w:sz w:val="15"/>
          <w:szCs w:val="15"/>
          <w:color w:val="auto"/>
        </w:rPr>
      </w:pPr>
    </w:p>
    <w:p>
      <w:pPr>
        <w:ind w:left="1020" w:right="2839" w:firstLine="461"/>
        <w:spacing w:after="0" w:line="251" w:lineRule="auto"/>
        <w:tabs>
          <w:tab w:leader="none" w:pos="185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Employer shall reasonably request in writing from time to time, including, without limitation, accepting legal representation with respect to such claim by an attorney reasonably selected by Employer;</w:t>
      </w:r>
    </w:p>
    <w:p>
      <w:pPr>
        <w:spacing w:after="0" w:line="176" w:lineRule="exact"/>
        <w:rPr>
          <w:rFonts w:ascii="Courier New" w:cs="Courier New" w:eastAsia="Courier New" w:hAnsi="Courier New"/>
          <w:sz w:val="15"/>
          <w:szCs w:val="15"/>
          <w:color w:val="auto"/>
        </w:rPr>
      </w:pPr>
    </w:p>
    <w:p>
      <w:pPr>
        <w:ind w:left="1020" w:right="3019" w:firstLine="461"/>
        <w:spacing w:after="0" w:line="253" w:lineRule="auto"/>
        <w:tabs>
          <w:tab w:leader="none" w:pos="185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Employer in good faith in order to effectively contest such claim; and</w:t>
      </w:r>
    </w:p>
    <w:p>
      <w:pPr>
        <w:spacing w:after="0" w:line="174" w:lineRule="exact"/>
        <w:rPr>
          <w:rFonts w:ascii="Courier New" w:cs="Courier New" w:eastAsia="Courier New" w:hAnsi="Courier New"/>
          <w:sz w:val="15"/>
          <w:szCs w:val="15"/>
          <w:color w:val="auto"/>
        </w:rPr>
      </w:pPr>
    </w:p>
    <w:p>
      <w:pPr>
        <w:ind w:left="1020" w:right="3019" w:firstLine="461"/>
        <w:spacing w:after="0" w:line="253" w:lineRule="auto"/>
        <w:tabs>
          <w:tab w:leader="none" w:pos="185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Employer to participate in any proceedings relating to such claims;</w:t>
      </w:r>
    </w:p>
    <w:p>
      <w:pPr>
        <w:spacing w:after="0" w:line="17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i w:val="1"/>
          <w:iCs w:val="1"/>
          <w:color w:val="auto"/>
        </w:rPr>
        <w:t xml:space="preserve">provided, however, </w:t>
      </w:r>
      <w:r>
        <w:rPr>
          <w:rFonts w:ascii="Courier New" w:cs="Courier New" w:eastAsia="Courier New" w:hAnsi="Courier New"/>
          <w:sz w:val="15"/>
          <w:szCs w:val="15"/>
          <w:color w:val="auto"/>
        </w:rPr>
        <w:t>that Employer shall bear and pay directly all costs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 xml:space="preserve">and expenses (including additional interest and penalties) incurred in connection with such contest and shall indemnify Employee for and hold Employee harmless from, on an after-tax basis, any Excise Tax or income tax (including interest and penalties with respect thereto) imposed as a result of such representation and payment of all related costs and expenses. Without limiting the foregoing provisions of this section, Employer shall control all proceedings taken in connection with such contest and, at its sole option, may pursue or forgo any and all administrative appeals, proceedings, hearings and conferences with the taxing authority in respect of such claim and may, at its sole option, either direct Employee to pay the tax claimed and sue for a refund or contest the claim in any permissible manner, and Employee agrees to prosecute such contest to a determination before any administrative tribunal, in a court of initial jurisdiction and in one or more appellate courts, as Employer shall determine; </w:t>
      </w: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xml:space="preserve">, that if Employer directs Employee to pay such claim and sue for a refund, Employer shall advance the amount of such payment to Employee, on an interest-free basis, and shall indemnify Employee for and hold Employee harmless from, on an after-tax basis, any Excise Tax or income tax (including interest or penalties with respect thereto) imposed with respect to such advance or with respect to any imputed income with respect to such advance (including as a result of any forgiveness by Employer of such advance); </w:t>
      </w:r>
      <w:r>
        <w:rPr>
          <w:rFonts w:ascii="Courier New" w:cs="Courier New" w:eastAsia="Courier New" w:hAnsi="Courier New"/>
          <w:sz w:val="15"/>
          <w:szCs w:val="15"/>
          <w:i w:val="1"/>
          <w:iCs w:val="1"/>
          <w:color w:val="auto"/>
        </w:rPr>
        <w:t>provided, further</w:t>
      </w:r>
      <w:r>
        <w:rPr>
          <w:rFonts w:ascii="Courier New" w:cs="Courier New" w:eastAsia="Courier New" w:hAnsi="Courier New"/>
          <w:sz w:val="15"/>
          <w:szCs w:val="15"/>
          <w:color w:val="auto"/>
        </w:rPr>
        <w:t>, that any extension of the statute of limitations relating to the payment of taxes for the taxable year of Employee with respect to which such contested amount is claimed to</w:t>
      </w:r>
    </w:p>
    <w:p>
      <w:pPr>
        <w:spacing w:after="0" w:line="18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00" w:right="3019"/>
        <w:spacing w:after="0" w:line="251" w:lineRule="auto"/>
        <w:rPr>
          <w:sz w:val="20"/>
          <w:szCs w:val="20"/>
          <w:color w:val="auto"/>
        </w:rPr>
      </w:pPr>
      <w:r>
        <w:rPr>
          <w:rFonts w:ascii="Courier New" w:cs="Courier New" w:eastAsia="Courier New" w:hAnsi="Courier New"/>
          <w:sz w:val="15"/>
          <w:szCs w:val="15"/>
          <w:color w:val="auto"/>
        </w:rPr>
        <w:t>be due is limited solely to such contested amount. Furthermore, Employer's control of the contest shall be limited to issues with respect to which a Gross-Up Payment would be payable hereunder and Employee shall be entitled to settle or contest, as the case may be, any other issue raised by the Internal Revenue Service or any other taxing authority.</w:t>
      </w:r>
    </w:p>
    <w:p>
      <w:pPr>
        <w:sectPr>
          <w:pgSz w:w="11900" w:h="16838" w:orient="portrait"/>
          <w:cols w:equalWidth="0" w:num="1">
            <w:col w:w="9399"/>
          </w:cols>
          <w:pgMar w:left="1060" w:top="142" w:right="1440" w:bottom="0" w:gutter="0" w:footer="0" w:header="0"/>
        </w:sectPr>
      </w:pPr>
    </w:p>
    <w:bookmarkStart w:id="73" w:name="page74"/>
    <w:bookmarkEnd w:id="73"/>
    <w:p>
      <w:pPr>
        <w:ind w:right="2839" w:firstLine="466"/>
        <w:spacing w:after="0" w:line="250" w:lineRule="auto"/>
        <w:tabs>
          <w:tab w:leader="none" w:pos="1015"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"Change of Control" shall mean: (i) a person, corporation, entity or group (A) makes a tender or exchange offer for the issued and outstanding voting stock of Employer and beneficially owns thirty percent (30%) or more of the issued and outstanding voting stock of Employer after such tender or exchange offer, or (B) acquires, directly or indirectly, the beneficial ownership of thirty percent (30%) or more of the issued and outstanding voting stock of Employer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Employer); (ii) Employer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Employer immediately prior to the transaction; (iii) Employer sells fifty percent (50%) or more of its assets to any other person or persons (other than an affiliate or affiliates of Employer); or (iv) individuals who, as of the date hereof, constitute the Board (the "</w:t>
      </w:r>
      <w:r>
        <w:rPr>
          <w:rFonts w:ascii="Courier New" w:cs="Courier New" w:eastAsia="Courier New" w:hAnsi="Courier New"/>
          <w:sz w:val="15"/>
          <w:szCs w:val="15"/>
          <w:b w:val="1"/>
          <w:bCs w:val="1"/>
          <w:color w:val="auto"/>
        </w:rPr>
        <w:t>Incumbent Board</w:t>
      </w:r>
      <w:r>
        <w:rPr>
          <w:rFonts w:ascii="Courier New" w:cs="Courier New" w:eastAsia="Courier New" w:hAnsi="Courier New"/>
          <w:sz w:val="15"/>
          <w:szCs w:val="15"/>
          <w:color w:val="auto"/>
        </w:rPr>
        <w:t xml:space="preserve">") cease for any reason to constitute at least seventy-five percent (75%) of the Board; </w:t>
      </w: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that any individual becoming a director subsequent to the date hereof, whose election or nomination was approved by a majority of the directors then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191" w:lineRule="exact"/>
        <w:rPr>
          <w:rFonts w:ascii="Courier New" w:cs="Courier New" w:eastAsia="Courier New" w:hAnsi="Courier New"/>
          <w:sz w:val="15"/>
          <w:szCs w:val="15"/>
          <w:color w:val="auto"/>
        </w:rPr>
      </w:pPr>
    </w:p>
    <w:p>
      <w:pPr>
        <w:ind w:right="2759" w:firstLine="466"/>
        <w:spacing w:after="0" w:line="250" w:lineRule="auto"/>
        <w:tabs>
          <w:tab w:leader="none" w:pos="110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"Without Cause" shall mean termination of Employee by Employer for reasons other than: (i) the willful, persistent failure of Employee (after thirty (30) days written notice and a reasonable opportunity to cure) to perform his material duties for reasons other than death or disability; (ii) the breach by Employee of any material provision of this Agreement; or</w:t>
      </w:r>
    </w:p>
    <w:p>
      <w:pPr>
        <w:spacing w:after="0" w:line="2" w:lineRule="exact"/>
        <w:rPr>
          <w:rFonts w:ascii="Courier New" w:cs="Courier New" w:eastAsia="Courier New" w:hAnsi="Courier New"/>
          <w:sz w:val="15"/>
          <w:szCs w:val="15"/>
          <w:color w:val="auto"/>
        </w:rPr>
      </w:pPr>
    </w:p>
    <w:p>
      <w:pPr>
        <w:ind w:right="2839" w:firstLine="5"/>
        <w:spacing w:after="0" w:line="252" w:lineRule="auto"/>
        <w:tabs>
          <w:tab w:leader="none" w:pos="55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conviction of a felony involving dishonesty, deceit or moral turpitude by a trial court of competent jurisdiction, whether or not an appeal is taken.</w:t>
      </w:r>
    </w:p>
    <w:p>
      <w:pPr>
        <w:spacing w:after="0" w:line="174" w:lineRule="exact"/>
        <w:rPr>
          <w:rFonts w:ascii="Courier New" w:cs="Courier New" w:eastAsia="Courier New" w:hAnsi="Courier New"/>
          <w:sz w:val="15"/>
          <w:szCs w:val="15"/>
          <w:color w:val="auto"/>
        </w:rPr>
      </w:pPr>
    </w:p>
    <w:p>
      <w:pPr>
        <w:ind w:left="1120" w:hanging="654"/>
        <w:spacing w:after="0"/>
        <w:tabs>
          <w:tab w:leader="none" w:pos="112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Constructive Termination. "Constructive Termination" shall</w:t>
      </w:r>
    </w:p>
    <w:p>
      <w:pPr>
        <w:spacing w:after="0" w:line="7" w:lineRule="exact"/>
        <w:rPr>
          <w:rFonts w:ascii="Courier New" w:cs="Courier New" w:eastAsia="Courier New" w:hAnsi="Courier New"/>
          <w:sz w:val="15"/>
          <w:szCs w:val="15"/>
          <w:color w:val="auto"/>
        </w:rPr>
      </w:pPr>
    </w:p>
    <w:p>
      <w:pPr>
        <w:ind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mean: (i) a material, adverse change of Employee's responsibilities, authority, status, position, offices, titles, duties or reporting requirements (including directorships); (ii) an adverse change in Employee's annual compensation or benefits; (iii) a requirement to relocate in excess of fifty (50) miles from Employee's then current place of employment; or (iv) the breach by Employer of any material provision of this Agreement, other than a breach that is remedied by Employer within 10 days after receipt of notice thereof from Employee. For purposes of this definition, Employee's responsibilities, authority, status, position,</w:t>
      </w:r>
    </w:p>
    <w:p>
      <w:pPr>
        <w:spacing w:after="0" w:line="35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100" w:right="2939"/>
        <w:spacing w:after="0" w:line="251" w:lineRule="auto"/>
        <w:rPr>
          <w:sz w:val="20"/>
          <w:szCs w:val="20"/>
          <w:color w:val="auto"/>
        </w:rPr>
      </w:pPr>
      <w:r>
        <w:rPr>
          <w:rFonts w:ascii="Courier New" w:cs="Courier New" w:eastAsia="Courier New" w:hAnsi="Courier New"/>
          <w:sz w:val="15"/>
          <w:szCs w:val="15"/>
          <w:color w:val="auto"/>
        </w:rPr>
        <w:t>offices, titles, duties and reporting requirements are to be determined as of the date of this Agreement. For purposes of this Section, all determinations of Constructive Termination shall be made in good faith by Employee and shall be conclusive.</w:t>
      </w:r>
    </w:p>
    <w:p>
      <w:pPr>
        <w:spacing w:after="0" w:line="176" w:lineRule="exact"/>
        <w:rPr>
          <w:sz w:val="20"/>
          <w:szCs w:val="20"/>
          <w:color w:val="auto"/>
        </w:rPr>
      </w:pPr>
    </w:p>
    <w:p>
      <w:pPr>
        <w:ind w:left="100" w:right="2939" w:firstLine="182"/>
        <w:spacing w:after="0" w:line="251" w:lineRule="auto"/>
        <w:tabs>
          <w:tab w:leader="none" w:pos="838"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Severance Benefits. The Severance Benefit payable to Employee pursuant to this Section 3 shall be reduced by any severance benefits to which Employee is entitled under Employer's severance policies for terminated employees generally or any termination payments payable to Employee under Employee's Employment Agreement.</w:t>
      </w:r>
    </w:p>
    <w:p>
      <w:pPr>
        <w:spacing w:after="0" w:line="176" w:lineRule="exact"/>
        <w:rPr>
          <w:rFonts w:ascii="Courier New" w:cs="Courier New" w:eastAsia="Courier New" w:hAnsi="Courier New"/>
          <w:sz w:val="15"/>
          <w:szCs w:val="15"/>
          <w:color w:val="auto"/>
        </w:rPr>
      </w:pPr>
    </w:p>
    <w:p>
      <w:pPr>
        <w:ind w:left="280" w:hanging="275"/>
        <w:spacing w:after="0"/>
        <w:tabs>
          <w:tab w:leader="none" w:pos="280" w:val="left"/>
        </w:tabs>
        <w:numPr>
          <w:ilvl w:val="0"/>
          <w:numId w:val="10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Employee's Acknowledgments and Covenants.</w:t>
      </w:r>
    </w:p>
    <w:p>
      <w:pPr>
        <w:spacing w:after="0" w:line="184" w:lineRule="exact"/>
        <w:rPr>
          <w:rFonts w:ascii="Courier New" w:cs="Courier New" w:eastAsia="Courier New" w:hAnsi="Courier New"/>
          <w:sz w:val="15"/>
          <w:szCs w:val="15"/>
          <w:b w:val="1"/>
          <w:bCs w:val="1"/>
          <w:color w:val="auto"/>
        </w:rPr>
      </w:pPr>
    </w:p>
    <w:p>
      <w:pPr>
        <w:ind w:left="100" w:right="2839" w:firstLine="459"/>
        <w:spacing w:after="0" w:line="250" w:lineRule="auto"/>
        <w:tabs>
          <w:tab w:leader="none" w:pos="930" w:val="left"/>
        </w:tabs>
        <w:numPr>
          <w:ilvl w:val="2"/>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Materials and Information. Employer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other information about the business in which employer is engaged that is not known to the public and gives Employer an opportunity to obtain an advantage over competitors who do not know of such information (collectively, "</w:t>
      </w:r>
      <w:r>
        <w:rPr>
          <w:rFonts w:ascii="Courier New" w:cs="Courier New" w:eastAsia="Courier New" w:hAnsi="Courier New"/>
          <w:sz w:val="15"/>
          <w:szCs w:val="15"/>
          <w:b w:val="1"/>
          <w:bCs w:val="1"/>
          <w:color w:val="auto"/>
        </w:rPr>
        <w:t>Confidential Information</w:t>
      </w:r>
      <w:r>
        <w:rPr>
          <w:rFonts w:ascii="Courier New" w:cs="Courier New" w:eastAsia="Courier New" w:hAnsi="Courier New"/>
          <w:sz w:val="15"/>
          <w:szCs w:val="15"/>
          <w:color w:val="auto"/>
        </w:rPr>
        <w:t>"). In performing duties for Employer, Employee regularly will be exposed to and work with the Confidential Information. Employee acknowledges that such Confidential Information is critical to Employer's success and that Employer has invested substantial sums of money in developing the Confidential Information. While Employee is employed by Employer and after such employment ends for any reason, Employee will never reproduce, publish, disclose, use, reveal, show or otherwise communicate to any person or entity any Confidential Information unless specifically directed by Employer to do so in writing.</w:t>
      </w:r>
    </w:p>
    <w:p>
      <w:pPr>
        <w:sectPr>
          <w:pgSz w:w="11900" w:h="16838" w:orient="portrait"/>
          <w:cols w:equalWidth="0" w:num="1">
            <w:col w:w="9399"/>
          </w:cols>
          <w:pgMar w:left="1060" w:top="319" w:right="1440" w:bottom="0" w:gutter="0" w:footer="0" w:header="0"/>
        </w:sectPr>
      </w:pPr>
    </w:p>
    <w:bookmarkStart w:id="74" w:name="page75"/>
    <w:bookmarkEnd w:id="74"/>
    <w:p>
      <w:pPr>
        <w:ind w:left="920" w:right="2839" w:firstLine="459"/>
        <w:spacing w:after="0" w:line="251" w:lineRule="auto"/>
        <w:tabs>
          <w:tab w:leader="none" w:pos="175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While Employee is employed by Employer and for twenty-four (24) months after such employment ends for any reason, Employee, acting either directly or indirectly, or through any other person, firm, or corporation, will not hire contract with or employ any employee of Employer or induce or attempt to induce or influence any employee of Employer to terminate employment with Employer. Such nonsolicitation restriction shall not apply to Employee in the case of the solicitation of his or her immediate family members.</w:t>
      </w:r>
    </w:p>
    <w:p>
      <w:pPr>
        <w:spacing w:after="0" w:line="352" w:lineRule="exact"/>
        <w:rPr>
          <w:rFonts w:ascii="Courier New" w:cs="Courier New" w:eastAsia="Courier New" w:hAnsi="Courier New"/>
          <w:sz w:val="15"/>
          <w:szCs w:val="15"/>
          <w:color w:val="auto"/>
        </w:rPr>
      </w:pPr>
    </w:p>
    <w:p>
      <w:pPr>
        <w:ind w:left="920" w:right="2939" w:firstLine="459"/>
        <w:spacing w:after="0" w:line="250" w:lineRule="auto"/>
        <w:tabs>
          <w:tab w:leader="none" w:pos="175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 While Employee is employed by Employer and for twenty-four (24) months after such employment ends for any reason, Employee will not, directly or indirectly, or through any other person, firm or corporation (i) be employed by, consult for, have any ownership interest in or engage in any activity on behalf of any competing business, or (ii) call on, solicit or communicate with any of Employer's customers (whether actual or potential) for the purpose of selling precision steel balls and rollers and other related items to such customer other than for the benefit of Employer. As used in this Agreement, the term "competing business" means a business that is a manufacturer and supplier of precision steel balls and rollers to anti-</w:t>
      </w:r>
    </w:p>
    <w:p>
      <w:pPr>
        <w:spacing w:after="0" w:line="3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920" w:right="2839"/>
        <w:spacing w:after="0" w:line="250" w:lineRule="auto"/>
        <w:rPr>
          <w:sz w:val="20"/>
          <w:szCs w:val="20"/>
          <w:color w:val="auto"/>
        </w:rPr>
      </w:pPr>
      <w:r>
        <w:rPr>
          <w:rFonts w:ascii="Courier New" w:cs="Courier New" w:eastAsia="Courier New" w:hAnsi="Courier New"/>
          <w:sz w:val="15"/>
          <w:szCs w:val="15"/>
          <w:color w:val="auto"/>
        </w:rPr>
        <w:t>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Employee or any other employee of Employer had business contact on behalf of Employer during the eighteen (18) months immediately before Employee's employment with Employer ended). Notwithstanding the foregoing, this paragraph shall not be construed to prohibit Employee from owning less than five percent (5%) of the outstanding securities of a corporation which is publicly traded on a securities exchange or over-the-counter.</w:t>
      </w:r>
    </w:p>
    <w:p>
      <w:pPr>
        <w:spacing w:after="0" w:line="182" w:lineRule="exact"/>
        <w:rPr>
          <w:sz w:val="20"/>
          <w:szCs w:val="20"/>
          <w:color w:val="auto"/>
        </w:rPr>
      </w:pPr>
    </w:p>
    <w:p>
      <w:pPr>
        <w:ind w:left="920" w:right="2939" w:firstLine="459"/>
        <w:spacing w:after="0" w:line="251" w:lineRule="auto"/>
        <w:tabs>
          <w:tab w:leader="none" w:pos="1750"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Confidential Materials and Information. Employee agrees that whenever Employee's employment with Employer ends for any reason, all documents containing or referring to Confidential Information as may be in Employee's possession or control will be delivered by Employee to Employer immediately, with no request being required.</w:t>
      </w:r>
    </w:p>
    <w:p>
      <w:pPr>
        <w:spacing w:after="0" w:line="175" w:lineRule="exact"/>
        <w:rPr>
          <w:rFonts w:ascii="Courier New" w:cs="Courier New" w:eastAsia="Courier New" w:hAnsi="Courier New"/>
          <w:sz w:val="15"/>
          <w:szCs w:val="15"/>
          <w:color w:val="auto"/>
        </w:rPr>
      </w:pPr>
    </w:p>
    <w:p>
      <w:pPr>
        <w:ind w:left="920" w:right="2839" w:firstLine="459"/>
        <w:spacing w:after="0" w:line="250" w:lineRule="auto"/>
        <w:tabs>
          <w:tab w:leader="none" w:pos="1750"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Acknowledgments; Irreparable Harm. Employee agrees that the restrictions on competition, solicitation and disclosure in this Agreement are fair, reasonable and necessary for the protection of the interests of Employer. Employee further agrees that a breach of any of the covenants set forth in this Section 4 will result in irreparable injury and damage to Employer for which Employer would have no adequate remedy at law, and Employee further agrees that in the event of a breach, Employer will be entitled to an immediate restraining order and injunction to prevent such violation or continued violation, without having to prove damages, in addition to any other remedies to which Employer may be entitled at law or equity.</w:t>
      </w:r>
    </w:p>
    <w:p>
      <w:pPr>
        <w:spacing w:after="0" w:line="182" w:lineRule="exact"/>
        <w:rPr>
          <w:rFonts w:ascii="Courier New" w:cs="Courier New" w:eastAsia="Courier New" w:hAnsi="Courier New"/>
          <w:sz w:val="15"/>
          <w:szCs w:val="15"/>
          <w:color w:val="auto"/>
        </w:rPr>
      </w:pPr>
    </w:p>
    <w:p>
      <w:pPr>
        <w:ind w:left="920" w:right="3219" w:firstLine="459"/>
        <w:spacing w:after="0" w:line="251" w:lineRule="auto"/>
        <w:tabs>
          <w:tab w:leader="none" w:pos="1750"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to Subsequent Employers. Employee grants Employer the right to notify any future employer or prospective employer of Employee concerning the existence of and terms of this Agreement and grants Employer the right to provide a copy of this Agreement to any such subsequent employer or prospective employer.</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10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Mitigation. </w:t>
      </w:r>
      <w:r>
        <w:rPr>
          <w:rFonts w:ascii="Courier New" w:cs="Courier New" w:eastAsia="Courier New" w:hAnsi="Courier New"/>
          <w:sz w:val="15"/>
          <w:szCs w:val="15"/>
          <w:color w:val="auto"/>
        </w:rPr>
        <w:t>Employer's obligation to make the payments provided for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in this Agreement and otherwise to perform its obligations hereunder shall not be affected by any set-off, counterclaim, recoupment, defense or other claim, right or action which Employer may have against Employee or others. In no event shall Employee be obligated to seek other employment or take any other action by way of mitigation of the amounts payable to Employee under any of the provisions of this agreement and such amounts shall not be reduced whether or not Employee obtains other employment.</w:t>
      </w:r>
    </w:p>
    <w:p>
      <w:pPr>
        <w:spacing w:after="0" w:line="175" w:lineRule="exact"/>
        <w:rPr>
          <w:rFonts w:ascii="Courier New" w:cs="Courier New" w:eastAsia="Courier New" w:hAnsi="Courier New"/>
          <w:sz w:val="15"/>
          <w:szCs w:val="15"/>
          <w:b w:val="1"/>
          <w:bCs w:val="1"/>
          <w:color w:val="auto"/>
        </w:rPr>
      </w:pPr>
    </w:p>
    <w:p>
      <w:pPr>
        <w:ind w:right="2839" w:firstLine="825"/>
        <w:spacing w:after="0" w:line="250" w:lineRule="auto"/>
        <w:tabs>
          <w:tab w:leader="none" w:pos="1107" w:val="left"/>
        </w:tabs>
        <w:numPr>
          <w:ilvl w:val="0"/>
          <w:numId w:val="10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Resolution of Disputes. </w:t>
      </w:r>
      <w:r>
        <w:rPr>
          <w:rFonts w:ascii="Courier New" w:cs="Courier New" w:eastAsia="Courier New" w:hAnsi="Courier New"/>
          <w:sz w:val="15"/>
          <w:szCs w:val="15"/>
          <w:color w:val="auto"/>
        </w:rPr>
        <w:t>Any dispute or claim arising out of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Employer agrees to pay promptly as incurred, to the full extent permitted by law, all legal fees and expenses which Employee may reasonably incur as a result of any dispute (regardless of the outcome thereof) by Employer, Employee or others of the validity or enforceability of, or liability under, any provision of this Agreement or any guarantee of</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 xml:space="preserve">performance thereof (including as a result of any dispute by Employee regarding the amount of any payment pursuant to this agreement), plus in each case interest on any delayed payment at the rate published from time to time in </w:t>
      </w:r>
      <w:r>
        <w:rPr>
          <w:rFonts w:ascii="Courier New" w:cs="Courier New" w:eastAsia="Courier New" w:hAnsi="Courier New"/>
          <w:sz w:val="15"/>
          <w:szCs w:val="15"/>
          <w:i w:val="1"/>
          <w:iCs w:val="1"/>
          <w:color w:val="auto"/>
        </w:rPr>
        <w:t>The</w:t>
      </w:r>
    </w:p>
    <w:p>
      <w:pPr>
        <w:sectPr>
          <w:pgSz w:w="11900" w:h="16838" w:orient="portrait"/>
          <w:cols w:equalWidth="0" w:num="1">
            <w:col w:w="10219"/>
          </w:cols>
          <w:pgMar w:left="240" w:top="319" w:right="1440" w:bottom="0" w:gutter="0" w:footer="0" w:header="0"/>
        </w:sectPr>
      </w:pPr>
    </w:p>
    <w:bookmarkStart w:id="75" w:name="page76"/>
    <w:bookmarkEnd w:id="75"/>
    <w:p>
      <w:pPr>
        <w:ind w:left="5"/>
        <w:spacing w:after="0"/>
        <w:rPr>
          <w:sz w:val="20"/>
          <w:szCs w:val="20"/>
          <w:color w:val="auto"/>
        </w:rPr>
      </w:pPr>
      <w:r>
        <w:rPr>
          <w:rFonts w:ascii="Courier New" w:cs="Courier New" w:eastAsia="Courier New" w:hAnsi="Courier New"/>
          <w:sz w:val="15"/>
          <w:szCs w:val="15"/>
          <w:i w:val="1"/>
          <w:iCs w:val="1"/>
          <w:color w:val="auto"/>
        </w:rPr>
        <w:t xml:space="preserve">Wall Street Journal </w:t>
      </w:r>
      <w:r>
        <w:rPr>
          <w:rFonts w:ascii="Courier New" w:cs="Courier New" w:eastAsia="Courier New" w:hAnsi="Courier New"/>
          <w:sz w:val="15"/>
          <w:szCs w:val="15"/>
          <w:color w:val="auto"/>
        </w:rPr>
        <w:t>as the prime rate of interest plus two percent (2%).</w:t>
      </w:r>
    </w:p>
    <w:p>
      <w:pPr>
        <w:spacing w:after="0" w:line="185" w:lineRule="exact"/>
        <w:rPr>
          <w:sz w:val="20"/>
          <w:szCs w:val="20"/>
          <w:color w:val="auto"/>
        </w:rPr>
      </w:pPr>
    </w:p>
    <w:p>
      <w:pPr>
        <w:ind w:left="5" w:right="2839" w:firstLine="825"/>
        <w:spacing w:after="0" w:line="252" w:lineRule="auto"/>
        <w:tabs>
          <w:tab w:leader="none" w:pos="1113" w:val="left"/>
        </w:tabs>
        <w:numPr>
          <w:ilvl w:val="0"/>
          <w:numId w:val="10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Withholding. </w:t>
      </w:r>
      <w:r>
        <w:rPr>
          <w:rFonts w:ascii="Courier New" w:cs="Courier New" w:eastAsia="Courier New" w:hAnsi="Courier New"/>
          <w:sz w:val="15"/>
          <w:szCs w:val="15"/>
          <w:color w:val="auto"/>
        </w:rPr>
        <w:t>Employer may withhold from any amounts payable under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this Agreement the minimum Federal, state or local taxes as shall be required to be withheld pursuant to any applicable law or regulation.</w:t>
      </w:r>
    </w:p>
    <w:p>
      <w:pPr>
        <w:spacing w:after="0" w:line="174" w:lineRule="exact"/>
        <w:rPr>
          <w:rFonts w:ascii="Courier New" w:cs="Courier New" w:eastAsia="Courier New" w:hAnsi="Courier New"/>
          <w:sz w:val="15"/>
          <w:szCs w:val="15"/>
          <w:b w:val="1"/>
          <w:bCs w:val="1"/>
          <w:color w:val="auto"/>
        </w:rPr>
      </w:pPr>
    </w:p>
    <w:p>
      <w:pPr>
        <w:ind w:left="5" w:right="2939" w:firstLine="825"/>
        <w:spacing w:after="0" w:line="250" w:lineRule="auto"/>
        <w:tabs>
          <w:tab w:leader="none" w:pos="1113" w:val="left"/>
        </w:tabs>
        <w:numPr>
          <w:ilvl w:val="0"/>
          <w:numId w:val="10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Successors. </w:t>
      </w:r>
      <w:r>
        <w:rPr>
          <w:rFonts w:ascii="Courier New" w:cs="Courier New" w:eastAsia="Courier New" w:hAnsi="Courier New"/>
          <w:sz w:val="15"/>
          <w:szCs w:val="15"/>
          <w:color w:val="auto"/>
        </w:rPr>
        <w:t>This Agreement is binding on, and shall inure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benefit of Employee and Employer, and all successors and assigns of Employer. Employer will require any successor (whether direct or indirect, by purchase, merger, consolidation or otherwise) to all or substantially all of the business and/or assets of Employer to assume expressly and agree to perform this Agreement in the same manner and to the same extent that Employer would be required to perform it if no such succession had taken place. Failure of Employer to obtain such agreement prior to the effectiveness of any such succession shall be a material breach of this Agreement and shall entitle Employee to any Severance Benefit payable pursuant to Section 3(a) hereof.</w:t>
      </w:r>
    </w:p>
    <w:p>
      <w:pPr>
        <w:spacing w:after="0" w:line="181" w:lineRule="exact"/>
        <w:rPr>
          <w:rFonts w:ascii="Courier New" w:cs="Courier New" w:eastAsia="Courier New" w:hAnsi="Courier New"/>
          <w:sz w:val="15"/>
          <w:szCs w:val="15"/>
          <w:b w:val="1"/>
          <w:bCs w:val="1"/>
          <w:color w:val="auto"/>
        </w:rPr>
      </w:pPr>
    </w:p>
    <w:p>
      <w:pPr>
        <w:ind w:left="5" w:right="3219" w:firstLine="825"/>
        <w:spacing w:after="0" w:line="253" w:lineRule="auto"/>
        <w:tabs>
          <w:tab w:leader="none" w:pos="1113" w:val="left"/>
        </w:tabs>
        <w:numPr>
          <w:ilvl w:val="0"/>
          <w:numId w:val="10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Applicable Law. </w:t>
      </w:r>
      <w:r>
        <w:rPr>
          <w:rFonts w:ascii="Courier New" w:cs="Courier New" w:eastAsia="Courier New" w:hAnsi="Courier New"/>
          <w:sz w:val="15"/>
          <w:szCs w:val="15"/>
          <w:color w:val="auto"/>
        </w:rPr>
        <w:t>This Agreement will be interpreted, governed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enforced according to the law of the State of Tennessee.</w:t>
      </w:r>
    </w:p>
    <w:p>
      <w:pPr>
        <w:spacing w:after="0" w:line="174" w:lineRule="exact"/>
        <w:rPr>
          <w:rFonts w:ascii="Courier New" w:cs="Courier New" w:eastAsia="Courier New" w:hAnsi="Courier New"/>
          <w:sz w:val="15"/>
          <w:szCs w:val="15"/>
          <w:b w:val="1"/>
          <w:bCs w:val="1"/>
          <w:color w:val="auto"/>
        </w:rPr>
      </w:pPr>
    </w:p>
    <w:p>
      <w:pPr>
        <w:ind w:left="5" w:right="3019" w:firstLine="825"/>
        <w:spacing w:after="0" w:line="251" w:lineRule="auto"/>
        <w:tabs>
          <w:tab w:leader="none" w:pos="1205" w:val="left"/>
        </w:tabs>
        <w:numPr>
          <w:ilvl w:val="0"/>
          <w:numId w:val="10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Separability. </w:t>
      </w:r>
      <w:r>
        <w:rPr>
          <w:rFonts w:ascii="Courier New" w:cs="Courier New" w:eastAsia="Courier New" w:hAnsi="Courier New"/>
          <w:sz w:val="15"/>
          <w:szCs w:val="15"/>
          <w:color w:val="auto"/>
        </w:rPr>
        <w:t>If any portion of this Agreement is held to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invalid or unenforceable in any respect, Employee and Employer agree that such invalid and unenforceable part will be modified to permit the Agreement to be enforced to the maximum extent permitted by the court, with the remaining portions unaffected by the invalidity or unenforceability of any part of this Agreement.</w:t>
      </w:r>
    </w:p>
    <w:p>
      <w:pPr>
        <w:spacing w:after="0" w:line="175" w:lineRule="exact"/>
        <w:rPr>
          <w:rFonts w:ascii="Courier New" w:cs="Courier New" w:eastAsia="Courier New" w:hAnsi="Courier New"/>
          <w:sz w:val="15"/>
          <w:szCs w:val="15"/>
          <w:b w:val="1"/>
          <w:bCs w:val="1"/>
          <w:color w:val="auto"/>
        </w:rPr>
      </w:pPr>
    </w:p>
    <w:p>
      <w:pPr>
        <w:ind w:left="5" w:right="2839" w:firstLine="825"/>
        <w:spacing w:after="0" w:line="251" w:lineRule="auto"/>
        <w:tabs>
          <w:tab w:leader="none" w:pos="1205" w:val="left"/>
        </w:tabs>
        <w:numPr>
          <w:ilvl w:val="0"/>
          <w:numId w:val="10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Waiver. </w:t>
      </w:r>
      <w:r>
        <w:rPr>
          <w:rFonts w:ascii="Courier New" w:cs="Courier New" w:eastAsia="Courier New" w:hAnsi="Courier New"/>
          <w:sz w:val="15"/>
          <w:szCs w:val="15"/>
          <w:color w:val="auto"/>
        </w:rPr>
        <w:t>This Agreement may be modified, supplemented or amended,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and any provision of this Agreement can be waived, only by written instrument making specific reference to this Agreement signed by the party against whom enforcement of any such modification, supplement, amendment or waiver is sought.</w:t>
      </w:r>
    </w:p>
    <w:p>
      <w:pPr>
        <w:spacing w:after="0" w:line="176" w:lineRule="exact"/>
        <w:rPr>
          <w:rFonts w:ascii="Courier New" w:cs="Courier New" w:eastAsia="Courier New" w:hAnsi="Courier New"/>
          <w:sz w:val="15"/>
          <w:szCs w:val="15"/>
          <w:b w:val="1"/>
          <w:bCs w:val="1"/>
          <w:color w:val="auto"/>
        </w:rPr>
      </w:pPr>
    </w:p>
    <w:p>
      <w:pPr>
        <w:jc w:val="both"/>
        <w:ind w:left="5" w:right="3119" w:firstLine="825"/>
        <w:spacing w:after="0" w:line="251" w:lineRule="auto"/>
        <w:tabs>
          <w:tab w:leader="none" w:pos="1205" w:val="left"/>
        </w:tabs>
        <w:numPr>
          <w:ilvl w:val="0"/>
          <w:numId w:val="106"/>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Complete Agreement. </w:t>
      </w:r>
      <w:r>
        <w:rPr>
          <w:rFonts w:ascii="Courier New" w:cs="Courier New" w:eastAsia="Courier New" w:hAnsi="Courier New"/>
          <w:sz w:val="15"/>
          <w:szCs w:val="15"/>
          <w:color w:val="auto"/>
        </w:rPr>
        <w:t>This Agreement contains the entire agreement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between Employer and Employee as to the subject matter hereof. This Agreement shall not be subject to the terms and conditions of any agreement concerning arbitration or dispute resolution between Employer and Employee.</w:t>
      </w:r>
    </w:p>
    <w:p>
      <w:pPr>
        <w:spacing w:after="0" w:line="176" w:lineRule="exact"/>
        <w:rPr>
          <w:sz w:val="20"/>
          <w:szCs w:val="20"/>
          <w:color w:val="auto"/>
        </w:rPr>
      </w:pPr>
    </w:p>
    <w:p>
      <w:pPr>
        <w:ind w:left="5" w:right="2939" w:firstLine="830"/>
        <w:spacing w:after="0" w:line="253" w:lineRule="auto"/>
        <w:rPr>
          <w:sz w:val="20"/>
          <w:szCs w:val="20"/>
          <w:color w:val="auto"/>
        </w:rPr>
      </w:pPr>
      <w:r>
        <w:rPr>
          <w:rFonts w:ascii="Courier New" w:cs="Courier New" w:eastAsia="Courier New" w:hAnsi="Courier New"/>
          <w:sz w:val="15"/>
          <w:szCs w:val="15"/>
          <w:color w:val="auto"/>
        </w:rPr>
        <w:t>EMPLOYEE ACKNOWLEDGES THAT HE/SHE HAS READ THE ENTIRE CONTENTS OF THIS AGREEMENT AND THAT HE/SHE UNDERSTANDS ITS TERMS.</w:t>
      </w:r>
    </w:p>
    <w:p>
      <w:pPr>
        <w:spacing w:after="0" w:line="200" w:lineRule="exact"/>
        <w:rPr>
          <w:sz w:val="20"/>
          <w:szCs w:val="20"/>
          <w:color w:val="auto"/>
        </w:rPr>
      </w:pPr>
    </w:p>
    <w:p>
      <w:pPr>
        <w:spacing w:after="0" w:line="329"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[Signatures on following page]</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 w:right="3479" w:firstLine="830"/>
        <w:spacing w:after="0" w:line="253" w:lineRule="auto"/>
        <w:rPr>
          <w:sz w:val="20"/>
          <w:szCs w:val="20"/>
          <w:color w:val="auto"/>
        </w:rPr>
      </w:pPr>
      <w:r>
        <w:rPr>
          <w:rFonts w:ascii="Courier New" w:cs="Courier New" w:eastAsia="Courier New" w:hAnsi="Courier New"/>
          <w:sz w:val="15"/>
          <w:szCs w:val="15"/>
          <w:color w:val="auto"/>
        </w:rPr>
        <w:t>IN WITNESS WHEREOF, each of the parties hereto has executed this Agreement as of the date first written above.</w:t>
      </w:r>
    </w:p>
    <w:p>
      <w:pPr>
        <w:spacing w:after="0" w:line="174"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EMPLOYEE:</w:t>
      </w:r>
    </w:p>
    <w:p>
      <w:pPr>
        <w:spacing w:after="0" w:line="200" w:lineRule="exact"/>
        <w:rPr>
          <w:sz w:val="20"/>
          <w:szCs w:val="20"/>
          <w:color w:val="auto"/>
        </w:rPr>
      </w:pPr>
    </w:p>
    <w:p>
      <w:pPr>
        <w:spacing w:after="0" w:line="34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/s/ William C. Kelly, Jr.</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5"/>
        <w:spacing w:after="0"/>
        <w:tabs>
          <w:tab w:leader="none" w:pos="3945" w:val="left"/>
        </w:tabs>
        <w:rPr>
          <w:sz w:val="20"/>
          <w:szCs w:val="20"/>
          <w:color w:val="auto"/>
        </w:rPr>
      </w:pPr>
      <w:r>
        <w:rPr>
          <w:rFonts w:ascii="Courier New" w:cs="Courier New" w:eastAsia="Courier New" w:hAnsi="Courier New"/>
          <w:sz w:val="15"/>
          <w:szCs w:val="15"/>
          <w:color w:val="auto"/>
        </w:rPr>
        <w:t>Name:</w:t>
        <w:tab/>
        <w:t>William C. Kelly, Jr.</w:t>
      </w:r>
    </w:p>
    <w:p>
      <w:pPr>
        <w:spacing w:after="0" w:line="362"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including its subsidiaries and affiliates</w:t>
      </w:r>
    </w:p>
    <w:p>
      <w:pPr>
        <w:spacing w:after="0" w:line="200" w:lineRule="exact"/>
        <w:rPr>
          <w:sz w:val="20"/>
          <w:szCs w:val="20"/>
          <w:color w:val="auto"/>
        </w:rPr>
      </w:pPr>
    </w:p>
    <w:p>
      <w:pPr>
        <w:spacing w:after="0" w:line="340" w:lineRule="exact"/>
        <w:rPr>
          <w:sz w:val="20"/>
          <w:szCs w:val="20"/>
          <w:color w:val="auto"/>
        </w:rPr>
      </w:pPr>
    </w:p>
    <w:p>
      <w:pPr>
        <w:ind w:left="3325"/>
        <w:spacing w:after="0"/>
        <w:tabs>
          <w:tab w:leader="none" w:pos="412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L. Dyckman</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305"/>
        <w:spacing w:after="0"/>
        <w:rPr>
          <w:sz w:val="20"/>
          <w:szCs w:val="20"/>
          <w:color w:val="auto"/>
        </w:rPr>
      </w:pPr>
      <w:r>
        <w:rPr>
          <w:rFonts w:ascii="Courier New" w:cs="Courier New" w:eastAsia="Courier New" w:hAnsi="Courier New"/>
          <w:sz w:val="15"/>
          <w:szCs w:val="15"/>
          <w:color w:val="auto"/>
        </w:rPr>
        <w:t>David L. Dyckman</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b w:val="1"/>
          <w:bCs w:val="1"/>
          <w:color w:val="auto"/>
        </w:rPr>
        <w:t>Schedule A</w:t>
      </w:r>
    </w:p>
    <w:p>
      <w:pPr>
        <w:spacing w:after="0" w:line="362"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Employee's Severance Payment shall be a lump sum payment equal to:</w:t>
      </w:r>
    </w:p>
    <w:p>
      <w:pPr>
        <w:spacing w:after="0" w:line="185" w:lineRule="exact"/>
        <w:rPr>
          <w:sz w:val="20"/>
          <w:szCs w:val="20"/>
          <w:color w:val="auto"/>
        </w:rPr>
      </w:pPr>
    </w:p>
    <w:p>
      <w:pPr>
        <w:ind w:left="465" w:right="3579" w:hanging="465"/>
        <w:spacing w:after="0" w:line="253" w:lineRule="auto"/>
        <w:tabs>
          <w:tab w:leader="none" w:pos="46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times such Employee's base salary (as of the date of Employee's termination); plus</w:t>
      </w:r>
    </w:p>
    <w:p>
      <w:pPr>
        <w:spacing w:after="0" w:line="174" w:lineRule="exact"/>
        <w:rPr>
          <w:rFonts w:ascii="Courier New" w:cs="Courier New" w:eastAsia="Courier New" w:hAnsi="Courier New"/>
          <w:sz w:val="15"/>
          <w:szCs w:val="15"/>
          <w:color w:val="auto"/>
        </w:rPr>
      </w:pPr>
    </w:p>
    <w:p>
      <w:pPr>
        <w:ind w:left="465" w:right="3219" w:hanging="465"/>
        <w:spacing w:after="0" w:line="253" w:lineRule="auto"/>
        <w:tabs>
          <w:tab w:leader="none" w:pos="46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times such Employee's median bonus available at the following bonus target percentage: 25%; plus</w:t>
      </w:r>
    </w:p>
    <w:p>
      <w:pPr>
        <w:spacing w:after="0" w:line="174" w:lineRule="exact"/>
        <w:rPr>
          <w:rFonts w:ascii="Courier New" w:cs="Courier New" w:eastAsia="Courier New" w:hAnsi="Courier New"/>
          <w:sz w:val="15"/>
          <w:szCs w:val="15"/>
          <w:color w:val="auto"/>
        </w:rPr>
      </w:pPr>
    </w:p>
    <w:p>
      <w:pPr>
        <w:ind w:left="465" w:right="2939" w:hanging="465"/>
        <w:spacing w:after="0" w:line="252" w:lineRule="auto"/>
        <w:tabs>
          <w:tab w:leader="none" w:pos="46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1.5 times Employee's annual automobile allowance or the annual cost to Employee of obtaining a motor vehicle comparable to that provided by Employer to Employee.</w:t>
      </w:r>
    </w:p>
    <w:p>
      <w:pPr>
        <w:sectPr>
          <w:pgSz w:w="11900" w:h="16838" w:orient="portrait"/>
          <w:cols w:equalWidth="0" w:num="1">
            <w:col w:w="10225"/>
          </w:cols>
          <w:pgMar w:left="235" w:top="142" w:right="1440" w:bottom="207" w:gutter="0" w:footer="0" w:header="0"/>
        </w:sectPr>
      </w:pPr>
    </w:p>
    <w:bookmarkStart w:id="76" w:name="page77"/>
    <w:bookmarkEnd w:id="76"/>
    <w:p>
      <w:pPr>
        <w:ind w:left="240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9019"/>
          </w:cols>
          <w:pgMar w:left="1440" w:top="674"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b w:val="1"/>
          <w:bCs w:val="1"/>
          <w:color w:val="auto"/>
        </w:rPr>
        <w:t>Exhibit 10.24</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b w:val="1"/>
          <w:bCs w:val="1"/>
          <w:color w:val="auto"/>
        </w:rPr>
        <w:t>EMPLOYMENT AGREEMENT</w:t>
      </w:r>
    </w:p>
    <w:p>
      <w:pPr>
        <w:spacing w:after="0" w:line="36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This AGREEMENT is made as of January 21, 2002, by and between NN, Inc., a Delaware corporation, having its principal place of business located at 2000 Water's Edge Drive, Building C, Suite 12, Johnson City, Tennessee 37604 (the "Company") and David L. Dyckman (the "Executive").</w:t>
      </w:r>
    </w:p>
    <w:p>
      <w:pPr>
        <w:spacing w:after="0" w:line="17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 I T N E S S E T H :</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WHEREAS, the Company's Board of Directors (the "Board") has determined that it is in the best interest of the Company and its shareholders to employ the Executive as Vice-President of Business Development and Chief Financial Officer of the Company and the Executive desires to serve in that capacity;</w:t>
      </w:r>
    </w:p>
    <w:p>
      <w:pPr>
        <w:spacing w:after="0" w:line="176"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NOW, THEREFORE, in consideration of the foregoing and of the respective covenants and agreements of the parties herein contained, the parties hereto, intending to be legally bound, agree as follows:</w:t>
      </w:r>
    </w:p>
    <w:p>
      <w:pPr>
        <w:spacing w:after="0" w:line="175" w:lineRule="exact"/>
        <w:rPr>
          <w:sz w:val="20"/>
          <w:szCs w:val="20"/>
          <w:color w:val="auto"/>
        </w:rPr>
      </w:pPr>
    </w:p>
    <w:p>
      <w:pPr>
        <w:ind w:right="3019" w:firstLine="825"/>
        <w:spacing w:after="0" w:line="251" w:lineRule="auto"/>
        <w:tabs>
          <w:tab w:leader="none" w:pos="110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Employment. </w:t>
      </w:r>
      <w:r>
        <w:rPr>
          <w:rFonts w:ascii="Courier New" w:cs="Courier New" w:eastAsia="Courier New" w:hAnsi="Courier New"/>
          <w:sz w:val="15"/>
          <w:szCs w:val="15"/>
          <w:color w:val="auto"/>
        </w:rPr>
        <w:t>The Company agrees to continue to employ the Executive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and the Executive hereby agrees to continue to be employed for the period of time set forth in Paragraph 2, subject to the terms and conditions set forth herein.</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Term. </w:t>
      </w:r>
      <w:r>
        <w:rPr>
          <w:rFonts w:ascii="Courier New" w:cs="Courier New" w:eastAsia="Courier New" w:hAnsi="Courier New"/>
          <w:sz w:val="15"/>
          <w:szCs w:val="15"/>
          <w:color w:val="auto"/>
        </w:rPr>
        <w:t>Subject to the terms hereof, Company agrees to employ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Executive for a period of two years commencing upon January 21, 2002 and expiring on January 20, 2004 (the "Employment Term") (unless sooner terminated as provided herein). The Employment Term shall be extended automatically from time to time, on a rolling basis, for additional one year periods, unless either party gives written notice of termination to the other at least six (6) months prior to the date that the Employment Term is scheduled to expire.</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Position and Responsibilities. </w:t>
      </w:r>
      <w:r>
        <w:rPr>
          <w:rFonts w:ascii="Courier New" w:cs="Courier New" w:eastAsia="Courier New" w:hAnsi="Courier New"/>
          <w:sz w:val="15"/>
          <w:szCs w:val="15"/>
          <w:color w:val="auto"/>
        </w:rPr>
        <w:t>The Executive shall serve as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Vice-President of Business Development and Chief Financial Officer of the Company, reporting to the President and Chief Executive Officer, and shall have supervision and control over, and responsibility for, the business development activities and financial operations of the Company. The Executive shall also have such other powers and duties as may from time to time be prescribed by the President or Chief Executive Officer; provided, however, that such duties shall be consistent with the Executive's position as the officer in charge of business development activities and principal financial officer of the Company.</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Diligence. </w:t>
      </w:r>
      <w:r>
        <w:rPr>
          <w:rFonts w:ascii="Courier New" w:cs="Courier New" w:eastAsia="Courier New" w:hAnsi="Courier New"/>
          <w:sz w:val="15"/>
          <w:szCs w:val="15"/>
          <w:color w:val="auto"/>
        </w:rPr>
        <w:t>Executive agrees to serve in the respective positions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referred to in Paragraph 3 and to perform diligently the duties and services appertaining to each such office, as well as such additional duties and services appropriate to each such office which the parties mutually may agree upon from time to time.</w:t>
      </w:r>
    </w:p>
    <w:p>
      <w:pPr>
        <w:spacing w:after="0" w:line="176"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b w:val="1"/>
          <w:bCs w:val="1"/>
          <w:color w:val="auto"/>
        </w:rPr>
        <w:t xml:space="preserve">Time. </w:t>
      </w:r>
      <w:r>
        <w:rPr>
          <w:rFonts w:ascii="Courier New" w:cs="Courier New" w:eastAsia="Courier New" w:hAnsi="Courier New"/>
          <w:sz w:val="15"/>
          <w:szCs w:val="15"/>
          <w:color w:val="auto"/>
        </w:rPr>
        <w:t>Executive agrees to devote his entire working time and efforts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to the business and affairs of the Company and its affiliates and not to engage, directly or indirectly, in any other business or businesses, whether or not similar to that of the Company, except with the consent of the President and Chief Executive Officer and the Board.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307975</wp:posOffset>
            </wp:positionV>
            <wp:extent cx="728916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notwithstanding, the parties recognize and agree that Executive (i) may engage in personal investments, subject to any restrictions set forth in the Non-Competition and Confidentiality Agreement referenced in Paragraph 7 and (ii) subject to the prior consent of the President, may serve on the board of directors of other companies, provided such service does not conflict with the business and affairs of the Company or interfere with Executive's performance of his duties hereunder.</w:t>
      </w:r>
    </w:p>
    <w:p>
      <w:pPr>
        <w:spacing w:after="0" w:line="176" w:lineRule="exact"/>
        <w:rPr>
          <w:sz w:val="20"/>
          <w:szCs w:val="20"/>
          <w:color w:val="auto"/>
        </w:rPr>
      </w:pPr>
    </w:p>
    <w:p>
      <w:pPr>
        <w:ind w:left="1100" w:hanging="275"/>
        <w:spacing w:after="0"/>
        <w:tabs>
          <w:tab w:leader="none" w:pos="1100" w:val="left"/>
        </w:tabs>
        <w:numPr>
          <w:ilvl w:val="0"/>
          <w:numId w:val="10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Compensation.</w:t>
      </w:r>
    </w:p>
    <w:p>
      <w:pPr>
        <w:spacing w:after="0" w:line="184" w:lineRule="exact"/>
        <w:rPr>
          <w:rFonts w:ascii="Courier New" w:cs="Courier New" w:eastAsia="Courier New" w:hAnsi="Courier New"/>
          <w:sz w:val="15"/>
          <w:szCs w:val="15"/>
          <w:b w:val="1"/>
          <w:bCs w:val="1"/>
          <w:color w:val="auto"/>
        </w:rPr>
      </w:pPr>
    </w:p>
    <w:p>
      <w:pPr>
        <w:ind w:left="460" w:right="2839" w:firstLine="457"/>
        <w:spacing w:after="0" w:line="251" w:lineRule="auto"/>
        <w:tabs>
          <w:tab w:leader="none" w:pos="129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During the Employment Term, the Executive shall receive an annual salary of $170,000 per year, which annual salary shall be subject to such increases as the Board in its sole discretion may from time to time determine (the "Annual Salary"). The Annual Salary shall be payable by the Company in accordance with its regular compensation policies and practices for paying executives.</w:t>
      </w:r>
    </w:p>
    <w:p>
      <w:pPr>
        <w:spacing w:after="0" w:line="175"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During the term of his employment hereunder, the Executive shall be entitled to be reimbursed for all reasonable business expenses incurred by him in connection with his services hereunder, including but not limited to expenses for entertainment and travel, in accordance with the policies and procedures from time to time in effect for the Company's senior executive officers. The Company retains the right to establish limits on the types or amounts of business expenses that the Executive may incur.</w:t>
      </w:r>
    </w:p>
    <w:p>
      <w:pPr>
        <w:spacing w:after="0" w:line="175" w:lineRule="exact"/>
        <w:rPr>
          <w:rFonts w:ascii="Courier New" w:cs="Courier New" w:eastAsia="Courier New" w:hAnsi="Courier New"/>
          <w:sz w:val="15"/>
          <w:szCs w:val="15"/>
          <w:color w:val="auto"/>
        </w:rPr>
      </w:pPr>
    </w:p>
    <w:p>
      <w:pPr>
        <w:ind w:left="460" w:right="3119" w:firstLine="457"/>
        <w:spacing w:after="0" w:line="251" w:lineRule="auto"/>
        <w:tabs>
          <w:tab w:leader="none" w:pos="129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Programs. The Executive shall be entitled to participate in all of the Company's employee benefit plans and programs (including life, disability, and health insurance plans and programs and savings plans and programs) to the extent his position, tenure, salary, age, health and other qualifications make him eligible to participate, subject to the rules and regulations applicable thereto. The Company</w:t>
      </w:r>
    </w:p>
    <w:p>
      <w:pPr>
        <w:sectPr>
          <w:pgSz w:w="11900" w:h="16838" w:orient="portrait"/>
          <w:cols w:equalWidth="0" w:num="1">
            <w:col w:w="10219"/>
          </w:cols>
          <w:pgMar w:left="240" w:top="319" w:right="1440" w:bottom="0" w:gutter="0" w:footer="0" w:header="0"/>
        </w:sectPr>
      </w:pPr>
    </w:p>
    <w:bookmarkStart w:id="78" w:name="page79"/>
    <w:bookmarkEnd w:id="78"/>
    <w:p>
      <w:pPr>
        <w:ind w:right="2939"/>
        <w:spacing w:after="0" w:line="251" w:lineRule="auto"/>
        <w:rPr>
          <w:sz w:val="20"/>
          <w:szCs w:val="20"/>
          <w:color w:val="auto"/>
        </w:rPr>
      </w:pPr>
      <w:r>
        <w:rPr>
          <w:rFonts w:ascii="Courier New" w:cs="Courier New" w:eastAsia="Courier New" w:hAnsi="Courier New"/>
          <w:sz w:val="15"/>
          <w:szCs w:val="15"/>
          <w:color w:val="auto"/>
        </w:rPr>
        <w:t>retains the right to abolish or alter the terms of any employee benefit programs, plans or policies that it may establish, provided such abolition or amendment shall be applicable to the senior officers of the Company generally.</w:t>
      </w:r>
    </w:p>
    <w:p>
      <w:pPr>
        <w:spacing w:after="0" w:line="176" w:lineRule="exact"/>
        <w:rPr>
          <w:sz w:val="20"/>
          <w:szCs w:val="20"/>
          <w:color w:val="auto"/>
        </w:rPr>
      </w:pPr>
    </w:p>
    <w:p>
      <w:pPr>
        <w:ind w:right="2939" w:firstLine="457"/>
        <w:spacing w:after="0" w:line="251" w:lineRule="auto"/>
        <w:tabs>
          <w:tab w:leader="none" w:pos="83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and Other Absences. The Executive shall be entitled to the number of paid vacation days in each calendar year determined by the Company from time to time for its senior executive officers generally. The Executive shall also be entitled to all paid absences for holidays or illnesses in accordance with the Company's plans, policies or provisions applicable to senior executive employees.</w:t>
      </w:r>
    </w:p>
    <w:p>
      <w:pPr>
        <w:spacing w:after="0" w:line="175" w:lineRule="exact"/>
        <w:rPr>
          <w:rFonts w:ascii="Courier New" w:cs="Courier New" w:eastAsia="Courier New" w:hAnsi="Courier New"/>
          <w:sz w:val="15"/>
          <w:szCs w:val="15"/>
          <w:color w:val="auto"/>
        </w:rPr>
      </w:pPr>
    </w:p>
    <w:p>
      <w:pPr>
        <w:ind w:left="-460" w:right="2839" w:firstLine="825"/>
        <w:spacing w:after="0" w:line="251" w:lineRule="auto"/>
        <w:tabs>
          <w:tab w:leader="none" w:pos="647" w:val="left"/>
        </w:tabs>
        <w:numPr>
          <w:ilvl w:val="0"/>
          <w:numId w:val="11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Confidentiality and Non-Competition. </w:t>
      </w:r>
      <w:r>
        <w:rPr>
          <w:rFonts w:ascii="Courier New" w:cs="Courier New" w:eastAsia="Courier New" w:hAnsi="Courier New"/>
          <w:sz w:val="15"/>
          <w:szCs w:val="15"/>
          <w:color w:val="auto"/>
        </w:rPr>
        <w:t>As a material inducement to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Company entering into this Agreement and in consideration for the Executive's continued employment, Executive hereby reconfirms and agrees to continue to be bound in all respects by the terms of that certain Non-Competition and Confidentiality Agreement, dated January 21, 2002, between Executive and the Company, a copy of which is attached hereto as Exhibit A.</w:t>
      </w:r>
    </w:p>
    <w:p>
      <w:pPr>
        <w:spacing w:after="0" w:line="175" w:lineRule="exact"/>
        <w:rPr>
          <w:rFonts w:ascii="Courier New" w:cs="Courier New" w:eastAsia="Courier New" w:hAnsi="Courier New"/>
          <w:sz w:val="15"/>
          <w:szCs w:val="15"/>
          <w:b w:val="1"/>
          <w:bCs w:val="1"/>
          <w:color w:val="auto"/>
        </w:rPr>
      </w:pPr>
    </w:p>
    <w:p>
      <w:pPr>
        <w:ind w:left="640" w:hanging="275"/>
        <w:spacing w:after="0"/>
        <w:tabs>
          <w:tab w:leader="none" w:pos="640" w:val="left"/>
        </w:tabs>
        <w:numPr>
          <w:ilvl w:val="0"/>
          <w:numId w:val="11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of Employment.</w:t>
      </w:r>
    </w:p>
    <w:p>
      <w:pPr>
        <w:spacing w:after="0" w:line="184" w:lineRule="exact"/>
        <w:rPr>
          <w:rFonts w:ascii="Courier New" w:cs="Courier New" w:eastAsia="Courier New" w:hAnsi="Courier New"/>
          <w:sz w:val="15"/>
          <w:szCs w:val="15"/>
          <w:b w:val="1"/>
          <w:bCs w:val="1"/>
          <w:color w:val="auto"/>
        </w:rPr>
      </w:pPr>
    </w:p>
    <w:p>
      <w:pPr>
        <w:ind w:right="2839" w:firstLine="457"/>
        <w:spacing w:after="0" w:line="251" w:lineRule="auto"/>
        <w:tabs>
          <w:tab w:leader="none" w:pos="83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The Executive's employment shall terminate automatically upon the Executive's death during the Employment Term. The Company shall be entitled to terminate the Executive's employment because of the Executive's disability during the Employment Term if, as a result of the Executive's incapacity due to physical or mental illness</w:t>
      </w:r>
    </w:p>
    <w:p>
      <w:pPr>
        <w:spacing w:after="0" w:line="35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(hereinafter "Disability"), the Executive shall have been absent from his duties hereunder for one hundred and twenty (120) days during any three hundred and sixty (360) day period.</w:t>
      </w:r>
    </w:p>
    <w:p>
      <w:pPr>
        <w:spacing w:after="0" w:line="175" w:lineRule="exact"/>
        <w:rPr>
          <w:sz w:val="20"/>
          <w:szCs w:val="20"/>
          <w:color w:val="auto"/>
        </w:rPr>
      </w:pPr>
    </w:p>
    <w:p>
      <w:pPr>
        <w:jc w:val="both"/>
        <w:ind w:right="3119" w:firstLine="457"/>
        <w:spacing w:after="0" w:line="252" w:lineRule="auto"/>
        <w:tabs>
          <w:tab w:leader="none" w:pos="83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Company for Cause. (i) The Company may terminate the Executive's employment during the Employment Term for Cause. "Cause" means:</w:t>
      </w:r>
    </w:p>
    <w:p>
      <w:pPr>
        <w:spacing w:after="0" w:line="174" w:lineRule="exact"/>
        <w:rPr>
          <w:rFonts w:ascii="Courier New" w:cs="Courier New" w:eastAsia="Courier New" w:hAnsi="Courier New"/>
          <w:sz w:val="15"/>
          <w:szCs w:val="15"/>
          <w:color w:val="auto"/>
        </w:rPr>
      </w:pPr>
    </w:p>
    <w:p>
      <w:pPr>
        <w:ind w:left="460" w:right="2839" w:firstLine="459"/>
        <w:spacing w:after="0" w:line="251" w:lineRule="auto"/>
        <w:tabs>
          <w:tab w:leader="none" w:pos="1198"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such breach;</w:t>
      </w:r>
    </w:p>
    <w:p>
      <w:pPr>
        <w:spacing w:after="0" w:line="353" w:lineRule="exact"/>
        <w:rPr>
          <w:rFonts w:ascii="Courier New" w:cs="Courier New" w:eastAsia="Courier New" w:hAnsi="Courier New"/>
          <w:sz w:val="15"/>
          <w:szCs w:val="15"/>
          <w:color w:val="auto"/>
        </w:rPr>
      </w:pPr>
    </w:p>
    <w:p>
      <w:pPr>
        <w:ind w:left="460" w:right="3119" w:firstLine="459"/>
        <w:spacing w:after="0" w:line="252" w:lineRule="auto"/>
        <w:tabs>
          <w:tab w:leader="none" w:pos="1198"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misconduct or gross negligence by the Executive, in either case that results in material damage to the business or reputation of the Company;</w:t>
      </w:r>
    </w:p>
    <w:p>
      <w:pPr>
        <w:spacing w:after="0" w:line="174" w:lineRule="exact"/>
        <w:rPr>
          <w:rFonts w:ascii="Courier New" w:cs="Courier New" w:eastAsia="Courier New" w:hAnsi="Courier New"/>
          <w:sz w:val="15"/>
          <w:szCs w:val="15"/>
          <w:color w:val="auto"/>
        </w:rPr>
      </w:pPr>
    </w:p>
    <w:p>
      <w:pPr>
        <w:ind w:left="460" w:right="2939" w:firstLine="459"/>
        <w:spacing w:after="0" w:line="251" w:lineRule="auto"/>
        <w:tabs>
          <w:tab w:leader="none" w:pos="1198"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by Executive of either this Agreement or that certain Non-Competition and Confidentiality Agreement referenced in Paragraph 8 which, if correctable, remains uncorrected for 10 days following written notice to Executive by the Board of such breach; or</w:t>
      </w:r>
    </w:p>
    <w:p>
      <w:pPr>
        <w:spacing w:after="0" w:line="176" w:lineRule="exact"/>
        <w:rPr>
          <w:rFonts w:ascii="Courier New" w:cs="Courier New" w:eastAsia="Courier New" w:hAnsi="Courier New"/>
          <w:sz w:val="15"/>
          <w:szCs w:val="15"/>
          <w:color w:val="auto"/>
        </w:rPr>
      </w:pPr>
    </w:p>
    <w:p>
      <w:pPr>
        <w:ind w:left="460" w:right="3299" w:firstLine="459"/>
        <w:spacing w:after="0" w:line="252" w:lineRule="auto"/>
        <w:tabs>
          <w:tab w:leader="none" w:pos="1198"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is convicted of a felony or any other crime involving moral turpitude (whether or not in connection with the performance by Executive of his duties under this Agreement).</w:t>
      </w:r>
    </w:p>
    <w:p>
      <w:pPr>
        <w:spacing w:after="0" w:line="174" w:lineRule="exact"/>
        <w:rPr>
          <w:rFonts w:ascii="Courier New" w:cs="Courier New" w:eastAsia="Courier New" w:hAnsi="Courier New"/>
          <w:sz w:val="15"/>
          <w:szCs w:val="15"/>
          <w:color w:val="auto"/>
        </w:rPr>
      </w:pPr>
    </w:p>
    <w:p>
      <w:pPr>
        <w:ind w:right="3119" w:firstLine="457"/>
        <w:spacing w:after="0" w:line="252" w:lineRule="auto"/>
        <w:tabs>
          <w:tab w:leader="none" w:pos="83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Company Without Cause. The Company may terminate the employment of Executive under this Agreement for any reason at any time.</w:t>
      </w:r>
    </w:p>
    <w:p>
      <w:pPr>
        <w:spacing w:after="0" w:line="174" w:lineRule="exact"/>
        <w:rPr>
          <w:rFonts w:ascii="Courier New" w:cs="Courier New" w:eastAsia="Courier New" w:hAnsi="Courier New"/>
          <w:sz w:val="15"/>
          <w:szCs w:val="15"/>
          <w:color w:val="auto"/>
        </w:rPr>
      </w:pPr>
    </w:p>
    <w:p>
      <w:pPr>
        <w:ind w:right="3119" w:firstLine="457"/>
        <w:spacing w:after="0" w:line="253" w:lineRule="auto"/>
        <w:tabs>
          <w:tab w:leader="none" w:pos="83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Executive for Good Reason. (i) The Executive may terminate employment for Good Reason. "Good Reason" means:</w:t>
      </w:r>
    </w:p>
    <w:p>
      <w:pPr>
        <w:spacing w:after="0" w:line="174" w:lineRule="exact"/>
        <w:rPr>
          <w:rFonts w:ascii="Courier New" w:cs="Courier New" w:eastAsia="Courier New" w:hAnsi="Courier New"/>
          <w:sz w:val="15"/>
          <w:szCs w:val="15"/>
          <w:color w:val="auto"/>
        </w:rPr>
      </w:pPr>
    </w:p>
    <w:p>
      <w:pPr>
        <w:ind w:left="460" w:right="2939" w:firstLine="459"/>
        <w:spacing w:after="0" w:line="251" w:lineRule="auto"/>
        <w:tabs>
          <w:tab w:leader="none" w:pos="1198"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175" w:lineRule="exact"/>
        <w:rPr>
          <w:rFonts w:ascii="Courier New" w:cs="Courier New" w:eastAsia="Courier New" w:hAnsi="Courier New"/>
          <w:sz w:val="15"/>
          <w:szCs w:val="15"/>
          <w:color w:val="auto"/>
        </w:rPr>
      </w:pPr>
    </w:p>
    <w:p>
      <w:pPr>
        <w:ind w:left="460" w:right="2839" w:firstLine="459"/>
        <w:spacing w:after="0" w:line="252" w:lineRule="auto"/>
        <w:tabs>
          <w:tab w:leader="none" w:pos="1198"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failure by the Company to comply with this Agreement, other than a failure that is remedied by the Company within 10 days after receipt of notice thereof from then Executive.</w:t>
      </w:r>
    </w:p>
    <w:p>
      <w:pPr>
        <w:spacing w:after="0" w:line="174" w:lineRule="exact"/>
        <w:rPr>
          <w:rFonts w:ascii="Courier New" w:cs="Courier New" w:eastAsia="Courier New" w:hAnsi="Courier New"/>
          <w:sz w:val="15"/>
          <w:szCs w:val="15"/>
          <w:color w:val="auto"/>
        </w:rPr>
      </w:pPr>
    </w:p>
    <w:p>
      <w:pPr>
        <w:jc w:val="both"/>
        <w:ind w:right="2939" w:firstLine="457"/>
        <w:spacing w:after="0" w:line="252" w:lineRule="auto"/>
        <w:tabs>
          <w:tab w:leader="none" w:pos="83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Without Good Reason. Executive may at any time terminate his employment under this Agreement without Good Reason.</w:t>
      </w:r>
    </w:p>
    <w:p>
      <w:pPr>
        <w:spacing w:after="0" w:line="174" w:lineRule="exact"/>
        <w:rPr>
          <w:rFonts w:ascii="Courier New" w:cs="Courier New" w:eastAsia="Courier New" w:hAnsi="Courier New"/>
          <w:sz w:val="15"/>
          <w:szCs w:val="15"/>
          <w:color w:val="auto"/>
        </w:rPr>
      </w:pPr>
    </w:p>
    <w:p>
      <w:pPr>
        <w:ind w:right="2839" w:firstLine="457"/>
        <w:spacing w:after="0" w:line="251" w:lineRule="auto"/>
        <w:tabs>
          <w:tab w:leader="none" w:pos="83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If Company or Executive desires to terminate Executive's employment hereunder at any time, it or he shall do so by giving written notice to the other party (following the expiration of any applicable cure periods) that it or he has elected to</w:t>
      </w:r>
    </w:p>
    <w:p>
      <w:pPr>
        <w:sectPr>
          <w:pgSz w:w="11900" w:h="16838" w:orient="portrait"/>
          <w:cols w:equalWidth="0" w:num="1">
            <w:col w:w="9759"/>
          </w:cols>
          <w:pgMar w:left="700" w:top="142" w:right="1440" w:bottom="39" w:gutter="0" w:footer="0" w:header="0"/>
        </w:sectPr>
      </w:pPr>
    </w:p>
    <w:p>
      <w:pPr>
        <w:spacing w:after="0" w:line="354"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102870</wp:posOffset>
            </wp:positionV>
            <wp:extent cx="728916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ectPr>
          <w:pgSz w:w="11900" w:h="16838" w:orient="portrait"/>
          <w:cols w:equalWidth="0" w:num="1">
            <w:col w:w="9759"/>
          </w:cols>
          <w:pgMar w:left="700" w:top="142" w:right="1440" w:bottom="39" w:gutter="0" w:footer="0" w:header="0"/>
          <w:type w:val="continuous"/>
        </w:sectPr>
      </w:pPr>
    </w:p>
    <w:bookmarkStart w:id="79" w:name="page80"/>
    <w:bookmarkEnd w:id="79"/>
    <w:p>
      <w:pPr>
        <w:ind w:right="3019"/>
        <w:spacing w:after="0" w:line="251" w:lineRule="auto"/>
        <w:rPr>
          <w:sz w:val="20"/>
          <w:szCs w:val="20"/>
          <w:color w:val="auto"/>
        </w:rPr>
      </w:pPr>
      <w:r>
        <w:rPr>
          <w:rFonts w:ascii="Courier New" w:cs="Courier New" w:eastAsia="Courier New" w:hAnsi="Courier New"/>
          <w:sz w:val="15"/>
          <w:szCs w:val="15"/>
          <w:color w:val="auto"/>
        </w:rPr>
        <w:t>terminate Executive's employment hereunder and stating the effective date and reason for such termination. Any termination by Executive of his employment without Good Reason shall be made on not less than 14 days' notice.</w:t>
      </w:r>
    </w:p>
    <w:p>
      <w:pPr>
        <w:spacing w:after="0" w:line="176" w:lineRule="exact"/>
        <w:rPr>
          <w:sz w:val="20"/>
          <w:szCs w:val="20"/>
          <w:color w:val="auto"/>
        </w:rPr>
      </w:pPr>
    </w:p>
    <w:p>
      <w:pPr>
        <w:ind w:left="640" w:hanging="275"/>
        <w:spacing w:after="0"/>
        <w:tabs>
          <w:tab w:leader="none" w:pos="640" w:val="left"/>
        </w:tabs>
        <w:numPr>
          <w:ilvl w:val="0"/>
          <w:numId w:val="113"/>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Effect of Termination.</w:t>
      </w:r>
    </w:p>
    <w:p>
      <w:pPr>
        <w:spacing w:after="0" w:line="184" w:lineRule="exact"/>
        <w:rPr>
          <w:rFonts w:ascii="Courier New" w:cs="Courier New" w:eastAsia="Courier New" w:hAnsi="Courier New"/>
          <w:sz w:val="15"/>
          <w:szCs w:val="15"/>
          <w:b w:val="1"/>
          <w:bCs w:val="1"/>
          <w:color w:val="auto"/>
        </w:rPr>
      </w:pPr>
    </w:p>
    <w:p>
      <w:pPr>
        <w:ind w:right="2939" w:firstLine="457"/>
        <w:spacing w:after="0" w:line="251" w:lineRule="auto"/>
        <w:tabs>
          <w:tab w:leader="none" w:pos="83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Termination for Cause; Death or Disability. In the event that Executive's employment is terminated pursuant to Paragraphs 8(a), 8(b) or 8(e), on the date of termination, the Company shall be liable to Executive as follows:</w:t>
      </w:r>
    </w:p>
    <w:p>
      <w:pPr>
        <w:spacing w:after="0" w:line="176" w:lineRule="exact"/>
        <w:rPr>
          <w:rFonts w:ascii="Courier New" w:cs="Courier New" w:eastAsia="Courier New" w:hAnsi="Courier New"/>
          <w:sz w:val="15"/>
          <w:szCs w:val="15"/>
          <w:color w:val="auto"/>
        </w:rPr>
      </w:pPr>
    </w:p>
    <w:p>
      <w:pPr>
        <w:ind w:left="920" w:right="2839" w:firstLine="460"/>
        <w:spacing w:after="0" w:line="253" w:lineRule="auto"/>
        <w:tabs>
          <w:tab w:leader="none" w:pos="1750" w:val="left"/>
        </w:tabs>
        <w:numPr>
          <w:ilvl w:val="2"/>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entitled to receive the Annual Salary due to him through the date of termination of his employment.</w:t>
      </w:r>
    </w:p>
    <w:p>
      <w:pPr>
        <w:spacing w:after="0" w:line="174" w:lineRule="exact"/>
        <w:rPr>
          <w:rFonts w:ascii="Courier New" w:cs="Courier New" w:eastAsia="Courier New" w:hAnsi="Courier New"/>
          <w:sz w:val="15"/>
          <w:szCs w:val="15"/>
          <w:color w:val="auto"/>
        </w:rPr>
      </w:pPr>
    </w:p>
    <w:p>
      <w:pPr>
        <w:ind w:left="920" w:right="2939" w:firstLine="460"/>
        <w:spacing w:after="0" w:line="251" w:lineRule="auto"/>
        <w:tabs>
          <w:tab w:leader="none" w:pos="1843" w:val="left"/>
        </w:tabs>
        <w:numPr>
          <w:ilvl w:val="2"/>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vested rights of Executive shall be paid to Executive in accordance with the Company's plans, programs or policies. Without limiting the foregoing, in the event of the termination of Executive's employment due to death or disability (Paragraph 8(a)), the rights and benefits of Executive (or his designated beneficiary or representatives, as applicable) under any Company life, health and long-term disability plans and policies shall be determined in accordance with the terms and provisions of such plans and policies.</w:t>
      </w:r>
    </w:p>
    <w:p>
      <w:pPr>
        <w:spacing w:after="0" w:line="175" w:lineRule="exact"/>
        <w:rPr>
          <w:rFonts w:ascii="Courier New" w:cs="Courier New" w:eastAsia="Courier New" w:hAnsi="Courier New"/>
          <w:sz w:val="15"/>
          <w:szCs w:val="15"/>
          <w:color w:val="auto"/>
        </w:rPr>
      </w:pPr>
    </w:p>
    <w:p>
      <w:pPr>
        <w:jc w:val="both"/>
        <w:ind w:left="920" w:right="2839" w:firstLine="460"/>
        <w:spacing w:after="0" w:line="252" w:lineRule="auto"/>
        <w:tabs>
          <w:tab w:leader="none" w:pos="1935" w:val="left"/>
        </w:tabs>
        <w:numPr>
          <w:ilvl w:val="2"/>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reimburse Executive for any and all reimbursable business expenses (to the extent not already reimbursed) upon Executive's properly accounting for the same.</w:t>
      </w:r>
    </w:p>
    <w:p>
      <w:pPr>
        <w:spacing w:after="0" w:line="174" w:lineRule="exact"/>
        <w:rPr>
          <w:rFonts w:ascii="Courier New" w:cs="Courier New" w:eastAsia="Courier New" w:hAnsi="Courier New"/>
          <w:sz w:val="15"/>
          <w:szCs w:val="15"/>
          <w:color w:val="auto"/>
        </w:rPr>
      </w:pPr>
    </w:p>
    <w:p>
      <w:pPr>
        <w:ind w:right="3019" w:firstLine="457"/>
        <w:spacing w:after="0" w:line="251" w:lineRule="auto"/>
        <w:tabs>
          <w:tab w:leader="none" w:pos="83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by Executive for Good Reason. In the event that the Company terminates Executive's employment without Cause pursuant to Paragraph 8(c) or Executive terminates his employment with the Company pursuant to Paragraph 8(d), the Company shall be liable as follows:</w:t>
      </w:r>
    </w:p>
    <w:p>
      <w:pPr>
        <w:spacing w:after="0" w:line="176" w:lineRule="exact"/>
        <w:rPr>
          <w:rFonts w:ascii="Courier New" w:cs="Courier New" w:eastAsia="Courier New" w:hAnsi="Courier New"/>
          <w:sz w:val="15"/>
          <w:szCs w:val="15"/>
          <w:color w:val="auto"/>
        </w:rPr>
      </w:pPr>
    </w:p>
    <w:p>
      <w:pPr>
        <w:ind w:left="920" w:right="2839" w:firstLine="460"/>
        <w:spacing w:after="0" w:line="251" w:lineRule="auto"/>
        <w:tabs>
          <w:tab w:leader="none" w:pos="1750" w:val="left"/>
        </w:tabs>
        <w:numPr>
          <w:ilvl w:val="2"/>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entitled to receive the Annual Salary due to him through the date of termination of his Employment. In addition, Executive shall be entitled to receive continued monthly payments of his a Annual Salary, based on the Annual Salary in effect, on the date of termination, until the first anniversary of the date of termination.</w:t>
      </w:r>
    </w:p>
    <w:p>
      <w:pPr>
        <w:spacing w:after="0" w:line="175" w:lineRule="exact"/>
        <w:rPr>
          <w:rFonts w:ascii="Courier New" w:cs="Courier New" w:eastAsia="Courier New" w:hAnsi="Courier New"/>
          <w:sz w:val="15"/>
          <w:szCs w:val="15"/>
          <w:color w:val="auto"/>
        </w:rPr>
      </w:pPr>
    </w:p>
    <w:p>
      <w:pPr>
        <w:ind w:left="920" w:right="3219" w:firstLine="460"/>
        <w:spacing w:after="0" w:line="252" w:lineRule="auto"/>
        <w:tabs>
          <w:tab w:leader="none" w:pos="1843" w:val="left"/>
        </w:tabs>
        <w:numPr>
          <w:ilvl w:val="2"/>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vested rights of Executive shall be paid to Executive in accordance with the Company's plans, programs or policies.</w:t>
      </w:r>
    </w:p>
    <w:p>
      <w:pPr>
        <w:spacing w:after="0" w:line="174" w:lineRule="exact"/>
        <w:rPr>
          <w:rFonts w:ascii="Courier New" w:cs="Courier New" w:eastAsia="Courier New" w:hAnsi="Courier New"/>
          <w:sz w:val="15"/>
          <w:szCs w:val="15"/>
          <w:color w:val="auto"/>
        </w:rPr>
      </w:pPr>
    </w:p>
    <w:p>
      <w:pPr>
        <w:jc w:val="both"/>
        <w:ind w:left="920" w:right="2839" w:firstLine="460"/>
        <w:spacing w:after="0" w:line="252" w:lineRule="auto"/>
        <w:tabs>
          <w:tab w:leader="none" w:pos="1935" w:val="left"/>
        </w:tabs>
        <w:numPr>
          <w:ilvl w:val="2"/>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reimburse Executive for any and all reimbursable business expenses (to the extent not already reimbursed) upon Executive's properly accounting for the same.</w:t>
      </w:r>
    </w:p>
    <w:p>
      <w:pPr>
        <w:spacing w:after="0" w:line="174" w:lineRule="exact"/>
        <w:rPr>
          <w:rFonts w:ascii="Courier New" w:cs="Courier New" w:eastAsia="Courier New" w:hAnsi="Courier New"/>
          <w:sz w:val="15"/>
          <w:szCs w:val="15"/>
          <w:color w:val="auto"/>
        </w:rPr>
      </w:pPr>
    </w:p>
    <w:p>
      <w:pPr>
        <w:ind w:left="920" w:right="2839" w:firstLine="460"/>
        <w:spacing w:after="0" w:line="251" w:lineRule="auto"/>
        <w:tabs>
          <w:tab w:leader="none" w:pos="1843" w:val="left"/>
        </w:tabs>
        <w:numPr>
          <w:ilvl w:val="2"/>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and/or the Executive's family shall be entitled to receive health benefits (as contemplated by Paragraph 6(c) hereof) until the first anniversary of the date of termination at least equal to those which would have been provided to them in accordance with this Agreement if</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920" w:right="2839"/>
        <w:spacing w:after="0" w:line="250" w:lineRule="auto"/>
        <w:rPr>
          <w:sz w:val="20"/>
          <w:szCs w:val="20"/>
          <w:color w:val="auto"/>
        </w:rPr>
      </w:pPr>
      <w:r>
        <w:rPr>
          <w:rFonts w:ascii="Courier New" w:cs="Courier New" w:eastAsia="Courier New" w:hAnsi="Courier New"/>
          <w:sz w:val="15"/>
          <w:szCs w:val="15"/>
          <w:color w:val="auto"/>
        </w:rPr>
        <w:t>Executive's employment had not been terminated provided that the Company's obligation to provide such benefits shall be reduced by any comparable benefits (or amounts received by Executive in respect thereof) received by Executive under the terms of new employment undertaken by Executive after termination and prior to the first anniversary of the date of termination; and provided further, that the terms of the Company's health insurance plans shall be subject to amendment during such period, to the extent that such amendments are applicable to the executive officers of the Company generally.</w:t>
      </w:r>
    </w:p>
    <w:p>
      <w:pPr>
        <w:spacing w:after="0" w:line="182" w:lineRule="exact"/>
        <w:rPr>
          <w:sz w:val="20"/>
          <w:szCs w:val="20"/>
          <w:color w:val="auto"/>
        </w:rPr>
      </w:pPr>
    </w:p>
    <w:p>
      <w:pPr>
        <w:ind w:right="2939" w:firstLine="457"/>
        <w:spacing w:after="0" w:line="251" w:lineRule="auto"/>
        <w:tabs>
          <w:tab w:leader="none" w:pos="83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on Company Liability. Except as expressly set forth in this Paragraph 9,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9.</w:t>
      </w:r>
    </w:p>
    <w:p>
      <w:pPr>
        <w:spacing w:after="0" w:line="175" w:lineRule="exact"/>
        <w:rPr>
          <w:rFonts w:ascii="Courier New" w:cs="Courier New" w:eastAsia="Courier New" w:hAnsi="Courier New"/>
          <w:sz w:val="15"/>
          <w:szCs w:val="15"/>
          <w:color w:val="auto"/>
        </w:rPr>
      </w:pPr>
    </w:p>
    <w:p>
      <w:pPr>
        <w:ind w:left="740" w:hanging="375"/>
        <w:spacing w:after="0"/>
        <w:tabs>
          <w:tab w:leader="none" w:pos="740" w:val="left"/>
        </w:tabs>
        <w:numPr>
          <w:ilvl w:val="0"/>
          <w:numId w:val="115"/>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Company Proprietary Rights.</w:t>
      </w:r>
    </w:p>
    <w:p>
      <w:pPr>
        <w:spacing w:after="0" w:line="184" w:lineRule="exact"/>
        <w:rPr>
          <w:rFonts w:ascii="Courier New" w:cs="Courier New" w:eastAsia="Courier New" w:hAnsi="Courier New"/>
          <w:sz w:val="15"/>
          <w:szCs w:val="15"/>
          <w:b w:val="1"/>
          <w:bCs w:val="1"/>
          <w:color w:val="auto"/>
        </w:rPr>
      </w:pPr>
    </w:p>
    <w:p>
      <w:pPr>
        <w:ind w:right="2839" w:firstLine="457"/>
        <w:spacing w:after="0" w:line="251" w:lineRule="auto"/>
        <w:tabs>
          <w:tab w:leader="none" w:pos="83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to Retain Rights.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ectPr>
          <w:pgSz w:w="11900" w:h="16838" w:orient="portrait"/>
          <w:cols w:equalWidth="0" w:num="1">
            <w:col w:w="9759"/>
          </w:cols>
          <w:pgMar w:left="700" w:top="319" w:right="1440" w:bottom="0" w:gutter="0" w:footer="0" w:header="0"/>
        </w:sectPr>
      </w:pPr>
    </w:p>
    <w:bookmarkStart w:id="80" w:name="page81"/>
    <w:bookmarkEnd w:id="80"/>
    <w:p>
      <w:pPr>
        <w:ind w:left="460" w:right="4060" w:firstLine="457"/>
        <w:spacing w:after="0" w:line="251" w:lineRule="auto"/>
        <w:tabs>
          <w:tab w:leader="none" w:pos="129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353" w:lineRule="exact"/>
        <w:rPr>
          <w:rFonts w:ascii="Courier New" w:cs="Courier New" w:eastAsia="Courier New" w:hAnsi="Courier New"/>
          <w:sz w:val="15"/>
          <w:szCs w:val="15"/>
          <w:color w:val="auto"/>
        </w:rPr>
      </w:pPr>
    </w:p>
    <w:p>
      <w:pPr>
        <w:ind w:left="460" w:right="4060" w:firstLine="457"/>
        <w:spacing w:after="0" w:line="251" w:lineRule="auto"/>
        <w:tabs>
          <w:tab w:leader="none" w:pos="129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Material. Upon the termination of the Employment Term, including any termination of employment described in Paragraph 8, the Executive will promptly return to the Company all copies of information protected by Paragraph 10(a) hereof or by Paragraph 3(a) of the Non-Competition and Confidentiality Agreement referenced in Paragraph 7, which are in his possession, custody or control, whether prepared by him or others, and the Executive agrees that he shall not retain any of same.</w:t>
      </w:r>
    </w:p>
    <w:p>
      <w:pPr>
        <w:spacing w:after="0" w:line="175" w:lineRule="exact"/>
        <w:rPr>
          <w:rFonts w:ascii="Courier New" w:cs="Courier New" w:eastAsia="Courier New" w:hAnsi="Courier New"/>
          <w:sz w:val="15"/>
          <w:szCs w:val="15"/>
          <w:color w:val="auto"/>
        </w:rPr>
      </w:pPr>
    </w:p>
    <w:p>
      <w:pPr>
        <w:ind w:right="4160" w:firstLine="825"/>
        <w:spacing w:after="0" w:line="251" w:lineRule="auto"/>
        <w:tabs>
          <w:tab w:leader="none" w:pos="1200" w:val="left"/>
        </w:tabs>
        <w:numPr>
          <w:ilvl w:val="0"/>
          <w:numId w:val="11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Representation and Warranty of Executive. </w:t>
      </w:r>
      <w:r>
        <w:rPr>
          <w:rFonts w:ascii="Courier New" w:cs="Courier New" w:eastAsia="Courier New" w:hAnsi="Courier New"/>
          <w:sz w:val="15"/>
          <w:szCs w:val="15"/>
          <w:color w:val="auto"/>
        </w:rPr>
        <w:t>Executive represents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4060" w:firstLine="825"/>
        <w:spacing w:after="0" w:line="251" w:lineRule="auto"/>
        <w:tabs>
          <w:tab w:leader="none" w:pos="1200" w:val="left"/>
        </w:tabs>
        <w:numPr>
          <w:ilvl w:val="0"/>
          <w:numId w:val="11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Resolution of Disputes. </w:t>
      </w:r>
      <w:r>
        <w:rPr>
          <w:rFonts w:ascii="Courier New" w:cs="Courier New" w:eastAsia="Courier New" w:hAnsi="Courier New"/>
          <w:sz w:val="15"/>
          <w:szCs w:val="15"/>
          <w:color w:val="auto"/>
        </w:rPr>
        <w:t>Any dispute or claim arising out of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 xml:space="preserve">relating to this Agreement shall be settled by final and binding arbitration in </w:t>
      </w:r>
      <w:r>
        <w:rPr>
          <w:rFonts w:ascii="Courier New" w:cs="Courier New" w:eastAsia="Courier New" w:hAnsi="Courier New"/>
          <w:sz w:val="15"/>
          <w:szCs w:val="15"/>
          <w:b w:val="1"/>
          <w:bCs w:val="1"/>
          <w:color w:val="auto"/>
        </w:rPr>
        <w:t xml:space="preserve">[Johnson City, Tennessee] </w:t>
      </w:r>
      <w:r>
        <w:rPr>
          <w:rFonts w:ascii="Courier New" w:cs="Courier New" w:eastAsia="Courier New" w:hAnsi="Courier New"/>
          <w:sz w:val="15"/>
          <w:szCs w:val="15"/>
          <w:color w:val="auto"/>
        </w:rPr>
        <w:t>in accordance with the Commercial Arbitration rules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75" w:lineRule="exact"/>
        <w:rPr>
          <w:rFonts w:ascii="Courier New" w:cs="Courier New" w:eastAsia="Courier New" w:hAnsi="Courier New"/>
          <w:sz w:val="15"/>
          <w:szCs w:val="15"/>
          <w:b w:val="1"/>
          <w:bCs w:val="1"/>
          <w:color w:val="auto"/>
        </w:rPr>
      </w:pPr>
    </w:p>
    <w:p>
      <w:pPr>
        <w:ind w:right="4060" w:firstLine="825"/>
        <w:spacing w:after="0" w:line="251" w:lineRule="auto"/>
        <w:tabs>
          <w:tab w:leader="none" w:pos="1200" w:val="left"/>
        </w:tabs>
        <w:numPr>
          <w:ilvl w:val="0"/>
          <w:numId w:val="11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Assignment. </w:t>
      </w:r>
      <w:r>
        <w:rPr>
          <w:rFonts w:ascii="Courier New" w:cs="Courier New" w:eastAsia="Courier New" w:hAnsi="Courier New"/>
          <w:sz w:val="15"/>
          <w:szCs w:val="15"/>
          <w:color w:val="auto"/>
        </w:rPr>
        <w:t>This Agreement, and the rights and obligations of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Company may assign this Agreement in connection with a merger or consolidation involving Company or a sale of substantially all its assets to the surviving corporation or purchaser, as the case may be, so long as such assignee assumes Company's obligations hereunder.</w:t>
      </w:r>
    </w:p>
    <w:p>
      <w:pPr>
        <w:spacing w:after="0" w:line="175" w:lineRule="exact"/>
        <w:rPr>
          <w:rFonts w:ascii="Courier New" w:cs="Courier New" w:eastAsia="Courier New" w:hAnsi="Courier New"/>
          <w:sz w:val="15"/>
          <w:szCs w:val="15"/>
          <w:b w:val="1"/>
          <w:bCs w:val="1"/>
          <w:color w:val="auto"/>
        </w:rPr>
      </w:pPr>
    </w:p>
    <w:p>
      <w:pPr>
        <w:ind w:right="4060" w:firstLine="825"/>
        <w:spacing w:after="0" w:line="252" w:lineRule="auto"/>
        <w:tabs>
          <w:tab w:leader="none" w:pos="1200" w:val="left"/>
        </w:tabs>
        <w:numPr>
          <w:ilvl w:val="0"/>
          <w:numId w:val="11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Withholding. </w:t>
      </w:r>
      <w:r>
        <w:rPr>
          <w:rFonts w:ascii="Courier New" w:cs="Courier New" w:eastAsia="Courier New" w:hAnsi="Courier New"/>
          <w:sz w:val="15"/>
          <w:szCs w:val="15"/>
          <w:color w:val="auto"/>
        </w:rPr>
        <w:t>Payment of Executive's Annual Salary and payment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provision of other compensation to Executive pursuant hereto shall be subject to such reporting and withholding for applicable taxes as is required by law.</w:t>
      </w:r>
    </w:p>
    <w:p>
      <w:pPr>
        <w:spacing w:after="0" w:line="174" w:lineRule="exact"/>
        <w:rPr>
          <w:rFonts w:ascii="Courier New" w:cs="Courier New" w:eastAsia="Courier New" w:hAnsi="Courier New"/>
          <w:sz w:val="15"/>
          <w:szCs w:val="15"/>
          <w:b w:val="1"/>
          <w:bCs w:val="1"/>
          <w:color w:val="auto"/>
        </w:rPr>
      </w:pPr>
    </w:p>
    <w:p>
      <w:pPr>
        <w:ind w:right="4060" w:firstLine="825"/>
        <w:spacing w:after="0" w:line="251" w:lineRule="auto"/>
        <w:tabs>
          <w:tab w:leader="none" w:pos="1200" w:val="left"/>
        </w:tabs>
        <w:numPr>
          <w:ilvl w:val="0"/>
          <w:numId w:val="11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Certain Expenses. </w:t>
      </w:r>
      <w:r>
        <w:rPr>
          <w:rFonts w:ascii="Courier New" w:cs="Courier New" w:eastAsia="Courier New" w:hAnsi="Courier New"/>
          <w:sz w:val="15"/>
          <w:szCs w:val="15"/>
          <w:color w:val="auto"/>
        </w:rPr>
        <w:t>Company, on or before the date hereof, shall pay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directly or reimburse Executive (at Executive's discretion) for the actual legal fees and other costs and expenses, if any, incurred by Executive in connection with the preparation, finalizing and execution of this Letter.</w:t>
      </w:r>
    </w:p>
    <w:p>
      <w:pPr>
        <w:spacing w:after="0" w:line="176" w:lineRule="exact"/>
        <w:rPr>
          <w:rFonts w:ascii="Courier New" w:cs="Courier New" w:eastAsia="Courier New" w:hAnsi="Courier New"/>
          <w:sz w:val="15"/>
          <w:szCs w:val="15"/>
          <w:b w:val="1"/>
          <w:bCs w:val="1"/>
          <w:color w:val="auto"/>
        </w:rPr>
      </w:pPr>
    </w:p>
    <w:p>
      <w:pPr>
        <w:ind w:right="4060" w:firstLine="825"/>
        <w:spacing w:after="0" w:line="252" w:lineRule="auto"/>
        <w:tabs>
          <w:tab w:leader="none" w:pos="1200" w:val="left"/>
        </w:tabs>
        <w:numPr>
          <w:ilvl w:val="0"/>
          <w:numId w:val="11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Severability. </w:t>
      </w:r>
      <w:r>
        <w:rPr>
          <w:rFonts w:ascii="Courier New" w:cs="Courier New" w:eastAsia="Courier New" w:hAnsi="Courier New"/>
          <w:sz w:val="15"/>
          <w:szCs w:val="15"/>
          <w:color w:val="auto"/>
        </w:rPr>
        <w:t>In the event that any provision or portion of this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Agreement is determine to be invalid or unenforceable for any reason, in whole or in part, the remaining provisions of this Agreement will be unaffected thereby and will remain in full force and effect to the fullest extent permitted by law.</w:t>
      </w:r>
    </w:p>
    <w:p>
      <w:pPr>
        <w:spacing w:after="0" w:line="350" w:lineRule="exact"/>
        <w:rPr>
          <w:rFonts w:ascii="Courier New" w:cs="Courier New" w:eastAsia="Courier New" w:hAnsi="Courier New"/>
          <w:sz w:val="15"/>
          <w:szCs w:val="15"/>
          <w:b w:val="1"/>
          <w:bCs w:val="1"/>
          <w:color w:val="auto"/>
        </w:rPr>
      </w:pPr>
    </w:p>
    <w:p>
      <w:pPr>
        <w:ind w:right="4160" w:firstLine="825"/>
        <w:spacing w:after="0" w:line="251" w:lineRule="auto"/>
        <w:tabs>
          <w:tab w:leader="none" w:pos="1200" w:val="left"/>
        </w:tabs>
        <w:numPr>
          <w:ilvl w:val="0"/>
          <w:numId w:val="118"/>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Notices. </w:t>
      </w:r>
      <w:r>
        <w:rPr>
          <w:rFonts w:ascii="Courier New" w:cs="Courier New" w:eastAsia="Courier New" w:hAnsi="Courier New"/>
          <w:sz w:val="15"/>
          <w:szCs w:val="15"/>
          <w:color w:val="auto"/>
        </w:rPr>
        <w:t>For all purposes of this Agreement, notices and all other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communications provided for herein shall be in writing and shall be deemed to have been duly given, in the case of a notice to the Company, when delivered to the Company at the following address, and in the case of a notice to Executive, when received by Executive, and in both cases addressed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820"/>
              <w:spacing w:after="0"/>
              <w:rPr>
                <w:sz w:val="20"/>
                <w:szCs w:val="20"/>
                <w:color w:val="auto"/>
              </w:rPr>
            </w:pPr>
            <w:r>
              <w:rPr>
                <w:rFonts w:ascii="Courier New" w:cs="Courier New" w:eastAsia="Courier New" w:hAnsi="Courier New"/>
                <w:sz w:val="15"/>
                <w:szCs w:val="15"/>
                <w:color w:val="auto"/>
              </w:rPr>
              <w:t>If to Company, to:</w:t>
            </w: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NN, Inc.</w:t>
            </w:r>
          </w:p>
        </w:tc>
      </w:tr>
      <w:tr>
        <w:trPr>
          <w:trHeight w:val="177"/>
        </w:trPr>
        <w:tc>
          <w:tcPr>
            <w:tcW w:w="3140" w:type="dxa"/>
            <w:vAlign w:val="bottom"/>
          </w:tcPr>
          <w:p>
            <w:pPr>
              <w:spacing w:after="0"/>
              <w:rPr>
                <w:sz w:val="15"/>
                <w:szCs w:val="15"/>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2000 Waters Edge Drive</w:t>
            </w:r>
          </w:p>
        </w:tc>
      </w:tr>
      <w:tr>
        <w:trPr>
          <w:trHeight w:val="177"/>
        </w:trPr>
        <w:tc>
          <w:tcPr>
            <w:tcW w:w="3140" w:type="dxa"/>
            <w:vAlign w:val="bottom"/>
          </w:tcPr>
          <w:p>
            <w:pPr>
              <w:spacing w:after="0"/>
              <w:rPr>
                <w:sz w:val="15"/>
                <w:szCs w:val="15"/>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Building C, Suite 12</w:t>
            </w:r>
          </w:p>
        </w:tc>
      </w:tr>
      <w:tr>
        <w:trPr>
          <w:trHeight w:val="177"/>
        </w:trPr>
        <w:tc>
          <w:tcPr>
            <w:tcW w:w="3140" w:type="dxa"/>
            <w:vAlign w:val="bottom"/>
          </w:tcPr>
          <w:p>
            <w:pPr>
              <w:spacing w:after="0"/>
              <w:rPr>
                <w:sz w:val="15"/>
                <w:szCs w:val="15"/>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Johnson City, Tennessee 37604</w:t>
            </w:r>
          </w:p>
        </w:tc>
      </w:tr>
      <w:tr>
        <w:trPr>
          <w:trHeight w:val="177"/>
        </w:trPr>
        <w:tc>
          <w:tcPr>
            <w:tcW w:w="3140" w:type="dxa"/>
            <w:vAlign w:val="bottom"/>
          </w:tcPr>
          <w:p>
            <w:pPr>
              <w:spacing w:after="0"/>
              <w:rPr>
                <w:sz w:val="15"/>
                <w:szCs w:val="15"/>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Attention: President</w:t>
            </w:r>
          </w:p>
        </w:tc>
      </w:tr>
      <w:tr>
        <w:trPr>
          <w:trHeight w:val="355"/>
        </w:trPr>
        <w:tc>
          <w:tcPr>
            <w:tcW w:w="3140" w:type="dxa"/>
            <w:vAlign w:val="bottom"/>
          </w:tcPr>
          <w:p>
            <w:pPr>
              <w:ind w:left="820"/>
              <w:spacing w:after="0"/>
              <w:rPr>
                <w:sz w:val="20"/>
                <w:szCs w:val="20"/>
                <w:color w:val="auto"/>
              </w:rPr>
            </w:pPr>
            <w:r>
              <w:rPr>
                <w:rFonts w:ascii="Courier New" w:cs="Courier New" w:eastAsia="Courier New" w:hAnsi="Courier New"/>
                <w:sz w:val="15"/>
                <w:szCs w:val="15"/>
                <w:color w:val="auto"/>
              </w:rPr>
              <w:t>If to Executive, to:</w:t>
            </w: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David L. Dyckman</w:t>
            </w:r>
          </w:p>
        </w:tc>
      </w:tr>
      <w:tr>
        <w:trPr>
          <w:trHeight w:val="177"/>
        </w:trPr>
        <w:tc>
          <w:tcPr>
            <w:tcW w:w="3140" w:type="dxa"/>
            <w:vAlign w:val="bottom"/>
          </w:tcPr>
          <w:p>
            <w:pPr>
              <w:spacing w:after="0"/>
              <w:rPr>
                <w:sz w:val="15"/>
                <w:szCs w:val="15"/>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7 Wayland Ct.</w:t>
            </w:r>
          </w:p>
        </w:tc>
      </w:tr>
      <w:tr>
        <w:trPr>
          <w:trHeight w:val="177"/>
        </w:trPr>
        <w:tc>
          <w:tcPr>
            <w:tcW w:w="3140" w:type="dxa"/>
            <w:vAlign w:val="bottom"/>
          </w:tcPr>
          <w:p>
            <w:pPr>
              <w:spacing w:after="0"/>
              <w:rPr>
                <w:sz w:val="15"/>
                <w:szCs w:val="15"/>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Johnson City, TN 37604</w:t>
            </w:r>
          </w:p>
        </w:tc>
      </w:tr>
      <w:tr>
        <w:trPr>
          <w:trHeight w:val="532"/>
        </w:trPr>
        <w:tc>
          <w:tcPr>
            <w:tcW w:w="3140" w:type="dxa"/>
            <w:vAlign w:val="bottom"/>
          </w:tcPr>
          <w:p>
            <w:pPr>
              <w:spacing w:after="0"/>
              <w:rPr>
                <w:sz w:val="24"/>
                <w:szCs w:val="24"/>
                <w:color w:val="auto"/>
              </w:rPr>
            </w:pPr>
          </w:p>
        </w:tc>
        <w:tc>
          <w:tcPr>
            <w:tcW w:w="8300" w:type="dxa"/>
            <w:vAlign w:val="bottom"/>
          </w:tcPr>
          <w:p>
            <w:pPr>
              <w:ind w:left="460"/>
              <w:spacing w:after="0"/>
              <w:rPr>
                <w:sz w:val="20"/>
                <w:szCs w:val="20"/>
                <w:color w:val="auto"/>
              </w:rPr>
            </w:pPr>
            <w:r>
              <w:rPr>
                <w:rFonts w:ascii="Courier New" w:cs="Courier New" w:eastAsia="Courier New" w:hAnsi="Courier New"/>
                <w:sz w:val="15"/>
                <w:szCs w:val="15"/>
                <w:color w:val="auto"/>
              </w:rPr>
              <w:t>6</w:t>
            </w:r>
          </w:p>
        </w:tc>
      </w:tr>
      <w:tr>
        <w:trPr>
          <w:trHeight w:val="161"/>
        </w:trPr>
        <w:tc>
          <w:tcPr>
            <w:tcW w:w="3140" w:type="dxa"/>
            <w:vAlign w:val="bottom"/>
            <w:tcBorders>
              <w:bottom w:val="single" w:sz="8" w:color="9A9A9A"/>
            </w:tcBorders>
          </w:tcPr>
          <w:p>
            <w:pPr>
              <w:spacing w:after="0"/>
              <w:rPr>
                <w:sz w:val="13"/>
                <w:szCs w:val="13"/>
                <w:color w:val="auto"/>
              </w:rPr>
            </w:pPr>
          </w:p>
        </w:tc>
        <w:tc>
          <w:tcPr>
            <w:tcW w:w="83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-27305</wp:posOffset>
            </wp:positionV>
            <wp:extent cx="33020"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pacing w:after="0" w:line="313" w:lineRule="exact"/>
        <w:rPr>
          <w:sz w:val="20"/>
          <w:szCs w:val="20"/>
          <w:color w:val="auto"/>
        </w:rPr>
      </w:pPr>
    </w:p>
    <w:p>
      <w:pPr>
        <w:ind w:right="4060" w:firstLine="825"/>
        <w:spacing w:after="0" w:line="251" w:lineRule="auto"/>
        <w:tabs>
          <w:tab w:leader="none" w:pos="1200" w:val="left"/>
        </w:tabs>
        <w:numPr>
          <w:ilvl w:val="0"/>
          <w:numId w:val="11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Modifications and Waivers. </w:t>
      </w:r>
      <w:r>
        <w:rPr>
          <w:rFonts w:ascii="Courier New" w:cs="Courier New" w:eastAsia="Courier New" w:hAnsi="Courier New"/>
          <w:sz w:val="15"/>
          <w:szCs w:val="15"/>
          <w:color w:val="auto"/>
        </w:rPr>
        <w:t>No provision of this Agreement may be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modified or discharged unless such modification or discharge is authorized by the Board and is agreed to in writing, signed by the Executive and by an officer of the Company duly authorized by the Board. No waiver by either party hereto of any breach by the other party hereto of any condition or provision of this Agreement to be performed by such other party will be deemed a waiver of similar or dissimilar provisions or conditions at the time or at any prior or subsequent time.</w:t>
      </w:r>
    </w:p>
    <w:p>
      <w:pPr>
        <w:spacing w:after="0" w:line="175" w:lineRule="exact"/>
        <w:rPr>
          <w:rFonts w:ascii="Courier New" w:cs="Courier New" w:eastAsia="Courier New" w:hAnsi="Courier New"/>
          <w:sz w:val="15"/>
          <w:szCs w:val="15"/>
          <w:b w:val="1"/>
          <w:bCs w:val="1"/>
          <w:color w:val="auto"/>
        </w:rPr>
      </w:pPr>
    </w:p>
    <w:p>
      <w:pPr>
        <w:ind w:left="1200" w:hanging="375"/>
        <w:spacing w:after="0"/>
        <w:tabs>
          <w:tab w:leader="none" w:pos="1200" w:val="left"/>
        </w:tabs>
        <w:numPr>
          <w:ilvl w:val="0"/>
          <w:numId w:val="119"/>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Entire Agreement. </w:t>
      </w:r>
      <w:r>
        <w:rPr>
          <w:rFonts w:ascii="Courier New" w:cs="Courier New" w:eastAsia="Courier New" w:hAnsi="Courier New"/>
          <w:sz w:val="15"/>
          <w:szCs w:val="15"/>
          <w:color w:val="auto"/>
        </w:rPr>
        <w:t>This Agreement and the Non-Competition and</w:t>
      </w:r>
    </w:p>
    <w:p>
      <w:pPr>
        <w:sectPr>
          <w:pgSz w:w="11900" w:h="16838" w:orient="portrait"/>
          <w:cols w:equalWidth="0" w:num="1">
            <w:col w:w="11440"/>
          </w:cols>
          <w:pgMar w:left="240" w:top="141" w:right="219" w:bottom="0" w:gutter="0" w:footer="0" w:header="0"/>
        </w:sectPr>
      </w:pPr>
    </w:p>
    <w:bookmarkStart w:id="81" w:name="page82"/>
    <w:bookmarkEnd w:id="81"/>
    <w:p>
      <w:pPr>
        <w:ind w:right="3219"/>
        <w:spacing w:after="0" w:line="251" w:lineRule="auto"/>
        <w:rPr>
          <w:sz w:val="20"/>
          <w:szCs w:val="20"/>
          <w:color w:val="auto"/>
        </w:rPr>
      </w:pPr>
      <w:r>
        <w:rPr>
          <w:rFonts w:ascii="Courier New" w:cs="Courier New" w:eastAsia="Courier New" w:hAnsi="Courier New"/>
          <w:sz w:val="15"/>
          <w:szCs w:val="15"/>
          <w:color w:val="auto"/>
        </w:rPr>
        <w:t>Confidentially Agreement constitute the entire understanding of the parties hereto with respect to their subject matter. This Agreement and the Non-Competition and Confidentiality Agreement supersede all prior agreements between the parties hereto with respect to their subject matter.</w:t>
      </w:r>
    </w:p>
    <w:p>
      <w:pPr>
        <w:spacing w:after="0" w:line="176" w:lineRule="exact"/>
        <w:rPr>
          <w:sz w:val="20"/>
          <w:szCs w:val="20"/>
          <w:color w:val="auto"/>
        </w:rPr>
      </w:pPr>
    </w:p>
    <w:p>
      <w:pPr>
        <w:ind w:right="3019" w:firstLine="825"/>
        <w:spacing w:after="0" w:line="253" w:lineRule="auto"/>
        <w:tabs>
          <w:tab w:leader="none" w:pos="1200" w:val="left"/>
        </w:tabs>
        <w:numPr>
          <w:ilvl w:val="0"/>
          <w:numId w:val="12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Governing Law. </w:t>
      </w:r>
      <w:r>
        <w:rPr>
          <w:rFonts w:ascii="Courier New" w:cs="Courier New" w:eastAsia="Courier New" w:hAnsi="Courier New"/>
          <w:sz w:val="15"/>
          <w:szCs w:val="15"/>
          <w:color w:val="auto"/>
        </w:rPr>
        <w:t>This Agreement will be governed by the laws of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State of Tennessee without regard for its conflict of laws rules.</w:t>
      </w:r>
    </w:p>
    <w:p>
      <w:pPr>
        <w:spacing w:after="0" w:line="174" w:lineRule="exact"/>
        <w:rPr>
          <w:rFonts w:ascii="Courier New" w:cs="Courier New" w:eastAsia="Courier New" w:hAnsi="Courier New"/>
          <w:sz w:val="15"/>
          <w:szCs w:val="15"/>
          <w:b w:val="1"/>
          <w:bCs w:val="1"/>
          <w:color w:val="auto"/>
        </w:rPr>
      </w:pPr>
    </w:p>
    <w:p>
      <w:pPr>
        <w:jc w:val="both"/>
        <w:ind w:right="2939" w:firstLine="825"/>
        <w:spacing w:after="0" w:line="252" w:lineRule="auto"/>
        <w:tabs>
          <w:tab w:leader="none" w:pos="1200" w:val="left"/>
        </w:tabs>
        <w:numPr>
          <w:ilvl w:val="0"/>
          <w:numId w:val="12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Counterparts. </w:t>
      </w:r>
      <w:r>
        <w:rPr>
          <w:rFonts w:ascii="Courier New" w:cs="Courier New" w:eastAsia="Courier New" w:hAnsi="Courier New"/>
          <w:sz w:val="15"/>
          <w:szCs w:val="15"/>
          <w:color w:val="auto"/>
        </w:rPr>
        <w:t>This Agreement may be executed simultaneously in one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or more counterparts, each of which will be deemed to be an original but all of which together will constitute one and the same instrument.</w:t>
      </w:r>
    </w:p>
    <w:p>
      <w:pPr>
        <w:spacing w:after="0" w:line="174" w:lineRule="exact"/>
        <w:rPr>
          <w:rFonts w:ascii="Courier New" w:cs="Courier New" w:eastAsia="Courier New" w:hAnsi="Courier New"/>
          <w:sz w:val="15"/>
          <w:szCs w:val="15"/>
          <w:b w:val="1"/>
          <w:bCs w:val="1"/>
          <w:color w:val="auto"/>
        </w:rPr>
      </w:pPr>
    </w:p>
    <w:p>
      <w:pPr>
        <w:ind w:right="2839" w:firstLine="825"/>
        <w:spacing w:after="0" w:line="251" w:lineRule="auto"/>
        <w:tabs>
          <w:tab w:leader="none" w:pos="1200" w:val="left"/>
        </w:tabs>
        <w:numPr>
          <w:ilvl w:val="0"/>
          <w:numId w:val="12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Headings, Etc. </w:t>
      </w:r>
      <w:r>
        <w:rPr>
          <w:rFonts w:ascii="Courier New" w:cs="Courier New" w:eastAsia="Courier New" w:hAnsi="Courier New"/>
          <w:sz w:val="15"/>
          <w:szCs w:val="15"/>
          <w:color w:val="auto"/>
        </w:rPr>
        <w:t>The section headings contained in this Agreement are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for convenience of reference only and will not be deemed to control or affect the meaning or construction of any provision of this Agreement. Reference to Paragraphs are to Paragraphs in this Agreement.</w:t>
      </w:r>
    </w:p>
    <w:p>
      <w:pPr>
        <w:spacing w:after="0" w:line="176"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date first above written.</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NN, INC.</w:t>
      </w:r>
    </w:p>
    <w:p>
      <w:pPr>
        <w:sectPr>
          <w:pgSz w:w="11900" w:h="16838" w:orient="portrait"/>
          <w:cols w:equalWidth="0" w:num="1">
            <w:col w:w="10219"/>
          </w:cols>
          <w:pgMar w:left="240" w:top="142" w:right="1440" w:bottom="1440" w:gutter="0" w:footer="0" w:header="0"/>
        </w:sectPr>
      </w:pP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 Roderick R. Baty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600" w:space="80"/>
            <w:col w:w="6539"/>
          </w:cols>
          <w:pgMar w:left="240" w:top="142" w:right="1440" w:bottom="1440" w:gutter="0" w:footer="0" w:header="0"/>
          <w:type w:val="continuous"/>
        </w:sectPr>
      </w:pP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David L. Dyckman</w:t>
      </w:r>
    </w:p>
    <w:p>
      <w:pPr>
        <w:sectPr>
          <w:pgSz w:w="11900" w:h="16838" w:orient="portrait"/>
          <w:cols w:equalWidth="0" w:num="1">
            <w:col w:w="10219"/>
          </w:cols>
          <w:pgMar w:left="240" w:top="142" w:right="1440" w:bottom="1440" w:gutter="0" w:footer="0" w:header="0"/>
          <w:type w:val="continuous"/>
        </w:sectPr>
      </w:pP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 David L. Dyckman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600" w:space="80"/>
            <w:col w:w="653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142" w:right="1440" w:bottom="1440" w:gutter="0" w:footer="0" w:header="0"/>
          <w:type w:val="continuous"/>
        </w:sectPr>
      </w:pPr>
    </w:p>
    <w:bookmarkStart w:id="82" w:name="page83"/>
    <w:bookmarkEnd w:id="82"/>
    <w:p>
      <w:pPr>
        <w:spacing w:after="0"/>
        <w:rPr>
          <w:sz w:val="20"/>
          <w:szCs w:val="20"/>
          <w:color w:val="auto"/>
        </w:rPr>
      </w:pPr>
      <w:r>
        <w:rPr>
          <w:rFonts w:ascii="Courier New" w:cs="Courier New" w:eastAsia="Courier New" w:hAnsi="Courier New"/>
          <w:sz w:val="15"/>
          <w:szCs w:val="15"/>
          <w:b w:val="1"/>
          <w:bCs w:val="1"/>
          <w:color w:val="auto"/>
        </w:rPr>
        <w:t>Exhibit 10.25</w:t>
      </w:r>
    </w:p>
    <w:p>
      <w:pPr>
        <w:spacing w:after="0" w:line="36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b w:val="1"/>
          <w:bCs w:val="1"/>
          <w:color w:val="auto"/>
        </w:rPr>
        <w:t>CHANGE OF CONTROL AND NONCOMPETITION AGREEMENT</w:t>
      </w:r>
    </w:p>
    <w:p>
      <w:pPr>
        <w:spacing w:after="0" w:line="36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THIS AGREEMENT ("Agreement") </w:t>
      </w:r>
      <w:r>
        <w:rPr>
          <w:rFonts w:ascii="Courier New" w:cs="Courier New" w:eastAsia="Courier New" w:hAnsi="Courier New"/>
          <w:sz w:val="15"/>
          <w:szCs w:val="15"/>
          <w:color w:val="auto"/>
        </w:rPr>
        <w:t>is made and entered into this 21st day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January, 2002, by and between DAVID L. DYCKMAN ("</w:t>
      </w:r>
      <w:r>
        <w:rPr>
          <w:rFonts w:ascii="Courier New" w:cs="Courier New" w:eastAsia="Courier New" w:hAnsi="Courier New"/>
          <w:sz w:val="15"/>
          <w:szCs w:val="15"/>
          <w:b w:val="1"/>
          <w:bCs w:val="1"/>
          <w:color w:val="auto"/>
        </w:rPr>
        <w:t>Employee</w:t>
      </w:r>
      <w:r>
        <w:rPr>
          <w:rFonts w:ascii="Courier New" w:cs="Courier New" w:eastAsia="Courier New" w:hAnsi="Courier New"/>
          <w:sz w:val="15"/>
          <w:szCs w:val="15"/>
          <w:color w:val="auto"/>
        </w:rPr>
        <w:t>") and NN, INC., a Delaware corporation, including its wholly-owned subsidiaries and affiliated companies (collectively, "Employer").</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b w:val="1"/>
          <w:bCs w:val="1"/>
          <w:color w:val="auto"/>
        </w:rPr>
        <w:t>RECITALS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WHEREAS, </w:t>
      </w:r>
      <w:r>
        <w:rPr>
          <w:rFonts w:ascii="Courier New" w:cs="Courier New" w:eastAsia="Courier New" w:hAnsi="Courier New"/>
          <w:sz w:val="15"/>
          <w:szCs w:val="15"/>
          <w:color w:val="auto"/>
        </w:rPr>
        <w:t>the Board of Directors of Employer (the "Board") has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determined that it is in the best interests of Employer to reinforce and encourage the continuity of management personnel in anticipation of a possible or potential Change of Control (as defined below); and</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b w:val="1"/>
          <w:bCs w:val="1"/>
          <w:color w:val="auto"/>
        </w:rPr>
        <w:t xml:space="preserve">WHEREAS, </w:t>
      </w:r>
      <w:r>
        <w:rPr>
          <w:rFonts w:ascii="Courier New" w:cs="Courier New" w:eastAsia="Courier New" w:hAnsi="Courier New"/>
          <w:sz w:val="15"/>
          <w:szCs w:val="15"/>
          <w:color w:val="auto"/>
        </w:rPr>
        <w:t>the Board believes this objective can best be served by</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providing for a compensation arrangement for Employee upon Employee's termination of employment under certain circumstances in the event of a Change of Control.</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b w:val="1"/>
          <w:bCs w:val="1"/>
          <w:color w:val="auto"/>
        </w:rPr>
        <w:t xml:space="preserve">NOW, THEREFORE, </w:t>
      </w:r>
      <w:r>
        <w:rPr>
          <w:rFonts w:ascii="Courier New" w:cs="Courier New" w:eastAsia="Courier New" w:hAnsi="Courier New"/>
          <w:sz w:val="15"/>
          <w:szCs w:val="15"/>
          <w:color w:val="auto"/>
        </w:rPr>
        <w:t>in consideration of the mutual promises and covenants</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as hereinafter set forth, the parties agree as follows:</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right="2839" w:firstLine="456"/>
        <w:spacing w:after="0" w:line="250" w:lineRule="auto"/>
        <w:tabs>
          <w:tab w:leader="none" w:pos="738" w:val="left"/>
        </w:tabs>
        <w:numPr>
          <w:ilvl w:val="0"/>
          <w:numId w:val="12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General. </w:t>
      </w:r>
      <w:r>
        <w:rPr>
          <w:rFonts w:ascii="Courier New" w:cs="Courier New" w:eastAsia="Courier New" w:hAnsi="Courier New"/>
          <w:sz w:val="15"/>
          <w:szCs w:val="15"/>
          <w:color w:val="auto"/>
        </w:rPr>
        <w:t>Employer is engaged in the (i) manufacture and supply of</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precision steel balls and rollers to domestic and international anti-friction bearing manufacturers, automotive original equipment manufacturers and the automotive aftermarket, the gas and mining industries, producers of drilling bits for oil, gas and water wells and producers of stainless steel valves and pumps, (ii) full-service design and manufacture of plastic injection molded components to the bearing, automotive, electronic, leisure and consumer markets, and (iii) the manufacture and supply of rubber seals to domestic and international anti-friction bearing manufacturers. Employee is employed by Employer in a senior management position in which Employee has or will have access to the Employer's confidential information and trade secrets.</w:t>
      </w:r>
    </w:p>
    <w:p>
      <w:pPr>
        <w:spacing w:after="0" w:line="182" w:lineRule="exact"/>
        <w:rPr>
          <w:rFonts w:ascii="Courier New" w:cs="Courier New" w:eastAsia="Courier New" w:hAnsi="Courier New"/>
          <w:sz w:val="15"/>
          <w:szCs w:val="15"/>
          <w:b w:val="1"/>
          <w:bCs w:val="1"/>
          <w:color w:val="auto"/>
        </w:rPr>
      </w:pPr>
    </w:p>
    <w:p>
      <w:pPr>
        <w:jc w:val="both"/>
        <w:ind w:right="2939" w:firstLine="456"/>
        <w:spacing w:after="0" w:line="251" w:lineRule="auto"/>
        <w:tabs>
          <w:tab w:leader="none" w:pos="738" w:val="left"/>
        </w:tabs>
        <w:numPr>
          <w:ilvl w:val="0"/>
          <w:numId w:val="12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Employment Relationship. </w:t>
      </w:r>
      <w:r>
        <w:rPr>
          <w:rFonts w:ascii="Courier New" w:cs="Courier New" w:eastAsia="Courier New" w:hAnsi="Courier New"/>
          <w:sz w:val="15"/>
          <w:szCs w:val="15"/>
          <w:color w:val="auto"/>
        </w:rPr>
        <w:t>Except as specifically set forth herein, the</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terms and conditions of Employee's employment are set forth in the Employment Agreement dated January 21, 2002 between Employee and Employer (the "Employment Agreement"), a copy of which is attached hereto as Exhibit A.</w:t>
      </w:r>
    </w:p>
    <w:p>
      <w:pPr>
        <w:spacing w:after="0" w:line="176" w:lineRule="exact"/>
        <w:rPr>
          <w:rFonts w:ascii="Courier New" w:cs="Courier New" w:eastAsia="Courier New" w:hAnsi="Courier New"/>
          <w:sz w:val="15"/>
          <w:szCs w:val="15"/>
          <w:b w:val="1"/>
          <w:bCs w:val="1"/>
          <w:color w:val="auto"/>
        </w:rPr>
      </w:pPr>
    </w:p>
    <w:p>
      <w:pPr>
        <w:ind w:left="740" w:hanging="284"/>
        <w:spacing w:after="0"/>
        <w:tabs>
          <w:tab w:leader="none" w:pos="740" w:val="left"/>
        </w:tabs>
        <w:numPr>
          <w:ilvl w:val="0"/>
          <w:numId w:val="12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Termination Upon Change of Control.</w:t>
      </w:r>
    </w:p>
    <w:p>
      <w:pPr>
        <w:spacing w:after="0" w:line="184" w:lineRule="exact"/>
        <w:rPr>
          <w:rFonts w:ascii="Courier New" w:cs="Courier New" w:eastAsia="Courier New" w:hAnsi="Courier New"/>
          <w:sz w:val="15"/>
          <w:szCs w:val="15"/>
          <w:b w:val="1"/>
          <w:bCs w:val="1"/>
          <w:color w:val="auto"/>
        </w:rPr>
      </w:pPr>
    </w:p>
    <w:p>
      <w:pPr>
        <w:ind w:left="920" w:right="2839" w:firstLine="459"/>
        <w:spacing w:after="0" w:line="251" w:lineRule="auto"/>
        <w:tabs>
          <w:tab w:leader="none" w:pos="1750"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In the event that Employee's employment is terminated within two (2) years following a "Change of Control" (as defined below) and such termination is either (i) Without Cause (as defined below), or (ii) is a Constructive Termination (as defined below), Employee shall receive, in addition to all compensation due and payable to or accrued for the benefit of Employee as of the date of termination: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4" w:lineRule="exact"/>
        <w:rPr>
          <w:rFonts w:ascii="Courier New" w:cs="Courier New" w:eastAsia="Courier New" w:hAnsi="Courier New"/>
          <w:sz w:val="15"/>
          <w:szCs w:val="15"/>
          <w:color w:val="auto"/>
        </w:rPr>
      </w:pPr>
    </w:p>
    <w:p>
      <w:pPr>
        <w:ind w:left="1380" w:right="2839" w:firstLine="460"/>
        <w:spacing w:after="0" w:line="251" w:lineRule="auto"/>
        <w:tabs>
          <w:tab w:leader="none" w:pos="2210" w:val="left"/>
        </w:tabs>
        <w:numPr>
          <w:ilvl w:val="2"/>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equal to an amount set forth on Schedule A to this Agreement ("</w:t>
      </w:r>
      <w:r>
        <w:rPr>
          <w:rFonts w:ascii="Courier New" w:cs="Courier New" w:eastAsia="Courier New" w:hAnsi="Courier New"/>
          <w:sz w:val="15"/>
          <w:szCs w:val="15"/>
          <w:b w:val="1"/>
          <w:bCs w:val="1"/>
          <w:color w:val="auto"/>
        </w:rPr>
        <w:t>Severance Payment</w:t>
      </w:r>
      <w:r>
        <w:rPr>
          <w:rFonts w:ascii="Courier New" w:cs="Courier New" w:eastAsia="Courier New" w:hAnsi="Courier New"/>
          <w:sz w:val="15"/>
          <w:szCs w:val="15"/>
          <w:color w:val="auto"/>
        </w:rPr>
        <w:t>"). The Severance Payment shall be made by wire transfer of immediately available funds to an account designated by Employee within seven (7) business days following the date of termination;</w:t>
      </w:r>
    </w:p>
    <w:p>
      <w:pPr>
        <w:spacing w:after="0" w:line="176" w:lineRule="exact"/>
        <w:rPr>
          <w:rFonts w:ascii="Courier New" w:cs="Courier New" w:eastAsia="Courier New" w:hAnsi="Courier New"/>
          <w:sz w:val="15"/>
          <w:szCs w:val="15"/>
          <w:color w:val="auto"/>
        </w:rPr>
      </w:pPr>
    </w:p>
    <w:p>
      <w:pPr>
        <w:ind w:left="1380" w:right="2939" w:firstLine="460"/>
        <w:spacing w:after="0" w:line="251" w:lineRule="auto"/>
        <w:tabs>
          <w:tab w:leader="none" w:pos="2303" w:val="left"/>
        </w:tabs>
        <w:numPr>
          <w:ilvl w:val="2"/>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equal to the annual bonus to which Employee would have been entitled but for Employee's termination of employment for the year of Employee's termination, pro-rated for the portion of the year during which he was employed by Employer ("</w:t>
      </w:r>
      <w:r>
        <w:rPr>
          <w:rFonts w:ascii="Courier New" w:cs="Courier New" w:eastAsia="Courier New" w:hAnsi="Courier New"/>
          <w:sz w:val="15"/>
          <w:szCs w:val="15"/>
          <w:b w:val="1"/>
          <w:bCs w:val="1"/>
          <w:color w:val="auto"/>
        </w:rPr>
        <w:t>Pro-rated Bonus</w:t>
      </w:r>
      <w:r>
        <w:rPr>
          <w:rFonts w:ascii="Courier New" w:cs="Courier New" w:eastAsia="Courier New" w:hAnsi="Courier New"/>
          <w:sz w:val="15"/>
          <w:szCs w:val="15"/>
          <w:color w:val="auto"/>
        </w:rPr>
        <w:t>"). The Pro-rated Bonus shall be payable to Employee at the end of the calendar year for which the bonus is payable, in accordance with Employer's normal bonus procedures; and</w:t>
      </w:r>
    </w:p>
    <w:p>
      <w:pPr>
        <w:spacing w:after="0" w:line="175" w:lineRule="exact"/>
        <w:rPr>
          <w:rFonts w:ascii="Courier New" w:cs="Courier New" w:eastAsia="Courier New" w:hAnsi="Courier New"/>
          <w:sz w:val="15"/>
          <w:szCs w:val="15"/>
          <w:color w:val="auto"/>
        </w:rPr>
      </w:pPr>
    </w:p>
    <w:p>
      <w:pPr>
        <w:ind w:left="1380" w:right="3019" w:firstLine="460"/>
        <w:spacing w:after="0" w:line="250" w:lineRule="auto"/>
        <w:tabs>
          <w:tab w:leader="none" w:pos="2395" w:val="left"/>
        </w:tabs>
        <w:numPr>
          <w:ilvl w:val="2"/>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twenty-four months after such termination (the "</w:t>
      </w:r>
      <w:r>
        <w:rPr>
          <w:rFonts w:ascii="Courier New" w:cs="Courier New" w:eastAsia="Courier New" w:hAnsi="Courier New"/>
          <w:sz w:val="15"/>
          <w:szCs w:val="15"/>
          <w:b w:val="1"/>
          <w:bCs w:val="1"/>
          <w:color w:val="auto"/>
        </w:rPr>
        <w:t>Coverage Period</w:t>
      </w:r>
      <w:r>
        <w:rPr>
          <w:rFonts w:ascii="Courier New" w:cs="Courier New" w:eastAsia="Courier New" w:hAnsi="Courier New"/>
          <w:sz w:val="15"/>
          <w:szCs w:val="15"/>
          <w:color w:val="auto"/>
        </w:rPr>
        <w:t>"), medical, dental, prescription drug, life, accidental death and disability insurance coverage substantially similar to the coverage which Employee was receiving or entitled to receive immediately prior to the date of the termination of Employee's employment ("Insurance Benefits"). Notwithstanding the foregoing, Employee shall not be entitled to receive the Insurance Benefits (or a portion thereof) to the extent that Employee obtains other employment that provides equal or greater benefits during the Coverage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-3164840</wp:posOffset>
            </wp:positionV>
            <wp:extent cx="728916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162"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The Severance Payment, Pro-rated Bonus and Insurance Benefits are collectively referred to in this Agreement as the "Severance Benefit."</w:t>
      </w:r>
    </w:p>
    <w:p>
      <w:pPr>
        <w:spacing w:after="0" w:line="174" w:lineRule="exact"/>
        <w:rPr>
          <w:sz w:val="20"/>
          <w:szCs w:val="20"/>
          <w:color w:val="auto"/>
        </w:rPr>
      </w:pPr>
    </w:p>
    <w:p>
      <w:pPr>
        <w:ind w:left="1280" w:hanging="363"/>
        <w:spacing w:after="0"/>
        <w:tabs>
          <w:tab w:leader="none" w:pos="128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Excise Tax.</w:t>
      </w:r>
    </w:p>
    <w:p>
      <w:pPr>
        <w:spacing w:after="0" w:line="184" w:lineRule="exact"/>
        <w:rPr>
          <w:rFonts w:ascii="Courier New" w:cs="Courier New" w:eastAsia="Courier New" w:hAnsi="Courier New"/>
          <w:sz w:val="15"/>
          <w:szCs w:val="15"/>
          <w:color w:val="auto"/>
        </w:rPr>
      </w:pPr>
    </w:p>
    <w:p>
      <w:pPr>
        <w:ind w:left="920" w:right="3019" w:firstLine="459"/>
        <w:spacing w:after="0" w:line="253" w:lineRule="auto"/>
        <w:tabs>
          <w:tab w:leader="none" w:pos="175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in this Agreement, in no event shall a Severance Benefit payable pursuant to</w:t>
      </w:r>
    </w:p>
    <w:p>
      <w:pPr>
        <w:sectPr>
          <w:pgSz w:w="11900" w:h="16838" w:orient="portrait"/>
          <w:cols w:equalWidth="0" w:num="1">
            <w:col w:w="10219"/>
          </w:cols>
          <w:pgMar w:left="240" w:top="319" w:right="1440" w:bottom="0" w:gutter="0" w:footer="0" w:header="0"/>
        </w:sectPr>
      </w:pPr>
    </w:p>
    <w:bookmarkStart w:id="83" w:name="page84"/>
    <w:bookmarkEnd w:id="83"/>
    <w:p>
      <w:pPr>
        <w:ind w:left="100" w:right="2839"/>
        <w:spacing w:after="0" w:line="250" w:lineRule="auto"/>
        <w:rPr>
          <w:sz w:val="20"/>
          <w:szCs w:val="20"/>
          <w:color w:val="auto"/>
        </w:rPr>
      </w:pPr>
      <w:r>
        <w:rPr>
          <w:rFonts w:ascii="Courier New" w:cs="Courier New" w:eastAsia="Courier New" w:hAnsi="Courier New"/>
          <w:sz w:val="15"/>
          <w:szCs w:val="15"/>
          <w:color w:val="auto"/>
        </w:rPr>
        <w:t>this Section 3 exceed an amount equal to the lesser of (i) 2.99 times the "base amount" (as defined in Section 280G(b)(3) of the Internal Revenue Code of 1986, as amended (the "</w:t>
      </w:r>
      <w:r>
        <w:rPr>
          <w:rFonts w:ascii="Courier New" w:cs="Courier New" w:eastAsia="Courier New" w:hAnsi="Courier New"/>
          <w:sz w:val="15"/>
          <w:szCs w:val="15"/>
          <w:b w:val="1"/>
          <w:bCs w:val="1"/>
          <w:color w:val="auto"/>
        </w:rPr>
        <w:t>Code</w:t>
      </w:r>
      <w:r>
        <w:rPr>
          <w:rFonts w:ascii="Courier New" w:cs="Courier New" w:eastAsia="Courier New" w:hAnsi="Courier New"/>
          <w:sz w:val="15"/>
          <w:szCs w:val="15"/>
          <w:color w:val="auto"/>
        </w:rPr>
        <w:t>")) of Employee's compensation, or (ii) such other amount which would constitute a "parachute payment" (as defined in Section 280G of the Code). In the event that it shall be determined that any Severance Benefit to Employee (whether paid or payable or distributed or distributable) would be subject to the excise tax imposed by Section 4999 of the Code, or any successor provision thereto (the "</w:t>
      </w:r>
      <w:r>
        <w:rPr>
          <w:rFonts w:ascii="Courier New" w:cs="Courier New" w:eastAsia="Courier New" w:hAnsi="Courier New"/>
          <w:sz w:val="15"/>
          <w:szCs w:val="15"/>
          <w:b w:val="1"/>
          <w:bCs w:val="1"/>
          <w:color w:val="auto"/>
        </w:rPr>
        <w:t>Excise Tax</w:t>
      </w:r>
      <w:r>
        <w:rPr>
          <w:rFonts w:ascii="Courier New" w:cs="Courier New" w:eastAsia="Courier New" w:hAnsi="Courier New"/>
          <w:sz w:val="15"/>
          <w:szCs w:val="15"/>
          <w:color w:val="auto"/>
        </w:rPr>
        <w:t>"), then Employee shall be entitled to receive from Employer an additional payment (the "</w:t>
      </w:r>
      <w:r>
        <w:rPr>
          <w:rFonts w:ascii="Courier New" w:cs="Courier New" w:eastAsia="Courier New" w:hAnsi="Courier New"/>
          <w:sz w:val="15"/>
          <w:szCs w:val="15"/>
          <w:b w:val="1"/>
          <w:bCs w:val="1"/>
          <w:color w:val="auto"/>
        </w:rPr>
        <w:t>Gross-Up Payment</w:t>
      </w:r>
      <w:r>
        <w:rPr>
          <w:rFonts w:ascii="Courier New" w:cs="Courier New" w:eastAsia="Courier New" w:hAnsi="Courier New"/>
          <w:sz w:val="15"/>
          <w:szCs w:val="15"/>
          <w:color w:val="auto"/>
        </w:rPr>
        <w:t>") in an amount such that the net amount of the Severance Benefit and the Gross-Up Payment retained by Employee after the calculation and deduction of all Excise Taxes (including any interest or penalties imposed with respect to such taxes) on the payment and all Federal, state and local income tax, employment tax and Excise Tax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00" w:lineRule="exact"/>
        <w:rPr>
          <w:sz w:val="20"/>
          <w:szCs w:val="20"/>
          <w:color w:val="auto"/>
        </w:rPr>
      </w:pPr>
    </w:p>
    <w:p>
      <w:pPr>
        <w:spacing w:after="0" w:line="34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100" w:right="2839" w:firstLine="459"/>
        <w:spacing w:after="0" w:line="250" w:lineRule="auto"/>
        <w:tabs>
          <w:tab w:leader="none" w:pos="1023"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notify Employer in writing of any claim by the Internal Revenue Service that, if successful, would require the payment by Employer of the Gross-Up Payment. Such notification shall be given as soon as practicable after Employee is informed in writing of such claim and shall apprise Employer of the nature of such claim and the date on which such claim is requested to be paid. Employee shall not pay such claim prior to the expiration of the 30-day period following the date on which Employee gives such notice to Employer (or such shorter period ending on the date that any payment of taxes, interest and/or penalties with respect to such claim is due). If Employer notifies Employee in writing prior to the expiration of such period that it desires to contest such claim, Employee shall:</w:t>
      </w:r>
    </w:p>
    <w:p>
      <w:pPr>
        <w:spacing w:after="0" w:line="182" w:lineRule="exact"/>
        <w:rPr>
          <w:rFonts w:ascii="Courier New" w:cs="Courier New" w:eastAsia="Courier New" w:hAnsi="Courier New"/>
          <w:sz w:val="15"/>
          <w:szCs w:val="15"/>
          <w:color w:val="auto"/>
        </w:rPr>
      </w:pPr>
    </w:p>
    <w:p>
      <w:pPr>
        <w:ind w:left="1020" w:right="2939" w:firstLine="461"/>
        <w:spacing w:after="0" w:line="253" w:lineRule="auto"/>
        <w:tabs>
          <w:tab w:leader="none" w:pos="185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Employer any information reasonably requested by Employer relating to such claim;</w:t>
      </w:r>
    </w:p>
    <w:p>
      <w:pPr>
        <w:spacing w:after="0" w:line="174" w:lineRule="exact"/>
        <w:rPr>
          <w:rFonts w:ascii="Courier New" w:cs="Courier New" w:eastAsia="Courier New" w:hAnsi="Courier New"/>
          <w:sz w:val="15"/>
          <w:szCs w:val="15"/>
          <w:color w:val="auto"/>
        </w:rPr>
      </w:pPr>
    </w:p>
    <w:p>
      <w:pPr>
        <w:ind w:left="1020" w:right="2839" w:firstLine="461"/>
        <w:spacing w:after="0" w:line="251" w:lineRule="auto"/>
        <w:tabs>
          <w:tab w:leader="none" w:pos="185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Employer shall reasonably request in writing from time to time, including, without limitation, accepting legal representation with respect to such claim by an attorney reasonably selected by Employer;</w:t>
      </w:r>
    </w:p>
    <w:p>
      <w:pPr>
        <w:spacing w:after="0" w:line="176" w:lineRule="exact"/>
        <w:rPr>
          <w:rFonts w:ascii="Courier New" w:cs="Courier New" w:eastAsia="Courier New" w:hAnsi="Courier New"/>
          <w:sz w:val="15"/>
          <w:szCs w:val="15"/>
          <w:color w:val="auto"/>
        </w:rPr>
      </w:pPr>
    </w:p>
    <w:p>
      <w:pPr>
        <w:ind w:left="1020" w:right="3019" w:firstLine="461"/>
        <w:spacing w:after="0" w:line="253" w:lineRule="auto"/>
        <w:tabs>
          <w:tab w:leader="none" w:pos="185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Employer in good faith in order to effectively contest such claim; and</w:t>
      </w:r>
    </w:p>
    <w:p>
      <w:pPr>
        <w:spacing w:after="0" w:line="174" w:lineRule="exact"/>
        <w:rPr>
          <w:rFonts w:ascii="Courier New" w:cs="Courier New" w:eastAsia="Courier New" w:hAnsi="Courier New"/>
          <w:sz w:val="15"/>
          <w:szCs w:val="15"/>
          <w:color w:val="auto"/>
        </w:rPr>
      </w:pPr>
    </w:p>
    <w:p>
      <w:pPr>
        <w:ind w:left="1020" w:right="3019" w:firstLine="461"/>
        <w:spacing w:after="0" w:line="253" w:lineRule="auto"/>
        <w:tabs>
          <w:tab w:leader="none" w:pos="185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Employer to participate in any proceedings relating to such claims;</w:t>
      </w:r>
    </w:p>
    <w:p>
      <w:pPr>
        <w:spacing w:after="0" w:line="174"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i w:val="1"/>
          <w:iCs w:val="1"/>
          <w:color w:val="auto"/>
        </w:rPr>
        <w:t xml:space="preserve">provided, however, </w:t>
      </w:r>
      <w:r>
        <w:rPr>
          <w:rFonts w:ascii="Courier New" w:cs="Courier New" w:eastAsia="Courier New" w:hAnsi="Courier New"/>
          <w:sz w:val="15"/>
          <w:szCs w:val="15"/>
          <w:color w:val="auto"/>
        </w:rPr>
        <w:t>that Employer shall bear and pay directly all costs</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 xml:space="preserve">and expenses (including additional interest and penalties) incurred in connection with such contest and shall indemnify Employee for and hold Employee harmless from, on an after-tax basis, any Excise Tax or income tax (including interest and penalties with respect thereto) imposed as a result of such representation and payment of all related costs and expenses. Without limiting the foregoing provisions of this section, Employer shall control all proceedings taken in connection with such contest and, at its sole option, may pursue or forgo any and all administrative appeals, proceedings, hearings and conferences with the taxing authority in respect of such claim and may, at its sole option, either direct Employee to pay the tax claimed and sue for a refund or contest the claim in any permissible manner, and Employee agrees to prosecute such contest to a determination before any administrative tribunal, in a court of initial jurisdiction and in one or more appellate courts, as Employer shall determine; </w:t>
      </w: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xml:space="preserve">, that if Employer directs Employee to pay such claim and sue for a refund, Employer shall advance the amount of such payment to Employee, on an interest-free basis, and shall indemnify Employee for and hold Employee harmless from, on an after-tax basis, any Excise Tax or income tax (including interest or penalties with respect thereto) imposed with respect to such advance or with respect to any imputed income with respect to such advance (including as a result of any forgiveness by Employer of such advance); </w:t>
      </w:r>
      <w:r>
        <w:rPr>
          <w:rFonts w:ascii="Courier New" w:cs="Courier New" w:eastAsia="Courier New" w:hAnsi="Courier New"/>
          <w:sz w:val="15"/>
          <w:szCs w:val="15"/>
          <w:i w:val="1"/>
          <w:iCs w:val="1"/>
          <w:color w:val="auto"/>
        </w:rPr>
        <w:t>provided, further</w:t>
      </w:r>
      <w:r>
        <w:rPr>
          <w:rFonts w:ascii="Courier New" w:cs="Courier New" w:eastAsia="Courier New" w:hAnsi="Courier New"/>
          <w:sz w:val="15"/>
          <w:szCs w:val="15"/>
          <w:color w:val="auto"/>
        </w:rPr>
        <w:t>, that any extension of the statute of limitations relating to the payment of taxes for the taxable year of Employee with respect to which such contested amount is claimed to</w:t>
      </w:r>
    </w:p>
    <w:p>
      <w:pPr>
        <w:spacing w:after="0" w:line="36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be due is limited solely to such contested amount. Furthermore, Employer's control of the contest shall be limited to issues with respect to which a Gross-Up Payment would be payable hereunder and Employee shall be entitled to settle or contest, as the case may be, any other issue raised by the Internal Revenue Service or any other taxing authority.</w:t>
      </w:r>
    </w:p>
    <w:p>
      <w:pPr>
        <w:spacing w:after="0" w:line="176" w:lineRule="exact"/>
        <w:rPr>
          <w:sz w:val="20"/>
          <w:szCs w:val="20"/>
          <w:color w:val="auto"/>
        </w:rPr>
      </w:pPr>
    </w:p>
    <w:p>
      <w:pPr>
        <w:ind w:left="560"/>
        <w:spacing w:after="0"/>
        <w:tabs>
          <w:tab w:leader="none" w:pos="110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Change of Control. "Change of Control" shall mean: (i) a</w:t>
      </w:r>
    </w:p>
    <w:p>
      <w:pPr>
        <w:sectPr>
          <w:pgSz w:w="11900" w:h="16838" w:orient="portrait"/>
          <w:cols w:equalWidth="0" w:num="1">
            <w:col w:w="9399"/>
          </w:cols>
          <w:pgMar w:left="1060" w:top="142" w:right="1440" w:bottom="0" w:gutter="0" w:footer="0" w:header="0"/>
        </w:sectPr>
      </w:pPr>
    </w:p>
    <w:bookmarkStart w:id="84" w:name="page85"/>
    <w:bookmarkEnd w:id="84"/>
    <w:p>
      <w:pPr>
        <w:ind w:left="364" w:right="2839"/>
        <w:spacing w:after="0" w:line="250" w:lineRule="auto"/>
        <w:rPr>
          <w:sz w:val="20"/>
          <w:szCs w:val="20"/>
          <w:color w:val="auto"/>
        </w:rPr>
      </w:pPr>
      <w:r>
        <w:rPr>
          <w:rFonts w:ascii="Courier New" w:cs="Courier New" w:eastAsia="Courier New" w:hAnsi="Courier New"/>
          <w:sz w:val="15"/>
          <w:szCs w:val="15"/>
          <w:color w:val="auto"/>
        </w:rPr>
        <w:t>person, corporation, entity or group (A) makes a tender or exchange offer for the issued and outstanding voting stock of Employer and beneficially owns thirty percent (30%) or more of the issued and outstanding voting stock of Employer after such tender or exchange offer, or (B) acquires, directly or indirectly, the beneficial ownership of thirty percent (30%) or more of the issued and outstanding voting stock of Employer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Employer); (ii) Employer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Employer immediately prior to the transaction; (iii) Employer sells fifty percent (50%) or more of its assets to any other person or persons (other than an affiliate or affiliates of Employer); or (iv) individuals who, as of the date hereof, constitute the Board (the "</w:t>
      </w:r>
      <w:r>
        <w:rPr>
          <w:rFonts w:ascii="Courier New" w:cs="Courier New" w:eastAsia="Courier New" w:hAnsi="Courier New"/>
          <w:sz w:val="15"/>
          <w:szCs w:val="15"/>
          <w:b w:val="1"/>
          <w:bCs w:val="1"/>
          <w:color w:val="auto"/>
        </w:rPr>
        <w:t>Incumbent Board</w:t>
      </w:r>
      <w:r>
        <w:rPr>
          <w:rFonts w:ascii="Courier New" w:cs="Courier New" w:eastAsia="Courier New" w:hAnsi="Courier New"/>
          <w:sz w:val="15"/>
          <w:szCs w:val="15"/>
          <w:color w:val="auto"/>
        </w:rPr>
        <w:t xml:space="preserve">") cease for any reason to constitute at least seventy-five percent (75%) of the Board; </w:t>
      </w:r>
      <w:r>
        <w:rPr>
          <w:rFonts w:ascii="Courier New" w:cs="Courier New" w:eastAsia="Courier New" w:hAnsi="Courier New"/>
          <w:sz w:val="15"/>
          <w:szCs w:val="15"/>
          <w:i w:val="1"/>
          <w:iCs w:val="1"/>
          <w:color w:val="auto"/>
        </w:rPr>
        <w:t>provided, however</w:t>
      </w:r>
      <w:r>
        <w:rPr>
          <w:rFonts w:ascii="Courier New" w:cs="Courier New" w:eastAsia="Courier New" w:hAnsi="Courier New"/>
          <w:sz w:val="15"/>
          <w:szCs w:val="15"/>
          <w:color w:val="auto"/>
        </w:rPr>
        <w:t>, that any individual becoming a director subsequent to the date hereof, whose election or nomination was approved by a majority of the directors then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191" w:lineRule="exact"/>
        <w:rPr>
          <w:sz w:val="20"/>
          <w:szCs w:val="20"/>
          <w:color w:val="auto"/>
        </w:rPr>
      </w:pPr>
    </w:p>
    <w:p>
      <w:pPr>
        <w:ind w:left="364" w:right="2759" w:firstLine="559"/>
        <w:spacing w:after="0" w:line="250" w:lineRule="auto"/>
        <w:tabs>
          <w:tab w:leader="none" w:pos="1471"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"Without Cause" shall mean termination of Employee by Employer for reasons other than: (i) the willful, persistent failure of Employee (after thirty (30) days written notice and a reasonable opportunity to cure) to perform his material duties for reasons other than death or disability; (ii) the breach by Employee of any material provision of this Agreement; or</w:t>
      </w:r>
    </w:p>
    <w:p>
      <w:pPr>
        <w:spacing w:after="0" w:line="2" w:lineRule="exact"/>
        <w:rPr>
          <w:rFonts w:ascii="Courier New" w:cs="Courier New" w:eastAsia="Courier New" w:hAnsi="Courier New"/>
          <w:sz w:val="15"/>
          <w:szCs w:val="15"/>
          <w:color w:val="auto"/>
        </w:rPr>
      </w:pPr>
    </w:p>
    <w:p>
      <w:pPr>
        <w:ind w:left="364" w:right="2839" w:firstLine="5"/>
        <w:spacing w:after="0" w:line="252" w:lineRule="auto"/>
        <w:tabs>
          <w:tab w:leader="none" w:pos="918"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conviction of a felony involving dishonesty, deceit or moral turpitude by a trial court of competent jurisdiction, whether or not an appeal is taken.</w:t>
      </w:r>
    </w:p>
    <w:p>
      <w:pPr>
        <w:spacing w:after="0" w:line="174" w:lineRule="exact"/>
        <w:rPr>
          <w:rFonts w:ascii="Courier New" w:cs="Courier New" w:eastAsia="Courier New" w:hAnsi="Courier New"/>
          <w:sz w:val="15"/>
          <w:szCs w:val="15"/>
          <w:color w:val="auto"/>
        </w:rPr>
      </w:pPr>
    </w:p>
    <w:p>
      <w:pPr>
        <w:ind w:left="1484" w:hanging="561"/>
        <w:spacing w:after="0"/>
        <w:tabs>
          <w:tab w:leader="none" w:pos="1484"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Constructive Termination. "Constructive Termination" shall</w:t>
      </w:r>
    </w:p>
    <w:p>
      <w:pPr>
        <w:spacing w:after="0" w:line="7" w:lineRule="exact"/>
        <w:rPr>
          <w:rFonts w:ascii="Courier New" w:cs="Courier New" w:eastAsia="Courier New" w:hAnsi="Courier New"/>
          <w:sz w:val="15"/>
          <w:szCs w:val="15"/>
          <w:color w:val="auto"/>
        </w:rPr>
      </w:pPr>
    </w:p>
    <w:p>
      <w:pPr>
        <w:ind w:left="364"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mean: (i) a material, adverse change of Employee's responsibilities, authority, status, position, offices, titles, duties or reporting requirements (including directorships); (ii) an adverse change in Employee's annual compensation or benefits; (iii) a requirement to relocate in excess of fifty (50) miles from Employee's then current place of employment; or (iv) the breach by Employer of any material provision of this Agreement, other than a breach that is remedied by Employer within 10 days after receipt of notice thereof from Employee. For purposes of this definition, Employee's responsibilities, authority, status, position,</w:t>
      </w:r>
    </w:p>
    <w:p>
      <w:pPr>
        <w:spacing w:after="0" w:line="359" w:lineRule="exact"/>
        <w:rPr>
          <w:sz w:val="20"/>
          <w:szCs w:val="20"/>
          <w:color w:val="auto"/>
        </w:rPr>
      </w:pPr>
    </w:p>
    <w:p>
      <w:pPr>
        <w:ind w:left="3144"/>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88265</wp:posOffset>
            </wp:positionV>
            <wp:extent cx="728916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464" w:right="2939"/>
        <w:spacing w:after="0" w:line="251" w:lineRule="auto"/>
        <w:rPr>
          <w:sz w:val="20"/>
          <w:szCs w:val="20"/>
          <w:color w:val="auto"/>
        </w:rPr>
      </w:pPr>
      <w:r>
        <w:rPr>
          <w:rFonts w:ascii="Courier New" w:cs="Courier New" w:eastAsia="Courier New" w:hAnsi="Courier New"/>
          <w:sz w:val="15"/>
          <w:szCs w:val="15"/>
          <w:color w:val="auto"/>
        </w:rPr>
        <w:t>offices, titles, duties and reporting requirements are to be determined as of the date of this Agreement. For purposes of this Section, all determinations of Constructive Termination shall be made in good faith by Employee and shall be conclusive.</w:t>
      </w:r>
    </w:p>
    <w:p>
      <w:pPr>
        <w:spacing w:after="0" w:line="176" w:lineRule="exact"/>
        <w:rPr>
          <w:sz w:val="20"/>
          <w:szCs w:val="20"/>
          <w:color w:val="auto"/>
        </w:rPr>
      </w:pPr>
    </w:p>
    <w:p>
      <w:pPr>
        <w:ind w:left="464" w:right="2939" w:firstLine="366"/>
        <w:spacing w:after="0" w:line="251" w:lineRule="auto"/>
        <w:tabs>
          <w:tab w:leader="none" w:pos="1479"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Severance Benefits. The Severance Benefit payable to Employee pursuant to this Section 3 shall be reduced by any severance benefits to which Employee is entitled under Employer's severance policies for terminated employees generally or any termination payments payable to Employee under Employee's Employment Agreement.</w:t>
      </w:r>
    </w:p>
    <w:p>
      <w:pPr>
        <w:spacing w:after="0" w:line="176" w:lineRule="exact"/>
        <w:rPr>
          <w:rFonts w:ascii="Courier New" w:cs="Courier New" w:eastAsia="Courier New" w:hAnsi="Courier New"/>
          <w:sz w:val="15"/>
          <w:szCs w:val="15"/>
          <w:color w:val="auto"/>
        </w:rPr>
      </w:pPr>
    </w:p>
    <w:p>
      <w:pPr>
        <w:ind w:left="284" w:hanging="284"/>
        <w:spacing w:after="0"/>
        <w:tabs>
          <w:tab w:leader="none" w:pos="284" w:val="left"/>
        </w:tabs>
        <w:numPr>
          <w:ilvl w:val="0"/>
          <w:numId w:val="127"/>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Employee's Acknowledgments and Covenants.</w:t>
      </w:r>
    </w:p>
    <w:p>
      <w:pPr>
        <w:spacing w:after="0" w:line="184" w:lineRule="exact"/>
        <w:rPr>
          <w:rFonts w:ascii="Courier New" w:cs="Courier New" w:eastAsia="Courier New" w:hAnsi="Courier New"/>
          <w:sz w:val="15"/>
          <w:szCs w:val="15"/>
          <w:b w:val="1"/>
          <w:bCs w:val="1"/>
          <w:color w:val="auto"/>
        </w:rPr>
      </w:pPr>
    </w:p>
    <w:p>
      <w:pPr>
        <w:ind w:left="464" w:right="2839" w:firstLine="459"/>
        <w:spacing w:after="0" w:line="250" w:lineRule="auto"/>
        <w:tabs>
          <w:tab w:leader="none" w:pos="1294"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Materials and Information. Employer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other information about the business in which employer is engaged that is not known to the public and gives Employer an opportunity to obtain an advantage over competitors who do not know of such information (collectively, "</w:t>
      </w:r>
      <w:r>
        <w:rPr>
          <w:rFonts w:ascii="Courier New" w:cs="Courier New" w:eastAsia="Courier New" w:hAnsi="Courier New"/>
          <w:sz w:val="15"/>
          <w:szCs w:val="15"/>
          <w:b w:val="1"/>
          <w:bCs w:val="1"/>
          <w:color w:val="auto"/>
        </w:rPr>
        <w:t>Confidential Information</w:t>
      </w:r>
      <w:r>
        <w:rPr>
          <w:rFonts w:ascii="Courier New" w:cs="Courier New" w:eastAsia="Courier New" w:hAnsi="Courier New"/>
          <w:sz w:val="15"/>
          <w:szCs w:val="15"/>
          <w:color w:val="auto"/>
        </w:rPr>
        <w:t>"). In performing duties for Employer, Employee regularly will be exposed to and work with the Confidential Information. Employee acknowledges that such Confidential Information is critical to Employer's success and that Employer has invested substantial sums of money in developing the Confidential Information. While Employee is employed by Employer and after such employment ends for any reason, Employee will never reproduce, publish, disclose, use, reveal, show or otherwise communicate to any person or entity any Confidential Information unless specifically directed by Employer to do so in writing.</w:t>
      </w:r>
    </w:p>
    <w:p>
      <w:pPr>
        <w:spacing w:after="0" w:line="186" w:lineRule="exact"/>
        <w:rPr>
          <w:rFonts w:ascii="Courier New" w:cs="Courier New" w:eastAsia="Courier New" w:hAnsi="Courier New"/>
          <w:sz w:val="15"/>
          <w:szCs w:val="15"/>
          <w:color w:val="auto"/>
        </w:rPr>
      </w:pPr>
    </w:p>
    <w:p>
      <w:pPr>
        <w:ind w:left="1284" w:hanging="361"/>
        <w:spacing w:after="0"/>
        <w:tabs>
          <w:tab w:leader="none" w:pos="1284"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While Employee is employed by</w:t>
      </w:r>
    </w:p>
    <w:p>
      <w:pPr>
        <w:sectPr>
          <w:pgSz w:w="11900" w:h="16838" w:orient="portrait"/>
          <w:cols w:equalWidth="0" w:num="1">
            <w:col w:w="9763"/>
          </w:cols>
          <w:pgMar w:left="696" w:top="142" w:right="1440" w:bottom="0" w:gutter="0" w:footer="0" w:header="0"/>
        </w:sectPr>
      </w:pPr>
    </w:p>
    <w:bookmarkStart w:id="85" w:name="page86"/>
    <w:bookmarkEnd w:id="85"/>
    <w:p>
      <w:pPr>
        <w:ind w:left="920" w:right="2839"/>
        <w:spacing w:after="0" w:line="251" w:lineRule="auto"/>
        <w:rPr>
          <w:sz w:val="20"/>
          <w:szCs w:val="20"/>
          <w:color w:val="auto"/>
        </w:rPr>
      </w:pPr>
      <w:r>
        <w:rPr>
          <w:rFonts w:ascii="Courier New" w:cs="Courier New" w:eastAsia="Courier New" w:hAnsi="Courier New"/>
          <w:sz w:val="15"/>
          <w:szCs w:val="15"/>
          <w:color w:val="auto"/>
        </w:rPr>
        <w:t>Employer and for twenty-four (24) months after such employment ends for any reason, Employee, acting either directly or indirectly, or through any other person, firm, or corporation, will not hire contract with or employ any employee of Employer or induce or attempt to induce or influence any employee of Employer to terminate employment with Employer. Such nonsolicitation restriction shall not apply to Employee in the case of the solicitation of his or her immediate family members.</w:t>
      </w:r>
    </w:p>
    <w:p>
      <w:pPr>
        <w:spacing w:after="0" w:line="353" w:lineRule="exact"/>
        <w:rPr>
          <w:sz w:val="20"/>
          <w:szCs w:val="20"/>
          <w:color w:val="auto"/>
        </w:rPr>
      </w:pPr>
    </w:p>
    <w:p>
      <w:pPr>
        <w:ind w:left="920" w:right="2939" w:firstLine="459"/>
        <w:spacing w:after="0" w:line="250" w:lineRule="auto"/>
        <w:tabs>
          <w:tab w:leader="none" w:pos="175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 While Employee is employed by Employer and for twenty-four (24) months after such employment ends for any reason, Employee will not, directly or indirectly, or through any other person, firm or corporation (i) be employed by, consult for, have any ownership interest in or engage in any activity on behalf of any competing business, or (ii) call on, solicit or communicate with any of Employer's customers (whether actual or potential) for the purpose of selling precision steel balls and rollers and other related items to such customer other than for the benefit of Employer. As used in this Agreement, the term "competing business" means a business that is a manufacturer and supplier of precision steel balls and rollers to anti-</w:t>
      </w:r>
    </w:p>
    <w:p>
      <w:pPr>
        <w:spacing w:after="0" w:line="3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920" w:right="2839"/>
        <w:spacing w:after="0" w:line="250" w:lineRule="auto"/>
        <w:rPr>
          <w:sz w:val="20"/>
          <w:szCs w:val="20"/>
          <w:color w:val="auto"/>
        </w:rPr>
      </w:pPr>
      <w:r>
        <w:rPr>
          <w:rFonts w:ascii="Courier New" w:cs="Courier New" w:eastAsia="Courier New" w:hAnsi="Courier New"/>
          <w:sz w:val="15"/>
          <w:szCs w:val="15"/>
          <w:color w:val="auto"/>
        </w:rPr>
        <w:t>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Employee or any other employee of Employer had business contact on behalf of Employer during the eighteen (18) months immediately before Employee's employment with Employer ended). Notwithstanding the foregoing, this paragraph shall not be construed to prohibit Employee from owning less than five percent (5%) of the outstanding securities of a corporation which is publicly traded on a securities exchange or over-the-counter.</w:t>
      </w:r>
    </w:p>
    <w:p>
      <w:pPr>
        <w:spacing w:after="0" w:line="182" w:lineRule="exact"/>
        <w:rPr>
          <w:sz w:val="20"/>
          <w:szCs w:val="20"/>
          <w:color w:val="auto"/>
        </w:rPr>
      </w:pPr>
    </w:p>
    <w:p>
      <w:pPr>
        <w:ind w:left="920" w:right="2939" w:firstLine="459"/>
        <w:spacing w:after="0" w:line="251" w:lineRule="auto"/>
        <w:tabs>
          <w:tab w:leader="none" w:pos="175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Confidential Materials and Information. Employee agrees that whenever Employee's employment with Employer ends for any reason, all documents containing or referring to Confidential Information as may be in Employee's possession or control will be delivered by Employee to Employer immediately, with no request being required.</w:t>
      </w:r>
    </w:p>
    <w:p>
      <w:pPr>
        <w:spacing w:after="0" w:line="175" w:lineRule="exact"/>
        <w:rPr>
          <w:rFonts w:ascii="Courier New" w:cs="Courier New" w:eastAsia="Courier New" w:hAnsi="Courier New"/>
          <w:sz w:val="15"/>
          <w:szCs w:val="15"/>
          <w:color w:val="auto"/>
        </w:rPr>
      </w:pPr>
    </w:p>
    <w:p>
      <w:pPr>
        <w:ind w:left="920" w:right="2839" w:firstLine="459"/>
        <w:spacing w:after="0" w:line="250" w:lineRule="auto"/>
        <w:tabs>
          <w:tab w:leader="none" w:pos="175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Acknowledgments; Irreparable Harm. Employee agrees that the restrictions on competition, solicitation and disclosure in this Agreement are fair, reasonable and necessary for the protection of the interests of Employer. Employee further agrees that a breach of any of the covenants set forth in this Section 4 will result in irreparable injury and damage to Employer for which Employer would have no adequate remedy at law, and Employee further agrees that in the event of a breach, Employer will be entitled to an immediate restraining order and injunction to prevent such violation or continued violation, without having to prove damages, in addition to any other remedies to which Employer may be entitled at law or equity.</w:t>
      </w:r>
    </w:p>
    <w:p>
      <w:pPr>
        <w:spacing w:after="0" w:line="182" w:lineRule="exact"/>
        <w:rPr>
          <w:rFonts w:ascii="Courier New" w:cs="Courier New" w:eastAsia="Courier New" w:hAnsi="Courier New"/>
          <w:sz w:val="15"/>
          <w:szCs w:val="15"/>
          <w:color w:val="auto"/>
        </w:rPr>
      </w:pPr>
    </w:p>
    <w:p>
      <w:pPr>
        <w:ind w:left="920" w:right="3219" w:firstLine="459"/>
        <w:spacing w:after="0" w:line="251" w:lineRule="auto"/>
        <w:tabs>
          <w:tab w:leader="none" w:pos="175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to Subsequent Employers. Employee grants Employer the right to notify any future employer or prospective employer of Employee concerning the existence of and terms of this Agreement and grants Employer the right to provide a copy of this Agreement to any such subsequent employer or prospective employer.</w:t>
      </w:r>
    </w:p>
    <w:p>
      <w:pPr>
        <w:spacing w:after="0" w:line="176" w:lineRule="exact"/>
        <w:rPr>
          <w:rFonts w:ascii="Courier New" w:cs="Courier New" w:eastAsia="Courier New" w:hAnsi="Courier New"/>
          <w:sz w:val="15"/>
          <w:szCs w:val="15"/>
          <w:color w:val="auto"/>
        </w:rPr>
      </w:pPr>
    </w:p>
    <w:p>
      <w:pPr>
        <w:ind w:right="2839" w:firstLine="456"/>
        <w:spacing w:after="0" w:line="251" w:lineRule="auto"/>
        <w:tabs>
          <w:tab w:leader="none" w:pos="738" w:val="left"/>
        </w:tabs>
        <w:numPr>
          <w:ilvl w:val="0"/>
          <w:numId w:val="13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Mitigation. </w:t>
      </w:r>
      <w:r>
        <w:rPr>
          <w:rFonts w:ascii="Courier New" w:cs="Courier New" w:eastAsia="Courier New" w:hAnsi="Courier New"/>
          <w:sz w:val="15"/>
          <w:szCs w:val="15"/>
          <w:color w:val="auto"/>
        </w:rPr>
        <w:t>Employer's obligation to make the payments provided for in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this Agreement and otherwise to perform its obligations hereunder shall not be affected by any set-off, counterclaim, recoupment, defense or other claim, right or action which Employer may have against Employee or others. In no event shall Employee be obligated to seek other employment or take any other action by way of mitigation of the amounts payable to Employee under any of the provisions of this agreement and such amounts shall not be reduced whether or not Employee obtains other employment.</w:t>
      </w:r>
    </w:p>
    <w:p>
      <w:pPr>
        <w:spacing w:after="0" w:line="175" w:lineRule="exact"/>
        <w:rPr>
          <w:rFonts w:ascii="Courier New" w:cs="Courier New" w:eastAsia="Courier New" w:hAnsi="Courier New"/>
          <w:sz w:val="15"/>
          <w:szCs w:val="15"/>
          <w:b w:val="1"/>
          <w:bCs w:val="1"/>
          <w:color w:val="auto"/>
        </w:rPr>
      </w:pPr>
    </w:p>
    <w:p>
      <w:pPr>
        <w:ind w:right="2939" w:firstLine="456"/>
        <w:spacing w:after="0" w:line="250" w:lineRule="auto"/>
        <w:tabs>
          <w:tab w:leader="none" w:pos="738" w:val="left"/>
        </w:tabs>
        <w:numPr>
          <w:ilvl w:val="0"/>
          <w:numId w:val="130"/>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Resolution of Disputes. </w:t>
      </w:r>
      <w:r>
        <w:rPr>
          <w:rFonts w:ascii="Courier New" w:cs="Courier New" w:eastAsia="Courier New" w:hAnsi="Courier New"/>
          <w:sz w:val="15"/>
          <w:szCs w:val="15"/>
          <w:color w:val="auto"/>
        </w:rPr>
        <w:t>Any dispute or claim arising out of or relating</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Employer agrees to pay promptly as incurred, to the full extent permitted by law, all legal fees and expenses which Employee may reasonably incur as a result of any dispute (regardless of the outcome thereof) by Employer, Employee or others of the validity or enforceability of, or liability under, any provision of this Agreement or any guarantee of</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 xml:space="preserve">performance thereof (including as a result of any dispute by Employee regarding the amount of any payment pursuant to this agreement), plus in each case interest on any delayed payment at the rate published from time to time in </w:t>
      </w:r>
      <w:r>
        <w:rPr>
          <w:rFonts w:ascii="Courier New" w:cs="Courier New" w:eastAsia="Courier New" w:hAnsi="Courier New"/>
          <w:sz w:val="15"/>
          <w:szCs w:val="15"/>
          <w:i w:val="1"/>
          <w:iCs w:val="1"/>
          <w:color w:val="auto"/>
        </w:rPr>
        <w:t>The</w:t>
      </w:r>
      <w:r>
        <w:rPr>
          <w:rFonts w:ascii="Courier New" w:cs="Courier New" w:eastAsia="Courier New" w:hAnsi="Courier New"/>
          <w:sz w:val="15"/>
          <w:szCs w:val="15"/>
          <w:color w:val="auto"/>
        </w:rPr>
        <w:t xml:space="preserve"> </w:t>
      </w:r>
      <w:r>
        <w:rPr>
          <w:rFonts w:ascii="Courier New" w:cs="Courier New" w:eastAsia="Courier New" w:hAnsi="Courier New"/>
          <w:sz w:val="15"/>
          <w:szCs w:val="15"/>
          <w:i w:val="1"/>
          <w:iCs w:val="1"/>
          <w:color w:val="auto"/>
        </w:rPr>
        <w:t xml:space="preserve">Wall Street Journal </w:t>
      </w:r>
      <w:r>
        <w:rPr>
          <w:rFonts w:ascii="Courier New" w:cs="Courier New" w:eastAsia="Courier New" w:hAnsi="Courier New"/>
          <w:sz w:val="15"/>
          <w:szCs w:val="15"/>
          <w:color w:val="auto"/>
        </w:rPr>
        <w:t>as the prime rate of interest plus two percent (2%).</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b w:val="1"/>
          <w:bCs w:val="1"/>
          <w:color w:val="auto"/>
        </w:rPr>
        <w:t xml:space="preserve">7. Withholding. </w:t>
      </w:r>
      <w:r>
        <w:rPr>
          <w:rFonts w:ascii="Courier New" w:cs="Courier New" w:eastAsia="Courier New" w:hAnsi="Courier New"/>
          <w:sz w:val="15"/>
          <w:szCs w:val="15"/>
          <w:color w:val="auto"/>
        </w:rPr>
        <w:t>Employer may withhold from any amounts payable under this</w:t>
      </w:r>
    </w:p>
    <w:p>
      <w:pPr>
        <w:sectPr>
          <w:pgSz w:w="11900" w:h="16838" w:orient="portrait"/>
          <w:cols w:equalWidth="0" w:num="1">
            <w:col w:w="10219"/>
          </w:cols>
          <w:pgMar w:left="240" w:top="142" w:right="1440" w:bottom="0" w:gutter="0" w:footer="0" w:header="0"/>
        </w:sectPr>
      </w:pPr>
    </w:p>
    <w:bookmarkStart w:id="86" w:name="page87"/>
    <w:bookmarkEnd w:id="86"/>
    <w:p>
      <w:pPr>
        <w:ind w:left="5" w:right="3019"/>
        <w:spacing w:after="0" w:line="253" w:lineRule="auto"/>
        <w:rPr>
          <w:sz w:val="20"/>
          <w:szCs w:val="20"/>
          <w:color w:val="auto"/>
        </w:rPr>
      </w:pPr>
      <w:r>
        <w:rPr>
          <w:rFonts w:ascii="Courier New" w:cs="Courier New" w:eastAsia="Courier New" w:hAnsi="Courier New"/>
          <w:sz w:val="15"/>
          <w:szCs w:val="15"/>
          <w:color w:val="auto"/>
        </w:rPr>
        <w:t>Agreement the minimum Federal, state or local taxes as shall be required to be withheld pursuant to any applicable law or regulation.</w:t>
      </w:r>
    </w:p>
    <w:p>
      <w:pPr>
        <w:spacing w:after="0" w:line="174" w:lineRule="exact"/>
        <w:rPr>
          <w:sz w:val="20"/>
          <w:szCs w:val="20"/>
          <w:color w:val="auto"/>
        </w:rPr>
      </w:pPr>
    </w:p>
    <w:p>
      <w:pPr>
        <w:ind w:left="5" w:right="2839" w:firstLine="456"/>
        <w:spacing w:after="0" w:line="250" w:lineRule="auto"/>
        <w:tabs>
          <w:tab w:leader="none" w:pos="744" w:val="left"/>
        </w:tabs>
        <w:numPr>
          <w:ilvl w:val="0"/>
          <w:numId w:val="13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Successors. </w:t>
      </w:r>
      <w:r>
        <w:rPr>
          <w:rFonts w:ascii="Courier New" w:cs="Courier New" w:eastAsia="Courier New" w:hAnsi="Courier New"/>
          <w:sz w:val="15"/>
          <w:szCs w:val="15"/>
          <w:color w:val="auto"/>
        </w:rPr>
        <w:t>This Agreement is binding on, and shall inure to the benefit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of Employee and Employer, and all successors and assigns of Employer. Employer will require any successor (whether direct or indirect, by purchase, merger, consolidation or otherwise) to all or substantially all of the business and/or assets of Employer to assume expressly and agree to perform this Agreement in the same manner and to the same extent that Employer would be required to perform it if no such succession had taken place. Failure of Employer to obtain such agreement prior to the effectiveness of any such succession shall be a material breach of this Agreement and shall entitle Employee to any Severance Benefit payable pursuant to Section 3(a) hereof.</w:t>
      </w:r>
    </w:p>
    <w:p>
      <w:pPr>
        <w:spacing w:after="0" w:line="181" w:lineRule="exact"/>
        <w:rPr>
          <w:rFonts w:ascii="Courier New" w:cs="Courier New" w:eastAsia="Courier New" w:hAnsi="Courier New"/>
          <w:sz w:val="15"/>
          <w:szCs w:val="15"/>
          <w:b w:val="1"/>
          <w:bCs w:val="1"/>
          <w:color w:val="auto"/>
        </w:rPr>
      </w:pPr>
    </w:p>
    <w:p>
      <w:pPr>
        <w:ind w:left="5" w:right="3579" w:firstLine="456"/>
        <w:spacing w:after="0" w:line="253" w:lineRule="auto"/>
        <w:tabs>
          <w:tab w:leader="none" w:pos="744" w:val="left"/>
        </w:tabs>
        <w:numPr>
          <w:ilvl w:val="0"/>
          <w:numId w:val="13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Applicable Law. </w:t>
      </w:r>
      <w:r>
        <w:rPr>
          <w:rFonts w:ascii="Courier New" w:cs="Courier New" w:eastAsia="Courier New" w:hAnsi="Courier New"/>
          <w:sz w:val="15"/>
          <w:szCs w:val="15"/>
          <w:color w:val="auto"/>
        </w:rPr>
        <w:t>This Agreement will be interpreted, governed and</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enforced according to the law of the State of Tennessee.</w:t>
      </w:r>
    </w:p>
    <w:p>
      <w:pPr>
        <w:spacing w:after="0" w:line="174" w:lineRule="exact"/>
        <w:rPr>
          <w:rFonts w:ascii="Courier New" w:cs="Courier New" w:eastAsia="Courier New" w:hAnsi="Courier New"/>
          <w:sz w:val="15"/>
          <w:szCs w:val="15"/>
          <w:b w:val="1"/>
          <w:bCs w:val="1"/>
          <w:color w:val="auto"/>
        </w:rPr>
      </w:pPr>
    </w:p>
    <w:p>
      <w:pPr>
        <w:ind w:left="5" w:right="2839" w:firstLine="456"/>
        <w:spacing w:after="0" w:line="251" w:lineRule="auto"/>
        <w:tabs>
          <w:tab w:leader="none" w:pos="836" w:val="left"/>
        </w:tabs>
        <w:numPr>
          <w:ilvl w:val="0"/>
          <w:numId w:val="13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Separability. </w:t>
      </w:r>
      <w:r>
        <w:rPr>
          <w:rFonts w:ascii="Courier New" w:cs="Courier New" w:eastAsia="Courier New" w:hAnsi="Courier New"/>
          <w:sz w:val="15"/>
          <w:szCs w:val="15"/>
          <w:color w:val="auto"/>
        </w:rPr>
        <w:t>If any portion of this Agreement is held to be invalid or</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unenforceable in any respect, Employee and Employer agree that such invalid and unenforceable part will be modified to permit the Agreement to be enforced to the maximum extent permitted by the court, with the remaining portions unaffected by the invalidity or unenforceability of any part of this Agreement.</w:t>
      </w:r>
    </w:p>
    <w:p>
      <w:pPr>
        <w:spacing w:after="0" w:line="176" w:lineRule="exact"/>
        <w:rPr>
          <w:rFonts w:ascii="Courier New" w:cs="Courier New" w:eastAsia="Courier New" w:hAnsi="Courier New"/>
          <w:sz w:val="15"/>
          <w:szCs w:val="15"/>
          <w:b w:val="1"/>
          <w:bCs w:val="1"/>
          <w:color w:val="auto"/>
        </w:rPr>
      </w:pPr>
    </w:p>
    <w:p>
      <w:pPr>
        <w:ind w:left="825" w:hanging="364"/>
        <w:spacing w:after="0"/>
        <w:tabs>
          <w:tab w:leader="none" w:pos="825" w:val="left"/>
        </w:tabs>
        <w:numPr>
          <w:ilvl w:val="0"/>
          <w:numId w:val="131"/>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Waiver. </w:t>
      </w:r>
      <w:r>
        <w:rPr>
          <w:rFonts w:ascii="Courier New" w:cs="Courier New" w:eastAsia="Courier New" w:hAnsi="Courier New"/>
          <w:sz w:val="15"/>
          <w:szCs w:val="15"/>
          <w:color w:val="auto"/>
        </w:rPr>
        <w:t>This Agreement may be modified, supplemented or amended,</w:t>
      </w:r>
    </w:p>
    <w:p>
      <w:pPr>
        <w:spacing w:after="0" w:line="8" w:lineRule="exact"/>
        <w:rPr>
          <w:sz w:val="20"/>
          <w:szCs w:val="20"/>
          <w:color w:val="auto"/>
        </w:rPr>
      </w:pPr>
    </w:p>
    <w:p>
      <w:pPr>
        <w:ind w:left="5" w:right="2839"/>
        <w:spacing w:after="0" w:line="252" w:lineRule="auto"/>
        <w:rPr>
          <w:sz w:val="20"/>
          <w:szCs w:val="20"/>
          <w:color w:val="auto"/>
        </w:rPr>
      </w:pPr>
      <w:r>
        <w:rPr>
          <w:rFonts w:ascii="Courier New" w:cs="Courier New" w:eastAsia="Courier New" w:hAnsi="Courier New"/>
          <w:sz w:val="15"/>
          <w:szCs w:val="15"/>
          <w:color w:val="auto"/>
        </w:rPr>
        <w:t>and any provision of this Agreement can be waived, only by written instrument making specific reference to this Agreement signed by the party against whom enforcement of any such modification, supplement, amendment or waiver is sought.</w:t>
      </w:r>
    </w:p>
    <w:p>
      <w:pPr>
        <w:spacing w:after="0" w:line="175" w:lineRule="exact"/>
        <w:rPr>
          <w:sz w:val="20"/>
          <w:szCs w:val="20"/>
          <w:color w:val="auto"/>
        </w:rPr>
      </w:pPr>
    </w:p>
    <w:p>
      <w:pPr>
        <w:ind w:left="5" w:right="3119" w:firstLine="456"/>
        <w:spacing w:after="0" w:line="251" w:lineRule="auto"/>
        <w:tabs>
          <w:tab w:leader="none" w:pos="836" w:val="left"/>
        </w:tabs>
        <w:numPr>
          <w:ilvl w:val="0"/>
          <w:numId w:val="132"/>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 xml:space="preserve">Complete Agreement. </w:t>
      </w:r>
      <w:r>
        <w:rPr>
          <w:rFonts w:ascii="Courier New" w:cs="Courier New" w:eastAsia="Courier New" w:hAnsi="Courier New"/>
          <w:sz w:val="15"/>
          <w:szCs w:val="15"/>
          <w:color w:val="auto"/>
        </w:rPr>
        <w:t>This Agreement contains the entire agreement</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between Employer and Employee as to the subject matter hereof. This Agreement shall not be subject to the terms and conditions of any agreement concerning arbitration or dispute resolution between Employer and Employee.</w:t>
      </w:r>
    </w:p>
    <w:p>
      <w:pPr>
        <w:spacing w:after="0" w:line="176" w:lineRule="exact"/>
        <w:rPr>
          <w:sz w:val="20"/>
          <w:szCs w:val="20"/>
          <w:color w:val="auto"/>
        </w:rPr>
      </w:pPr>
    </w:p>
    <w:p>
      <w:pPr>
        <w:ind w:left="5" w:right="2939" w:firstLine="830"/>
        <w:spacing w:after="0" w:line="253" w:lineRule="auto"/>
        <w:rPr>
          <w:sz w:val="20"/>
          <w:szCs w:val="20"/>
          <w:color w:val="auto"/>
        </w:rPr>
      </w:pPr>
      <w:r>
        <w:rPr>
          <w:rFonts w:ascii="Courier New" w:cs="Courier New" w:eastAsia="Courier New" w:hAnsi="Courier New"/>
          <w:sz w:val="15"/>
          <w:szCs w:val="15"/>
          <w:color w:val="auto"/>
        </w:rPr>
        <w:t>EMPLOYEE ACKNOWLEDGES THAT HE/SHE HAS READ THE ENTIRE CONTENTS OF THIS AGREEMENT AND THAT HE/SHE UNDERSTANDS ITS TERMS.</w:t>
      </w:r>
    </w:p>
    <w:p>
      <w:pPr>
        <w:spacing w:after="0" w:line="200" w:lineRule="exact"/>
        <w:rPr>
          <w:sz w:val="20"/>
          <w:szCs w:val="20"/>
          <w:color w:val="auto"/>
        </w:rPr>
      </w:pPr>
    </w:p>
    <w:p>
      <w:pPr>
        <w:spacing w:after="0" w:line="329"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[Signatures on following page]</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 w:right="3479" w:firstLine="830"/>
        <w:spacing w:after="0" w:line="253" w:lineRule="auto"/>
        <w:rPr>
          <w:sz w:val="20"/>
          <w:szCs w:val="20"/>
          <w:color w:val="auto"/>
        </w:rPr>
      </w:pPr>
      <w:r>
        <w:rPr>
          <w:rFonts w:ascii="Courier New" w:cs="Courier New" w:eastAsia="Courier New" w:hAnsi="Courier New"/>
          <w:sz w:val="15"/>
          <w:szCs w:val="15"/>
          <w:color w:val="auto"/>
        </w:rPr>
        <w:t>IN WITNESS WHEREOF, each of the parties hereto has executed this Agreement as of the date first written above.</w:t>
      </w:r>
    </w:p>
    <w:p>
      <w:pPr>
        <w:spacing w:after="0" w:line="174"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EMPLOYEE:</w:t>
      </w:r>
    </w:p>
    <w:p>
      <w:pPr>
        <w:spacing w:after="0" w:line="200" w:lineRule="exact"/>
        <w:rPr>
          <w:sz w:val="20"/>
          <w:szCs w:val="20"/>
          <w:color w:val="auto"/>
        </w:rPr>
      </w:pPr>
    </w:p>
    <w:p>
      <w:pPr>
        <w:spacing w:after="0" w:line="340"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/s/ David L. Dyckman</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5"/>
        <w:spacing w:after="0"/>
        <w:tabs>
          <w:tab w:leader="none" w:pos="3945" w:val="left"/>
        </w:tabs>
        <w:rPr>
          <w:sz w:val="20"/>
          <w:szCs w:val="20"/>
          <w:color w:val="auto"/>
        </w:rPr>
      </w:pPr>
      <w:r>
        <w:rPr>
          <w:rFonts w:ascii="Courier New" w:cs="Courier New" w:eastAsia="Courier New" w:hAnsi="Courier New"/>
          <w:sz w:val="15"/>
          <w:szCs w:val="15"/>
          <w:color w:val="auto"/>
        </w:rPr>
        <w:t>Name:</w:t>
        <w:tab/>
        <w:t>David L. Dyckman</w:t>
      </w:r>
    </w:p>
    <w:p>
      <w:pPr>
        <w:spacing w:after="0" w:line="200" w:lineRule="exact"/>
        <w:rPr>
          <w:sz w:val="20"/>
          <w:szCs w:val="20"/>
          <w:color w:val="auto"/>
        </w:rPr>
      </w:pPr>
    </w:p>
    <w:p>
      <w:pPr>
        <w:spacing w:after="0" w:line="340"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NN, INC.,</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including its subsidiaries and affiliates</w:t>
      </w:r>
    </w:p>
    <w:p>
      <w:pPr>
        <w:spacing w:after="0" w:line="200" w:lineRule="exact"/>
        <w:rPr>
          <w:sz w:val="20"/>
          <w:szCs w:val="20"/>
          <w:color w:val="auto"/>
        </w:rPr>
      </w:pPr>
    </w:p>
    <w:p>
      <w:pPr>
        <w:spacing w:after="0" w:line="340" w:lineRule="exact"/>
        <w:rPr>
          <w:sz w:val="20"/>
          <w:szCs w:val="20"/>
          <w:color w:val="auto"/>
        </w:rPr>
      </w:pPr>
    </w:p>
    <w:p>
      <w:pPr>
        <w:ind w:left="3405"/>
        <w:spacing w:after="0"/>
        <w:tabs>
          <w:tab w:leader="none" w:pos="422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Roderick R. Baty</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5"/>
        <w:spacing w:after="0"/>
        <w:rPr>
          <w:sz w:val="20"/>
          <w:szCs w:val="20"/>
          <w:color w:val="auto"/>
        </w:rPr>
      </w:pPr>
      <w:r>
        <w:rPr>
          <w:rFonts w:ascii="Courier New" w:cs="Courier New" w:eastAsia="Courier New" w:hAnsi="Courier New"/>
          <w:sz w:val="15"/>
          <w:szCs w:val="15"/>
          <w:color w:val="auto"/>
        </w:rPr>
        <w:t>Roderick R. Baty</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28916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b w:val="1"/>
          <w:bCs w:val="1"/>
          <w:color w:val="auto"/>
        </w:rPr>
        <w:t>Schedule A</w:t>
      </w:r>
    </w:p>
    <w:p>
      <w:pPr>
        <w:spacing w:after="0" w:line="362"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Employee's Severance Payment shall be a lump sum payment equal to:</w:t>
      </w:r>
    </w:p>
    <w:p>
      <w:pPr>
        <w:spacing w:after="0" w:line="185" w:lineRule="exact"/>
        <w:rPr>
          <w:sz w:val="20"/>
          <w:szCs w:val="20"/>
          <w:color w:val="auto"/>
        </w:rPr>
      </w:pPr>
    </w:p>
    <w:p>
      <w:pPr>
        <w:ind w:left="465" w:right="3759" w:hanging="465"/>
        <w:spacing w:after="0" w:line="253" w:lineRule="auto"/>
        <w:tabs>
          <w:tab w:leader="none" w:pos="46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times such Employee's base salary (as of the date of Employee's termination); plus</w:t>
      </w:r>
    </w:p>
    <w:p>
      <w:pPr>
        <w:spacing w:after="0" w:line="174" w:lineRule="exact"/>
        <w:rPr>
          <w:rFonts w:ascii="Courier New" w:cs="Courier New" w:eastAsia="Courier New" w:hAnsi="Courier New"/>
          <w:sz w:val="15"/>
          <w:szCs w:val="15"/>
          <w:color w:val="auto"/>
        </w:rPr>
      </w:pPr>
    </w:p>
    <w:p>
      <w:pPr>
        <w:ind w:left="465" w:right="3399" w:hanging="465"/>
        <w:spacing w:after="0" w:line="253" w:lineRule="auto"/>
        <w:tabs>
          <w:tab w:leader="none" w:pos="46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times such Employee's median bonus available at the following bonus target percentage: 35%; plus</w:t>
      </w:r>
    </w:p>
    <w:p>
      <w:pPr>
        <w:spacing w:after="0" w:line="174" w:lineRule="exact"/>
        <w:rPr>
          <w:rFonts w:ascii="Courier New" w:cs="Courier New" w:eastAsia="Courier New" w:hAnsi="Courier New"/>
          <w:sz w:val="15"/>
          <w:szCs w:val="15"/>
          <w:color w:val="auto"/>
        </w:rPr>
      </w:pPr>
    </w:p>
    <w:p>
      <w:pPr>
        <w:ind w:left="465" w:right="3119" w:hanging="465"/>
        <w:spacing w:after="0" w:line="252" w:lineRule="auto"/>
        <w:tabs>
          <w:tab w:leader="none" w:pos="46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2 times Employee's annual automobile allowance or the annual cost to Employee of obtaining a motor vehicle comparable to that provided by Employer to Employee.</w:t>
      </w:r>
    </w:p>
    <w:p>
      <w:pPr>
        <w:sectPr>
          <w:pgSz w:w="11900" w:h="16838" w:orient="portrait"/>
          <w:cols w:equalWidth="0" w:num="1">
            <w:col w:w="10225"/>
          </w:cols>
          <w:pgMar w:left="235" w:top="142" w:right="1440" w:bottom="739" w:gutter="0" w:footer="0" w:header="0"/>
        </w:sectPr>
      </w:pPr>
    </w:p>
    <w:bookmarkStart w:id="87" w:name="page88"/>
    <w:bookmarkEnd w:id="87"/>
    <w:p>
      <w:pPr>
        <w:ind w:left="240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9019"/>
          </w:cols>
          <w:pgMar w:left="1440" w:top="319" w:right="1440" w:bottom="1440" w:gutter="0" w:footer="0" w:header="0"/>
        </w:sectPr>
      </w:pPr>
    </w:p>
    <w:bookmarkStart w:id="88" w:name="page89"/>
    <w:bookmarkEnd w:id="88"/>
    <w:p>
      <w:pPr>
        <w:ind w:left="5"/>
        <w:spacing w:after="0"/>
        <w:tabs>
          <w:tab w:leader="none" w:pos="5705" w:val="left"/>
        </w:tabs>
        <w:rPr>
          <w:sz w:val="20"/>
          <w:szCs w:val="20"/>
          <w:color w:val="auto"/>
        </w:rPr>
      </w:pPr>
      <w:r>
        <w:rPr>
          <w:rFonts w:ascii="Courier New" w:cs="Courier New" w:eastAsia="Courier New" w:hAnsi="Courier New"/>
          <w:sz w:val="15"/>
          <w:szCs w:val="15"/>
          <w:b w:val="1"/>
          <w:bCs w:val="1"/>
          <w:color w:val="auto"/>
        </w:rPr>
        <w:t>Exhibit 10.26</w:t>
      </w:r>
      <w:r>
        <w:rPr>
          <w:sz w:val="20"/>
          <w:szCs w:val="20"/>
          <w:color w:val="auto"/>
        </w:rPr>
        <w:tab/>
      </w:r>
      <w:r>
        <w:rPr>
          <w:rFonts w:ascii="Courier New" w:cs="Courier New" w:eastAsia="Courier New" w:hAnsi="Courier New"/>
          <w:sz w:val="15"/>
          <w:szCs w:val="15"/>
          <w:b w:val="1"/>
          <w:bCs w:val="1"/>
          <w:color w:val="auto"/>
        </w:rPr>
        <w:t>EXECUTION VERSION</w:t>
      </w:r>
    </w:p>
    <w:p>
      <w:pPr>
        <w:spacing w:after="0" w:line="185" w:lineRule="exact"/>
        <w:rPr>
          <w:sz w:val="20"/>
          <w:szCs w:val="20"/>
          <w:color w:val="auto"/>
        </w:rPr>
      </w:pPr>
    </w:p>
    <w:p>
      <w:pPr>
        <w:ind w:left="3225" w:hanging="273"/>
        <w:spacing w:after="0"/>
        <w:tabs>
          <w:tab w:leader="none" w:pos="3225" w:val="left"/>
        </w:tabs>
        <w:numPr>
          <w:ilvl w:val="0"/>
          <w:numId w:val="134"/>
        </w:numPr>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EUROBALL, ApS</w:t>
      </w:r>
    </w:p>
    <w:p>
      <w:pPr>
        <w:spacing w:after="0" w:line="7" w:lineRule="exact"/>
        <w:rPr>
          <w:rFonts w:ascii="Courier New" w:cs="Courier New" w:eastAsia="Courier New" w:hAnsi="Courier New"/>
          <w:sz w:val="15"/>
          <w:szCs w:val="15"/>
          <w:b w:val="1"/>
          <w:bCs w:val="1"/>
          <w:color w:val="auto"/>
        </w:rPr>
      </w:pPr>
    </w:p>
    <w:p>
      <w:pPr>
        <w:ind w:left="2765"/>
        <w:spacing w:after="0"/>
        <w:rPr>
          <w:rFonts w:ascii="Courier New" w:cs="Courier New" w:eastAsia="Courier New" w:hAnsi="Courier New"/>
          <w:sz w:val="15"/>
          <w:szCs w:val="15"/>
          <w:b w:val="1"/>
          <w:bCs w:val="1"/>
          <w:color w:val="auto"/>
        </w:rPr>
      </w:pPr>
      <w:r>
        <w:rPr>
          <w:rFonts w:ascii="Courier New" w:cs="Courier New" w:eastAsia="Courier New" w:hAnsi="Courier New"/>
          <w:sz w:val="15"/>
          <w:szCs w:val="15"/>
          <w:b w:val="1"/>
          <w:bCs w:val="1"/>
          <w:color w:val="auto"/>
        </w:rPr>
        <w:t>SHAREHOLDER AGREEMENT</w:t>
      </w:r>
    </w:p>
    <w:p>
      <w:pPr>
        <w:spacing w:after="0" w:line="185" w:lineRule="exact"/>
        <w:rPr>
          <w:sz w:val="20"/>
          <w:szCs w:val="20"/>
          <w:color w:val="auto"/>
        </w:rPr>
      </w:pPr>
    </w:p>
    <w:p>
      <w:pPr>
        <w:jc w:val="both"/>
        <w:ind w:left="5" w:right="2939" w:firstLine="830"/>
        <w:spacing w:after="0" w:line="251" w:lineRule="auto"/>
        <w:rPr>
          <w:sz w:val="20"/>
          <w:szCs w:val="20"/>
          <w:color w:val="auto"/>
        </w:rPr>
      </w:pPr>
      <w:r>
        <w:rPr>
          <w:rFonts w:ascii="Courier New" w:cs="Courier New" w:eastAsia="Courier New" w:hAnsi="Courier New"/>
          <w:sz w:val="15"/>
          <w:szCs w:val="15"/>
          <w:color w:val="auto"/>
        </w:rPr>
        <w:t xml:space="preserve">THIS AGREEMENT shall become effective as of the date when the Euroball transaction closes, by and among </w:t>
      </w:r>
      <w:r>
        <w:rPr>
          <w:rFonts w:ascii="Courier New" w:cs="Courier New" w:eastAsia="Courier New" w:hAnsi="Courier New"/>
          <w:sz w:val="15"/>
          <w:szCs w:val="15"/>
          <w:b w:val="1"/>
          <w:bCs w:val="1"/>
          <w:color w:val="auto"/>
        </w:rPr>
        <w:t>NN, Inc.</w:t>
      </w:r>
      <w:r>
        <w:rPr>
          <w:rFonts w:ascii="Courier New" w:cs="Courier New" w:eastAsia="Courier New" w:hAnsi="Courier New"/>
          <w:sz w:val="15"/>
          <w:szCs w:val="15"/>
          <w:color w:val="auto"/>
        </w:rPr>
        <w:t xml:space="preserve"> a Tennessee corporation ("NNBR"), </w:t>
      </w:r>
      <w:r>
        <w:rPr>
          <w:rFonts w:ascii="Courier New" w:cs="Courier New" w:eastAsia="Courier New" w:hAnsi="Courier New"/>
          <w:sz w:val="15"/>
          <w:szCs w:val="15"/>
          <w:b w:val="1"/>
          <w:bCs w:val="1"/>
          <w:color w:val="auto"/>
        </w:rPr>
        <w:t>AB</w:t>
      </w:r>
      <w:r>
        <w:rPr>
          <w:rFonts w:ascii="Courier New" w:cs="Courier New" w:eastAsia="Courier New" w:hAnsi="Courier New"/>
          <w:sz w:val="15"/>
          <w:szCs w:val="15"/>
          <w:color w:val="auto"/>
        </w:rPr>
        <w:t xml:space="preserve"> </w:t>
      </w:r>
      <w:r>
        <w:rPr>
          <w:rFonts w:ascii="Courier New" w:cs="Courier New" w:eastAsia="Courier New" w:hAnsi="Courier New"/>
          <w:sz w:val="15"/>
          <w:szCs w:val="15"/>
          <w:b w:val="1"/>
          <w:bCs w:val="1"/>
          <w:color w:val="auto"/>
        </w:rPr>
        <w:t>SKF</w:t>
      </w:r>
      <w:r>
        <w:rPr>
          <w:rFonts w:ascii="Courier New" w:cs="Courier New" w:eastAsia="Courier New" w:hAnsi="Courier New"/>
          <w:sz w:val="15"/>
          <w:szCs w:val="15"/>
          <w:color w:val="auto"/>
        </w:rPr>
        <w:t>, a Swedish company ("SKF"), and</w:t>
      </w:r>
      <w:r>
        <w:rPr>
          <w:rFonts w:ascii="Courier New" w:cs="Courier New" w:eastAsia="Courier New" w:hAnsi="Courier New"/>
          <w:sz w:val="15"/>
          <w:szCs w:val="15"/>
          <w:b w:val="1"/>
          <w:bCs w:val="1"/>
          <w:color w:val="auto"/>
        </w:rPr>
        <w:t xml:space="preserve"> FAG Kugelfischer Georg Schafer AG</w:t>
      </w:r>
      <w:r>
        <w:rPr>
          <w:rFonts w:ascii="Courier New" w:cs="Courier New" w:eastAsia="Courier New" w:hAnsi="Courier New"/>
          <w:sz w:val="15"/>
          <w:szCs w:val="15"/>
          <w:color w:val="auto"/>
        </w:rPr>
        <w:t>, a German</w:t>
      </w:r>
      <w:r>
        <w:rPr>
          <w:rFonts w:ascii="Courier New" w:cs="Courier New" w:eastAsia="Courier New" w:hAnsi="Courier New"/>
          <w:sz w:val="15"/>
          <w:szCs w:val="15"/>
          <w:b w:val="1"/>
          <w:bCs w:val="1"/>
          <w:color w:val="auto"/>
        </w:rPr>
        <w:t xml:space="preserve"> </w:t>
      </w:r>
      <w:r>
        <w:rPr>
          <w:rFonts w:ascii="Courier New" w:cs="Courier New" w:eastAsia="Courier New" w:hAnsi="Courier New"/>
          <w:sz w:val="15"/>
          <w:szCs w:val="15"/>
          <w:color w:val="auto"/>
        </w:rPr>
        <w:t>company ("FAG").</w:t>
      </w:r>
    </w:p>
    <w:p>
      <w:pPr>
        <w:spacing w:after="0" w:line="176"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b w:val="1"/>
          <w:bCs w:val="1"/>
          <w:color w:val="auto"/>
        </w:rPr>
        <w:t>RECITALS</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b w:val="1"/>
          <w:bCs w:val="1"/>
          <w:color w:val="auto"/>
        </w:rPr>
        <w:t>--------</w:t>
      </w:r>
    </w:p>
    <w:p>
      <w:pPr>
        <w:spacing w:after="0" w:line="185" w:lineRule="exact"/>
        <w:rPr>
          <w:sz w:val="20"/>
          <w:szCs w:val="20"/>
          <w:color w:val="auto"/>
        </w:rPr>
      </w:pPr>
    </w:p>
    <w:p>
      <w:pPr>
        <w:ind w:left="465" w:right="2939" w:hanging="465"/>
        <w:spacing w:after="0" w:line="251" w:lineRule="auto"/>
        <w:tabs>
          <w:tab w:leader="none" w:pos="46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have purchased NN Euroball, ApS., a Danish company (the "Company") pursuant to the Joint Venture Formation Agreement among the parties dated April 6, 2000 (the "Formation Agreement"), and desire to set forth their mutual agreement as to certain matters related to the ownership, governance and operation of the Company.</w:t>
      </w:r>
    </w:p>
    <w:p>
      <w:pPr>
        <w:spacing w:after="0" w:line="176" w:lineRule="exact"/>
        <w:rPr>
          <w:rFonts w:ascii="Courier New" w:cs="Courier New" w:eastAsia="Courier New" w:hAnsi="Courier New"/>
          <w:sz w:val="15"/>
          <w:szCs w:val="15"/>
          <w:color w:val="auto"/>
        </w:rPr>
      </w:pPr>
    </w:p>
    <w:p>
      <w:pPr>
        <w:ind w:left="465" w:right="2839" w:hanging="465"/>
        <w:spacing w:after="0" w:line="253" w:lineRule="auto"/>
        <w:tabs>
          <w:tab w:leader="none" w:pos="46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capitalized terms used but not defined in this Agreement shall have the meaning set forth in the Formation Agreement.</w:t>
      </w:r>
    </w:p>
    <w:p>
      <w:pPr>
        <w:spacing w:after="0" w:line="174" w:lineRule="exact"/>
        <w:rPr>
          <w:rFonts w:ascii="Courier New" w:cs="Courier New" w:eastAsia="Courier New" w:hAnsi="Courier New"/>
          <w:sz w:val="15"/>
          <w:szCs w:val="15"/>
          <w:color w:val="auto"/>
        </w:rPr>
      </w:pPr>
    </w:p>
    <w:p>
      <w:pPr>
        <w:ind w:left="465" w:right="2939" w:hanging="465"/>
        <w:spacing w:after="0" w:line="253" w:lineRule="auto"/>
        <w:tabs>
          <w:tab w:leader="none" w:pos="46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shareholdings of the parties are as follows: NNBR - 54%, SKF - 23%, and FAG - 23%.</w:t>
      </w:r>
    </w:p>
    <w:p>
      <w:pPr>
        <w:spacing w:after="0" w:line="174"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b w:val="1"/>
          <w:bCs w:val="1"/>
          <w:color w:val="auto"/>
        </w:rPr>
        <w:t>AGREEMENT</w:t>
      </w:r>
    </w:p>
    <w:p>
      <w:pPr>
        <w:spacing w:after="0" w:line="185" w:lineRule="exact"/>
        <w:rPr>
          <w:sz w:val="20"/>
          <w:szCs w:val="20"/>
          <w:color w:val="auto"/>
        </w:rPr>
      </w:pPr>
    </w:p>
    <w:p>
      <w:pPr>
        <w:ind w:left="5" w:right="3679" w:firstLine="830"/>
        <w:spacing w:after="0" w:line="252" w:lineRule="auto"/>
        <w:rPr>
          <w:sz w:val="20"/>
          <w:szCs w:val="20"/>
          <w:color w:val="auto"/>
        </w:rPr>
      </w:pPr>
      <w:r>
        <w:rPr>
          <w:rFonts w:ascii="Courier New" w:cs="Courier New" w:eastAsia="Courier New" w:hAnsi="Courier New"/>
          <w:sz w:val="15"/>
          <w:szCs w:val="15"/>
          <w:color w:val="auto"/>
        </w:rPr>
        <w:t>In consideration of the mutual promises made herein and in the Formation Agreement, the receipt and sufficiency of which are hereby acknowledged, the parties hereby agree as follows:</w:t>
      </w:r>
    </w:p>
    <w:p>
      <w:pPr>
        <w:spacing w:after="0" w:line="175"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1. Competition.</w:t>
      </w:r>
    </w:p>
    <w:p>
      <w:pPr>
        <w:spacing w:after="0" w:line="185" w:lineRule="exact"/>
        <w:rPr>
          <w:sz w:val="20"/>
          <w:szCs w:val="20"/>
          <w:color w:val="auto"/>
        </w:rPr>
      </w:pPr>
    </w:p>
    <w:p>
      <w:pPr>
        <w:ind w:left="825" w:right="2839" w:firstLine="830"/>
        <w:spacing w:after="0" w:line="251" w:lineRule="auto"/>
        <w:rPr>
          <w:sz w:val="20"/>
          <w:szCs w:val="20"/>
          <w:color w:val="auto"/>
        </w:rPr>
      </w:pPr>
      <w:r>
        <w:rPr>
          <w:rFonts w:ascii="Courier New" w:cs="Courier New" w:eastAsia="Courier New" w:hAnsi="Courier New"/>
          <w:sz w:val="15"/>
          <w:szCs w:val="15"/>
          <w:color w:val="auto"/>
        </w:rPr>
        <w:t>1.1 The business of the Company and its subsidiaries (together the "Company") is to manufacture, buy and sell precision steel balls using the Businesses previously owned by the parties to create marketing and sales opportunities worldwide.</w:t>
      </w:r>
    </w:p>
    <w:p>
      <w:pPr>
        <w:spacing w:after="0" w:line="176" w:lineRule="exact"/>
        <w:rPr>
          <w:sz w:val="20"/>
          <w:szCs w:val="20"/>
          <w:color w:val="auto"/>
        </w:rPr>
      </w:pPr>
    </w:p>
    <w:p>
      <w:pPr>
        <w:ind w:left="825" w:right="3019" w:firstLine="830"/>
        <w:spacing w:after="0" w:line="250" w:lineRule="auto"/>
        <w:rPr>
          <w:sz w:val="20"/>
          <w:szCs w:val="20"/>
          <w:color w:val="auto"/>
        </w:rPr>
      </w:pPr>
      <w:r>
        <w:rPr>
          <w:rFonts w:ascii="Courier New" w:cs="Courier New" w:eastAsia="Courier New" w:hAnsi="Courier New"/>
          <w:sz w:val="15"/>
          <w:szCs w:val="15"/>
          <w:color w:val="auto"/>
        </w:rPr>
        <w:t>1.2 (a) For so long as either of SKF or FAG is a shareholder of the Company NNBR shall be prohibited, and as long as SKF and FAG respectively are shareholders and for a period of three (3) years thereafter, SKF and FAG also shall be prohibited, directly or indirectly, from (i) developing or, except as allowed by Section 1.2(b), below, acquiring any precision steel ball manufacturing facility that competes, directly or indirectly, with the Company in Europe (as defined in the Formation Agreement) (a "Competing Facility"), (ii) soliciting for employment any person employed by the Company and (iii) canvassing or soliciting customers of the Company.</w:t>
      </w:r>
    </w:p>
    <w:p>
      <w:pPr>
        <w:spacing w:after="0" w:line="182" w:lineRule="exact"/>
        <w:rPr>
          <w:sz w:val="20"/>
          <w:szCs w:val="20"/>
          <w:color w:val="auto"/>
        </w:rPr>
      </w:pPr>
    </w:p>
    <w:p>
      <w:pPr>
        <w:ind w:left="1385" w:right="2839" w:firstLine="460"/>
        <w:spacing w:after="0" w:line="251" w:lineRule="auto"/>
        <w:tabs>
          <w:tab w:leader="none" w:pos="221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SKF and its Affiliates and FAG and its Affiliates shall not be deemed to have acquired, directly or indirectly, any Competing Facility solely by virtue of (i) the ownership of less than fifty (50) percent of the outstanding voting stock or debt securities of any publicly held company of which it does not have voting or day-to-day operational control, so long as such company is not engaged in the production of precision steel balls as its primary business, or (ii) having acquired or otherwise voluntarily having combined with a business owning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194945</wp:posOffset>
            </wp:positionV>
            <wp:extent cx="728916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85" w:right="2839"/>
        <w:spacing w:after="0" w:line="251" w:lineRule="auto"/>
        <w:rPr>
          <w:sz w:val="20"/>
          <w:szCs w:val="20"/>
          <w:color w:val="auto"/>
        </w:rPr>
      </w:pPr>
      <w:r>
        <w:rPr>
          <w:rFonts w:ascii="Courier New" w:cs="Courier New" w:eastAsia="Courier New" w:hAnsi="Courier New"/>
          <w:sz w:val="15"/>
          <w:szCs w:val="15"/>
          <w:color w:val="auto"/>
        </w:rPr>
        <w:t>Competing Facility if all production of balls at the Competing Facility is (A) used only for bearings produced at the acquired business, (B) not sold to customers located in Europe or (C) sold to customers located within Europe at volumes not greater than the historical volumes of the acquired business. It is specifically understood that if SKF or FAG is acquired by another company, the restrictions in this Section will be binding only on SKF or FAG, respectively, and will not be binding on or apply to the acquiring company.</w:t>
      </w:r>
    </w:p>
    <w:p>
      <w:pPr>
        <w:spacing w:after="0" w:line="175" w:lineRule="exact"/>
        <w:rPr>
          <w:sz w:val="20"/>
          <w:szCs w:val="20"/>
          <w:color w:val="auto"/>
        </w:rPr>
      </w:pPr>
    </w:p>
    <w:p>
      <w:pPr>
        <w:jc w:val="both"/>
        <w:ind w:left="1385" w:right="2839" w:firstLine="460"/>
        <w:spacing w:after="0" w:line="252" w:lineRule="auto"/>
        <w:tabs>
          <w:tab w:leader="none" w:pos="2216"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NNBR shall be free to manufacture and sell precision steel balls everywhere in the world other than Europe without regard to the business interests of the Company.</w:t>
      </w:r>
    </w:p>
    <w:p>
      <w:pPr>
        <w:spacing w:after="0" w:line="175" w:lineRule="exact"/>
        <w:rPr>
          <w:sz w:val="20"/>
          <w:szCs w:val="20"/>
          <w:color w:val="auto"/>
        </w:rPr>
      </w:pPr>
    </w:p>
    <w:p>
      <w:pPr>
        <w:ind w:left="825" w:right="2839" w:firstLine="830"/>
        <w:spacing w:after="0" w:line="251" w:lineRule="auto"/>
        <w:rPr>
          <w:sz w:val="20"/>
          <w:szCs w:val="20"/>
          <w:color w:val="auto"/>
        </w:rPr>
      </w:pPr>
      <w:r>
        <w:rPr>
          <w:rFonts w:ascii="Courier New" w:cs="Courier New" w:eastAsia="Courier New" w:hAnsi="Courier New"/>
          <w:sz w:val="15"/>
          <w:szCs w:val="15"/>
          <w:color w:val="auto"/>
        </w:rPr>
        <w:t>1.3 If a Shareholder purchases or acquires an interest in additional ball manufacturing assets or operations in Europe, and if the Shareholder decides to close or sell such assets or operations, the Company shall have the first priority right to purchase such assets or operations</w:t>
      </w:r>
    </w:p>
    <w:p>
      <w:pPr>
        <w:spacing w:after="0" w:line="176" w:lineRule="exact"/>
        <w:rPr>
          <w:sz w:val="20"/>
          <w:szCs w:val="20"/>
          <w:color w:val="auto"/>
        </w:rPr>
      </w:pPr>
    </w:p>
    <w:p>
      <w:pPr>
        <w:ind w:left="825" w:right="2839" w:firstLine="830"/>
        <w:spacing w:after="0" w:line="251" w:lineRule="auto"/>
        <w:rPr>
          <w:sz w:val="20"/>
          <w:szCs w:val="20"/>
          <w:color w:val="auto"/>
        </w:rPr>
      </w:pPr>
      <w:r>
        <w:rPr>
          <w:rFonts w:ascii="Courier New" w:cs="Courier New" w:eastAsia="Courier New" w:hAnsi="Courier New"/>
          <w:sz w:val="15"/>
          <w:szCs w:val="15"/>
          <w:color w:val="auto"/>
        </w:rPr>
        <w:t>1.4 Without limitation of Section 1.2(a)(iii), SKF and its Affiliates and FAG and its Affiliates shall be entitled to sell precision steel balls to third parties if done so in relation to sales by them of finished bearings; provided that during the non-compete period applicable to SKF or FAG under Section 1.2, if such balls are available from the Company and historically purchased from the Businesses, they must be purchased by SKF, FAG or their Affiliates from the Company.</w:t>
      </w:r>
    </w:p>
    <w:p>
      <w:pPr>
        <w:spacing w:after="0" w:line="175"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2. Organization and Ownership of the Company.</w:t>
      </w:r>
    </w:p>
    <w:p>
      <w:pPr>
        <w:sectPr>
          <w:pgSz w:w="11900" w:h="16838" w:orient="portrait"/>
          <w:cols w:equalWidth="0" w:num="1">
            <w:col w:w="10225"/>
          </w:cols>
          <w:pgMar w:left="235" w:top="319" w:right="1440" w:bottom="0" w:gutter="0" w:footer="0" w:header="0"/>
        </w:sectPr>
      </w:pPr>
    </w:p>
    <w:bookmarkStart w:id="89" w:name="page90"/>
    <w:bookmarkEnd w:id="89"/>
    <w:p>
      <w:pPr>
        <w:ind w:right="2939" w:firstLine="830"/>
        <w:spacing w:after="0" w:line="252" w:lineRule="auto"/>
        <w:rPr>
          <w:sz w:val="20"/>
          <w:szCs w:val="20"/>
          <w:color w:val="auto"/>
        </w:rPr>
      </w:pPr>
      <w:r>
        <w:rPr>
          <w:rFonts w:ascii="Courier New" w:cs="Courier New" w:eastAsia="Courier New" w:hAnsi="Courier New"/>
          <w:sz w:val="15"/>
          <w:szCs w:val="15"/>
          <w:color w:val="auto"/>
        </w:rPr>
        <w:t>2.1 The parties agree that the Articles of Association of the Company and of its initial subsidiaries shall be in the forms of Exhibits 2.1-A, 2.1-B, 2.1-C and 2.1-D, respectively, hereto.</w:t>
      </w:r>
    </w:p>
    <w:p>
      <w:pPr>
        <w:spacing w:after="0" w:line="175"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2.2 The Company has initially an issued and paid-up share capital of 125,000 DKK, divided into 1250 shares which are owned as follows:</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172"/>
        </w:trPr>
        <w:tc>
          <w:tcPr>
            <w:tcW w:w="1800" w:type="dxa"/>
            <w:vAlign w:val="bottom"/>
          </w:tcPr>
          <w:p>
            <w:pPr>
              <w:jc w:val="center"/>
              <w:ind w:right="703"/>
              <w:spacing w:after="0"/>
              <w:rPr>
                <w:sz w:val="20"/>
                <w:szCs w:val="20"/>
                <w:color w:val="auto"/>
              </w:rPr>
            </w:pPr>
            <w:r>
              <w:rPr>
                <w:rFonts w:ascii="Courier New" w:cs="Courier New" w:eastAsia="Courier New" w:hAnsi="Courier New"/>
                <w:sz w:val="15"/>
                <w:szCs w:val="15"/>
                <w:color w:val="auto"/>
              </w:rPr>
              <w:t>Shareholder</w:t>
            </w:r>
          </w:p>
        </w:tc>
        <w:tc>
          <w:tcPr>
            <w:tcW w:w="2220" w:type="dxa"/>
            <w:vAlign w:val="bottom"/>
          </w:tcPr>
          <w:p>
            <w:pPr>
              <w:ind w:left="780"/>
              <w:spacing w:after="0"/>
              <w:rPr>
                <w:sz w:val="20"/>
                <w:szCs w:val="20"/>
                <w:color w:val="auto"/>
              </w:rPr>
            </w:pPr>
            <w:r>
              <w:rPr>
                <w:rFonts w:ascii="Courier New" w:cs="Courier New" w:eastAsia="Courier New" w:hAnsi="Courier New"/>
                <w:sz w:val="15"/>
                <w:szCs w:val="15"/>
                <w:color w:val="auto"/>
              </w:rPr>
              <w:t>Shares</w:t>
            </w:r>
          </w:p>
        </w:tc>
        <w:tc>
          <w:tcPr>
            <w:tcW w:w="1520" w:type="dxa"/>
            <w:vAlign w:val="bottom"/>
          </w:tcPr>
          <w:p>
            <w:pPr>
              <w:ind w:left="860"/>
              <w:spacing w:after="0"/>
              <w:rPr>
                <w:sz w:val="20"/>
                <w:szCs w:val="20"/>
                <w:color w:val="auto"/>
              </w:rPr>
            </w:pPr>
            <w:r>
              <w:rPr>
                <w:rFonts w:ascii="Courier New" w:cs="Courier New" w:eastAsia="Courier New" w:hAnsi="Courier New"/>
                <w:sz w:val="15"/>
                <w:szCs w:val="15"/>
                <w:color w:val="auto"/>
              </w:rPr>
              <w:t>Percent</w:t>
            </w:r>
          </w:p>
        </w:tc>
      </w:tr>
      <w:tr>
        <w:trPr>
          <w:trHeight w:val="177"/>
        </w:trPr>
        <w:tc>
          <w:tcPr>
            <w:tcW w:w="1800" w:type="dxa"/>
            <w:vAlign w:val="bottom"/>
          </w:tcPr>
          <w:p>
            <w:pPr>
              <w:jc w:val="center"/>
              <w:ind w:right="703"/>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783"/>
              <w:spacing w:after="0"/>
              <w:rPr>
                <w:sz w:val="20"/>
                <w:szCs w:val="20"/>
                <w:color w:val="auto"/>
              </w:rPr>
            </w:pPr>
            <w:r>
              <w:rPr>
                <w:rFonts w:ascii="Courier New" w:cs="Courier New" w:eastAsia="Courier New" w:hAnsi="Courier New"/>
                <w:sz w:val="15"/>
                <w:szCs w:val="15"/>
                <w:color w:val="auto"/>
              </w:rPr>
              <w:t>-------</w:t>
            </w:r>
          </w:p>
        </w:tc>
      </w:tr>
      <w:tr>
        <w:trPr>
          <w:trHeight w:val="177"/>
        </w:trPr>
        <w:tc>
          <w:tcPr>
            <w:tcW w:w="1800" w:type="dxa"/>
            <w:vAlign w:val="bottom"/>
          </w:tcPr>
          <w:p>
            <w:pPr>
              <w:ind w:left="360"/>
              <w:spacing w:after="0"/>
              <w:rPr>
                <w:sz w:val="20"/>
                <w:szCs w:val="20"/>
                <w:color w:val="auto"/>
              </w:rPr>
            </w:pPr>
            <w:r>
              <w:rPr>
                <w:rFonts w:ascii="Courier New" w:cs="Courier New" w:eastAsia="Courier New" w:hAnsi="Courier New"/>
                <w:sz w:val="15"/>
                <w:szCs w:val="15"/>
                <w:color w:val="auto"/>
              </w:rPr>
              <w:t>NNBR</w:t>
            </w:r>
          </w:p>
        </w:tc>
        <w:tc>
          <w:tcPr>
            <w:tcW w:w="2220" w:type="dxa"/>
            <w:vAlign w:val="bottom"/>
          </w:tcPr>
          <w:p>
            <w:pPr>
              <w:ind w:left="880"/>
              <w:spacing w:after="0"/>
              <w:rPr>
                <w:sz w:val="20"/>
                <w:szCs w:val="20"/>
                <w:color w:val="auto"/>
              </w:rPr>
            </w:pPr>
            <w:r>
              <w:rPr>
                <w:rFonts w:ascii="Courier New" w:cs="Courier New" w:eastAsia="Courier New" w:hAnsi="Courier New"/>
                <w:sz w:val="15"/>
                <w:szCs w:val="15"/>
                <w:color w:val="auto"/>
              </w:rPr>
              <w:t>675</w:t>
            </w:r>
          </w:p>
        </w:tc>
        <w:tc>
          <w:tcPr>
            <w:tcW w:w="1520" w:type="dxa"/>
            <w:vAlign w:val="bottom"/>
          </w:tcPr>
          <w:p>
            <w:pPr>
              <w:jc w:val="center"/>
              <w:ind w:left="803"/>
              <w:spacing w:after="0"/>
              <w:rPr>
                <w:sz w:val="20"/>
                <w:szCs w:val="20"/>
                <w:color w:val="auto"/>
              </w:rPr>
            </w:pPr>
            <w:r>
              <w:rPr>
                <w:rFonts w:ascii="Courier New" w:cs="Courier New" w:eastAsia="Courier New" w:hAnsi="Courier New"/>
                <w:sz w:val="15"/>
                <w:szCs w:val="15"/>
                <w:color w:val="auto"/>
              </w:rPr>
              <w:t>54%</w:t>
            </w:r>
          </w:p>
        </w:tc>
      </w:tr>
      <w:tr>
        <w:trPr>
          <w:trHeight w:val="177"/>
        </w:trPr>
        <w:tc>
          <w:tcPr>
            <w:tcW w:w="1800" w:type="dxa"/>
            <w:vAlign w:val="bottom"/>
          </w:tcPr>
          <w:p>
            <w:pPr>
              <w:jc w:val="center"/>
              <w:ind w:right="723"/>
              <w:spacing w:after="0"/>
              <w:rPr>
                <w:sz w:val="20"/>
                <w:szCs w:val="20"/>
                <w:color w:val="auto"/>
              </w:rPr>
            </w:pPr>
            <w:r>
              <w:rPr>
                <w:rFonts w:ascii="Courier New" w:cs="Courier New" w:eastAsia="Courier New" w:hAnsi="Courier New"/>
                <w:sz w:val="15"/>
                <w:szCs w:val="15"/>
                <w:color w:val="auto"/>
              </w:rPr>
              <w:t>FAG</w:t>
            </w:r>
          </w:p>
        </w:tc>
        <w:tc>
          <w:tcPr>
            <w:tcW w:w="2220" w:type="dxa"/>
            <w:vAlign w:val="bottom"/>
          </w:tcPr>
          <w:p>
            <w:pPr>
              <w:ind w:left="780"/>
              <w:spacing w:after="0"/>
              <w:rPr>
                <w:sz w:val="20"/>
                <w:szCs w:val="20"/>
                <w:color w:val="auto"/>
              </w:rPr>
            </w:pPr>
            <w:r>
              <w:rPr>
                <w:rFonts w:ascii="Courier New" w:cs="Courier New" w:eastAsia="Courier New" w:hAnsi="Courier New"/>
                <w:sz w:val="15"/>
                <w:szCs w:val="15"/>
                <w:color w:val="auto"/>
              </w:rPr>
              <w:t>287.50</w:t>
            </w:r>
          </w:p>
        </w:tc>
        <w:tc>
          <w:tcPr>
            <w:tcW w:w="1520" w:type="dxa"/>
            <w:vAlign w:val="bottom"/>
          </w:tcPr>
          <w:p>
            <w:pPr>
              <w:jc w:val="center"/>
              <w:ind w:left="803"/>
              <w:spacing w:after="0"/>
              <w:rPr>
                <w:sz w:val="20"/>
                <w:szCs w:val="20"/>
                <w:color w:val="auto"/>
              </w:rPr>
            </w:pPr>
            <w:r>
              <w:rPr>
                <w:rFonts w:ascii="Courier New" w:cs="Courier New" w:eastAsia="Courier New" w:hAnsi="Courier New"/>
                <w:sz w:val="15"/>
                <w:szCs w:val="15"/>
                <w:color w:val="auto"/>
              </w:rPr>
              <w:t>23%</w:t>
            </w:r>
          </w:p>
        </w:tc>
      </w:tr>
      <w:tr>
        <w:trPr>
          <w:trHeight w:val="177"/>
        </w:trPr>
        <w:tc>
          <w:tcPr>
            <w:tcW w:w="1800" w:type="dxa"/>
            <w:vAlign w:val="bottom"/>
          </w:tcPr>
          <w:p>
            <w:pPr>
              <w:jc w:val="center"/>
              <w:ind w:right="723"/>
              <w:spacing w:after="0"/>
              <w:rPr>
                <w:sz w:val="20"/>
                <w:szCs w:val="20"/>
                <w:color w:val="auto"/>
              </w:rPr>
            </w:pPr>
            <w:r>
              <w:rPr>
                <w:rFonts w:ascii="Courier New" w:cs="Courier New" w:eastAsia="Courier New" w:hAnsi="Courier New"/>
                <w:sz w:val="15"/>
                <w:szCs w:val="15"/>
                <w:color w:val="auto"/>
              </w:rPr>
              <w:t>SKF</w:t>
            </w:r>
          </w:p>
        </w:tc>
        <w:tc>
          <w:tcPr>
            <w:tcW w:w="2220" w:type="dxa"/>
            <w:vAlign w:val="bottom"/>
          </w:tcPr>
          <w:p>
            <w:pPr>
              <w:ind w:left="780"/>
              <w:spacing w:after="0"/>
              <w:rPr>
                <w:sz w:val="20"/>
                <w:szCs w:val="20"/>
                <w:color w:val="auto"/>
              </w:rPr>
            </w:pPr>
            <w:r>
              <w:rPr>
                <w:rFonts w:ascii="Courier New" w:cs="Courier New" w:eastAsia="Courier New" w:hAnsi="Courier New"/>
                <w:sz w:val="15"/>
                <w:szCs w:val="15"/>
                <w:color w:val="auto"/>
              </w:rPr>
              <w:t>287.50</w:t>
            </w:r>
          </w:p>
        </w:tc>
        <w:tc>
          <w:tcPr>
            <w:tcW w:w="1520" w:type="dxa"/>
            <w:vAlign w:val="bottom"/>
          </w:tcPr>
          <w:p>
            <w:pPr>
              <w:jc w:val="center"/>
              <w:ind w:left="803"/>
              <w:spacing w:after="0"/>
              <w:rPr>
                <w:sz w:val="20"/>
                <w:szCs w:val="20"/>
                <w:color w:val="auto"/>
              </w:rPr>
            </w:pPr>
            <w:r>
              <w:rPr>
                <w:rFonts w:ascii="Courier New" w:cs="Courier New" w:eastAsia="Courier New" w:hAnsi="Courier New"/>
                <w:sz w:val="15"/>
                <w:szCs w:val="15"/>
                <w:color w:val="auto"/>
              </w:rPr>
              <w:t>23%</w:t>
            </w:r>
          </w:p>
        </w:tc>
      </w:tr>
    </w:tbl>
    <w:p>
      <w:pPr>
        <w:spacing w:after="0" w:line="360"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2.3 In the event of any conflict between the terms of this Agreement and the Articles of Association of the Company or of any of its subsidiaries, the terms of this Agreement shall, as among the Shareholders, prevail and the Shareholders shall forthwith cause such necessary alterations to be made to such Articles of Association as may be required to solve such conflict.</w:t>
      </w:r>
    </w:p>
    <w:p>
      <w:pPr>
        <w:spacing w:after="0" w:line="176"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60" w:hanging="463"/>
        <w:spacing w:after="0"/>
        <w:tabs>
          <w:tab w:leader="none" w:pos="5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of the Company.</w:t>
      </w:r>
    </w:p>
    <w:p>
      <w:pPr>
        <w:spacing w:after="0" w:line="184" w:lineRule="exact"/>
        <w:rPr>
          <w:rFonts w:ascii="Courier New" w:cs="Courier New" w:eastAsia="Courier New" w:hAnsi="Courier New"/>
          <w:sz w:val="15"/>
          <w:szCs w:val="15"/>
          <w:color w:val="auto"/>
        </w:rPr>
      </w:pPr>
    </w:p>
    <w:p>
      <w:pPr>
        <w:ind w:left="5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General Meetings and Resolutions of Shareholders.</w:t>
      </w:r>
    </w:p>
    <w:p>
      <w:pPr>
        <w:spacing w:after="0" w:line="184" w:lineRule="exact"/>
        <w:rPr>
          <w:rFonts w:ascii="Courier New" w:cs="Courier New" w:eastAsia="Courier New" w:hAnsi="Courier New"/>
          <w:sz w:val="15"/>
          <w:szCs w:val="15"/>
          <w:color w:val="auto"/>
        </w:rPr>
      </w:pPr>
    </w:p>
    <w:p>
      <w:pPr>
        <w:ind w:left="560" w:right="2939" w:firstLine="460"/>
        <w:spacing w:after="0" w:line="253" w:lineRule="auto"/>
        <w:tabs>
          <w:tab w:leader="none" w:pos="1390"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Meetings shall be held whenever required by the laws of Denmark or the Articles of Association.</w:t>
      </w:r>
    </w:p>
    <w:p>
      <w:pPr>
        <w:spacing w:after="0" w:line="174" w:lineRule="exact"/>
        <w:rPr>
          <w:rFonts w:ascii="Courier New" w:cs="Courier New" w:eastAsia="Courier New" w:hAnsi="Courier New"/>
          <w:sz w:val="15"/>
          <w:szCs w:val="15"/>
          <w:color w:val="auto"/>
        </w:rPr>
      </w:pPr>
    </w:p>
    <w:p>
      <w:pPr>
        <w:ind w:left="560" w:right="2839" w:firstLine="460"/>
        <w:spacing w:after="0" w:line="251" w:lineRule="auto"/>
        <w:tabs>
          <w:tab w:leader="none" w:pos="1390"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quorum required for a General Meeting of the shareholders shall be shareholders representing, in person or by proxy, at least fifty percent (50%) of the total number of issued and outstanding shares of the Company; provided that at least 30 days prior written notice of any General Meeting has been given. The quorum required for any General Meeting called upon less than 30 days prior written notice shall be one hundred percent (100%) of the total number of issued and outstanding shares of the Company.</w:t>
      </w:r>
    </w:p>
    <w:p>
      <w:pPr>
        <w:spacing w:after="0" w:line="175" w:lineRule="exact"/>
        <w:rPr>
          <w:rFonts w:ascii="Courier New" w:cs="Courier New" w:eastAsia="Courier New" w:hAnsi="Courier New"/>
          <w:sz w:val="15"/>
          <w:szCs w:val="15"/>
          <w:color w:val="auto"/>
        </w:rPr>
      </w:pPr>
    </w:p>
    <w:p>
      <w:pPr>
        <w:ind w:left="560" w:right="2939" w:firstLine="460"/>
        <w:spacing w:after="0" w:line="251" w:lineRule="auto"/>
        <w:tabs>
          <w:tab w:leader="none" w:pos="1390"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required by the laws of Denmark or otherwise explicitly provided herein, no shareholders' resolutions shall be effective unless adopted by the affirmative votes of shareholders holding more than fifty percent (50%) of the shares present, in person or by proxy, at a General Meeting of the shareholders.</w:t>
      </w:r>
    </w:p>
    <w:p>
      <w:pPr>
        <w:spacing w:after="0" w:line="175" w:lineRule="exact"/>
        <w:rPr>
          <w:rFonts w:ascii="Courier New" w:cs="Courier New" w:eastAsia="Courier New" w:hAnsi="Courier New"/>
          <w:sz w:val="15"/>
          <w:szCs w:val="15"/>
          <w:color w:val="auto"/>
        </w:rPr>
      </w:pPr>
    </w:p>
    <w:p>
      <w:pPr>
        <w:ind w:left="560" w:right="2839" w:firstLine="460"/>
        <w:spacing w:after="0" w:line="253" w:lineRule="auto"/>
        <w:tabs>
          <w:tab w:leader="none" w:pos="1390"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Interpreters may attend General Meetings of shareholders upon the request of any party.</w:t>
      </w:r>
    </w:p>
    <w:p>
      <w:pPr>
        <w:spacing w:after="0" w:line="174"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3.2 Election of Directors and Statutory Auditors.</w:t>
      </w:r>
    </w:p>
    <w:p>
      <w:pPr>
        <w:spacing w:after="0" w:line="185" w:lineRule="exact"/>
        <w:rPr>
          <w:sz w:val="20"/>
          <w:szCs w:val="20"/>
          <w:color w:val="auto"/>
        </w:rPr>
      </w:pPr>
    </w:p>
    <w:p>
      <w:pPr>
        <w:ind w:left="560" w:right="3119" w:firstLine="460"/>
        <w:spacing w:after="0" w:line="250" w:lineRule="auto"/>
        <w:tabs>
          <w:tab w:leader="none" w:pos="1390"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administered by a Board of Directors composed of at least two (2) and not more than seven</w:t>
      </w:r>
    </w:p>
    <w:p>
      <w:pPr>
        <w:ind w:left="920" w:hanging="361"/>
        <w:spacing w:after="0"/>
        <w:tabs>
          <w:tab w:leader="none" w:pos="92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w:t>
      </w:r>
    </w:p>
    <w:p>
      <w:pPr>
        <w:spacing w:after="0" w:line="184" w:lineRule="exact"/>
        <w:rPr>
          <w:rFonts w:ascii="Courier New" w:cs="Courier New" w:eastAsia="Courier New" w:hAnsi="Courier New"/>
          <w:sz w:val="15"/>
          <w:szCs w:val="15"/>
          <w:color w:val="auto"/>
        </w:rPr>
      </w:pPr>
    </w:p>
    <w:p>
      <w:pPr>
        <w:ind w:left="560" w:right="2839" w:firstLine="460"/>
        <w:spacing w:after="0" w:line="251" w:lineRule="auto"/>
        <w:tabs>
          <w:tab w:leader="none" w:pos="139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one (1) Independent Accounting Firm who shall be appointed by the Shareholders. Unless otherwise agreed in writing by all Shareholders, KPMG shall be appointed. The parties agree to exercise their respective voting rights as shareholders of the Company and to take all other necessary action so as to ensure that the persons nominated as statutory auditor(s) by the Shareholders are elected.</w:t>
      </w:r>
    </w:p>
    <w:p>
      <w:pPr>
        <w:spacing w:after="0" w:line="17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3.3 Meetings and Resolutions of the Board of Directors.</w:t>
      </w:r>
    </w:p>
    <w:p>
      <w:pPr>
        <w:spacing w:after="0" w:line="185" w:lineRule="exact"/>
        <w:rPr>
          <w:sz w:val="20"/>
          <w:szCs w:val="20"/>
          <w:color w:val="auto"/>
        </w:rPr>
      </w:pPr>
    </w:p>
    <w:p>
      <w:pPr>
        <w:ind w:left="560" w:right="3019" w:firstLine="460"/>
        <w:spacing w:after="0" w:line="250" w:lineRule="auto"/>
        <w:tabs>
          <w:tab w:leader="none" w:pos="139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regular meeting of the Board of Directors shall be held semi-annually. Meetings will be held at such times and locations as the Chairman shall reasonably determine. Written notice of all regularly scheduled meetings shall be required. Such notice shall be in English language and shall state the time, place and agenda of the meeting and shall be sent to each director at least fourteen (14) days prior to the meeting. Any director may, at least five (5) days prior to a regularly scheduled meeting provide written notice to the other directors of any matter to be discussed at the meeting.</w:t>
      </w:r>
    </w:p>
    <w:p>
      <w:pPr>
        <w:spacing w:after="0" w:line="35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560" w:right="2939" w:firstLine="460"/>
        <w:spacing w:after="0" w:line="252" w:lineRule="auto"/>
        <w:tabs>
          <w:tab w:leader="none" w:pos="139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shall have the right to call, from time to time, a special meeting of the Board of Directors upon not less than 10 days prior written notice.</w:t>
      </w:r>
    </w:p>
    <w:p>
      <w:pPr>
        <w:spacing w:after="0" w:line="174" w:lineRule="exact"/>
        <w:rPr>
          <w:rFonts w:ascii="Courier New" w:cs="Courier New" w:eastAsia="Courier New" w:hAnsi="Courier New"/>
          <w:sz w:val="15"/>
          <w:szCs w:val="15"/>
          <w:color w:val="auto"/>
        </w:rPr>
      </w:pPr>
    </w:p>
    <w:p>
      <w:pPr>
        <w:ind w:left="560" w:right="2939" w:firstLine="460"/>
        <w:spacing w:after="0" w:line="252" w:lineRule="auto"/>
        <w:tabs>
          <w:tab w:leader="none" w:pos="139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of the Board of Directors shall require the approval of the affirmative vote of a simple majority of the members of the Board of Directors present at a meeting.</w:t>
      </w:r>
    </w:p>
    <w:p>
      <w:pPr>
        <w:sectPr>
          <w:pgSz w:w="11900" w:h="16838" w:orient="portrait"/>
          <w:cols w:equalWidth="0" w:num="1">
            <w:col w:w="9399"/>
          </w:cols>
          <w:pgMar w:left="1060" w:top="319" w:right="1440" w:bottom="0" w:gutter="0" w:footer="0" w:header="0"/>
        </w:sectPr>
      </w:pPr>
    </w:p>
    <w:bookmarkStart w:id="90" w:name="page91"/>
    <w:bookmarkEnd w:id="90"/>
    <w:p>
      <w:pPr>
        <w:ind w:left="560" w:right="2939" w:firstLine="460"/>
        <w:spacing w:after="0" w:line="252" w:lineRule="auto"/>
        <w:tabs>
          <w:tab w:leader="none" w:pos="139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Interpreters may attend meetings of the Board of Directors upon the request of any party. Board meetings shall be conducted in English.</w:t>
      </w:r>
    </w:p>
    <w:p>
      <w:pPr>
        <w:spacing w:after="0" w:line="175" w:lineRule="exact"/>
        <w:rPr>
          <w:sz w:val="20"/>
          <w:szCs w:val="20"/>
          <w:color w:val="auto"/>
        </w:rPr>
      </w:pPr>
    </w:p>
    <w:p>
      <w:pPr>
        <w:ind w:left="560"/>
        <w:spacing w:after="0"/>
        <w:tabs>
          <w:tab w:leader="none" w:pos="1000" w:val="left"/>
        </w:tabs>
        <w:rPr>
          <w:sz w:val="20"/>
          <w:szCs w:val="20"/>
          <w:color w:val="auto"/>
        </w:rPr>
      </w:pPr>
      <w:r>
        <w:rPr>
          <w:rFonts w:ascii="Courier New" w:cs="Courier New" w:eastAsia="Courier New" w:hAnsi="Courier New"/>
          <w:sz w:val="15"/>
          <w:szCs w:val="15"/>
          <w:color w:val="auto"/>
        </w:rPr>
        <w:t>3.4</w:t>
        <w:tab/>
        <w:t>Accounting and Reporting Obligations.</w:t>
      </w:r>
    </w:p>
    <w:p>
      <w:pPr>
        <w:spacing w:after="0" w:line="185" w:lineRule="exact"/>
        <w:rPr>
          <w:sz w:val="20"/>
          <w:szCs w:val="20"/>
          <w:color w:val="auto"/>
        </w:rPr>
      </w:pPr>
    </w:p>
    <w:p>
      <w:pPr>
        <w:ind w:left="560" w:right="2839" w:firstLine="460"/>
        <w:spacing w:after="0" w:line="251" w:lineRule="auto"/>
        <w:tabs>
          <w:tab w:leader="none" w:pos="139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shall be the calendar year and its financial statements shall be prepared in accordance with the Danish Presentation of Accounts Act and shall, to the extent permissible under Danish law, be adjusted for the purpose of U.S. GAAP.</w:t>
      </w:r>
    </w:p>
    <w:p>
      <w:pPr>
        <w:spacing w:after="0" w:line="176" w:lineRule="exact"/>
        <w:rPr>
          <w:rFonts w:ascii="Courier New" w:cs="Courier New" w:eastAsia="Courier New" w:hAnsi="Courier New"/>
          <w:sz w:val="15"/>
          <w:szCs w:val="15"/>
          <w:color w:val="auto"/>
        </w:rPr>
      </w:pPr>
    </w:p>
    <w:p>
      <w:pPr>
        <w:ind w:left="560" w:right="2939" w:firstLine="460"/>
        <w:spacing w:after="0" w:line="252" w:lineRule="auto"/>
        <w:tabs>
          <w:tab w:leader="none" w:pos="139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the following consolidated reports and statements to the Shareholders in English within the time periods set forth below:</w:t>
      </w:r>
    </w:p>
    <w:p>
      <w:pPr>
        <w:spacing w:after="0" w:line="174" w:lineRule="exact"/>
        <w:rPr>
          <w:rFonts w:ascii="Courier New" w:cs="Courier New" w:eastAsia="Courier New" w:hAnsi="Courier New"/>
          <w:sz w:val="15"/>
          <w:szCs w:val="15"/>
          <w:color w:val="auto"/>
        </w:rPr>
      </w:pPr>
    </w:p>
    <w:p>
      <w:pPr>
        <w:ind w:left="1020" w:right="3219" w:firstLine="461"/>
        <w:spacing w:after="0" w:line="251" w:lineRule="auto"/>
        <w:tabs>
          <w:tab w:leader="none" w:pos="1850"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fifteen (15) days after the end of each month, a monthly operations report, consolidated and for each operating subsidiary, regarding the operating parameters listed in Schedule 3.4(b)(i).</w:t>
      </w:r>
    </w:p>
    <w:p>
      <w:pPr>
        <w:spacing w:after="0" w:line="176" w:lineRule="exact"/>
        <w:rPr>
          <w:rFonts w:ascii="Courier New" w:cs="Courier New" w:eastAsia="Courier New" w:hAnsi="Courier New"/>
          <w:sz w:val="15"/>
          <w:szCs w:val="15"/>
          <w:color w:val="auto"/>
        </w:rPr>
      </w:pPr>
    </w:p>
    <w:p>
      <w:pPr>
        <w:ind w:left="1020" w:right="2939" w:firstLine="461"/>
        <w:spacing w:after="0" w:line="251" w:lineRule="auto"/>
        <w:tabs>
          <w:tab w:leader="none" w:pos="1943"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thirty (30) days after the closing of each quarter, a business operations report will be provided including at a minimum a balance sheet, profit and loss statement, and a cash flow statement.</w:t>
      </w:r>
    </w:p>
    <w:p>
      <w:pPr>
        <w:spacing w:after="0" w:line="176" w:lineRule="exact"/>
        <w:rPr>
          <w:rFonts w:ascii="Courier New" w:cs="Courier New" w:eastAsia="Courier New" w:hAnsi="Courier New"/>
          <w:sz w:val="15"/>
          <w:szCs w:val="15"/>
          <w:color w:val="auto"/>
        </w:rPr>
      </w:pPr>
    </w:p>
    <w:p>
      <w:pPr>
        <w:ind w:left="1020" w:right="2839" w:firstLine="461"/>
        <w:spacing w:after="0" w:line="251" w:lineRule="auto"/>
        <w:tabs>
          <w:tab w:leader="none" w:pos="2035"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ninety (90) days after the end of each fiscal year, an audited balance sheet, profit and loss statement, and cash flow statement, a business operations report, and a proposal governing appropriation of profits or covering losses.</w:t>
      </w:r>
    </w:p>
    <w:p>
      <w:pPr>
        <w:spacing w:after="0" w:line="176" w:lineRule="exact"/>
        <w:rPr>
          <w:rFonts w:ascii="Courier New" w:cs="Courier New" w:eastAsia="Courier New" w:hAnsi="Courier New"/>
          <w:sz w:val="15"/>
          <w:szCs w:val="15"/>
          <w:color w:val="auto"/>
        </w:rPr>
      </w:pPr>
    </w:p>
    <w:p>
      <w:pPr>
        <w:jc w:val="both"/>
        <w:ind w:left="560" w:right="2839" w:firstLine="460"/>
        <w:spacing w:after="0" w:line="252" w:lineRule="auto"/>
        <w:tabs>
          <w:tab w:leader="none" w:pos="139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of the Company on a consolidated basis shall be audited at the expense of the Company by its Independent Accounting Firm in accordance with applicable laws.</w:t>
      </w:r>
    </w:p>
    <w:p>
      <w:pPr>
        <w:spacing w:after="0" w:line="174" w:lineRule="exact"/>
        <w:rPr>
          <w:rFonts w:ascii="Courier New" w:cs="Courier New" w:eastAsia="Courier New" w:hAnsi="Courier New"/>
          <w:sz w:val="15"/>
          <w:szCs w:val="15"/>
          <w:color w:val="auto"/>
        </w:rPr>
      </w:pPr>
    </w:p>
    <w:p>
      <w:pPr>
        <w:ind w:left="560" w:right="2939" w:firstLine="460"/>
        <w:spacing w:after="0" w:line="251" w:lineRule="auto"/>
        <w:tabs>
          <w:tab w:leader="none" w:pos="139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to each party full access to the books and records of the Company, and shall provide to each party the accounting information such party requires to comply with its own financial reporting requirements, provided that any cost involved in providing such information shall be paid by the requesting party.</w:t>
      </w:r>
    </w:p>
    <w:p>
      <w:pPr>
        <w:spacing w:after="0" w:line="175" w:lineRule="exact"/>
        <w:rPr>
          <w:rFonts w:ascii="Courier New" w:cs="Courier New" w:eastAsia="Courier New" w:hAnsi="Courier New"/>
          <w:sz w:val="15"/>
          <w:szCs w:val="15"/>
          <w:color w:val="auto"/>
        </w:rPr>
      </w:pPr>
    </w:p>
    <w:p>
      <w:pPr>
        <w:ind w:left="560" w:right="2939" w:firstLine="460"/>
        <w:spacing w:after="0" w:line="252" w:lineRule="auto"/>
        <w:tabs>
          <w:tab w:leader="none" w:pos="139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upon reasonable written notice to the Company and to the other parties, have reasonable access to the Company's books concerning the Company's financial operations.</w:t>
      </w:r>
    </w:p>
    <w:p>
      <w:pPr>
        <w:spacing w:after="0" w:line="35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560" w:right="2939" w:firstLine="460"/>
        <w:spacing w:after="0" w:line="251" w:lineRule="auto"/>
        <w:tabs>
          <w:tab w:leader="none" w:pos="1390" w:val="left"/>
        </w:tabs>
        <w:numPr>
          <w:ilvl w:val="2"/>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reasonable written notice to the Company and the other parties, but not more often than once every twelve (12) months, each party shall have the right to perform a special audit of the Company by independent outside auditors, at that party's own cost. In addition, upon reasonable notice each party shall have the right to perform or have performed, at that party's own cost, such audits as are necessary to meet such party's financial reporting obligations.</w:t>
      </w:r>
    </w:p>
    <w:p>
      <w:pPr>
        <w:spacing w:after="0" w:line="175" w:lineRule="exact"/>
        <w:rPr>
          <w:rFonts w:ascii="Courier New" w:cs="Courier New" w:eastAsia="Courier New" w:hAnsi="Courier New"/>
          <w:sz w:val="15"/>
          <w:szCs w:val="15"/>
          <w:color w:val="auto"/>
        </w:rPr>
      </w:pPr>
    </w:p>
    <w:p>
      <w:pPr>
        <w:ind w:left="560" w:right="2839" w:firstLine="460"/>
        <w:spacing w:after="0" w:line="251" w:lineRule="auto"/>
        <w:tabs>
          <w:tab w:leader="none" w:pos="1390" w:val="left"/>
        </w:tabs>
        <w:numPr>
          <w:ilvl w:val="2"/>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the right, and each party hereto shall have the right to compel the Company, and the Company shall have the obligation upon request to compel any of its subsidiaries, to have independent outside auditors, upon reasonable written notice to any other party and not more than once each twelve (12) months, at the Company's cost, examine the books and records of that other party that relate to the business of the Company for the purpose of auditing the calculation of sales proceeds or any amounts due to the Company.</w:t>
      </w:r>
    </w:p>
    <w:p>
      <w:pPr>
        <w:spacing w:after="0" w:line="175" w:lineRule="exact"/>
        <w:rPr>
          <w:rFonts w:ascii="Courier New" w:cs="Courier New" w:eastAsia="Courier New" w:hAnsi="Courier New"/>
          <w:sz w:val="15"/>
          <w:szCs w:val="15"/>
          <w:color w:val="auto"/>
        </w:rPr>
      </w:pPr>
    </w:p>
    <w:p>
      <w:pPr>
        <w:ind w:left="-820" w:right="2839" w:firstLine="825"/>
        <w:spacing w:after="0" w:line="251" w:lineRule="auto"/>
        <w:tabs>
          <w:tab w:leader="none" w:pos="2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Distributions. The Company may distribute to each Shareholder, within ninety (90) days after the end of each fiscal year of the Company, an amount equal to any income tax payable by such Shareholder that is attributable to the income of the Company upon receipt by the Company of a certification from the principal financial officer of such Shareholder stating the amount of such income tax payable by Shareholder. If such distributions are made, distributions shall be made to all other Shareholders in proportion to their ownership interests.</w:t>
      </w:r>
    </w:p>
    <w:p>
      <w:pPr>
        <w:spacing w:after="0" w:line="175" w:lineRule="exact"/>
        <w:rPr>
          <w:rFonts w:ascii="Courier New" w:cs="Courier New" w:eastAsia="Courier New" w:hAnsi="Courier New"/>
          <w:sz w:val="15"/>
          <w:szCs w:val="15"/>
          <w:color w:val="auto"/>
        </w:rPr>
      </w:pPr>
    </w:p>
    <w:p>
      <w:pPr>
        <w:ind w:left="380" w:hanging="283"/>
        <w:spacing w:after="0"/>
        <w:tabs>
          <w:tab w:leader="none" w:pos="380"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Obligations of the Parties.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5.1 Additional Financing. Any additional financing that may be determined by the Board of Directors as reasonably required by the annual Budget of the Company may be provided by the Shareholders or by third parties. No party shall have any obligation whatsoever to provide the Company with any additional financing. Any agreement to provide additional financing shall be in writing.</w:t>
      </w:r>
    </w:p>
    <w:p>
      <w:pPr>
        <w:spacing w:after="0" w:line="17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5.2 Transfer of Shares.</w:t>
      </w:r>
    </w:p>
    <w:p>
      <w:pPr>
        <w:spacing w:after="0" w:line="185" w:lineRule="exact"/>
        <w:rPr>
          <w:sz w:val="20"/>
          <w:szCs w:val="20"/>
          <w:color w:val="auto"/>
        </w:rPr>
      </w:pPr>
    </w:p>
    <w:p>
      <w:pPr>
        <w:ind w:left="560" w:right="2839" w:firstLine="460"/>
        <w:spacing w:after="0" w:line="252" w:lineRule="auto"/>
        <w:tabs>
          <w:tab w:leader="none" w:pos="139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share of the Company owned by a Shareholder, or any interest therein, shall be validly sold, transferred or otherwise disposed of and no security interest shall be granted therein for</w:t>
      </w:r>
    </w:p>
    <w:p>
      <w:pPr>
        <w:sectPr>
          <w:pgSz w:w="11900" w:h="16838" w:orient="portrait"/>
          <w:cols w:equalWidth="0" w:num="1">
            <w:col w:w="9399"/>
          </w:cols>
          <w:pgMar w:left="1060" w:top="142" w:right="1440" w:bottom="0" w:gutter="0" w:footer="0" w:header="0"/>
        </w:sectPr>
      </w:pPr>
    </w:p>
    <w:bookmarkStart w:id="91" w:name="page92"/>
    <w:bookmarkEnd w:id="91"/>
    <w:p>
      <w:pPr>
        <w:ind w:left="924" w:right="2939"/>
        <w:spacing w:after="0" w:line="251" w:lineRule="auto"/>
        <w:rPr>
          <w:sz w:val="20"/>
          <w:szCs w:val="20"/>
          <w:color w:val="auto"/>
        </w:rPr>
      </w:pPr>
      <w:r>
        <w:rPr>
          <w:rFonts w:ascii="Courier New" w:cs="Courier New" w:eastAsia="Courier New" w:hAnsi="Courier New"/>
          <w:sz w:val="15"/>
          <w:szCs w:val="15"/>
          <w:color w:val="auto"/>
        </w:rPr>
        <w:t>consideration or otherwise, and no purported transferee shall be recognized as a shareholder of the Company for any purpose whatsoever unless such transfer is approved by all Shareholders or in accordance with this Section 5.</w:t>
      </w:r>
    </w:p>
    <w:p>
      <w:pPr>
        <w:spacing w:after="0" w:line="176" w:lineRule="exact"/>
        <w:rPr>
          <w:sz w:val="20"/>
          <w:szCs w:val="20"/>
          <w:color w:val="auto"/>
        </w:rPr>
      </w:pPr>
    </w:p>
    <w:p>
      <w:pPr>
        <w:ind w:left="924" w:right="2839" w:firstLine="460"/>
        <w:spacing w:after="0" w:line="251" w:lineRule="auto"/>
        <w:tabs>
          <w:tab w:leader="none" w:pos="175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shall pledge or otherwise encumber any of its shares or any interest therein in the Company at any time without the prior written consent of the other parties, provided however that no such consent shall be required for a blanket lien on all assets of a party pursuant to a commercial bank financing.</w:t>
      </w:r>
    </w:p>
    <w:p>
      <w:pPr>
        <w:spacing w:after="0" w:line="176" w:lineRule="exact"/>
        <w:rPr>
          <w:sz w:val="20"/>
          <w:szCs w:val="20"/>
          <w:color w:val="auto"/>
        </w:rPr>
      </w:pPr>
    </w:p>
    <w:p>
      <w:pPr>
        <w:ind w:left="364" w:right="2839" w:firstLine="830"/>
        <w:spacing w:after="0" w:line="251" w:lineRule="auto"/>
        <w:rPr>
          <w:sz w:val="20"/>
          <w:szCs w:val="20"/>
          <w:color w:val="auto"/>
        </w:rPr>
      </w:pPr>
      <w:r>
        <w:rPr>
          <w:rFonts w:ascii="Courier New" w:cs="Courier New" w:eastAsia="Courier New" w:hAnsi="Courier New"/>
          <w:sz w:val="15"/>
          <w:szCs w:val="15"/>
          <w:color w:val="auto"/>
        </w:rPr>
        <w:t>5.3 Put Option. SKF and FAG (each a "Holder", collectively the "Holders") each shall have the independent right to sell to NNBR and NNBR shall be required to purchase all but not less than all of the shares held by such Holder, subject to the following terms and conditions (such right is hereinafter referred to as the "Put Right"):</w:t>
      </w:r>
    </w:p>
    <w:p>
      <w:pPr>
        <w:spacing w:after="0" w:line="176" w:lineRule="exact"/>
        <w:rPr>
          <w:sz w:val="20"/>
          <w:szCs w:val="20"/>
          <w:color w:val="auto"/>
        </w:rPr>
      </w:pPr>
    </w:p>
    <w:p>
      <w:pPr>
        <w:ind w:left="3144"/>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88265</wp:posOffset>
            </wp:positionV>
            <wp:extent cx="728916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924" w:right="2939" w:firstLine="460"/>
        <w:spacing w:after="0" w:line="251" w:lineRule="auto"/>
        <w:tabs>
          <w:tab w:leader="none" w:pos="1754"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Put Exercise Period. The Put Right may not be exercised until after December 31, 2002 and then may only be exercised by written notice given to NNBR (the "Put Notice"). The Put Notice shall state the place, the time and the date (a "Put Closing Date") of the closing of such purchase (a "Put Closing"), which date shall not be less than 60 days from the date the Put Notice is received.</w:t>
      </w:r>
    </w:p>
    <w:p>
      <w:pPr>
        <w:spacing w:after="0" w:line="175" w:lineRule="exact"/>
        <w:rPr>
          <w:rFonts w:ascii="Courier New" w:cs="Courier New" w:eastAsia="Courier New" w:hAnsi="Courier New"/>
          <w:sz w:val="15"/>
          <w:szCs w:val="15"/>
          <w:color w:val="auto"/>
        </w:rPr>
      </w:pPr>
    </w:p>
    <w:p>
      <w:pPr>
        <w:ind w:left="924" w:right="2839" w:firstLine="460"/>
        <w:spacing w:after="0" w:line="250" w:lineRule="auto"/>
        <w:tabs>
          <w:tab w:leader="none" w:pos="1754"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Put Closing. At a Put Closing, (i) the Holder exercising such right shall deliver to NNBR all of the shares to be purchased by delivery of a certificate or certificates evidencing such shares so purchased by NNBR, free and clear of any liens, encumbrances or any interests of any other party and (ii) NNBR will make payment to the Holder exercising such right of the Purchase Price (as defined under 5.3(c) below) for the shares being purchased upon exercise of the Put Right by wire transfer of immediately available funds to an account designated by the Holder.</w:t>
      </w:r>
    </w:p>
    <w:p>
      <w:pPr>
        <w:spacing w:after="0" w:line="181" w:lineRule="exact"/>
        <w:rPr>
          <w:rFonts w:ascii="Courier New" w:cs="Courier New" w:eastAsia="Courier New" w:hAnsi="Courier New"/>
          <w:sz w:val="15"/>
          <w:szCs w:val="15"/>
          <w:color w:val="auto"/>
        </w:rPr>
      </w:pPr>
    </w:p>
    <w:p>
      <w:pPr>
        <w:ind w:left="924" w:right="2939" w:firstLine="460"/>
        <w:spacing w:after="0" w:line="251" w:lineRule="auto"/>
        <w:tabs>
          <w:tab w:leader="none" w:pos="1754"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Subject to 5.3(d), below, the purchase price of the shares (the "Purchase Price") shall be calculated using the same accounting principles used to prepare the Closing Balance Sheet as defined in Section 5.5(a)(ii) of the Formation Agreement and determined in Euros by the following formula:</w:t>
      </w:r>
    </w:p>
    <w:p>
      <w:pPr>
        <w:spacing w:after="0" w:line="176" w:lineRule="exact"/>
        <w:rPr>
          <w:sz w:val="20"/>
          <w:szCs w:val="20"/>
          <w:color w:val="auto"/>
        </w:rPr>
      </w:pPr>
    </w:p>
    <w:tbl>
      <w:tblPr>
        <w:tblLayout w:type="fixed"/>
        <w:tblInd w:w="464" w:type="dxa"/>
        <w:tblCellMar>
          <w:top w:w="0" w:type="dxa"/>
          <w:left w:w="0" w:type="dxa"/>
          <w:bottom w:w="0" w:type="dxa"/>
          <w:right w:w="0" w:type="dxa"/>
        </w:tblCellMar>
      </w:tblPr>
      <w:tr>
        <w:trPr>
          <w:trHeight w:val="172"/>
        </w:trPr>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A + B</w:t>
            </w:r>
          </w:p>
        </w:tc>
        <w:tc>
          <w:tcPr>
            <w:tcW w:w="4660" w:type="dxa"/>
            <w:vAlign w:val="bottom"/>
          </w:tcPr>
          <w:p>
            <w:pPr>
              <w:ind w:left="140"/>
              <w:spacing w:after="0"/>
              <w:rPr>
                <w:sz w:val="20"/>
                <w:szCs w:val="20"/>
                <w:color w:val="auto"/>
              </w:rPr>
            </w:pPr>
            <w:r>
              <w:rPr>
                <w:rFonts w:ascii="Courier New" w:cs="Courier New" w:eastAsia="Courier New" w:hAnsi="Courier New"/>
                <w:sz w:val="15"/>
                <w:szCs w:val="15"/>
                <w:color w:val="auto"/>
              </w:rPr>
              <w:t>times 0.23</w:t>
            </w:r>
          </w:p>
        </w:tc>
      </w:tr>
      <w:tr>
        <w:trPr>
          <w:trHeight w:val="177"/>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466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2</w:t>
            </w:r>
          </w:p>
        </w:tc>
        <w:tc>
          <w:tcPr>
            <w:tcW w:w="4660" w:type="dxa"/>
            <w:vAlign w:val="bottom"/>
          </w:tcPr>
          <w:p>
            <w:pPr>
              <w:spacing w:after="0"/>
              <w:rPr>
                <w:sz w:val="15"/>
                <w:szCs w:val="15"/>
                <w:color w:val="auto"/>
              </w:rPr>
            </w:pPr>
          </w:p>
        </w:tc>
      </w:tr>
      <w:tr>
        <w:trPr>
          <w:trHeight w:val="532"/>
        </w:trPr>
        <w:tc>
          <w:tcPr>
            <w:tcW w:w="1520" w:type="dxa"/>
            <w:vAlign w:val="bottom"/>
          </w:tcPr>
          <w:p>
            <w:pPr>
              <w:spacing w:after="0"/>
              <w:rPr>
                <w:sz w:val="20"/>
                <w:szCs w:val="20"/>
                <w:color w:val="auto"/>
              </w:rPr>
            </w:pPr>
            <w:r>
              <w:rPr>
                <w:rFonts w:ascii="Courier New" w:cs="Courier New" w:eastAsia="Courier New" w:hAnsi="Courier New"/>
                <w:sz w:val="15"/>
                <w:szCs w:val="15"/>
                <w:color w:val="auto"/>
              </w:rPr>
              <w:t>Where A Equals</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w:t>
            </w:r>
          </w:p>
        </w:tc>
        <w:tc>
          <w:tcPr>
            <w:tcW w:w="5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average of the Company's net income for each of the 36</w:t>
            </w:r>
          </w:p>
        </w:tc>
      </w:tr>
      <w:tr>
        <w:trPr>
          <w:trHeight w:val="177"/>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months preceding the month in which the Put is exercised (or</w:t>
            </w:r>
          </w:p>
        </w:tc>
      </w:tr>
      <w:tr>
        <w:trPr>
          <w:trHeight w:val="177"/>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such fewer number of months as the Company shall have been</w:t>
            </w:r>
          </w:p>
        </w:tc>
      </w:tr>
      <w:tr>
        <w:trPr>
          <w:trHeight w:val="177"/>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 operation) (the "Measurement Period"), multiplied by 12,</w:t>
            </w:r>
          </w:p>
        </w:tc>
      </w:tr>
      <w:tr>
        <w:trPr>
          <w:trHeight w:val="177"/>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and</w:t>
            </w:r>
          </w:p>
        </w:tc>
        <w:tc>
          <w:tcPr>
            <w:tcW w:w="4660" w:type="dxa"/>
            <w:vAlign w:val="bottom"/>
          </w:tcPr>
          <w:p>
            <w:pPr>
              <w:spacing w:after="0"/>
              <w:rPr>
                <w:sz w:val="15"/>
                <w:szCs w:val="15"/>
                <w:color w:val="auto"/>
              </w:rPr>
            </w:pPr>
          </w:p>
        </w:tc>
      </w:tr>
      <w:tr>
        <w:trPr>
          <w:trHeight w:val="355"/>
        </w:trPr>
        <w:tc>
          <w:tcPr>
            <w:tcW w:w="1520" w:type="dxa"/>
            <w:vAlign w:val="bottom"/>
          </w:tcPr>
          <w:p>
            <w:pPr>
              <w:spacing w:after="0"/>
              <w:rPr>
                <w:sz w:val="24"/>
                <w:szCs w:val="24"/>
                <w:color w:val="auto"/>
              </w:rPr>
            </w:pP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w:t>
            </w:r>
          </w:p>
        </w:tc>
        <w:tc>
          <w:tcPr>
            <w:tcW w:w="5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multiplied by 9.8.</w:t>
            </w:r>
          </w:p>
        </w:tc>
      </w:tr>
      <w:tr>
        <w:trPr>
          <w:trHeight w:val="355"/>
        </w:trPr>
        <w:tc>
          <w:tcPr>
            <w:tcW w:w="1520" w:type="dxa"/>
            <w:vAlign w:val="bottom"/>
          </w:tcPr>
          <w:p>
            <w:pPr>
              <w:spacing w:after="0"/>
              <w:rPr>
                <w:sz w:val="20"/>
                <w:szCs w:val="20"/>
                <w:color w:val="auto"/>
              </w:rPr>
            </w:pPr>
            <w:r>
              <w:rPr>
                <w:rFonts w:ascii="Courier New" w:cs="Courier New" w:eastAsia="Courier New" w:hAnsi="Courier New"/>
                <w:sz w:val="15"/>
                <w:szCs w:val="15"/>
                <w:color w:val="auto"/>
              </w:rPr>
              <w:t>Where B Equals</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w:t>
            </w:r>
          </w:p>
        </w:tc>
        <w:tc>
          <w:tcPr>
            <w:tcW w:w="5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average of the Company's EBITDA for the Measurement</w:t>
            </w:r>
          </w:p>
        </w:tc>
      </w:tr>
      <w:tr>
        <w:trPr>
          <w:trHeight w:val="177"/>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Period, multiplied by 12, and</w:t>
            </w:r>
          </w:p>
        </w:tc>
      </w:tr>
    </w:tbl>
    <w:p>
      <w:pPr>
        <w:spacing w:after="0" w:line="183" w:lineRule="exact"/>
        <w:rPr>
          <w:sz w:val="20"/>
          <w:szCs w:val="20"/>
          <w:color w:val="auto"/>
        </w:rPr>
      </w:pPr>
    </w:p>
    <w:p>
      <w:pPr>
        <w:ind w:left="2684" w:hanging="470"/>
        <w:spacing w:after="0"/>
        <w:tabs>
          <w:tab w:leader="none" w:pos="2684"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multiplied by 4.3, and</w:t>
      </w:r>
    </w:p>
    <w:p>
      <w:pPr>
        <w:spacing w:after="0" w:line="184" w:lineRule="exact"/>
        <w:rPr>
          <w:rFonts w:ascii="Courier New" w:cs="Courier New" w:eastAsia="Courier New" w:hAnsi="Courier New"/>
          <w:sz w:val="15"/>
          <w:szCs w:val="15"/>
          <w:color w:val="auto"/>
        </w:rPr>
      </w:pPr>
    </w:p>
    <w:p>
      <w:pPr>
        <w:ind w:left="2684" w:right="2019" w:hanging="470"/>
        <w:spacing w:after="0" w:line="253" w:lineRule="auto"/>
        <w:tabs>
          <w:tab w:leader="none" w:pos="2684"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minus the short and long term bank loans of the Company existing at the end of the Measurement Period.</w:t>
      </w:r>
    </w:p>
    <w:p>
      <w:pPr>
        <w:spacing w:after="0" w:line="174" w:lineRule="exact"/>
        <w:rPr>
          <w:rFonts w:ascii="Courier New" w:cs="Courier New" w:eastAsia="Courier New" w:hAnsi="Courier New"/>
          <w:sz w:val="15"/>
          <w:szCs w:val="15"/>
          <w:color w:val="auto"/>
        </w:rPr>
      </w:pPr>
    </w:p>
    <w:p>
      <w:pPr>
        <w:ind w:left="1744" w:hanging="360"/>
        <w:spacing w:after="0"/>
        <w:tabs>
          <w:tab w:leader="none" w:pos="1744"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Adjustment. The Purchase Price formula in</w:t>
      </w:r>
    </w:p>
    <w:p>
      <w:pPr>
        <w:spacing w:after="0" w:line="8" w:lineRule="exact"/>
        <w:rPr>
          <w:sz w:val="20"/>
          <w:szCs w:val="20"/>
          <w:color w:val="auto"/>
        </w:rPr>
      </w:pPr>
    </w:p>
    <w:p>
      <w:pPr>
        <w:ind w:left="924" w:right="3219"/>
        <w:spacing w:after="0" w:line="252" w:lineRule="auto"/>
        <w:rPr>
          <w:sz w:val="20"/>
          <w:szCs w:val="20"/>
          <w:color w:val="auto"/>
        </w:rPr>
      </w:pPr>
      <w:r>
        <w:rPr>
          <w:rFonts w:ascii="Courier New" w:cs="Courier New" w:eastAsia="Courier New" w:hAnsi="Courier New"/>
          <w:sz w:val="15"/>
          <w:szCs w:val="15"/>
          <w:color w:val="auto"/>
        </w:rPr>
        <w:t>Section 5.3(c) shall be adjusted if a party exercises its Put Right after June 30, 2006 by using the actual percentage ownership in the Company of the Holder instead of 0.23.</w:t>
      </w:r>
    </w:p>
    <w:p>
      <w:pPr>
        <w:spacing w:after="0" w:line="175" w:lineRule="exact"/>
        <w:rPr>
          <w:sz w:val="20"/>
          <w:szCs w:val="20"/>
          <w:color w:val="auto"/>
        </w:rPr>
      </w:pPr>
    </w:p>
    <w:p>
      <w:pPr>
        <w:ind w:left="3144"/>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88265</wp:posOffset>
            </wp:positionV>
            <wp:extent cx="728916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56" w:right="3119" w:firstLine="456"/>
        <w:spacing w:after="0" w:line="252" w:lineRule="auto"/>
        <w:tabs>
          <w:tab w:leader="none" w:pos="282"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shall terminate (a) when both SKF and FAG are no longer shareholders in the Company or (b) as to any party at the time such party is no longer a shareholder.</w:t>
      </w:r>
    </w:p>
    <w:p>
      <w:pPr>
        <w:spacing w:after="0" w:line="174" w:lineRule="exact"/>
        <w:rPr>
          <w:rFonts w:ascii="Courier New" w:cs="Courier New" w:eastAsia="Courier New" w:hAnsi="Courier New"/>
          <w:sz w:val="15"/>
          <w:szCs w:val="15"/>
          <w:color w:val="auto"/>
        </w:rPr>
      </w:pPr>
    </w:p>
    <w:p>
      <w:pPr>
        <w:ind w:left="-456" w:right="2939" w:firstLine="456"/>
        <w:spacing w:after="0" w:line="251" w:lineRule="auto"/>
        <w:tabs>
          <w:tab w:leader="none" w:pos="282"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The Company shall not voluntarily be liquidated or dissolved during the two (2) year period following its effective date without the unanimous approval of the parties. Provided that, in any event, if there is a material breach by SKF or FAG of the Supply Agreement, the Company may be dissolved and liquidated notwithstanding the preceding sentence.</w:t>
      </w:r>
    </w:p>
    <w:p>
      <w:pPr>
        <w:spacing w:after="0" w:line="176" w:lineRule="exact"/>
        <w:rPr>
          <w:rFonts w:ascii="Courier New" w:cs="Courier New" w:eastAsia="Courier New" w:hAnsi="Courier New"/>
          <w:sz w:val="15"/>
          <w:szCs w:val="15"/>
          <w:color w:val="auto"/>
        </w:rPr>
      </w:pPr>
    </w:p>
    <w:p>
      <w:pPr>
        <w:ind w:left="284" w:hanging="284"/>
        <w:spacing w:after="0"/>
        <w:tabs>
          <w:tab w:leader="none" w:pos="28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Transfers.</w:t>
      </w:r>
    </w:p>
    <w:p>
      <w:pPr>
        <w:spacing w:after="0" w:line="185" w:lineRule="exact"/>
        <w:rPr>
          <w:sz w:val="20"/>
          <w:szCs w:val="20"/>
          <w:color w:val="auto"/>
        </w:rPr>
      </w:pPr>
    </w:p>
    <w:p>
      <w:pPr>
        <w:ind w:left="364" w:right="2839" w:firstLine="830"/>
        <w:spacing w:after="0" w:line="251" w:lineRule="auto"/>
        <w:rPr>
          <w:sz w:val="20"/>
          <w:szCs w:val="20"/>
          <w:color w:val="auto"/>
        </w:rPr>
      </w:pPr>
      <w:r>
        <w:rPr>
          <w:rFonts w:ascii="Courier New" w:cs="Courier New" w:eastAsia="Courier New" w:hAnsi="Courier New"/>
          <w:sz w:val="15"/>
          <w:szCs w:val="15"/>
          <w:color w:val="auto"/>
        </w:rPr>
        <w:t>8.1 Each of the parties hereby agrees to license to the Company, on a non-exclusive, nontransferable, fully paid up basis, any and all technology, know how, software, operating practices and similar intangible assets held by such party that are used exclusively in the Business of the Company and that were not previously transferred to the</w:t>
      </w:r>
    </w:p>
    <w:p>
      <w:pPr>
        <w:sectPr>
          <w:pgSz w:w="11900" w:h="16838" w:orient="portrait"/>
          <w:cols w:equalWidth="0" w:num="1">
            <w:col w:w="9763"/>
          </w:cols>
          <w:pgMar w:left="696" w:top="142" w:right="1440" w:bottom="0" w:gutter="0" w:footer="0" w:header="0"/>
        </w:sectPr>
      </w:pPr>
    </w:p>
    <w:bookmarkStart w:id="92" w:name="page93"/>
    <w:bookmarkEnd w:id="92"/>
    <w:p>
      <w:pPr>
        <w:jc w:val="both"/>
        <w:ind w:left="360" w:right="3019"/>
        <w:spacing w:after="0" w:line="252" w:lineRule="auto"/>
        <w:rPr>
          <w:sz w:val="20"/>
          <w:szCs w:val="20"/>
          <w:color w:val="auto"/>
        </w:rPr>
      </w:pPr>
      <w:r>
        <w:rPr>
          <w:rFonts w:ascii="Courier New" w:cs="Courier New" w:eastAsia="Courier New" w:hAnsi="Courier New"/>
          <w:sz w:val="15"/>
          <w:szCs w:val="15"/>
          <w:color w:val="auto"/>
        </w:rPr>
        <w:t>Company or a subsidiary of the Company and to execute and deliver all documents reasonably necessary to effect or memorialize such license agreement.</w:t>
      </w:r>
    </w:p>
    <w:p>
      <w:pPr>
        <w:spacing w:after="0" w:line="175" w:lineRule="exact"/>
        <w:rPr>
          <w:sz w:val="20"/>
          <w:szCs w:val="20"/>
          <w:color w:val="auto"/>
        </w:rPr>
      </w:pPr>
    </w:p>
    <w:p>
      <w:pPr>
        <w:ind w:left="360" w:right="2839" w:firstLine="830"/>
        <w:spacing w:after="0" w:line="251" w:lineRule="auto"/>
        <w:rPr>
          <w:sz w:val="20"/>
          <w:szCs w:val="20"/>
          <w:color w:val="auto"/>
        </w:rPr>
      </w:pPr>
      <w:r>
        <w:rPr>
          <w:rFonts w:ascii="Courier New" w:cs="Courier New" w:eastAsia="Courier New" w:hAnsi="Courier New"/>
          <w:sz w:val="15"/>
          <w:szCs w:val="15"/>
          <w:color w:val="auto"/>
        </w:rPr>
        <w:t>8.2 The parties shall cause the Company to license to NNBR on a non-exclusive, non-transferable, fully paid basis, any and all technology, know how, software, operating practices and similar intangible assets now or hereafter held by the Company that are used in the manufacture of precision steel balls and to execute and deliver all documents reasonably necessary to effect or memorialize such agreement.</w:t>
      </w:r>
    </w:p>
    <w:p>
      <w:pPr>
        <w:spacing w:after="0" w:line="176" w:lineRule="exact"/>
        <w:rPr>
          <w:sz w:val="20"/>
          <w:szCs w:val="20"/>
          <w:color w:val="auto"/>
        </w:rPr>
      </w:pPr>
    </w:p>
    <w:p>
      <w:pPr>
        <w:ind w:left="1200" w:hanging="835"/>
        <w:spacing w:after="0"/>
        <w:tabs>
          <w:tab w:leader="none" w:pos="120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 Resolution; Arbitration.</w:t>
      </w:r>
    </w:p>
    <w:p>
      <w:pPr>
        <w:spacing w:after="0" w:line="185" w:lineRule="exact"/>
        <w:rPr>
          <w:sz w:val="20"/>
          <w:szCs w:val="20"/>
          <w:color w:val="auto"/>
        </w:rPr>
      </w:pPr>
    </w:p>
    <w:p>
      <w:pPr>
        <w:ind w:left="360" w:right="2839" w:firstLine="830"/>
        <w:spacing w:after="0" w:line="251" w:lineRule="auto"/>
        <w:rPr>
          <w:sz w:val="20"/>
          <w:szCs w:val="20"/>
          <w:color w:val="auto"/>
        </w:rPr>
      </w:pPr>
      <w:r>
        <w:rPr>
          <w:rFonts w:ascii="Courier New" w:cs="Courier New" w:eastAsia="Courier New" w:hAnsi="Courier New"/>
          <w:sz w:val="15"/>
          <w:szCs w:val="15"/>
          <w:color w:val="auto"/>
        </w:rPr>
        <w:t>9.1 Prior to pursuing arbitration with respect to any dispute hereunder, the chief executive officers or general managers of SKF, FAG and NNBR (or a direct subordinate officer or general manager appointed by them) shall meet to seek an amicable resolution to such dispute. No party shall be entitled to commence arbitration proceedings unless it has attempted for a period of forty-five (45) days from written notice of a dispute to reach such amicable resolution.</w:t>
      </w:r>
    </w:p>
    <w:p>
      <w:pPr>
        <w:spacing w:after="0" w:line="176" w:lineRule="exact"/>
        <w:rPr>
          <w:sz w:val="20"/>
          <w:szCs w:val="20"/>
          <w:color w:val="auto"/>
        </w:rPr>
      </w:pPr>
    </w:p>
    <w:p>
      <w:pPr>
        <w:ind w:left="360" w:right="2839" w:firstLine="830"/>
        <w:spacing w:after="0" w:line="250" w:lineRule="auto"/>
        <w:rPr>
          <w:sz w:val="20"/>
          <w:szCs w:val="20"/>
          <w:color w:val="auto"/>
        </w:rPr>
      </w:pPr>
      <w:r>
        <w:rPr>
          <w:rFonts w:ascii="Courier New" w:cs="Courier New" w:eastAsia="Courier New" w:hAnsi="Courier New"/>
          <w:sz w:val="15"/>
          <w:szCs w:val="15"/>
          <w:color w:val="auto"/>
        </w:rPr>
        <w:t>9.2 After expiration of the forty-five (45) day period referred to in the prior section, any and all disputes, controversies or claims arising out of or relating to this Agreement, or the transactions contemplated hereby, or the breach, termination or invalidity thereof, shall be settled by final and binding arbitration by three (3) arbitrators in accordance with the UNCITRAL Arbitration Rules as at present in effect. The appointing authority shall be the International Chamber of Commerce in Paris, France. The place of arbitration shall be Copenhagen, Denmark or such other location as may be agreed among the parties. The arbitration proceedings shall be conducted in the English language. Among the remedies available to them, the arbitrators shall be authorized to order the specific performance of provisions of this Agreement and of the Associated Agreements. The award rendered by the arbitrators may include costs of arbitration, reasonable counsel's fees, and reasonable costs for expert and other witnesses.</w:t>
      </w:r>
    </w:p>
    <w:p>
      <w:pPr>
        <w:spacing w:after="0" w:line="36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88265</wp:posOffset>
            </wp:positionV>
            <wp:extent cx="728916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360" w:right="2939" w:firstLine="830"/>
        <w:spacing w:after="0" w:line="250" w:lineRule="auto"/>
        <w:rPr>
          <w:sz w:val="20"/>
          <w:szCs w:val="20"/>
          <w:color w:val="auto"/>
        </w:rPr>
      </w:pPr>
      <w:r>
        <w:rPr>
          <w:rFonts w:ascii="Courier New" w:cs="Courier New" w:eastAsia="Courier New" w:hAnsi="Courier New"/>
          <w:sz w:val="15"/>
          <w:szCs w:val="15"/>
          <w:color w:val="auto"/>
        </w:rPr>
        <w:t>9.3 All papers, documents or evidence, whether written or oral, filed with or presented to the panel of arbitrators shall be deemed by the parties and by the arbitrators to be Confidential Information. No party or arbitrator shall disclose in whole or in part to any other person any Confidential Information submitted in connection with the arbitration proceedings, except to the extent reasonably necessary to assist counsel in the arbitration or preparation for arbitration of the dispute. Confidential Information may be disclosed (i) to a Party's attorneys, (ii) to another Party,</w:t>
      </w:r>
    </w:p>
    <w:p>
      <w:pPr>
        <w:spacing w:after="0" w:line="4" w:lineRule="exact"/>
        <w:rPr>
          <w:sz w:val="20"/>
          <w:szCs w:val="20"/>
          <w:color w:val="auto"/>
        </w:rPr>
      </w:pPr>
    </w:p>
    <w:p>
      <w:pPr>
        <w:ind w:left="360" w:right="2839" w:firstLine="5"/>
        <w:spacing w:after="0" w:line="250" w:lineRule="auto"/>
        <w:tabs>
          <w:tab w:leader="none" w:pos="914"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courts for purpose of interim measures of protection, enforcement or similar proceedings, (iv) to outside experts requested by either party's counsel to furnish technical or expert services or to give testimony at the arbitration proceedings, subject, in the case of such experts, to execution of a legally binding written statement that such expert is fully familiar with the terms of this Section, agrees to comply with the confidentiality terms of this Section, and will not use any Confidential Information disclosed to such expert for personal or business advantage, or (v) as required by law or any applicable stock regulations.</w:t>
      </w:r>
    </w:p>
    <w:p>
      <w:pPr>
        <w:spacing w:after="0" w:line="182" w:lineRule="exact"/>
        <w:rPr>
          <w:sz w:val="20"/>
          <w:szCs w:val="20"/>
          <w:color w:val="auto"/>
        </w:rPr>
      </w:pPr>
    </w:p>
    <w:p>
      <w:pPr>
        <w:ind w:left="360" w:right="2839" w:firstLine="830"/>
        <w:spacing w:after="0" w:line="251" w:lineRule="auto"/>
        <w:rPr>
          <w:sz w:val="20"/>
          <w:szCs w:val="20"/>
          <w:color w:val="auto"/>
        </w:rPr>
      </w:pPr>
      <w:r>
        <w:rPr>
          <w:rFonts w:ascii="Courier New" w:cs="Courier New" w:eastAsia="Courier New" w:hAnsi="Courier New"/>
          <w:sz w:val="15"/>
          <w:szCs w:val="15"/>
          <w:color w:val="auto"/>
        </w:rPr>
        <w:t>9.4 The written decisions and conclusions of a majority of the arbitration panel shall be final and binding on the JV Parties and enforcement thereof may be rendered thereon by any court having jurisdiction upon application of any JV Party.</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10. Miscellaneous.</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10.1 Governing Law. This Agreement is governed by and shall be construed in accordance with, the laws of Denmark excluding any choice of law rules that would refer the matter to the laws of another jurisdiction.</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10.2 Force Majeure. No party shall be liable for failure to perform, in whole or in material part, its obligations under this Agreement if such failure is caused by an event or condition not existing as of the date of this Agreement and not reasonably within the control of the affected party, including without limitation, by fire, flood, typhoon, earthquake, explosion, strikes, labor troubles or other industrial disturbances, unavoidable accidents, war (declared or undeclared), acts of terrorism, sabotage, embargoes, blockage, acts of Governmental Authorities, riots, insurrections, or any other cause beyond the control of the parties the consequences of which could not reasonably have been avoided; provided, that the affected party promptly notifies the other party in writing of the occurrence of the event of force majeure and takes all reasonable steps necessary to resume performance of its obligations so interfered with.</w:t>
      </w:r>
    </w:p>
    <w:p>
      <w:pPr>
        <w:spacing w:after="0" w:line="183"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10.3 Notices. All notices and communications required, made or permitted hereunder shall be in writing and shall be delivered by hand or by messenger, or by recognized courier service (with written receipt confirming delivery), or by postage prepaid, return receipt requested, registered or certified airmail or telecopy, addressed:</w:t>
      </w:r>
    </w:p>
    <w:p>
      <w:pPr>
        <w:sectPr>
          <w:pgSz w:w="11900" w:h="16838" w:orient="portrait"/>
          <w:cols w:equalWidth="0" w:num="1">
            <w:col w:w="9759"/>
          </w:cols>
          <w:pgMar w:left="700" w:top="141" w:right="1440" w:bottom="8" w:gutter="0" w:footer="0" w:header="0"/>
        </w:sectPr>
      </w:pPr>
    </w:p>
    <w:bookmarkStart w:id="93" w:name="page94"/>
    <w:bookmarkEnd w:id="93"/>
    <w:p>
      <w:pPr>
        <w:ind w:left="278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tbl>
      <w:tblPr>
        <w:tblLayout w:type="fixed"/>
        <w:tblInd w:w="1660" w:type="dxa"/>
        <w:tblCellMar>
          <w:top w:w="0" w:type="dxa"/>
          <w:left w:w="0" w:type="dxa"/>
          <w:bottom w:w="0" w:type="dxa"/>
          <w:right w:w="0" w:type="dxa"/>
        </w:tblCellMar>
      </w:tblPr>
      <w:tr>
        <w:trPr>
          <w:trHeight w:val="172"/>
        </w:trPr>
        <w:tc>
          <w:tcPr>
            <w:tcW w:w="1900" w:type="dxa"/>
            <w:vAlign w:val="bottom"/>
          </w:tcPr>
          <w:p>
            <w:pPr>
              <w:spacing w:after="0"/>
              <w:rPr>
                <w:sz w:val="20"/>
                <w:szCs w:val="20"/>
                <w:color w:val="auto"/>
              </w:rPr>
            </w:pPr>
            <w:r>
              <w:rPr>
                <w:rFonts w:ascii="Courier New" w:cs="Courier New" w:eastAsia="Courier New" w:hAnsi="Courier New"/>
                <w:sz w:val="15"/>
                <w:szCs w:val="15"/>
                <w:color w:val="auto"/>
              </w:rPr>
              <w:t>If to NNBR:</w:t>
            </w: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NN, Inc.</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800 Tennessee Road</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Erwin, TN  37650</w:t>
            </w: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USA</w:t>
            </w:r>
          </w:p>
        </w:tc>
        <w:tc>
          <w:tcPr>
            <w:tcW w:w="2580" w:type="dxa"/>
            <w:vAlign w:val="bottom"/>
          </w:tcPr>
          <w:p>
            <w:pPr>
              <w:spacing w:after="0"/>
              <w:rPr>
                <w:sz w:val="15"/>
                <w:szCs w:val="15"/>
                <w:color w:val="auto"/>
              </w:rPr>
            </w:pP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Attn:</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David L. Dyckman</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Fax: 423.743.8870</w:t>
            </w:r>
          </w:p>
        </w:tc>
      </w:tr>
      <w:tr>
        <w:trPr>
          <w:trHeight w:val="355"/>
        </w:trPr>
        <w:tc>
          <w:tcPr>
            <w:tcW w:w="190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Blackwell Sanders Peper Martin LLP</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2300 Main St., Suite 1000</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Kansas City, MO  64108</w:t>
            </w: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USA</w:t>
            </w:r>
          </w:p>
        </w:tc>
        <w:tc>
          <w:tcPr>
            <w:tcW w:w="2580" w:type="dxa"/>
            <w:vAlign w:val="bottom"/>
          </w:tcPr>
          <w:p>
            <w:pPr>
              <w:spacing w:after="0"/>
              <w:rPr>
                <w:sz w:val="15"/>
                <w:szCs w:val="15"/>
                <w:color w:val="auto"/>
              </w:rPr>
            </w:pP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Attn:</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James M. Ash</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Fax: 816.983.9137</w:t>
            </w:r>
          </w:p>
        </w:tc>
      </w:tr>
      <w:tr>
        <w:trPr>
          <w:trHeight w:val="355"/>
        </w:trPr>
        <w:tc>
          <w:tcPr>
            <w:tcW w:w="1900" w:type="dxa"/>
            <w:vAlign w:val="bottom"/>
          </w:tcPr>
          <w:p>
            <w:pPr>
              <w:spacing w:after="0"/>
              <w:rPr>
                <w:sz w:val="20"/>
                <w:szCs w:val="20"/>
                <w:color w:val="auto"/>
              </w:rPr>
            </w:pPr>
            <w:r>
              <w:rPr>
                <w:rFonts w:ascii="Courier New" w:cs="Courier New" w:eastAsia="Courier New" w:hAnsi="Courier New"/>
                <w:sz w:val="15"/>
                <w:szCs w:val="15"/>
                <w:color w:val="auto"/>
              </w:rPr>
              <w:t>If to SKF:</w:t>
            </w: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w w:val="99"/>
              </w:rPr>
              <w:t>AB SKF</w:t>
            </w:r>
          </w:p>
        </w:tc>
        <w:tc>
          <w:tcPr>
            <w:tcW w:w="2580" w:type="dxa"/>
            <w:vAlign w:val="bottom"/>
          </w:tcPr>
          <w:p>
            <w:pPr>
              <w:spacing w:after="0"/>
              <w:rPr>
                <w:sz w:val="24"/>
                <w:szCs w:val="24"/>
                <w:color w:val="auto"/>
              </w:rPr>
            </w:pP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SKF Group Business Development</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SE-415 50 Gothenberg</w:t>
            </w: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w w:val="99"/>
              </w:rPr>
              <w:t>Sweden</w:t>
            </w:r>
          </w:p>
        </w:tc>
        <w:tc>
          <w:tcPr>
            <w:tcW w:w="2580" w:type="dxa"/>
            <w:vAlign w:val="bottom"/>
          </w:tcPr>
          <w:p>
            <w:pPr>
              <w:spacing w:after="0"/>
              <w:rPr>
                <w:sz w:val="15"/>
                <w:szCs w:val="15"/>
                <w:color w:val="auto"/>
              </w:rPr>
            </w:pP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Att: the Director</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Fax No. 46-31-337-2077</w:t>
            </w:r>
          </w:p>
        </w:tc>
      </w:tr>
      <w:tr>
        <w:trPr>
          <w:trHeight w:val="355"/>
        </w:trPr>
        <w:tc>
          <w:tcPr>
            <w:tcW w:w="190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AB SKF Group Headquarters</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SE-415 50 Gothenberg</w:t>
            </w: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w w:val="99"/>
              </w:rPr>
              <w:t>Sweden</w:t>
            </w:r>
          </w:p>
        </w:tc>
        <w:tc>
          <w:tcPr>
            <w:tcW w:w="2580" w:type="dxa"/>
            <w:vAlign w:val="bottom"/>
          </w:tcPr>
          <w:p>
            <w:pPr>
              <w:spacing w:after="0"/>
              <w:rPr>
                <w:sz w:val="15"/>
                <w:szCs w:val="15"/>
                <w:color w:val="auto"/>
              </w:rPr>
            </w:pP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Att: General Counsel</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Fax No. 46-31-3371691</w:t>
            </w:r>
          </w:p>
        </w:tc>
      </w:tr>
      <w:tr>
        <w:trPr>
          <w:trHeight w:val="355"/>
        </w:trPr>
        <w:tc>
          <w:tcPr>
            <w:tcW w:w="1900" w:type="dxa"/>
            <w:vAlign w:val="bottom"/>
          </w:tcPr>
          <w:p>
            <w:pPr>
              <w:spacing w:after="0"/>
              <w:rPr>
                <w:sz w:val="20"/>
                <w:szCs w:val="20"/>
                <w:color w:val="auto"/>
              </w:rPr>
            </w:pPr>
            <w:r>
              <w:rPr>
                <w:rFonts w:ascii="Courier New" w:cs="Courier New" w:eastAsia="Courier New" w:hAnsi="Courier New"/>
                <w:sz w:val="15"/>
                <w:szCs w:val="15"/>
                <w:color w:val="auto"/>
              </w:rPr>
              <w:t>If to FAG:</w:t>
            </w: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FAG Kugelfischer Georg Schaefer AG</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Georg-Schaefer-Strasse 30</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D-97421 Schweinfurt</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Germany</w:t>
            </w: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Attn:</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Rechtsabteilung-FR</w:t>
            </w: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Fax:</w:t>
            </w:r>
          </w:p>
        </w:tc>
        <w:tc>
          <w:tcPr>
            <w:tcW w:w="258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49-97-21 91 31 21</w:t>
            </w:r>
          </w:p>
        </w:tc>
      </w:tr>
      <w:tr>
        <w:trPr>
          <w:trHeight w:val="355"/>
        </w:trPr>
        <w:tc>
          <w:tcPr>
            <w:tcW w:w="190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FAG Kugelfischer Georg Schaefer AG</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D-97421 Schweinfurt</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Germany</w:t>
            </w:r>
          </w:p>
        </w:tc>
      </w:tr>
      <w:tr>
        <w:trPr>
          <w:trHeight w:val="177"/>
        </w:trPr>
        <w:tc>
          <w:tcPr>
            <w:tcW w:w="1900" w:type="dxa"/>
            <w:vAlign w:val="bottom"/>
          </w:tcPr>
          <w:p>
            <w:pPr>
              <w:spacing w:after="0"/>
              <w:rPr>
                <w:sz w:val="15"/>
                <w:szCs w:val="15"/>
                <w:color w:val="auto"/>
              </w:rPr>
            </w:pPr>
          </w:p>
        </w:tc>
        <w:tc>
          <w:tcPr>
            <w:tcW w:w="36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Att: Technische Koordination - VT</w:t>
            </w:r>
          </w:p>
        </w:tc>
      </w:tr>
      <w:tr>
        <w:trPr>
          <w:trHeight w:val="177"/>
        </w:trPr>
        <w:tc>
          <w:tcPr>
            <w:tcW w:w="190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Fax:</w:t>
            </w:r>
          </w:p>
        </w:tc>
        <w:tc>
          <w:tcPr>
            <w:tcW w:w="258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49-97-21-91-34-17</w:t>
            </w:r>
          </w:p>
        </w:tc>
      </w:tr>
    </w:tbl>
    <w:p>
      <w:pPr>
        <w:spacing w:after="0" w:line="183"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Each such notice or other communication shall for all purposes hereunder be treated as effective or as having been given as follows:</w:t>
      </w:r>
    </w:p>
    <w:p>
      <w:pPr>
        <w:spacing w:after="0" w:line="1" w:lineRule="exact"/>
        <w:rPr>
          <w:sz w:val="20"/>
          <w:szCs w:val="20"/>
          <w:color w:val="auto"/>
        </w:rPr>
      </w:pPr>
    </w:p>
    <w:p>
      <w:pPr>
        <w:ind w:right="2839" w:firstLine="5"/>
        <w:spacing w:after="0" w:line="251" w:lineRule="auto"/>
        <w:tabs>
          <w:tab w:leader="none" w:pos="36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delivered in person, when delivered, (ii) if sent by airmail, at the earlier of its receipt or at 5 p.m. local time of the recipient, on the seventh day after deposit in a regularly maintained receptacle for the deposit of airmail, (iii) if sent by a recognized courier service, on the date shown in the written confirmation of delivery issued by such delivery service and (iv) on the next</w:t>
      </w:r>
    </w:p>
    <w:p>
      <w:pPr>
        <w:spacing w:after="0" w:line="35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88265</wp:posOffset>
            </wp:positionV>
            <wp:extent cx="728916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319" w:lineRule="exact"/>
        <w:rPr>
          <w:sz w:val="20"/>
          <w:szCs w:val="20"/>
          <w:color w:val="auto"/>
        </w:rPr>
      </w:pPr>
    </w:p>
    <w:p>
      <w:pPr>
        <w:ind w:left="100" w:right="2939"/>
        <w:spacing w:after="0" w:line="251" w:lineRule="auto"/>
        <w:rPr>
          <w:sz w:val="20"/>
          <w:szCs w:val="20"/>
          <w:color w:val="auto"/>
        </w:rPr>
      </w:pPr>
      <w:r>
        <w:rPr>
          <w:rFonts w:ascii="Courier New" w:cs="Courier New" w:eastAsia="Courier New" w:hAnsi="Courier New"/>
          <w:sz w:val="15"/>
          <w:szCs w:val="15"/>
          <w:color w:val="auto"/>
        </w:rPr>
        <w:t>business day after the date of the transmission in case of telecopy with a telecopy receipt. Either party may change the addresses and/or addressees to whom notice may be given by giving notice pursuant to this section at least seven (7) days prior to the date the change becomes effective.</w:t>
      </w:r>
    </w:p>
    <w:p>
      <w:pPr>
        <w:spacing w:after="0" w:line="176"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10.4 Waiver. No delay or omission by a party in exercising any of its rights hereunder shall operate as a waiver of that or any other right. Unless otherwise expressly stated, a waiver given by a party on any one occasion shall be effective only in that instance and shall not be construed as a waiver of that right on any other occasion.</w:t>
      </w:r>
    </w:p>
    <w:p>
      <w:pPr>
        <w:spacing w:after="0" w:line="176" w:lineRule="exact"/>
        <w:rPr>
          <w:sz w:val="20"/>
          <w:szCs w:val="20"/>
          <w:color w:val="auto"/>
        </w:rPr>
      </w:pPr>
    </w:p>
    <w:p>
      <w:pPr>
        <w:jc w:val="both"/>
        <w:ind w:right="2839" w:firstLine="830"/>
        <w:spacing w:after="0" w:line="252" w:lineRule="auto"/>
        <w:rPr>
          <w:sz w:val="20"/>
          <w:szCs w:val="20"/>
          <w:color w:val="auto"/>
        </w:rPr>
      </w:pPr>
      <w:r>
        <w:rPr>
          <w:rFonts w:ascii="Courier New" w:cs="Courier New" w:eastAsia="Courier New" w:hAnsi="Courier New"/>
          <w:sz w:val="15"/>
          <w:szCs w:val="15"/>
          <w:color w:val="auto"/>
        </w:rPr>
        <w:t>10.5 Amendment. The parties may amend, modify, and supplement this Agreement, but such amendment, modification or supplement shall be valid only if made in writing signed by all parties.</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10.6 Entire Agreement. This Agreement (of which the Exhibits and Schedules attached hereto form an integral part), the Company organizational documents, and the Formation Agreement embody the entire agreement among the parties hereto with respect to the formation of the Company and its governance and supersede all prior agreements and understandings relating to such subject matter.</w:t>
      </w:r>
    </w:p>
    <w:p>
      <w:pPr>
        <w:spacing w:after="0" w:line="176"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10.7 Successors. This Agreement shall be binding upon and inure to the benefit of each of the parties hereto and their respective successors and permitted assigns.</w:t>
      </w:r>
    </w:p>
    <w:p>
      <w:pPr>
        <w:spacing w:after="0" w:line="17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10.8 Headings. The headings used in this Agreement are for convenience only, do not constitute a part of this Agreement, and shall not be used as an aid to the interpretation of this Agreement.</w:t>
      </w:r>
    </w:p>
    <w:p>
      <w:pPr>
        <w:spacing w:after="0" w:line="175" w:lineRule="exact"/>
        <w:rPr>
          <w:sz w:val="20"/>
          <w:szCs w:val="20"/>
          <w:color w:val="auto"/>
        </w:rPr>
      </w:pPr>
    </w:p>
    <w:p>
      <w:pPr>
        <w:ind w:left="840"/>
        <w:spacing w:after="0"/>
        <w:tabs>
          <w:tab w:leader="none" w:pos="164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Severability.</w:t>
      </w:r>
    </w:p>
    <w:p>
      <w:pPr>
        <w:spacing w:after="0" w:line="185" w:lineRule="exact"/>
        <w:rPr>
          <w:sz w:val="20"/>
          <w:szCs w:val="20"/>
          <w:color w:val="auto"/>
        </w:rPr>
      </w:pPr>
    </w:p>
    <w:p>
      <w:pPr>
        <w:ind w:left="1020" w:right="2939" w:firstLine="461"/>
        <w:spacing w:after="0" w:line="252" w:lineRule="auto"/>
        <w:tabs>
          <w:tab w:leader="none" w:pos="185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due to a change in any applicable law or due to a decision or other act (including failure to act) by any competent authority one or more of the provisions of this</w:t>
      </w:r>
    </w:p>
    <w:p>
      <w:pPr>
        <w:sectPr>
          <w:pgSz w:w="11900" w:h="16838" w:orient="portrait"/>
          <w:cols w:equalWidth="0" w:num="1">
            <w:col w:w="9399"/>
          </w:cols>
          <w:pgMar w:left="1060" w:top="319" w:right="1440" w:bottom="0" w:gutter="0" w:footer="0" w:header="0"/>
        </w:sectPr>
      </w:pPr>
    </w:p>
    <w:bookmarkStart w:id="94" w:name="page95"/>
    <w:bookmarkEnd w:id="94"/>
    <w:p>
      <w:pPr>
        <w:ind w:left="640" w:right="2839"/>
        <w:spacing w:after="0" w:line="251" w:lineRule="auto"/>
        <w:rPr>
          <w:sz w:val="20"/>
          <w:szCs w:val="20"/>
          <w:color w:val="auto"/>
        </w:rPr>
      </w:pPr>
      <w:r>
        <w:rPr>
          <w:rFonts w:ascii="Courier New" w:cs="Courier New" w:eastAsia="Courier New" w:hAnsi="Courier New"/>
          <w:sz w:val="15"/>
          <w:szCs w:val="15"/>
          <w:color w:val="auto"/>
        </w:rPr>
        <w:t>Agreement can no longer be enforced or any amendment of one or more of the provisions of this Agreement is required, the parties agree that they shall endeavor to find an alternate solution approaching as near as possible the contractual situation existing prior to such a change, decision or act.</w:t>
      </w:r>
    </w:p>
    <w:p>
      <w:pPr>
        <w:spacing w:after="0" w:line="176" w:lineRule="exact"/>
        <w:rPr>
          <w:sz w:val="20"/>
          <w:szCs w:val="20"/>
          <w:color w:val="auto"/>
        </w:rPr>
      </w:pPr>
    </w:p>
    <w:p>
      <w:pPr>
        <w:ind w:left="640" w:right="2839" w:firstLine="461"/>
        <w:spacing w:after="0" w:line="251" w:lineRule="auto"/>
        <w:tabs>
          <w:tab w:leader="none" w:pos="147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of this Agreement is determined to be invalid or unenforceable, the remaining provisions shall not be effected thereby, and this Agreement shall be administrated as though the invalid or unenforceable provision was not a part of this Agreement</w:t>
      </w:r>
    </w:p>
    <w:p>
      <w:pPr>
        <w:spacing w:after="0" w:line="176" w:lineRule="exact"/>
        <w:rPr>
          <w:sz w:val="20"/>
          <w:szCs w:val="20"/>
          <w:color w:val="auto"/>
        </w:rPr>
      </w:pPr>
    </w:p>
    <w:p>
      <w:pPr>
        <w:ind w:left="460"/>
        <w:spacing w:after="0"/>
        <w:tabs>
          <w:tab w:leader="none" w:pos="126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Confidentiality.</w:t>
      </w:r>
    </w:p>
    <w:p>
      <w:pPr>
        <w:spacing w:after="0" w:line="185" w:lineRule="exact"/>
        <w:rPr>
          <w:sz w:val="20"/>
          <w:szCs w:val="20"/>
          <w:color w:val="auto"/>
        </w:rPr>
      </w:pPr>
    </w:p>
    <w:p>
      <w:pPr>
        <w:ind w:left="640" w:right="2839" w:firstLine="461"/>
        <w:spacing w:after="0" w:line="251" w:lineRule="auto"/>
        <w:tabs>
          <w:tab w:leader="none" w:pos="147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Use. Except as expressly authorized by any other party, each party agrees not to disclose, use or permit the disclosure or use by others of any trade secrets, know-how, data, formulas, processes, tools and techniques, software algorithms and routines, intellectual property or other information tangible or intangible ("Confidential Information") of such other party unless and</w:t>
      </w:r>
    </w:p>
    <w:p>
      <w:pPr>
        <w:spacing w:after="0" w:line="35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88265</wp:posOffset>
            </wp:positionV>
            <wp:extent cx="728916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640" w:right="2839"/>
        <w:spacing w:after="0" w:line="250" w:lineRule="auto"/>
        <w:rPr>
          <w:sz w:val="20"/>
          <w:szCs w:val="20"/>
          <w:color w:val="auto"/>
        </w:rPr>
      </w:pPr>
      <w:r>
        <w:rPr>
          <w:rFonts w:ascii="Courier New" w:cs="Courier New" w:eastAsia="Courier New" w:hAnsi="Courier New"/>
          <w:sz w:val="15"/>
          <w:szCs w:val="15"/>
          <w:color w:val="auto"/>
        </w:rPr>
        <w:t>to the extent such Confidential Information (i) is not marked or designated in writing as confidential and is provided for a purpose that reasonably contemplates disclosure to or use by others; provided, however, that information disclosed orally that is later designated in writing as confidential shall be treated as Confidential Information except to the extent it has already been disclosed or used by the receiving party, (ii) becomes a matter of public knowledge through no action or inaction of the party receiving the Confidential Information, (iii) was in the receiving party's possession before receipt from the party providing such Confidential Information, (iv) is rightfully received by the receiving party from a third party without any duty of confidentiality, (v) is disclosed to a third party by the party providing the Confidential Information without a duty of confidentiality on the third party, (vi) is disclosed with the prior written approval of the party providing such Confidential Information, or (vii) is independently developed by the receiving party without any use of either of the other parties' Confidential Information. Information shall not be deemed to be available to the general public for the purpose of the exclusion (ii) above with respect to each party merely because it is embraced by more general information in the prior possession of recipient or others.</w:t>
      </w:r>
    </w:p>
    <w:p>
      <w:pPr>
        <w:spacing w:after="0" w:line="365" w:lineRule="exact"/>
        <w:rPr>
          <w:sz w:val="20"/>
          <w:szCs w:val="20"/>
          <w:color w:val="auto"/>
        </w:rPr>
      </w:pPr>
    </w:p>
    <w:p>
      <w:pPr>
        <w:ind w:left="640" w:right="2839" w:firstLine="461"/>
        <w:spacing w:after="0" w:line="250" w:lineRule="auto"/>
        <w:tabs>
          <w:tab w:leader="none" w:pos="147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Treatment. In furtherance, and not in limitation of the foregoing Section 10.10(a), each party agrees to do the following with respect to any such Confidential Information:</w:t>
      </w:r>
    </w:p>
    <w:p>
      <w:pPr>
        <w:spacing w:after="0" w:line="1" w:lineRule="exact"/>
        <w:rPr>
          <w:rFonts w:ascii="Courier New" w:cs="Courier New" w:eastAsia="Courier New" w:hAnsi="Courier New"/>
          <w:sz w:val="15"/>
          <w:szCs w:val="15"/>
          <w:color w:val="auto"/>
        </w:rPr>
      </w:pPr>
    </w:p>
    <w:p>
      <w:pPr>
        <w:ind w:left="640" w:right="2939"/>
        <w:spacing w:after="0" w:line="250" w:lineRule="auto"/>
        <w:tabs>
          <w:tab w:leader="none" w:pos="100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the same degree of care to safeguard the confidentiality of, and prevent the unauthorized use of, such information as that party exercises to safeguard the confidentiality of its own Confidential Information; (ii) restrict disclosure of such information to those of its employees and agents who have a need to know, and (iii) instruct and require such employees and agents to maintain the confidentiality of such information and not to use such Confidential Information except as expressly permitted herein. Each party further agrees not to remove or destroy any proprietary or confidential legends or markings placed upon any documentation or other materials.</w:t>
      </w:r>
    </w:p>
    <w:p>
      <w:pPr>
        <w:spacing w:after="0" w:line="182" w:lineRule="exact"/>
        <w:rPr>
          <w:rFonts w:ascii="Courier New" w:cs="Courier New" w:eastAsia="Courier New" w:hAnsi="Courier New"/>
          <w:sz w:val="15"/>
          <w:szCs w:val="15"/>
          <w:color w:val="auto"/>
        </w:rPr>
      </w:pPr>
    </w:p>
    <w:p>
      <w:pPr>
        <w:ind w:left="640" w:right="2939" w:firstLine="461"/>
        <w:spacing w:after="0" w:line="252" w:lineRule="auto"/>
        <w:tabs>
          <w:tab w:leader="none" w:pos="147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Confidential. The foregoing confidentiality obligation shall also apply to the contents of this Agreement.</w:t>
      </w:r>
    </w:p>
    <w:p>
      <w:pPr>
        <w:spacing w:after="0" w:line="174" w:lineRule="exact"/>
        <w:rPr>
          <w:rFonts w:ascii="Courier New" w:cs="Courier New" w:eastAsia="Courier New" w:hAnsi="Courier New"/>
          <w:sz w:val="15"/>
          <w:szCs w:val="15"/>
          <w:color w:val="auto"/>
        </w:rPr>
      </w:pPr>
    </w:p>
    <w:p>
      <w:pPr>
        <w:ind w:left="1480" w:hanging="379"/>
        <w:spacing w:after="0"/>
        <w:tabs>
          <w:tab w:leader="none" w:pos="14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The obligations under this Section</w:t>
      </w:r>
    </w:p>
    <w:p>
      <w:pPr>
        <w:spacing w:after="0" w:line="8" w:lineRule="exact"/>
        <w:rPr>
          <w:sz w:val="20"/>
          <w:szCs w:val="20"/>
          <w:color w:val="auto"/>
        </w:rPr>
      </w:pPr>
    </w:p>
    <w:p>
      <w:pPr>
        <w:ind w:left="640" w:right="2839"/>
        <w:spacing w:after="0" w:line="251" w:lineRule="auto"/>
        <w:rPr>
          <w:sz w:val="20"/>
          <w:szCs w:val="20"/>
          <w:color w:val="auto"/>
        </w:rPr>
      </w:pPr>
      <w:r>
        <w:rPr>
          <w:rFonts w:ascii="Courier New" w:cs="Courier New" w:eastAsia="Courier New" w:hAnsi="Courier New"/>
          <w:sz w:val="15"/>
          <w:szCs w:val="15"/>
          <w:color w:val="auto"/>
        </w:rPr>
        <w:t>10.10 shall not prevent the parties from disclosing the Confidential Information or terms of this Agreement to any governmental authority as required by law or applicable stock regulations (provided that the party intending to make such disclosure in such circumstances has given the appropriate other party prompt notice prior to making such disclosure so that other party may seek a protective order or other appropriate remedy prior to such disclosure and cooperates fully with that party in seeking such order or remedy).</w:t>
      </w:r>
    </w:p>
    <w:p>
      <w:pPr>
        <w:spacing w:after="0" w:line="352" w:lineRule="exact"/>
        <w:rPr>
          <w:sz w:val="20"/>
          <w:szCs w:val="20"/>
          <w:color w:val="auto"/>
        </w:rPr>
      </w:pPr>
    </w:p>
    <w:p>
      <w:pPr>
        <w:ind w:left="640" w:right="3299" w:firstLine="461"/>
        <w:spacing w:after="0" w:line="252" w:lineRule="auto"/>
        <w:tabs>
          <w:tab w:leader="none" w:pos="147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provisions of this Section shall survive the expiration and any termination of this Agreement.</w:t>
      </w:r>
    </w:p>
    <w:p>
      <w:pPr>
        <w:sectPr>
          <w:pgSz w:w="11900" w:h="16838" w:orient="portrait"/>
          <w:cols w:equalWidth="0" w:num="1">
            <w:col w:w="9019"/>
          </w:cols>
          <w:pgMar w:left="1440" w:top="142" w:right="1440" w:bottom="16" w:gutter="0" w:footer="0" w:header="0"/>
        </w:sectPr>
      </w:pPr>
    </w:p>
    <w:p>
      <w:pPr>
        <w:spacing w:after="0" w:line="35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88265</wp:posOffset>
            </wp:positionV>
            <wp:extent cx="728916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ectPr>
          <w:pgSz w:w="11900" w:h="16838" w:orient="portrait"/>
          <w:cols w:equalWidth="0" w:num="1">
            <w:col w:w="9019"/>
          </w:cols>
          <w:pgMar w:left="1440" w:top="142" w:right="1440" w:bottom="16" w:gutter="0" w:footer="0" w:header="0"/>
          <w:type w:val="continuous"/>
        </w:sectPr>
      </w:pPr>
    </w:p>
    <w:bookmarkStart w:id="95" w:name="page96"/>
    <w:bookmarkEnd w:id="95"/>
    <w:p>
      <w:pPr>
        <w:ind w:left="820" w:right="2839" w:firstLine="830"/>
        <w:spacing w:after="0" w:line="251" w:lineRule="auto"/>
        <w:rPr>
          <w:sz w:val="20"/>
          <w:szCs w:val="20"/>
          <w:color w:val="auto"/>
        </w:rPr>
      </w:pPr>
      <w:r>
        <w:rPr>
          <w:rFonts w:ascii="Courier New" w:cs="Courier New" w:eastAsia="Courier New" w:hAnsi="Courier New"/>
          <w:sz w:val="15"/>
          <w:szCs w:val="15"/>
          <w:color w:val="auto"/>
        </w:rPr>
        <w:t>10.11 Further Assurances. Each party will do all acts and things and execute all documents and instruments which the other party reasonably requests in order to carry out or give further effect to the provisions of this Agreement.</w:t>
      </w:r>
    </w:p>
    <w:p>
      <w:pPr>
        <w:spacing w:after="0" w:line="176" w:lineRule="exact"/>
        <w:rPr>
          <w:sz w:val="20"/>
          <w:szCs w:val="20"/>
          <w:color w:val="auto"/>
        </w:rPr>
      </w:pPr>
    </w:p>
    <w:p>
      <w:pPr>
        <w:ind w:left="820" w:right="2839" w:firstLine="830"/>
        <w:spacing w:after="0" w:line="252" w:lineRule="auto"/>
        <w:rPr>
          <w:sz w:val="20"/>
          <w:szCs w:val="20"/>
          <w:color w:val="auto"/>
        </w:rPr>
      </w:pPr>
      <w:r>
        <w:rPr>
          <w:rFonts w:ascii="Courier New" w:cs="Courier New" w:eastAsia="Courier New" w:hAnsi="Courier New"/>
          <w:sz w:val="15"/>
          <w:szCs w:val="15"/>
          <w:color w:val="auto"/>
        </w:rPr>
        <w:t>10.12 Counterparts. This Agreement may be executed in three or more counterparts, each of which shall be deemed an original, but all of which together shall constitute but one and the same instrument.</w:t>
      </w:r>
    </w:p>
    <w:p>
      <w:pPr>
        <w:spacing w:after="0" w:line="175" w:lineRule="exact"/>
        <w:rPr>
          <w:sz w:val="20"/>
          <w:szCs w:val="20"/>
          <w:color w:val="auto"/>
        </w:rPr>
      </w:pPr>
    </w:p>
    <w:p>
      <w:pPr>
        <w:ind w:left="1660"/>
        <w:spacing w:after="0"/>
        <w:tabs>
          <w:tab w:leader="none" w:pos="246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Relationship of Parties and the Company.</w:t>
      </w:r>
    </w:p>
    <w:p>
      <w:pPr>
        <w:spacing w:after="0" w:line="185" w:lineRule="exact"/>
        <w:rPr>
          <w:sz w:val="20"/>
          <w:szCs w:val="20"/>
          <w:color w:val="auto"/>
        </w:rPr>
      </w:pPr>
    </w:p>
    <w:p>
      <w:pPr>
        <w:ind w:left="1840" w:right="2839" w:firstLine="461"/>
        <w:spacing w:after="0" w:line="251" w:lineRule="auto"/>
        <w:tabs>
          <w:tab w:leader="none" w:pos="267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relationship between NNBR, SKF and FAG is that of independent contractors and co-owners of the Company, and nothing in this Agreement shall be construed to constitute one as an employee, partner, or agent of the other. Without limiting the foregoing, neither NNBR, SKF nor FAG shall have the authority to act for or to bind the other in any way.</w:t>
      </w:r>
    </w:p>
    <w:p>
      <w:pPr>
        <w:spacing w:after="0" w:line="175" w:lineRule="exact"/>
        <w:rPr>
          <w:rFonts w:ascii="Courier New" w:cs="Courier New" w:eastAsia="Courier New" w:hAnsi="Courier New"/>
          <w:sz w:val="15"/>
          <w:szCs w:val="15"/>
          <w:color w:val="auto"/>
        </w:rPr>
      </w:pPr>
    </w:p>
    <w:p>
      <w:pPr>
        <w:ind w:left="1840" w:right="2839" w:firstLine="461"/>
        <w:spacing w:after="0" w:line="251" w:lineRule="auto"/>
        <w:tabs>
          <w:tab w:leader="none" w:pos="267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transactions between NNBR and the Company shall be on an arms-length basis and on market conditions. The Company will notify SKF and FAG whenever the Company enters into a transaction with NNBR. SKF and FAG shall have the right to audit the books and records of the Company to ensure compliance with this subsection.</w:t>
      </w:r>
    </w:p>
    <w:p>
      <w:pPr>
        <w:spacing w:after="0" w:line="200" w:lineRule="exact"/>
        <w:rPr>
          <w:sz w:val="20"/>
          <w:szCs w:val="20"/>
          <w:color w:val="auto"/>
        </w:rPr>
      </w:pPr>
    </w:p>
    <w:p>
      <w:pPr>
        <w:spacing w:after="0" w:line="331"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 Follows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88265</wp:posOffset>
            </wp:positionV>
            <wp:extent cx="728916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b w:val="1"/>
          <w:bCs w:val="1"/>
          <w:color w:val="auto"/>
        </w:rPr>
        <w:t>Signature Page</w:t>
      </w:r>
    </w:p>
    <w:p>
      <w:pPr>
        <w:spacing w:after="0" w:line="185"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IN WITNESS WHEREOF, the parties have caused this Agreement to be duly signed as of the date first written above.</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b w:val="1"/>
          <w:bCs w:val="1"/>
          <w:color w:val="auto"/>
        </w:rPr>
        <w:t>NNBR</w:t>
      </w:r>
    </w:p>
    <w:p>
      <w:pPr>
        <w:sectPr>
          <w:pgSz w:w="11900" w:h="16838" w:orient="portrait"/>
          <w:cols w:equalWidth="0" w:num="1">
            <w:col w:w="10219"/>
          </w:cols>
          <w:pgMar w:left="240" w:top="141" w:right="1440" w:bottom="1440" w:gutter="0" w:footer="0" w:header="0"/>
        </w:sectPr>
      </w:pP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 David L. Dyckman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David L. Dyckman</w:t>
      </w:r>
    </w:p>
    <w:p>
      <w:pPr>
        <w:spacing w:after="0" w:line="200" w:lineRule="exact"/>
        <w:rPr>
          <w:sz w:val="20"/>
          <w:szCs w:val="20"/>
          <w:color w:val="auto"/>
        </w:rPr>
      </w:pPr>
    </w:p>
    <w:p>
      <w:pPr>
        <w:sectPr>
          <w:pgSz w:w="11900" w:h="16838" w:orient="portrait"/>
          <w:cols w:equalWidth="0" w:num="2">
            <w:col w:w="3400" w:space="0"/>
            <w:col w:w="6819"/>
          </w:cols>
          <w:pgMar w:left="240" w:top="141" w:right="1440" w:bottom="1440" w:gutter="0" w:footer="0" w:header="0"/>
          <w:type w:val="continuous"/>
        </w:sectPr>
      </w:pP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b w:val="1"/>
          <w:bCs w:val="1"/>
          <w:color w:val="auto"/>
        </w:rPr>
        <w:t>AB SKF</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[publ]</w:t>
      </w:r>
    </w:p>
    <w:p>
      <w:pPr>
        <w:spacing w:after="0" w:line="185" w:lineRule="exact"/>
        <w:rPr>
          <w:sz w:val="20"/>
          <w:szCs w:val="20"/>
          <w:color w:val="auto"/>
        </w:rPr>
      </w:pPr>
    </w:p>
    <w:p>
      <w:pPr>
        <w:ind w:left="3140"/>
        <w:spacing w:after="0"/>
        <w:tabs>
          <w:tab w:leader="none" w:pos="39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Kaj Thoren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Kaj Thoren</w:t>
      </w:r>
    </w:p>
    <w:p>
      <w:pPr>
        <w:sectPr>
          <w:pgSz w:w="11900" w:h="16838" w:orient="portrait"/>
          <w:cols w:equalWidth="0" w:num="1">
            <w:col w:w="10219"/>
          </w:cols>
          <w:pgMar w:left="240" w:top="141" w:right="1440" w:bottom="1440" w:gutter="0" w:footer="0" w:header="0"/>
          <w:type w:val="continuous"/>
        </w:sectPr>
      </w:pP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FAG</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right"/>
        <w:ind w:right="2839"/>
        <w:spacing w:after="0"/>
        <w:tabs>
          <w:tab w:leader="none" w:pos="1920" w:val="left"/>
        </w:tabs>
        <w:rPr>
          <w:sz w:val="20"/>
          <w:szCs w:val="20"/>
          <w:color w:val="auto"/>
        </w:rPr>
      </w:pPr>
      <w:r>
        <w:rPr>
          <w:rFonts w:ascii="Courier New" w:cs="Courier New" w:eastAsia="Courier New" w:hAnsi="Courier New"/>
          <w:sz w:val="15"/>
          <w:szCs w:val="15"/>
          <w:color w:val="auto"/>
        </w:rPr>
        <w:t>/s/ Dr. Uwe Loos</w:t>
        <w:tab/>
        <w:t>/s/ Dr. Gerhard Vogel</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right"/>
        <w:ind w:right="2839"/>
        <w:spacing w:after="0"/>
        <w:tabs>
          <w:tab w:leader="none" w:pos="1560" w:val="left"/>
        </w:tabs>
        <w:rPr>
          <w:sz w:val="20"/>
          <w:szCs w:val="20"/>
          <w:color w:val="auto"/>
        </w:rPr>
      </w:pPr>
      <w:r>
        <w:rPr>
          <w:rFonts w:ascii="Courier New" w:cs="Courier New" w:eastAsia="Courier New" w:hAnsi="Courier New"/>
          <w:sz w:val="15"/>
          <w:szCs w:val="15"/>
          <w:color w:val="auto"/>
        </w:rPr>
        <w:t>Dr. Uwe Loos</w:t>
      </w:r>
      <w:r>
        <w:rPr>
          <w:sz w:val="20"/>
          <w:szCs w:val="20"/>
          <w:color w:val="auto"/>
        </w:rPr>
        <w:tab/>
      </w:r>
      <w:r>
        <w:rPr>
          <w:rFonts w:ascii="Courier New" w:cs="Courier New" w:eastAsia="Courier New" w:hAnsi="Courier New"/>
          <w:sz w:val="15"/>
          <w:szCs w:val="15"/>
          <w:color w:val="auto"/>
        </w:rPr>
        <w:t>Dr. Gerhard Vogel</w:t>
      </w:r>
    </w:p>
    <w:p>
      <w:pPr>
        <w:spacing w:after="0" w:line="200" w:lineRule="exact"/>
        <w:rPr>
          <w:sz w:val="20"/>
          <w:szCs w:val="20"/>
          <w:color w:val="auto"/>
        </w:rPr>
      </w:pPr>
    </w:p>
    <w:p>
      <w:pPr>
        <w:sectPr>
          <w:pgSz w:w="11900" w:h="16838" w:orient="portrait"/>
          <w:cols w:equalWidth="0" w:num="2">
            <w:col w:w="3400" w:space="0"/>
            <w:col w:w="6819"/>
          </w:cols>
          <w:pgMar w:left="240" w:top="14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sectPr>
      <w:pgSz w:w="11900" w:h="16838" w:orient="portrait"/>
      <w:cols w:equalWidth="0" w:num="1">
        <w:col w:w="10219"/>
      </w:cols>
      <w:pgMar w:left="24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upperLetter"/>
      <w:start w:val="40"/>
    </w:lvl>
  </w:abstractNum>
  <w:abstractNum w:abstractNumId="1">
    <w:nsid w:val="14330624"/>
    <w:multiLevelType w:val="hybridMultilevel"/>
    <w:lvl w:ilvl="0">
      <w:lvlJc w:val="left"/>
      <w:lvlText w:val="(%1)"/>
      <w:numFmt w:val="lowerRoman"/>
      <w:start w:val="2"/>
    </w:lvl>
  </w:abstractNum>
  <w:abstractNum w:abstractNumId="2">
    <w:nsid w:val="7FFFCA11"/>
    <w:multiLevelType w:val="hybridMultilevel"/>
    <w:lvl w:ilvl="0">
      <w:lvlJc w:val="left"/>
      <w:lvlText w:val="(%1)"/>
      <w:numFmt w:val="decimal"/>
      <w:start w:val="1"/>
    </w:lvl>
    <w:lvl w:ilvl="1">
      <w:lvlJc w:val="left"/>
      <w:lvlText w:val="(%2)"/>
      <w:numFmt w:val="lowerLetter"/>
      <w:start w:val="1"/>
    </w:lvl>
  </w:abstractNum>
  <w:abstractNum w:abstractNumId="3">
    <w:nsid w:val="1A27709E"/>
    <w:multiLevelType w:val="hybridMultilevel"/>
    <w:lvl w:ilvl="0">
      <w:lvlJc w:val="left"/>
      <w:lvlText w:val="(%1)"/>
      <w:numFmt w:val="lowerLetter"/>
      <w:start w:val="5"/>
    </w:lvl>
  </w:abstractNum>
  <w:abstractNum w:abstractNumId="4">
    <w:nsid w:val="71EA1109"/>
    <w:multiLevelType w:val="hybridMultilevel"/>
    <w:lvl w:ilvl="0">
      <w:lvlJc w:val="left"/>
      <w:lvlText w:val="(%1)"/>
      <w:numFmt w:val="lowerLetter"/>
      <w:start w:val="10"/>
    </w:lvl>
  </w:abstractNum>
  <w:abstractNum w:abstractNumId="5">
    <w:nsid w:val="100F59DC"/>
    <w:multiLevelType w:val="hybridMultilevel"/>
    <w:lvl w:ilvl="0">
      <w:lvlJc w:val="left"/>
      <w:lvlText w:val="(%1)"/>
      <w:numFmt w:val="lowerLetter"/>
      <w:start w:val="11"/>
    </w:lvl>
  </w:abstractNum>
  <w:abstractNum w:abstractNumId="6">
    <w:nsid w:val="7FB7E0AA"/>
    <w:multiLevelType w:val="hybridMultilevel"/>
    <w:lvl w:ilvl="0">
      <w:lvlJc w:val="left"/>
      <w:lvlText w:val="%1"/>
      <w:numFmt w:val="decimal"/>
      <w:start w:val="1"/>
    </w:lvl>
    <w:lvl w:ilvl="1">
      <w:lvlJc w:val="left"/>
      <w:lvlText w:val="(%2)"/>
      <w:numFmt w:val="lowerLetter"/>
      <w:start w:val="17"/>
    </w:lvl>
  </w:abstractNum>
  <w:abstractNum w:abstractNumId="7">
    <w:nsid w:val="6EB5BD4"/>
    <w:multiLevelType w:val="hybridMultilevel"/>
    <w:lvl w:ilvl="0">
      <w:lvlJc w:val="left"/>
      <w:lvlText w:val="(%1)"/>
      <w:numFmt w:val="decimal"/>
      <w:start w:val="2"/>
    </w:lvl>
    <w:lvl w:ilvl="1">
      <w:lvlJc w:val="left"/>
      <w:lvlText w:val="%2"/>
      <w:numFmt w:val="lowerLetter"/>
      <w:start w:val="1"/>
    </w:lvl>
  </w:abstractNum>
  <w:abstractNum w:abstractNumId="8">
    <w:nsid w:val="6F6DD9AC"/>
    <w:multiLevelType w:val="hybridMultilevel"/>
    <w:lvl w:ilvl="0">
      <w:lvlJc w:val="left"/>
      <w:lvlText w:val="(%1)"/>
      <w:numFmt w:val="decimal"/>
      <w:start w:val="3"/>
    </w:lvl>
  </w:abstractNum>
  <w:abstractNum w:abstractNumId="9">
    <w:nsid w:val="94211F2"/>
    <w:multiLevelType w:val="hybridMultilevel"/>
    <w:lvl w:ilvl="0">
      <w:lvlJc w:val="left"/>
      <w:lvlText w:val="(%1)"/>
      <w:numFmt w:val="decimal"/>
      <w:start w:val="4"/>
    </w:lvl>
  </w:abstractNum>
  <w:abstractNum w:abstractNumId="10">
    <w:nsid w:val="885E1B"/>
    <w:multiLevelType w:val="hybridMultilevel"/>
    <w:lvl w:ilvl="0">
      <w:lvlJc w:val="left"/>
      <w:lvlText w:val="(%1)"/>
      <w:numFmt w:val="decimal"/>
      <w:start w:val="8"/>
    </w:lvl>
    <w:lvl w:ilvl="1">
      <w:lvlJc w:val="left"/>
      <w:lvlText w:val="(%2)"/>
      <w:numFmt w:val="lowerLetter"/>
      <w:start w:val="1"/>
    </w:lvl>
  </w:abstractNum>
  <w:abstractNum w:abstractNumId="11">
    <w:nsid w:val="76272110"/>
    <w:multiLevelType w:val="hybridMultilevel"/>
    <w:lvl w:ilvl="0">
      <w:lvlJc w:val="left"/>
      <w:lvlText w:val="(%1)"/>
      <w:numFmt w:val="lowerLetter"/>
      <w:start w:val="2"/>
    </w:lvl>
  </w:abstractNum>
  <w:abstractNum w:abstractNumId="12">
    <w:nsid w:val="4C04A8AF"/>
    <w:multiLevelType w:val="hybridMultilevel"/>
    <w:lvl w:ilvl="0">
      <w:lvlJc w:val="left"/>
      <w:lvlText w:val="(%1)"/>
      <w:numFmt w:val="decimal"/>
      <w:start w:val="9"/>
    </w:lvl>
  </w:abstractNum>
  <w:abstractNum w:abstractNumId="13">
    <w:nsid w:val="1716703B"/>
    <w:multiLevelType w:val="hybridMultilevel"/>
    <w:lvl w:ilvl="0">
      <w:lvlJc w:val="left"/>
      <w:lvlText w:val="(%1)"/>
      <w:numFmt w:val="decimal"/>
      <w:start w:val="10"/>
    </w:lvl>
  </w:abstractNum>
  <w:abstractNum w:abstractNumId="14">
    <w:nsid w:val="14E17E33"/>
    <w:multiLevelType w:val="hybridMultilevel"/>
    <w:lvl w:ilvl="0">
      <w:lvlJc w:val="left"/>
      <w:lvlText w:val="(%1)"/>
      <w:numFmt w:val="decimal"/>
      <w:start w:val="11"/>
    </w:lvl>
  </w:abstractNum>
  <w:abstractNum w:abstractNumId="15">
    <w:nsid w:val="3222E7CD"/>
    <w:multiLevelType w:val="hybridMultilevel"/>
    <w:lvl w:ilvl="0">
      <w:lvlJc w:val="left"/>
      <w:lvlText w:val="(%1)"/>
      <w:numFmt w:val="decimal"/>
      <w:start w:val="12"/>
    </w:lvl>
  </w:abstractNum>
  <w:abstractNum w:abstractNumId="16">
    <w:nsid w:val="74DE0EE3"/>
    <w:multiLevelType w:val="hybridMultilevel"/>
    <w:lvl w:ilvl="0">
      <w:lvlJc w:val="left"/>
      <w:lvlText w:val="(%1)"/>
      <w:numFmt w:val="decimal"/>
      <w:start w:val="14"/>
    </w:lvl>
  </w:abstractNum>
  <w:abstractNum w:abstractNumId="17">
    <w:nsid w:val="68EBC550"/>
    <w:multiLevelType w:val="hybridMultilevel"/>
    <w:lvl w:ilvl="0">
      <w:lvlJc w:val="left"/>
      <w:lvlText w:val="(%1)"/>
      <w:numFmt w:val="decimal"/>
      <w:start w:val="15"/>
    </w:lvl>
  </w:abstractNum>
  <w:abstractNum w:abstractNumId="18">
    <w:nsid w:val="2DF6D648"/>
    <w:multiLevelType w:val="hybridMultilevel"/>
    <w:lvl w:ilvl="0">
      <w:lvlJc w:val="left"/>
      <w:lvlText w:val="(%1)"/>
      <w:numFmt w:val="decimal"/>
      <w:start w:val="16"/>
    </w:lvl>
  </w:abstractNum>
  <w:abstractNum w:abstractNumId="19">
    <w:nsid w:val="46B7D447"/>
    <w:multiLevelType w:val="hybridMultilevel"/>
    <w:lvl w:ilvl="0">
      <w:lvlJc w:val="left"/>
      <w:lvlText w:val="%1"/>
      <w:numFmt w:val="decimal"/>
      <w:start w:val="1"/>
    </w:lvl>
    <w:lvl w:ilvl="1">
      <w:lvlJc w:val="left"/>
      <w:lvlText w:val="(%2)"/>
      <w:numFmt w:val="decimal"/>
      <w:start w:val="17"/>
    </w:lvl>
  </w:abstractNum>
  <w:abstractNum w:abstractNumId="20">
    <w:nsid w:val="4A2AC315"/>
    <w:multiLevelType w:val="hybridMultilevel"/>
    <w:lvl w:ilvl="0">
      <w:lvlJc w:val="left"/>
      <w:lvlText w:val="(%1)"/>
      <w:numFmt w:val="decimal"/>
      <w:start w:val="18"/>
    </w:lvl>
    <w:lvl w:ilvl="1">
      <w:lvlJc w:val="left"/>
      <w:lvlText w:val="%2"/>
      <w:numFmt w:val="decimal"/>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1)"/>
      <w:numFmt w:val="lowerLetter"/>
      <w:start w:val="2"/>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1."/>
      <w:numFmt w:val="decimal"/>
      <w:start w:val="1"/>
    </w:lvl>
  </w:abstractNum>
  <w:abstractNum w:abstractNumId="29">
    <w:nsid w:val="7055A5F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
    <w:nsid w:val="5FB8370B"/>
    <w:multiLevelType w:val="hybridMultilevel"/>
    <w:lvl w:ilvl="0">
      <w:lvlJc w:val="left"/>
      <w:lvlText w:val="(%1)"/>
      <w:numFmt w:val="lowerLetter"/>
      <w:start w:val="2"/>
    </w:lvl>
    <w:lvl w:ilvl="1">
      <w:lvlJc w:val="left"/>
      <w:lvlText w:val="(%2)"/>
      <w:numFmt w:val="lowerLetter"/>
      <w:start w:val="9"/>
    </w:lvl>
  </w:abstractNum>
  <w:abstractNum w:abstractNumId="31">
    <w:nsid w:val="50801EE1"/>
    <w:multiLevelType w:val="hybridMultilevel"/>
    <w:lvl w:ilvl="0">
      <w:lvlJc w:val="left"/>
      <w:lvlText w:val="(%1)"/>
      <w:numFmt w:val="lowerRoman"/>
      <w:start w:val="2"/>
    </w:lvl>
    <w:lvl w:ilvl="1">
      <w:lvlJc w:val="left"/>
      <w:lvlText w:val="(%2)"/>
      <w:numFmt w:val="upperLetter"/>
      <w:start w:val="1"/>
    </w:lvl>
  </w:abstractNum>
  <w:abstractNum w:abstractNumId="32">
    <w:nsid w:val="488AC1A"/>
    <w:multiLevelType w:val="hybridMultilevel"/>
    <w:lvl w:ilvl="0">
      <w:lvlJc w:val="left"/>
      <w:lvlText w:val="%1"/>
      <w:numFmt w:val="lowerLetter"/>
      <w:start w:val="1"/>
    </w:lvl>
    <w:lvl w:ilvl="1">
      <w:lvlJc w:val="left"/>
      <w:lvlText w:val="(%2)"/>
      <w:numFmt w:val="lowerLetter"/>
      <w:start w:val="3"/>
    </w:lvl>
  </w:abstractNum>
  <w:abstractNum w:abstractNumId="33">
    <w:nsid w:val="5FB8011C"/>
    <w:multiLevelType w:val="hybridMultilevel"/>
    <w:lvl w:ilvl="0">
      <w:lvlJc w:val="left"/>
      <w:lvlText w:val="(%1)"/>
      <w:numFmt w:val="lowerLetter"/>
      <w:start w:val="61"/>
    </w:lvl>
    <w:lvl w:ilvl="1">
      <w:lvlJc w:val="left"/>
      <w:lvlText w:val="(%2)"/>
      <w:numFmt w:val="lowerLetter"/>
      <w:start w:val="5"/>
    </w:lvl>
  </w:abstractNum>
  <w:abstractNum w:abstractNumId="34">
    <w:nsid w:val="6AA78F7F"/>
    <w:multiLevelType w:val="hybridMultilevel"/>
    <w:lvl w:ilvl="0">
      <w:lvlJc w:val="left"/>
      <w:lvlText w:val="%1"/>
      <w:numFmt w:val="decimal"/>
      <w:start w:val="1"/>
    </w:lvl>
    <w:lvl w:ilvl="1">
      <w:lvlJc w:val="left"/>
      <w:lvlText w:val="(%2)"/>
      <w:numFmt w:val="lowerLetter"/>
      <w:start w:val="6"/>
    </w:lvl>
  </w:abstractNum>
  <w:abstractNum w:abstractNumId="35">
    <w:nsid w:val="7672BD23"/>
    <w:multiLevelType w:val="hybridMultilevel"/>
    <w:lvl w:ilvl="0">
      <w:lvlJc w:val="left"/>
      <w:lvlText w:val="%1."/>
      <w:numFmt w:val="decimal"/>
      <w:start w:val="4"/>
    </w:lvl>
    <w:lvl w:ilvl="1">
      <w:lvlJc w:val="left"/>
      <w:lvlText w:val="(%2)"/>
      <w:numFmt w:val="lowerLetter"/>
      <w:start w:val="1"/>
    </w:lvl>
  </w:abstractNum>
  <w:abstractNum w:abstractNumId="36">
    <w:nsid w:val="6FC75AF8"/>
    <w:multiLevelType w:val="hybridMultilevel"/>
    <w:lvl w:ilvl="0">
      <w:lvlJc w:val="left"/>
      <w:lvlText w:val="(%1)"/>
      <w:numFmt w:val="lowerLetter"/>
      <w:start w:val="2"/>
    </w:lvl>
  </w:abstractNum>
  <w:abstractNum w:abstractNumId="37">
    <w:nsid w:val="6A5F7029"/>
    <w:multiLevelType w:val="hybridMultilevel"/>
    <w:lvl w:ilvl="0">
      <w:lvlJc w:val="left"/>
      <w:lvlText w:val="%1"/>
      <w:numFmt w:val="decimal"/>
      <w:start w:val="1"/>
    </w:lvl>
    <w:lvl w:ilvl="1">
      <w:lvlJc w:val="left"/>
      <w:lvlText w:val="(%2)"/>
      <w:numFmt w:val="lowerLetter"/>
      <w:start w:val="4"/>
    </w:lvl>
  </w:abstractNum>
  <w:abstractNum w:abstractNumId="38">
    <w:nsid w:val="7D5E18F8"/>
    <w:multiLevelType w:val="hybridMultilevel"/>
    <w:lvl w:ilvl="0">
      <w:lvlJc w:val="left"/>
      <w:lvlText w:val="%1."/>
      <w:numFmt w:val="decimal"/>
      <w:start w:val="5"/>
    </w:lvl>
    <w:lvl w:ilvl="1">
      <w:lvlJc w:val="left"/>
      <w:lvlText w:val="%2"/>
      <w:numFmt w:val="lowerLetter"/>
      <w:start w:val="1"/>
    </w:lvl>
  </w:abstractNum>
  <w:abstractNum w:abstractNumId="39">
    <w:nsid w:val="5F3534A4"/>
    <w:multiLevelType w:val="hybridMultilevel"/>
    <w:lvl w:ilvl="0">
      <w:lvlJc w:val="left"/>
      <w:lvlText w:val="%1."/>
      <w:numFmt w:val="decimal"/>
      <w:start w:val="7"/>
    </w:lvl>
  </w:abstractNum>
  <w:abstractNum w:abstractNumId="40">
    <w:nsid w:val="73A1821B"/>
    <w:multiLevelType w:val="hybridMultilevel"/>
    <w:lvl w:ilvl="0">
      <w:lvlJc w:val="left"/>
      <w:lvlText w:val="%1."/>
      <w:numFmt w:val="decimal"/>
      <w:start w:val="1"/>
    </w:lvl>
  </w:abstractNum>
  <w:abstractNum w:abstractNumId="41">
    <w:nsid w:val="7DE6771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555C55B5"/>
    <w:multiLevelType w:val="hybridMultilevel"/>
    <w:lvl w:ilvl="0">
      <w:lvlJc w:val="left"/>
      <w:lvlText w:val="(%1)"/>
      <w:numFmt w:val="lowerLetter"/>
      <w:start w:val="2"/>
    </w:lvl>
    <w:lvl w:ilvl="1">
      <w:lvlJc w:val="left"/>
      <w:lvlText w:val="(%2)"/>
      <w:numFmt w:val="lowerLetter"/>
      <w:start w:val="9"/>
    </w:lvl>
  </w:abstractNum>
  <w:abstractNum w:abstractNumId="43">
    <w:nsid w:val="3FA62ACA"/>
    <w:multiLevelType w:val="hybridMultilevel"/>
    <w:lvl w:ilvl="0">
      <w:lvlJc w:val="left"/>
      <w:lvlText w:val="(%1)"/>
      <w:numFmt w:val="lowerRoman"/>
      <w:start w:val="2"/>
    </w:lvl>
    <w:lvl w:ilvl="1">
      <w:lvlJc w:val="left"/>
      <w:lvlText w:val="(%2)"/>
      <w:numFmt w:val="upperLetter"/>
      <w:start w:val="1"/>
    </w:lvl>
  </w:abstractNum>
  <w:abstractNum w:abstractNumId="44">
    <w:nsid w:val="14FCE74E"/>
    <w:multiLevelType w:val="hybridMultilevel"/>
    <w:lvl w:ilvl="0">
      <w:lvlJc w:val="left"/>
      <w:lvlText w:val="(%1)"/>
      <w:numFmt w:val="lowerLetter"/>
      <w:start w:val="3"/>
    </w:lvl>
  </w:abstractNum>
  <w:abstractNum w:abstractNumId="45">
    <w:nsid w:val="6A3DD3E8"/>
    <w:multiLevelType w:val="hybridMultilevel"/>
    <w:lvl w:ilvl="0">
      <w:lvlJc w:val="left"/>
      <w:lvlText w:val="%1"/>
      <w:numFmt w:val="lowerLetter"/>
      <w:start w:val="1"/>
    </w:lvl>
    <w:lvl w:ilvl="1">
      <w:lvlJc w:val="left"/>
      <w:lvlText w:val="(%2)"/>
      <w:numFmt w:val="lowerLetter"/>
      <w:start w:val="4"/>
    </w:lvl>
  </w:abstractNum>
  <w:abstractNum w:abstractNumId="46">
    <w:nsid w:val="71C91298"/>
    <w:multiLevelType w:val="hybridMultilevel"/>
    <w:lvl w:ilvl="0">
      <w:lvlJc w:val="left"/>
      <w:lvlText w:val="(%1)"/>
      <w:numFmt w:val="lowerLetter"/>
      <w:start w:val="61"/>
    </w:lvl>
    <w:lvl w:ilvl="1">
      <w:lvlJc w:val="left"/>
      <w:lvlText w:val="(%2)"/>
      <w:numFmt w:val="lowerLetter"/>
      <w:start w:val="5"/>
    </w:lvl>
  </w:abstractNum>
  <w:abstractNum w:abstractNumId="47">
    <w:nsid w:val="9DAF632"/>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48">
    <w:nsid w:val="5329993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9">
    <w:nsid w:val="1FBFE8E0"/>
    <w:multiLevelType w:val="hybridMultilevel"/>
    <w:lvl w:ilvl="0">
      <w:lvlJc w:val="left"/>
      <w:lvlText w:val="(%1)"/>
      <w:numFmt w:val="lowerLetter"/>
      <w:start w:val="3"/>
    </w:lvl>
  </w:abstractNum>
  <w:abstractNum w:abstractNumId="50">
    <w:nsid w:val="5092CA79"/>
    <w:multiLevelType w:val="hybridMultilevel"/>
    <w:lvl w:ilvl="0">
      <w:lvlJc w:val="left"/>
      <w:lvlText w:val="%1"/>
      <w:numFmt w:val="decimal"/>
      <w:start w:val="1"/>
    </w:lvl>
    <w:lvl w:ilvl="1">
      <w:lvlJc w:val="left"/>
      <w:lvlText w:val="(%2)"/>
      <w:numFmt w:val="lowerLetter"/>
      <w:start w:val="4"/>
    </w:lvl>
  </w:abstractNum>
  <w:abstractNum w:abstractNumId="51">
    <w:nsid w:val="1D545C4D"/>
    <w:multiLevelType w:val="hybridMultilevel"/>
    <w:lvl w:ilvl="0">
      <w:lvlJc w:val="left"/>
      <w:lvlText w:val="%1."/>
      <w:numFmt w:val="decimal"/>
      <w:start w:val="5"/>
    </w:lvl>
    <w:lvl w:ilvl="1">
      <w:lvlJc w:val="left"/>
      <w:lvlText w:val="%2"/>
      <w:numFmt w:val="lowerLetter"/>
      <w:start w:val="1"/>
    </w:lvl>
  </w:abstractNum>
  <w:abstractNum w:abstractNumId="52">
    <w:nsid w:val="59ADEA3D"/>
    <w:multiLevelType w:val="hybridMultilevel"/>
    <w:lvl w:ilvl="0">
      <w:lvlJc w:val="left"/>
      <w:lvlText w:val="%1."/>
      <w:numFmt w:val="decimal"/>
      <w:start w:val="7"/>
    </w:lvl>
  </w:abstractNum>
  <w:abstractNum w:abstractNumId="53">
    <w:nsid w:val="288F1A34"/>
    <w:multiLevelType w:val="hybridMultilevel"/>
    <w:lvl w:ilvl="0">
      <w:lvlJc w:val="left"/>
      <w:lvlText w:val="%1."/>
      <w:numFmt w:val="decimal"/>
      <w:start w:val="9"/>
    </w:lvl>
  </w:abstractNum>
  <w:abstractNum w:abstractNumId="54">
    <w:nsid w:val="2A155DBC"/>
    <w:multiLevelType w:val="hybridMultilevel"/>
    <w:lvl w:ilvl="0">
      <w:lvlJc w:val="left"/>
      <w:lvlText w:val="%1."/>
      <w:numFmt w:val="decimal"/>
      <w:start w:val="1"/>
    </w:lvl>
  </w:abstractNum>
  <w:abstractNum w:abstractNumId="55">
    <w:nsid w:val="1D9F6E5F"/>
    <w:multiLevelType w:val="hybridMultilevel"/>
    <w:lvl w:ilvl="0">
      <w:lvlJc w:val="left"/>
      <w:lvlText w:val="%1."/>
      <w:numFmt w:val="decimal"/>
      <w:start w:val="1"/>
    </w:lvl>
  </w:abstractNum>
  <w:abstractNum w:abstractNumId="56">
    <w:nsid w:val="97E1B4E"/>
    <w:multiLevelType w:val="hybridMultilevel"/>
    <w:lvl w:ilvl="0">
      <w:lvlJc w:val="left"/>
      <w:lvlText w:val="%1."/>
      <w:numFmt w:val="decimal"/>
      <w:start w:val="6"/>
    </w:lvl>
    <w:lvl w:ilvl="1">
      <w:lvlJc w:val="left"/>
      <w:lvlText w:val="(%2)"/>
      <w:numFmt w:val="lowerLetter"/>
      <w:start w:val="1"/>
    </w:lvl>
  </w:abstractNum>
  <w:abstractNum w:abstractNumId="57">
    <w:nsid w:val="51088277"/>
    <w:multiLevelType w:val="hybridMultilevel"/>
    <w:lvl w:ilvl="0">
      <w:lvlJc w:val="left"/>
      <w:lvlText w:val="%1"/>
      <w:numFmt w:val="decimal"/>
      <w:start w:val="1"/>
    </w:lvl>
    <w:lvl w:ilvl="1">
      <w:lvlJc w:val="left"/>
      <w:lvlText w:val="(%2)"/>
      <w:numFmt w:val="lowerLetter"/>
      <w:start w:val="4"/>
    </w:lvl>
  </w:abstractNum>
  <w:abstractNum w:abstractNumId="58">
    <w:nsid w:val="1CA0C5FA"/>
    <w:multiLevelType w:val="hybridMultilevel"/>
    <w:lvl w:ilvl="0">
      <w:lvlJc w:val="left"/>
      <w:lvlText w:val="%1."/>
      <w:numFmt w:val="decimal"/>
      <w:start w:val="7"/>
    </w:lvl>
    <w:lvl w:ilvl="1">
      <w:lvlJc w:val="left"/>
      <w:lvlText w:val="(%2)"/>
      <w:numFmt w:val="lowerLetter"/>
      <w:start w:val="1"/>
    </w:lvl>
  </w:abstractNum>
  <w:abstractNum w:abstractNumId="59">
    <w:nsid w:val="53584BCB"/>
    <w:multiLevelType w:val="hybridMultilevel"/>
    <w:lvl w:ilvl="0">
      <w:lvlJc w:val="left"/>
      <w:lvlText w:val="(%1)"/>
      <w:numFmt w:val="lowerLetter"/>
      <w:start w:val="2"/>
    </w:lvl>
    <w:lvl w:ilvl="1">
      <w:lvlJc w:val="left"/>
      <w:lvlText w:val="%2."/>
      <w:numFmt w:val="upperLetter"/>
      <w:start w:val="1"/>
    </w:lvl>
  </w:abstractNum>
  <w:abstractNum w:abstractNumId="60">
    <w:nsid w:val="415E286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1">
    <w:nsid w:val="7C58FD05"/>
    <w:multiLevelType w:val="hybridMultilevel"/>
    <w:lvl w:ilvl="0">
      <w:lvlJc w:val="left"/>
      <w:lvlText w:val="%1"/>
      <w:numFmt w:val="decimal"/>
      <w:start w:val="1"/>
    </w:lvl>
    <w:lvl w:ilvl="1">
      <w:lvlJc w:val="left"/>
      <w:lvlText w:val="(%2)"/>
      <w:numFmt w:val="lowerLetter"/>
      <w:start w:val="3"/>
    </w:lvl>
  </w:abstractNum>
  <w:abstractNum w:abstractNumId="62">
    <w:nsid w:val="23D86AAC"/>
    <w:multiLevelType w:val="hybridMultilevel"/>
    <w:lvl w:ilvl="0">
      <w:lvlJc w:val="left"/>
      <w:lvlText w:val="%1."/>
      <w:numFmt w:val="decimal"/>
      <w:start w:val="10"/>
    </w:lvl>
    <w:lvl w:ilvl="1">
      <w:lvlJc w:val="left"/>
      <w:lvlText w:val="(%2)"/>
      <w:numFmt w:val="lowerLetter"/>
      <w:start w:val="1"/>
    </w:lvl>
  </w:abstractNum>
  <w:abstractNum w:abstractNumId="63">
    <w:nsid w:val="45E6D486"/>
    <w:multiLevelType w:val="hybridMultilevel"/>
    <w:lvl w:ilvl="0">
      <w:lvlJc w:val="left"/>
      <w:lvlText w:val="%1"/>
      <w:numFmt w:val="decimal"/>
      <w:start w:val="1"/>
    </w:lvl>
    <w:lvl w:ilvl="1">
      <w:lvlJc w:val="left"/>
      <w:lvlText w:val="(%2)"/>
      <w:numFmt w:val="lowerLetter"/>
      <w:start w:val="3"/>
    </w:lvl>
  </w:abstractNum>
  <w:abstractNum w:abstractNumId="64">
    <w:nsid w:val="5C10FE21"/>
    <w:multiLevelType w:val="hybridMultilevel"/>
    <w:lvl w:ilvl="0">
      <w:lvlJc w:val="left"/>
      <w:lvlText w:val="%1."/>
      <w:numFmt w:val="decimal"/>
      <w:start w:val="11"/>
    </w:lvl>
    <w:lvl w:ilvl="1">
      <w:lvlJc w:val="left"/>
      <w:lvlText w:val="%2"/>
      <w:numFmt w:val="lowerLetter"/>
      <w:start w:val="1"/>
    </w:lvl>
  </w:abstractNum>
  <w:abstractNum w:abstractNumId="65">
    <w:nsid w:val="E7FFA2B"/>
    <w:multiLevelType w:val="hybridMultilevel"/>
    <w:lvl w:ilvl="0">
      <w:lvlJc w:val="left"/>
      <w:lvlText w:val="%1."/>
      <w:numFmt w:val="decimal"/>
      <w:start w:val="12"/>
    </w:lvl>
  </w:abstractNum>
  <w:abstractNum w:abstractNumId="66">
    <w:nsid w:val="3C5991AA"/>
    <w:multiLevelType w:val="hybridMultilevel"/>
    <w:lvl w:ilvl="0">
      <w:lvlJc w:val="left"/>
      <w:lvlText w:val="%1."/>
      <w:numFmt w:val="decimal"/>
      <w:start w:val="18"/>
    </w:lvl>
  </w:abstractNum>
  <w:abstractNum w:abstractNumId="67">
    <w:nsid w:val="4BD8591A"/>
    <w:multiLevelType w:val="hybridMultilevel"/>
    <w:lvl w:ilvl="0">
      <w:lvlJc w:val="left"/>
      <w:lvlText w:val="%1."/>
      <w:numFmt w:val="decimal"/>
      <w:start w:val="20"/>
    </w:lvl>
  </w:abstractNum>
  <w:abstractNum w:abstractNumId="68">
    <w:nsid w:val="78DF6A55"/>
    <w:multiLevelType w:val="hybridMultilevel"/>
    <w:lvl w:ilvl="0">
      <w:lvlJc w:val="left"/>
      <w:lvlText w:val="%1."/>
      <w:numFmt w:val="decimal"/>
      <w:start w:val="1"/>
    </w:lvl>
  </w:abstractNum>
  <w:abstractNum w:abstractNumId="69">
    <w:nsid w:val="39B7AAA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0">
    <w:nsid w:val="2B0D8DBE"/>
    <w:multiLevelType w:val="hybridMultilevel"/>
    <w:lvl w:ilvl="0">
      <w:lvlJc w:val="left"/>
      <w:lvlText w:val="(%1)"/>
      <w:numFmt w:val="lowerLetter"/>
      <w:start w:val="2"/>
    </w:lvl>
    <w:lvl w:ilvl="1">
      <w:lvlJc w:val="left"/>
      <w:lvlText w:val="(%2)"/>
      <w:numFmt w:val="lowerLetter"/>
      <w:start w:val="9"/>
    </w:lvl>
  </w:abstractNum>
  <w:abstractNum w:abstractNumId="71">
    <w:nsid w:val="6C80EC70"/>
    <w:multiLevelType w:val="hybridMultilevel"/>
    <w:lvl w:ilvl="0">
      <w:lvlJc w:val="left"/>
      <w:lvlText w:val="(%1)"/>
      <w:numFmt w:val="lowerRoman"/>
      <w:start w:val="2"/>
    </w:lvl>
    <w:lvl w:ilvl="1">
      <w:lvlJc w:val="left"/>
      <w:lvlText w:val="(%2)"/>
      <w:numFmt w:val="upperLetter"/>
      <w:start w:val="1"/>
    </w:lvl>
  </w:abstractNum>
  <w:abstractNum w:abstractNumId="72">
    <w:nsid w:val="379E21B5"/>
    <w:multiLevelType w:val="hybridMultilevel"/>
    <w:lvl w:ilvl="0">
      <w:lvlJc w:val="left"/>
      <w:lvlText w:val="%1"/>
      <w:numFmt w:val="lowerLetter"/>
      <w:start w:val="1"/>
    </w:lvl>
    <w:lvl w:ilvl="1">
      <w:lvlJc w:val="left"/>
      <w:lvlText w:val="(%2)"/>
      <w:numFmt w:val="lowerLetter"/>
      <w:start w:val="3"/>
    </w:lvl>
  </w:abstractNum>
  <w:abstractNum w:abstractNumId="73">
    <w:nsid w:val="69E373"/>
    <w:multiLevelType w:val="hybridMultilevel"/>
    <w:lvl w:ilvl="0">
      <w:lvlJc w:val="left"/>
      <w:lvlText w:val="(%1)"/>
      <w:numFmt w:val="lowerLetter"/>
      <w:start w:val="61"/>
    </w:lvl>
    <w:lvl w:ilvl="1">
      <w:lvlJc w:val="left"/>
      <w:lvlText w:val="(%2)"/>
      <w:numFmt w:val="lowerLetter"/>
      <w:start w:val="3"/>
    </w:lvl>
  </w:abstractNum>
  <w:abstractNum w:abstractNumId="74">
    <w:nsid w:val="2C27173B"/>
    <w:multiLevelType w:val="hybridMultilevel"/>
    <w:lvl w:ilvl="0">
      <w:lvlJc w:val="left"/>
      <w:lvlText w:val="%1"/>
      <w:numFmt w:val="decimal"/>
      <w:start w:val="1"/>
    </w:lvl>
    <w:lvl w:ilvl="1">
      <w:lvlJc w:val="left"/>
      <w:lvlText w:val="(%2)"/>
      <w:numFmt w:val="lowerLetter"/>
      <w:start w:val="6"/>
    </w:lvl>
  </w:abstractNum>
  <w:abstractNum w:abstractNumId="75">
    <w:nsid w:val="4C9B0904"/>
    <w:multiLevelType w:val="hybridMultilevel"/>
    <w:lvl w:ilvl="0">
      <w:lvlJc w:val="left"/>
      <w:lvlText w:val="%1."/>
      <w:numFmt w:val="decimal"/>
      <w:start w:val="4"/>
    </w:lvl>
    <w:lvl w:ilvl="1">
      <w:lvlJc w:val="left"/>
      <w:lvlText w:val="(%2)"/>
      <w:numFmt w:val="lowerLetter"/>
      <w:start w:val="1"/>
    </w:lvl>
  </w:abstractNum>
  <w:abstractNum w:abstractNumId="76">
    <w:nsid w:val="6AA7B75C"/>
    <w:multiLevelType w:val="hybridMultilevel"/>
    <w:lvl w:ilvl="0">
      <w:lvlJc w:val="left"/>
      <w:lvlText w:val="(%1)"/>
      <w:numFmt w:val="lowerLetter"/>
      <w:start w:val="2"/>
    </w:lvl>
  </w:abstractNum>
  <w:abstractNum w:abstractNumId="77">
    <w:nsid w:val="1DF029D3"/>
    <w:multiLevelType w:val="hybridMultilevel"/>
    <w:lvl w:ilvl="0">
      <w:lvlJc w:val="left"/>
      <w:lvlText w:val="%1"/>
      <w:numFmt w:val="decimal"/>
      <w:start w:val="1"/>
    </w:lvl>
    <w:lvl w:ilvl="1">
      <w:lvlJc w:val="left"/>
      <w:lvlText w:val="(%2)"/>
      <w:numFmt w:val="lowerLetter"/>
      <w:start w:val="4"/>
    </w:lvl>
  </w:abstractNum>
  <w:abstractNum w:abstractNumId="78">
    <w:nsid w:val="5675FF36"/>
    <w:multiLevelType w:val="hybridMultilevel"/>
    <w:lvl w:ilvl="0">
      <w:lvlJc w:val="left"/>
      <w:lvlText w:val="%1."/>
      <w:numFmt w:val="decimal"/>
      <w:start w:val="5"/>
    </w:lvl>
    <w:lvl w:ilvl="1">
      <w:lvlJc w:val="left"/>
      <w:lvlText w:val="%2"/>
      <w:numFmt w:val="lowerLetter"/>
      <w:start w:val="1"/>
    </w:lvl>
  </w:abstractNum>
  <w:abstractNum w:abstractNumId="79">
    <w:nsid w:val="3DD15094"/>
    <w:multiLevelType w:val="hybridMultilevel"/>
    <w:lvl w:ilvl="0">
      <w:lvlJc w:val="left"/>
      <w:lvlText w:val="%1."/>
      <w:numFmt w:val="decimal"/>
      <w:start w:val="7"/>
    </w:lvl>
  </w:abstractNum>
  <w:abstractNum w:abstractNumId="80">
    <w:nsid w:val="3DB012B3"/>
    <w:multiLevelType w:val="hybridMultilevel"/>
    <w:lvl w:ilvl="0">
      <w:lvlJc w:val="left"/>
      <w:lvlText w:val="%1."/>
      <w:numFmt w:val="decimal"/>
      <w:start w:val="2"/>
    </w:lvl>
  </w:abstractNum>
  <w:abstractNum w:abstractNumId="81">
    <w:nsid w:val="2708C9AF"/>
    <w:multiLevelType w:val="hybridMultilevel"/>
    <w:lvl w:ilvl="0">
      <w:lvlJc w:val="left"/>
      <w:lvlText w:val="%1."/>
      <w:numFmt w:val="decimal"/>
      <w:start w:val="1"/>
    </w:lvl>
  </w:abstractNum>
  <w:abstractNum w:abstractNumId="82">
    <w:nsid w:val="5B25ACE2"/>
    <w:multiLevelType w:val="hybridMultilevel"/>
    <w:lvl w:ilvl="0">
      <w:lvlJc w:val="left"/>
      <w:lvlText w:val="%1."/>
      <w:numFmt w:val="decimal"/>
      <w:start w:val="6"/>
    </w:lvl>
    <w:lvl w:ilvl="1">
      <w:lvlJc w:val="left"/>
      <w:lvlText w:val="(%2)"/>
      <w:numFmt w:val="lowerLetter"/>
      <w:start w:val="1"/>
    </w:lvl>
  </w:abstractNum>
  <w:abstractNum w:abstractNumId="83">
    <w:nsid w:val="175DFCF0"/>
    <w:multiLevelType w:val="hybridMultilevel"/>
    <w:lvl w:ilvl="0">
      <w:lvlJc w:val="left"/>
      <w:lvlText w:val="%1"/>
      <w:numFmt w:val="decimal"/>
      <w:start w:val="1"/>
    </w:lvl>
    <w:lvl w:ilvl="1">
      <w:lvlJc w:val="left"/>
      <w:lvlText w:val="(%2)"/>
      <w:numFmt w:val="lowerLetter"/>
      <w:start w:val="4"/>
    </w:lvl>
  </w:abstractNum>
  <w:abstractNum w:abstractNumId="84">
    <w:nsid w:val="4F97E3E4"/>
    <w:multiLevelType w:val="hybridMultilevel"/>
    <w:lvl w:ilvl="0">
      <w:lvlJc w:val="left"/>
      <w:lvlText w:val="%1."/>
      <w:numFmt w:val="decimal"/>
      <w:start w:val="7"/>
    </w:lvl>
    <w:lvl w:ilvl="1">
      <w:lvlJc w:val="left"/>
      <w:lvlText w:val="(%2)"/>
      <w:numFmt w:val="lowerLetter"/>
      <w:start w:val="1"/>
    </w:lvl>
  </w:abstractNum>
  <w:abstractNum w:abstractNumId="85">
    <w:nsid w:val="53B0A9E"/>
    <w:multiLevelType w:val="hybridMultilevel"/>
    <w:lvl w:ilvl="0">
      <w:lvlJc w:val="left"/>
      <w:lvlText w:val="(%1)"/>
      <w:numFmt w:val="lowerLetter"/>
      <w:start w:val="2"/>
    </w:lvl>
    <w:lvl w:ilvl="1">
      <w:lvlJc w:val="left"/>
      <w:lvlText w:val="%2."/>
      <w:numFmt w:val="upperLetter"/>
      <w:start w:val="1"/>
    </w:lvl>
  </w:abstractNum>
  <w:abstractNum w:abstractNumId="86">
    <w:nsid w:val="34FD6B4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7">
    <w:nsid w:val="5915FF32"/>
    <w:multiLevelType w:val="hybridMultilevel"/>
    <w:lvl w:ilvl="0">
      <w:lvlJc w:val="left"/>
      <w:lvlText w:val="%1"/>
      <w:numFmt w:val="decimal"/>
      <w:start w:val="1"/>
    </w:lvl>
    <w:lvl w:ilvl="1">
      <w:lvlJc w:val="left"/>
      <w:lvlText w:val="(%2)"/>
      <w:numFmt w:val="lowerLetter"/>
      <w:start w:val="3"/>
    </w:lvl>
  </w:abstractNum>
  <w:abstractNum w:abstractNumId="88">
    <w:nsid w:val="56438D15"/>
    <w:multiLevelType w:val="hybridMultilevel"/>
    <w:lvl w:ilvl="0">
      <w:lvlJc w:val="left"/>
      <w:lvlText w:val="%1."/>
      <w:numFmt w:val="decimal"/>
      <w:start w:val="10"/>
    </w:lvl>
    <w:lvl w:ilvl="1">
      <w:lvlJc w:val="left"/>
      <w:lvlText w:val="(%2)"/>
      <w:numFmt w:val="lowerLetter"/>
      <w:start w:val="1"/>
    </w:lvl>
  </w:abstractNum>
  <w:abstractNum w:abstractNumId="89">
    <w:nsid w:val="519E3149"/>
    <w:multiLevelType w:val="hybridMultilevel"/>
    <w:lvl w:ilvl="0">
      <w:lvlJc w:val="left"/>
      <w:lvlText w:val="%1"/>
      <w:numFmt w:val="decimal"/>
      <w:start w:val="1"/>
    </w:lvl>
    <w:lvl w:ilvl="1">
      <w:lvlJc w:val="left"/>
      <w:lvlText w:val="(%2)"/>
      <w:numFmt w:val="lowerLetter"/>
      <w:start w:val="3"/>
    </w:lvl>
  </w:abstractNum>
  <w:abstractNum w:abstractNumId="90">
    <w:nsid w:val="2C6E4AFD"/>
    <w:multiLevelType w:val="hybridMultilevel"/>
    <w:lvl w:ilvl="0">
      <w:lvlJc w:val="left"/>
      <w:lvlText w:val="%1."/>
      <w:numFmt w:val="decimal"/>
      <w:start w:val="11"/>
    </w:lvl>
    <w:lvl w:ilvl="1">
      <w:lvlJc w:val="left"/>
      <w:lvlText w:val="%2"/>
      <w:numFmt w:val="lowerLetter"/>
      <w:start w:val="1"/>
    </w:lvl>
  </w:abstractNum>
  <w:abstractNum w:abstractNumId="91">
    <w:nsid w:val="17A1B582"/>
    <w:multiLevelType w:val="hybridMultilevel"/>
    <w:lvl w:ilvl="0">
      <w:lvlJc w:val="left"/>
      <w:lvlText w:val="%1."/>
      <w:numFmt w:val="decimal"/>
      <w:start w:val="12"/>
    </w:lvl>
  </w:abstractNum>
  <w:abstractNum w:abstractNumId="92">
    <w:nsid w:val="4DF72E4E"/>
    <w:multiLevelType w:val="hybridMultilevel"/>
    <w:lvl w:ilvl="0">
      <w:lvlJc w:val="left"/>
      <w:lvlText w:val="%1."/>
      <w:numFmt w:val="decimal"/>
      <w:start w:val="18"/>
    </w:lvl>
  </w:abstractNum>
  <w:abstractNum w:abstractNumId="93">
    <w:nsid w:val="5046B5A9"/>
    <w:multiLevelType w:val="hybridMultilevel"/>
    <w:lvl w:ilvl="0">
      <w:lvlJc w:val="left"/>
      <w:lvlText w:val="%1."/>
      <w:numFmt w:val="decimal"/>
      <w:start w:val="20"/>
    </w:lvl>
  </w:abstractNum>
  <w:abstractNum w:abstractNumId="94">
    <w:nsid w:val="5D888A08"/>
    <w:multiLevelType w:val="hybridMultilevel"/>
    <w:lvl w:ilvl="0">
      <w:lvlJc w:val="left"/>
      <w:lvlText w:val="%1."/>
      <w:numFmt w:val="decimal"/>
      <w:start w:val="1"/>
    </w:lvl>
  </w:abstractNum>
  <w:abstractNum w:abstractNumId="95">
    <w:nsid w:val="2A082C7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6">
    <w:nsid w:val="5EC6AFD4"/>
    <w:multiLevelType w:val="hybridMultilevel"/>
    <w:lvl w:ilvl="0">
      <w:lvlJc w:val="left"/>
      <w:lvlText w:val="(%1)"/>
      <w:numFmt w:val="lowerLetter"/>
      <w:start w:val="2"/>
    </w:lvl>
    <w:lvl w:ilvl="1">
      <w:lvlJc w:val="left"/>
      <w:lvlText w:val="(%2)"/>
      <w:numFmt w:val="lowerLetter"/>
      <w:start w:val="9"/>
    </w:lvl>
  </w:abstractNum>
  <w:abstractNum w:abstractNumId="97">
    <w:nsid w:val="19E21BB2"/>
    <w:multiLevelType w:val="hybridMultilevel"/>
    <w:lvl w:ilvl="0">
      <w:lvlJc w:val="left"/>
      <w:lvlText w:val="(%1)"/>
      <w:numFmt w:val="lowerRoman"/>
      <w:start w:val="2"/>
    </w:lvl>
    <w:lvl w:ilvl="1">
      <w:lvlJc w:val="left"/>
      <w:lvlText w:val="(%2)"/>
      <w:numFmt w:val="upperLetter"/>
      <w:start w:val="1"/>
    </w:lvl>
  </w:abstractNum>
  <w:abstractNum w:abstractNumId="98">
    <w:nsid w:val="75E0858A"/>
    <w:multiLevelType w:val="hybridMultilevel"/>
    <w:lvl w:ilvl="0">
      <w:lvlJc w:val="left"/>
      <w:lvlText w:val="%1"/>
      <w:numFmt w:val="lowerLetter"/>
      <w:start w:val="1"/>
    </w:lvl>
    <w:lvl w:ilvl="1">
      <w:lvlJc w:val="left"/>
      <w:lvlText w:val="(%2)"/>
      <w:numFmt w:val="lowerLetter"/>
      <w:start w:val="3"/>
    </w:lvl>
  </w:abstractNum>
  <w:abstractNum w:abstractNumId="99">
    <w:nsid w:val="57A61A29"/>
    <w:multiLevelType w:val="hybridMultilevel"/>
    <w:lvl w:ilvl="0">
      <w:lvlJc w:val="left"/>
      <w:lvlText w:val="(%1)"/>
      <w:numFmt w:val="lowerLetter"/>
      <w:start w:val="61"/>
    </w:lvl>
    <w:lvl w:ilvl="1">
      <w:lvlJc w:val="left"/>
      <w:lvlText w:val="(%2)"/>
      <w:numFmt w:val="lowerLetter"/>
      <w:start w:val="5"/>
    </w:lvl>
  </w:abstractNum>
  <w:abstractNum w:abstractNumId="100">
    <w:nsid w:val="5399C654"/>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01">
    <w:nsid w:val="20EE134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02">
    <w:nsid w:val="4427069A"/>
    <w:multiLevelType w:val="hybridMultilevel"/>
    <w:lvl w:ilvl="0">
      <w:lvlJc w:val="left"/>
      <w:lvlText w:val="(%1)"/>
      <w:numFmt w:val="lowerLetter"/>
      <w:start w:val="2"/>
    </w:lvl>
  </w:abstractNum>
  <w:abstractNum w:abstractNumId="103">
    <w:nsid w:val="B37E80A"/>
    <w:multiLevelType w:val="hybridMultilevel"/>
    <w:lvl w:ilvl="0">
      <w:lvlJc w:val="left"/>
      <w:lvlText w:val="%1"/>
      <w:numFmt w:val="decimal"/>
      <w:start w:val="1"/>
    </w:lvl>
    <w:lvl w:ilvl="1">
      <w:lvlJc w:val="left"/>
      <w:lvlText w:val="(%2)"/>
      <w:numFmt w:val="lowerLetter"/>
      <w:start w:val="4"/>
    </w:lvl>
  </w:abstractNum>
  <w:abstractNum w:abstractNumId="104">
    <w:nsid w:val="2157F6BC"/>
    <w:multiLevelType w:val="hybridMultilevel"/>
    <w:lvl w:ilvl="0">
      <w:lvlJc w:val="left"/>
      <w:lvlText w:val="%1."/>
      <w:numFmt w:val="decimal"/>
      <w:start w:val="5"/>
    </w:lvl>
    <w:lvl w:ilvl="1">
      <w:lvlJc w:val="left"/>
      <w:lvlText w:val="%2"/>
      <w:numFmt w:val="lowerLetter"/>
      <w:start w:val="1"/>
    </w:lvl>
  </w:abstractNum>
  <w:abstractNum w:abstractNumId="105">
    <w:nsid w:val="704E1DD5"/>
    <w:multiLevelType w:val="hybridMultilevel"/>
    <w:lvl w:ilvl="0">
      <w:lvlJc w:val="left"/>
      <w:lvlText w:val="%1."/>
      <w:numFmt w:val="decimal"/>
      <w:start w:val="7"/>
    </w:lvl>
  </w:abstractNum>
  <w:abstractNum w:abstractNumId="106">
    <w:nsid w:val="57D2F10E"/>
    <w:multiLevelType w:val="hybridMultilevel"/>
    <w:lvl w:ilvl="0">
      <w:lvlJc w:val="left"/>
      <w:lvlText w:val="%1."/>
      <w:numFmt w:val="decimal"/>
      <w:start w:val="1"/>
    </w:lvl>
  </w:abstractNum>
  <w:abstractNum w:abstractNumId="107">
    <w:nsid w:val="BFFAE18"/>
    <w:multiLevelType w:val="hybridMultilevel"/>
    <w:lvl w:ilvl="0">
      <w:lvlJc w:val="left"/>
      <w:lvlText w:val="%1."/>
      <w:numFmt w:val="decimal"/>
      <w:start w:val="1"/>
    </w:lvl>
  </w:abstractNum>
  <w:abstractNum w:abstractNumId="108">
    <w:nsid w:val="E3E47A8"/>
    <w:multiLevelType w:val="hybridMultilevel"/>
    <w:lvl w:ilvl="0">
      <w:lvlJc w:val="left"/>
      <w:lvlText w:val="%1."/>
      <w:numFmt w:val="decimal"/>
      <w:start w:val="6"/>
    </w:lvl>
    <w:lvl w:ilvl="1">
      <w:lvlJc w:val="left"/>
      <w:lvlText w:val="(%2)"/>
      <w:numFmt w:val="lowerLetter"/>
      <w:start w:val="1"/>
    </w:lvl>
  </w:abstractNum>
  <w:abstractNum w:abstractNumId="109">
    <w:nsid w:val="2E48F044"/>
    <w:multiLevelType w:val="hybridMultilevel"/>
    <w:lvl w:ilvl="0">
      <w:lvlJc w:val="left"/>
      <w:lvlText w:val="%1"/>
      <w:numFmt w:val="decimal"/>
      <w:start w:val="1"/>
    </w:lvl>
    <w:lvl w:ilvl="1">
      <w:lvlJc w:val="left"/>
      <w:lvlText w:val="(%2)"/>
      <w:numFmt w:val="lowerLetter"/>
      <w:start w:val="4"/>
    </w:lvl>
  </w:abstractNum>
  <w:abstractNum w:abstractNumId="110">
    <w:nsid w:val="49D0FEAC"/>
    <w:multiLevelType w:val="hybridMultilevel"/>
    <w:lvl w:ilvl="0">
      <w:lvlJc w:val="left"/>
      <w:lvlText w:val="%1."/>
      <w:numFmt w:val="decimal"/>
      <w:start w:val="7"/>
    </w:lvl>
    <w:lvl w:ilvl="1">
      <w:lvlJc w:val="left"/>
      <w:lvlText w:val="(%2)"/>
      <w:numFmt w:val="lowerLetter"/>
      <w:start w:val="1"/>
    </w:lvl>
  </w:abstractNum>
  <w:abstractNum w:abstractNumId="111">
    <w:nsid w:val="4BEE5A5B"/>
    <w:multiLevelType w:val="hybridMultilevel"/>
    <w:lvl w:ilvl="0">
      <w:lvlJc w:val="left"/>
      <w:lvlText w:val="(%1)"/>
      <w:numFmt w:val="lowerLetter"/>
      <w:start w:val="2"/>
    </w:lvl>
    <w:lvl w:ilvl="1">
      <w:lvlJc w:val="left"/>
      <w:lvlText w:val="%2."/>
      <w:numFmt w:val="upperLetter"/>
      <w:start w:val="1"/>
    </w:lvl>
  </w:abstractNum>
  <w:abstractNum w:abstractNumId="112">
    <w:nsid w:val="5551B9F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13">
    <w:nsid w:val="24F6AB8E"/>
    <w:multiLevelType w:val="hybridMultilevel"/>
    <w:lvl w:ilvl="0">
      <w:lvlJc w:val="left"/>
      <w:lvlText w:val="%1"/>
      <w:numFmt w:val="decimal"/>
      <w:start w:val="1"/>
    </w:lvl>
    <w:lvl w:ilvl="1">
      <w:lvlJc w:val="left"/>
      <w:lvlText w:val="(%2)"/>
      <w:numFmt w:val="lowerLetter"/>
      <w:start w:val="3"/>
    </w:lvl>
  </w:abstractNum>
  <w:abstractNum w:abstractNumId="114">
    <w:nsid w:val="634C574C"/>
    <w:multiLevelType w:val="hybridMultilevel"/>
    <w:lvl w:ilvl="0">
      <w:lvlJc w:val="left"/>
      <w:lvlText w:val="%1."/>
      <w:numFmt w:val="decimal"/>
      <w:start w:val="10"/>
    </w:lvl>
    <w:lvl w:ilvl="1">
      <w:lvlJc w:val="left"/>
      <w:lvlText w:val="(%2)"/>
      <w:numFmt w:val="lowerLetter"/>
      <w:start w:val="1"/>
    </w:lvl>
  </w:abstractNum>
  <w:abstractNum w:abstractNumId="115">
    <w:nsid w:val="24E99DD7"/>
    <w:multiLevelType w:val="hybridMultilevel"/>
    <w:lvl w:ilvl="0">
      <w:lvlJc w:val="left"/>
      <w:lvlText w:val="%1"/>
      <w:numFmt w:val="decimal"/>
      <w:start w:val="1"/>
    </w:lvl>
    <w:lvl w:ilvl="1">
      <w:lvlJc w:val="left"/>
      <w:lvlText w:val="(%2)"/>
      <w:numFmt w:val="lowerLetter"/>
      <w:start w:val="2"/>
    </w:lvl>
  </w:abstractNum>
  <w:abstractNum w:abstractNumId="116">
    <w:nsid w:val="2A31B62D"/>
    <w:multiLevelType w:val="hybridMultilevel"/>
    <w:lvl w:ilvl="0">
      <w:lvlJc w:val="left"/>
      <w:lvlText w:val="%1."/>
      <w:numFmt w:val="decimal"/>
      <w:start w:val="11"/>
    </w:lvl>
    <w:lvl w:ilvl="1">
      <w:lvlJc w:val="left"/>
      <w:lvlText w:val="%2"/>
      <w:numFmt w:val="lowerLetter"/>
      <w:start w:val="1"/>
    </w:lvl>
  </w:abstractNum>
  <w:abstractNum w:abstractNumId="117">
    <w:nsid w:val="1849C29B"/>
    <w:multiLevelType w:val="hybridMultilevel"/>
    <w:lvl w:ilvl="0">
      <w:lvlJc w:val="left"/>
      <w:lvlText w:val="%1."/>
      <w:numFmt w:val="decimal"/>
      <w:start w:val="12"/>
    </w:lvl>
  </w:abstractNum>
  <w:abstractNum w:abstractNumId="118">
    <w:nsid w:val="7DFF9D09"/>
    <w:multiLevelType w:val="hybridMultilevel"/>
    <w:lvl w:ilvl="0">
      <w:lvlJc w:val="left"/>
      <w:lvlText w:val="%1."/>
      <w:numFmt w:val="decimal"/>
      <w:start w:val="18"/>
    </w:lvl>
  </w:abstractNum>
  <w:abstractNum w:abstractNumId="119">
    <w:nsid w:val="754342"/>
    <w:multiLevelType w:val="hybridMultilevel"/>
    <w:lvl w:ilvl="0">
      <w:lvlJc w:val="left"/>
      <w:lvlText w:val="%1."/>
      <w:numFmt w:val="decimal"/>
      <w:start w:val="20"/>
    </w:lvl>
  </w:abstractNum>
  <w:abstractNum w:abstractNumId="120">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1">
    <w:nsid w:val="2A6DE806"/>
    <w:multiLevelType w:val="hybridMultilevel"/>
    <w:lvl w:ilvl="0">
      <w:lvlJc w:val="left"/>
      <w:lvlText w:val="(%1)"/>
      <w:numFmt w:val="lowerLetter"/>
      <w:start w:val="2"/>
    </w:lvl>
    <w:lvl w:ilvl="1">
      <w:lvlJc w:val="left"/>
      <w:lvlText w:val="(%2)"/>
      <w:numFmt w:val="lowerLetter"/>
      <w:start w:val="9"/>
    </w:lvl>
  </w:abstractNum>
  <w:abstractNum w:abstractNumId="122">
    <w:nsid w:val="1816F8C4"/>
    <w:multiLevelType w:val="hybridMultilevel"/>
    <w:lvl w:ilvl="0">
      <w:lvlJc w:val="left"/>
      <w:lvlText w:val="(%1)"/>
      <w:numFmt w:val="lowerRoman"/>
      <w:start w:val="2"/>
    </w:lvl>
    <w:lvl w:ilvl="1">
      <w:lvlJc w:val="left"/>
      <w:lvlText w:val="(%2)"/>
      <w:numFmt w:val="upperLetter"/>
      <w:start w:val="1"/>
    </w:lvl>
  </w:abstractNum>
  <w:abstractNum w:abstractNumId="123">
    <w:nsid w:val="37DF2233"/>
    <w:multiLevelType w:val="hybridMultilevel"/>
    <w:lvl w:ilvl="0">
      <w:lvlJc w:val="left"/>
      <w:lvlText w:val="%1"/>
      <w:numFmt w:val="lowerLetter"/>
      <w:start w:val="1"/>
    </w:lvl>
    <w:lvl w:ilvl="1">
      <w:lvlJc w:val="left"/>
      <w:lvlText w:val="(%2)"/>
      <w:numFmt w:val="lowerLetter"/>
      <w:start w:val="4"/>
    </w:lvl>
  </w:abstractNum>
  <w:abstractNum w:abstractNumId="124">
    <w:nsid w:val="7AB49DAF"/>
    <w:multiLevelType w:val="hybridMultilevel"/>
    <w:lvl w:ilvl="0">
      <w:lvlJc w:val="left"/>
      <w:lvlText w:val="(%1)"/>
      <w:numFmt w:val="lowerLetter"/>
      <w:start w:val="61"/>
    </w:lvl>
    <w:lvl w:ilvl="1">
      <w:lvlJc w:val="left"/>
      <w:lvlText w:val="(%2)"/>
      <w:numFmt w:val="lowerLetter"/>
      <w:start w:val="5"/>
    </w:lvl>
  </w:abstractNum>
  <w:abstractNum w:abstractNumId="125">
    <w:nsid w:val="759F82CD"/>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26">
    <w:nsid w:val="61E74EA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27">
    <w:nsid w:val="597B4D84"/>
    <w:multiLevelType w:val="hybridMultilevel"/>
    <w:lvl w:ilvl="0">
      <w:lvlJc w:val="left"/>
      <w:lvlText w:val="(%1)"/>
      <w:numFmt w:val="lowerLetter"/>
      <w:start w:val="3"/>
    </w:lvl>
  </w:abstractNum>
  <w:abstractNum w:abstractNumId="128">
    <w:nsid w:val="F819E7F"/>
    <w:multiLevelType w:val="hybridMultilevel"/>
    <w:lvl w:ilvl="0">
      <w:lvlJc w:val="left"/>
      <w:lvlText w:val="%1"/>
      <w:numFmt w:val="decimal"/>
      <w:start w:val="1"/>
    </w:lvl>
    <w:lvl w:ilvl="1">
      <w:lvlJc w:val="left"/>
      <w:lvlText w:val="(%2)"/>
      <w:numFmt w:val="lowerLetter"/>
      <w:start w:val="4"/>
    </w:lvl>
  </w:abstractNum>
  <w:abstractNum w:abstractNumId="129">
    <w:nsid w:val="57C7D42D"/>
    <w:multiLevelType w:val="hybridMultilevel"/>
    <w:lvl w:ilvl="0">
      <w:lvlJc w:val="left"/>
      <w:lvlText w:val="%1."/>
      <w:numFmt w:val="decimal"/>
      <w:start w:val="5"/>
    </w:lvl>
    <w:lvl w:ilvl="1">
      <w:lvlJc w:val="left"/>
      <w:lvlText w:val="%2"/>
      <w:numFmt w:val="lowerLetter"/>
      <w:start w:val="1"/>
    </w:lvl>
  </w:abstractNum>
  <w:abstractNum w:abstractNumId="130">
    <w:nsid w:val="312167AD"/>
    <w:multiLevelType w:val="hybridMultilevel"/>
    <w:lvl w:ilvl="0">
      <w:lvlJc w:val="left"/>
      <w:lvlText w:val="%1."/>
      <w:numFmt w:val="decimal"/>
      <w:start w:val="8"/>
    </w:lvl>
  </w:abstractNum>
  <w:abstractNum w:abstractNumId="131">
    <w:nsid w:val="631B64D4"/>
    <w:multiLevelType w:val="hybridMultilevel"/>
    <w:lvl w:ilvl="0">
      <w:lvlJc w:val="left"/>
      <w:lvlText w:val="%1."/>
      <w:numFmt w:val="decimal"/>
      <w:start w:val="12"/>
    </w:lvl>
  </w:abstractNum>
  <w:abstractNum w:abstractNumId="132">
    <w:nsid w:val="78B5E776"/>
    <w:multiLevelType w:val="hybridMultilevel"/>
    <w:lvl w:ilvl="0">
      <w:lvlJc w:val="left"/>
      <w:lvlText w:val="%1."/>
      <w:numFmt w:val="decimal"/>
      <w:start w:val="1"/>
    </w:lvl>
  </w:abstractNum>
  <w:abstractNum w:abstractNumId="133">
    <w:nsid w:val="75486E47"/>
    <w:multiLevelType w:val="hybridMultilevel"/>
    <w:lvl w:ilvl="0">
      <w:lvlJc w:val="left"/>
      <w:lvlText w:val="%1"/>
      <w:numFmt w:val="upperLetter"/>
      <w:start w:val="40"/>
    </w:lvl>
  </w:abstractNum>
  <w:abstractNum w:abstractNumId="134">
    <w:nsid w:val="6E534CDE"/>
    <w:multiLevelType w:val="hybridMultilevel"/>
    <w:lvl w:ilvl="0">
      <w:lvlJc w:val="left"/>
      <w:lvlText w:val="%1."/>
      <w:numFmt w:val="upperLetter"/>
      <w:start w:val="1"/>
    </w:lvl>
  </w:abstractNum>
  <w:abstractNum w:abstractNumId="135">
    <w:nsid w:val="1A0DDE32"/>
    <w:multiLevelType w:val="hybridMultilevel"/>
    <w:lvl w:ilvl="0">
      <w:lvlJc w:val="left"/>
      <w:lvlText w:val="(%1)"/>
      <w:numFmt w:val="lowerLetter"/>
      <w:start w:val="2"/>
    </w:lvl>
  </w:abstractNum>
  <w:abstractNum w:abstractNumId="136">
    <w:nsid w:val="65968C1C"/>
    <w:multiLevelType w:val="hybridMultilevel"/>
    <w:lvl w:ilvl="0">
      <w:lvlJc w:val="left"/>
      <w:lvlText w:val="(%1)"/>
      <w:numFmt w:val="lowerLetter"/>
      <w:start w:val="3"/>
    </w:lvl>
  </w:abstractNum>
  <w:abstractNum w:abstractNumId="137">
    <w:nsid w:val="46263DEC"/>
    <w:multiLevelType w:val="hybridMultilevel"/>
    <w:lvl w:ilvl="0">
      <w:lvlJc w:val="left"/>
      <w:lvlText w:val="%1."/>
      <w:numFmt w:val="decimal"/>
      <w:start w:val="3"/>
    </w:lvl>
    <w:lvl w:ilvl="1">
      <w:lvlJc w:val="left"/>
      <w:lvlText w:val="(%2)"/>
      <w:numFmt w:val="lowerLetter"/>
      <w:start w:val="1"/>
    </w:lvl>
  </w:abstractNum>
  <w:abstractNum w:abstractNumId="138">
    <w:nsid w:val="260D8C4A"/>
    <w:multiLevelType w:val="hybridMultilevel"/>
    <w:lvl w:ilvl="0">
      <w:lvlJc w:val="left"/>
      <w:lvlText w:val="%1"/>
      <w:numFmt w:val="decimal"/>
      <w:start w:val="1"/>
    </w:lvl>
    <w:lvl w:ilvl="1">
      <w:lvlJc w:val="left"/>
      <w:lvlText w:val="(%2)"/>
      <w:numFmt w:val="lowerLetter"/>
      <w:start w:val="1"/>
    </w:lvl>
  </w:abstractNum>
  <w:abstractNum w:abstractNumId="139">
    <w:nsid w:val="73D4D3C4"/>
    <w:multiLevelType w:val="hybridMultilevel"/>
    <w:lvl w:ilvl="0">
      <w:lvlJc w:val="left"/>
      <w:lvlText w:val="(%1)"/>
      <w:numFmt w:val="decimal"/>
      <w:start w:val="7"/>
    </w:lvl>
    <w:lvl w:ilvl="1">
      <w:lvlJc w:val="left"/>
      <w:lvlText w:val="(%2)"/>
      <w:numFmt w:val="lowerLetter"/>
      <w:start w:val="2"/>
    </w:lvl>
  </w:abstractNum>
  <w:abstractNum w:abstractNumId="140">
    <w:nsid w:val="746F2E30"/>
    <w:multiLevelType w:val="hybridMultilevel"/>
    <w:lvl w:ilvl="0">
      <w:lvlJc w:val="left"/>
      <w:lvlText w:val="(%1)"/>
      <w:numFmt w:val="lowerLetter"/>
      <w:start w:val="1"/>
    </w:lvl>
  </w:abstractNum>
  <w:abstractNum w:abstractNumId="141">
    <w:nsid w:val="6FDE8AF6"/>
    <w:multiLevelType w:val="hybridMultilevel"/>
    <w:lvl w:ilvl="0">
      <w:lvlJc w:val="left"/>
      <w:lvlText w:val="(%1)"/>
      <w:numFmt w:val="lowerLetter"/>
      <w:start w:val="2"/>
    </w:lvl>
  </w:abstractNum>
  <w:abstractNum w:abstractNumId="142">
    <w:nsid w:val="3FC32E20"/>
    <w:multiLevelType w:val="hybridMultilevel"/>
    <w:lvl w:ilvl="0">
      <w:lvlJc w:val="left"/>
      <w:lvlText w:val="(%1)"/>
      <w:numFmt w:val="lowerLetter"/>
      <w:start w:val="4"/>
    </w:lvl>
  </w:abstractNum>
  <w:abstractNum w:abstractNumId="143">
    <w:nsid w:val="49C0E823"/>
    <w:multiLevelType w:val="hybridMultilevel"/>
    <w:lvl w:ilvl="0">
      <w:lvlJc w:val="left"/>
      <w:lvlText w:val="(%1)"/>
      <w:numFmt w:val="lowerLetter"/>
      <w:start w:val="1"/>
    </w:lvl>
    <w:lvl w:ilvl="1">
      <w:lvlJc w:val="left"/>
      <w:lvlText w:val="(%2)"/>
      <w:numFmt w:val="lowerRoman"/>
      <w:start w:val="1"/>
    </w:lvl>
  </w:abstractNum>
  <w:abstractNum w:abstractNumId="144">
    <w:nsid w:val="14D53685"/>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abstractNum>
  <w:abstractNum w:abstractNumId="145">
    <w:nsid w:val="230F856C"/>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146">
    <w:nsid w:val="6EAA85FB"/>
    <w:multiLevelType w:val="hybridMultilevel"/>
    <w:lvl w:ilvl="0">
      <w:lvlJc w:val="left"/>
      <w:lvlText w:val="(%1)"/>
      <w:numFmt w:val="lowerLetter"/>
      <w:start w:val="1"/>
    </w:lvl>
  </w:abstractNum>
  <w:abstractNum w:abstractNumId="147">
    <w:nsid w:val="3F06ECB2"/>
    <w:multiLevelType w:val="hybridMultilevel"/>
    <w:lvl w:ilvl="0">
      <w:lvlJc w:val="left"/>
      <w:lvlText w:val="(%1)"/>
      <w:numFmt w:val="lowerLetter"/>
      <w:start w:val="2"/>
    </w:lvl>
  </w:abstractNum>
  <w:abstractNum w:abstractNumId="148">
    <w:nsid w:val="3B594807"/>
    <w:multiLevelType w:val="hybridMultilevel"/>
    <w:lvl w:ilvl="0">
      <w:lvlJc w:val="left"/>
      <w:lvlText w:val="(%1)"/>
      <w:numFmt w:val="lowerLetter"/>
      <w:start w:val="1"/>
    </w:lvl>
  </w:abstractNum>
  <w:abstractNum w:abstractNumId="149">
    <w:nsid w:val="6CAA2304"/>
    <w:multiLevelType w:val="hybridMultilevel"/>
    <w:lvl w:ilvl="0">
      <w:lvlJc w:val="left"/>
      <w:lvlText w:val="%1"/>
      <w:numFmt w:val="lowerLetter"/>
      <w:start w:val="1"/>
    </w:lvl>
    <w:lvl w:ilvl="1">
      <w:lvlJc w:val="left"/>
      <w:lvlText w:val="(%2)"/>
      <w:numFmt w:val="decimal"/>
      <w:start w:val="2"/>
    </w:lvl>
  </w:abstractNum>
  <w:abstractNum w:abstractNumId="150">
    <w:nsid w:val="3F7C2FF4"/>
    <w:multiLevelType w:val="hybridMultilevel"/>
    <w:lvl w:ilvl="0">
      <w:lvlJc w:val="left"/>
      <w:lvlText w:val="(%1)"/>
      <w:numFmt w:val="lowerLetter"/>
      <w:start w:val="4"/>
    </w:lvl>
    <w:lvl w:ilvl="1">
      <w:lvlJc w:val="left"/>
      <w:lvlText w:val="%2"/>
      <w:numFmt w:val="decimal"/>
      <w:start w:val="1"/>
    </w:lvl>
  </w:abstractNum>
  <w:abstractNum w:abstractNumId="151">
    <w:nsid w:val="25413BEC"/>
    <w:multiLevelType w:val="hybridMultilevel"/>
    <w:lvl w:ilvl="0">
      <w:lvlJc w:val="left"/>
      <w:lvlText w:val="%1."/>
      <w:numFmt w:val="decimal"/>
      <w:start w:val="6"/>
    </w:lvl>
  </w:abstractNum>
  <w:abstractNum w:abstractNumId="152">
    <w:nsid w:val="17180B0B"/>
    <w:multiLevelType w:val="hybridMultilevel"/>
    <w:lvl w:ilvl="0">
      <w:lvlJc w:val="left"/>
      <w:lvlText w:val="%1."/>
      <w:numFmt w:val="decimal"/>
      <w:start w:val="9"/>
    </w:lvl>
  </w:abstractNum>
  <w:abstractNum w:abstractNumId="153">
    <w:nsid w:val="579328B9"/>
    <w:multiLevelType w:val="hybridMultilevel"/>
    <w:lvl w:ilvl="0">
      <w:lvlJc w:val="left"/>
      <w:lvlText w:val="(%1)"/>
      <w:numFmt w:val="lowerRoman"/>
      <w:start w:val="3"/>
    </w:lvl>
  </w:abstractNum>
  <w:abstractNum w:abstractNumId="154">
    <w:nsid w:val="5D205E20"/>
    <w:multiLevelType w:val="hybridMultilevel"/>
    <w:lvl w:ilvl="0">
      <w:lvlJc w:val="left"/>
      <w:lvlText w:val="(%1)"/>
      <w:numFmt w:val="lowerRoman"/>
      <w:start w:val="1"/>
    </w:lvl>
  </w:abstractNum>
  <w:abstractNum w:abstractNumId="155">
    <w:nsid w:val="11CCA8BA"/>
    <w:multiLevelType w:val="hybridMultilevel"/>
    <w:lvl w:ilvl="0">
      <w:lvlJc w:val="left"/>
      <w:lvlText w:val="(%1)"/>
      <w:numFmt w:val="lowerLetter"/>
      <w:start w:val="1"/>
    </w:lvl>
  </w:abstractNum>
  <w:abstractNum w:abstractNumId="156">
    <w:nsid w:val="4D32AB86"/>
    <w:multiLevelType w:val="hybridMultilevel"/>
    <w:lvl w:ilvl="0">
      <w:lvlJc w:val="left"/>
      <w:lvlText w:val="(%1)"/>
      <w:numFmt w:val="lowerLetter"/>
      <w:start w:val="2"/>
    </w:lvl>
  </w:abstractNum>
  <w:abstractNum w:abstractNumId="157">
    <w:nsid w:val="3F07ACC3"/>
    <w:multiLevelType w:val="hybridMultilevel"/>
    <w:lvl w:ilvl="0">
      <w:lvlJc w:val="left"/>
      <w:lvlText w:val="(%1)"/>
      <w:numFmt w:val="lowerLetter"/>
      <w:start w:val="1"/>
    </w:lvl>
  </w:abstractNum>
  <w:abstractNum w:abstractNumId="158">
    <w:nsid w:val="6B47F63E"/>
    <w:multiLevelType w:val="hybridMultilevel"/>
    <w:lvl w:ilvl="0">
      <w:lvlJc w:val="left"/>
      <w:lvlText w:val="%1"/>
      <w:numFmt w:val="lowerLetter"/>
      <w:start w:val="1"/>
    </w:lvl>
    <w:lvl w:ilvl="1">
      <w:lvlJc w:val="left"/>
      <w:lvlText w:val="(%2)"/>
      <w:numFmt w:val="lowerLetter"/>
      <w:start w:val="2"/>
    </w:lvl>
  </w:abstractNum>
  <w:abstractNum w:abstractNumId="159">
    <w:nsid w:val="5CB44A05"/>
    <w:multiLevelType w:val="hybridMultilevel"/>
    <w:lvl w:ilvl="0">
      <w:lvlJc w:val="left"/>
      <w:lvlText w:val="(%1)"/>
      <w:numFmt w:val="lowerLetter"/>
      <w:start w:val="9"/>
    </w:lvl>
    <w:lvl w:ilvl="1">
      <w:lvlJc w:val="left"/>
      <w:lvlText w:val="(%2)"/>
      <w:numFmt w:val="lowerLetter"/>
      <w:start w:val="3"/>
    </w:lvl>
  </w:abstractNum>
  <w:abstractNum w:abstractNumId="160">
    <w:nsid w:val="16CF80F1"/>
    <w:multiLevelType w:val="hybridMultilevel"/>
    <w:lvl w:ilvl="0">
      <w:lvlJc w:val="left"/>
      <w:lvlText w:val="(%1)"/>
      <w:numFmt w:val="lowerLetter"/>
      <w:start w:val="5"/>
    </w:lvl>
  </w:abstractNum>
  <w:abstractNum w:abstractNumId="161">
    <w:nsid w:val="1C695D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2019-12-11T22:58:18Z</dcterms:created>
  <dcterms:modified xsi:type="dcterms:W3CDTF">2019-12-11T22:58:18Z</dcterms:modified>
</cp:coreProperties>
</file>