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285115</wp:posOffset>
            </wp:positionH>
            <wp:positionV relativeFrom="page">
              <wp:posOffset>671830</wp:posOffset>
            </wp:positionV>
            <wp:extent cx="69780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78015" cy="8255"/>
                    </a:xfrm>
                    <a:prstGeom prst="rect">
                      <a:avLst/>
                    </a:prstGeom>
                    <a:noFill/>
                  </pic:spPr>
                </pic:pic>
              </a:graphicData>
            </a:graphic>
          </wp:anchor>
        </w:drawing>
        <w:drawing>
          <wp:anchor simplePos="0" relativeHeight="251657728" behindDoc="1" locked="0" layoutInCell="0" allowOverlap="1">
            <wp:simplePos x="0" y="0"/>
            <wp:positionH relativeFrom="page">
              <wp:posOffset>285115</wp:posOffset>
            </wp:positionH>
            <wp:positionV relativeFrom="page">
              <wp:posOffset>697230</wp:posOffset>
            </wp:positionV>
            <wp:extent cx="69780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8015" cy="8255"/>
                    </a:xfrm>
                    <a:prstGeom prst="rect">
                      <a:avLst/>
                    </a:prstGeom>
                    <a:noFill/>
                  </pic:spPr>
                </pic:pic>
              </a:graphicData>
            </a:graphic>
          </wp:anchor>
        </w:drawing>
        <w:t>UNITED STATES</w:t>
      </w:r>
    </w:p>
    <w:p>
      <w:pPr>
        <w:spacing w:after="0" w:line="42"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1"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2276475</wp:posOffset>
            </wp:positionH>
            <wp:positionV relativeFrom="paragraph">
              <wp:posOffset>55245</wp:posOffset>
            </wp:positionV>
            <wp:extent cx="25971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191"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2276475</wp:posOffset>
            </wp:positionH>
            <wp:positionV relativeFrom="paragraph">
              <wp:posOffset>86995</wp:posOffset>
            </wp:positionV>
            <wp:extent cx="25971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224" w:lineRule="exact"/>
        <w:rPr>
          <w:sz w:val="24"/>
          <w:szCs w:val="24"/>
          <w:color w:val="auto"/>
        </w:rPr>
      </w:pPr>
    </w:p>
    <w:p>
      <w:pPr>
        <w:ind w:left="1320" w:hanging="336"/>
        <w:spacing w:after="0"/>
        <w:tabs>
          <w:tab w:leader="none" w:pos="132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186"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2025</w:t>
      </w:r>
    </w:p>
    <w:p>
      <w:pPr>
        <w:spacing w:after="0" w:line="63"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56" w:lineRule="exact"/>
        <w:rPr>
          <w:sz w:val="24"/>
          <w:szCs w:val="24"/>
          <w:color w:val="auto"/>
        </w:rPr>
      </w:pPr>
    </w:p>
    <w:p>
      <w:pPr>
        <w:ind w:left="1320" w:hanging="336"/>
        <w:spacing w:after="0"/>
        <w:tabs>
          <w:tab w:leader="none" w:pos="132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255" w:lineRule="exact"/>
        <w:rPr>
          <w:sz w:val="24"/>
          <w:szCs w:val="24"/>
          <w:color w:val="auto"/>
        </w:rPr>
      </w:pPr>
    </w:p>
    <w:p>
      <w:pPr>
        <w:ind w:left="3420"/>
        <w:spacing w:after="0"/>
        <w:tabs>
          <w:tab w:leader="none" w:pos="67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3676650</wp:posOffset>
            </wp:positionH>
            <wp:positionV relativeFrom="paragraph">
              <wp:posOffset>-5080</wp:posOffset>
            </wp:positionV>
            <wp:extent cx="12947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97"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Commission File Number 001-39268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2276475</wp:posOffset>
            </wp:positionH>
            <wp:positionV relativeFrom="paragraph">
              <wp:posOffset>71120</wp:posOffset>
            </wp:positionV>
            <wp:extent cx="2597150" cy="6000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97150" cy="6000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32"/>
          <w:szCs w:val="32"/>
          <w:b w:val="1"/>
          <w:bCs w:val="1"/>
          <w:color w:val="auto"/>
        </w:rPr>
        <w:t>NN, Inc.</w:t>
      </w:r>
    </w:p>
    <w:p>
      <w:pPr>
        <w:spacing w:after="0" w:line="59"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2276475</wp:posOffset>
            </wp:positionH>
            <wp:positionV relativeFrom="paragraph">
              <wp:posOffset>90170</wp:posOffset>
            </wp:positionV>
            <wp:extent cx="25971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ectPr>
          <w:pgSz w:w="11900" w:h="16838" w:orient="portrait"/>
          <w:cols w:equalWidth="0" w:num="1">
            <w:col w:w="11100"/>
          </w:cols>
          <w:pgMar w:left="320" w:top="1276" w:right="479" w:bottom="1440" w:gutter="0" w:footer="0" w:header="0"/>
        </w:sectPr>
      </w:pPr>
    </w:p>
    <w:p>
      <w:pPr>
        <w:spacing w:after="0" w:line="269" w:lineRule="exact"/>
        <w:rPr>
          <w:sz w:val="24"/>
          <w:szCs w:val="24"/>
          <w:color w:val="auto"/>
        </w:rPr>
      </w:pPr>
    </w:p>
    <w:p>
      <w:pPr>
        <w:ind w:left="292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62-1096725</w:t>
      </w:r>
    </w:p>
    <w:p>
      <w:pPr>
        <w:spacing w:after="0" w:line="54" w:lineRule="exact"/>
        <w:rPr>
          <w:sz w:val="24"/>
          <w:szCs w:val="24"/>
          <w:color w:val="auto"/>
        </w:rPr>
      </w:pPr>
    </w:p>
    <w:p>
      <w:pPr>
        <w:sectPr>
          <w:pgSz w:w="11900" w:h="16838" w:orient="portrait"/>
          <w:cols w:equalWidth="0" w:num="2">
            <w:col w:w="6880" w:space="720"/>
            <w:col w:w="3500"/>
          </w:cols>
          <w:pgMar w:left="320" w:top="1276" w:right="479" w:bottom="1440" w:gutter="0" w:footer="0" w:header="0"/>
          <w:type w:val="continuous"/>
        </w:sectPr>
      </w:pPr>
    </w:p>
    <w:p>
      <w:pPr>
        <w:ind w:left="2220"/>
        <w:spacing w:after="0"/>
        <w:rPr>
          <w:sz w:val="20"/>
          <w:szCs w:val="20"/>
          <w:color w:val="auto"/>
        </w:rPr>
      </w:pPr>
      <w:r>
        <w:rPr>
          <w:rFonts w:ascii="Times New Roman" w:cs="Times New Roman" w:eastAsia="Times New Roman" w:hAnsi="Times New Roman"/>
          <w:sz w:val="18"/>
          <w:szCs w:val="18"/>
          <w:i w:val="1"/>
          <w:iCs w:val="1"/>
          <w:color w:val="auto"/>
        </w:rPr>
        <w:t>(State or other jurisdiction of</w:t>
      </w:r>
    </w:p>
    <w:p>
      <w:pPr>
        <w:ind w:left="2180"/>
        <w:spacing w:after="0"/>
        <w:rPr>
          <w:sz w:val="20"/>
          <w:szCs w:val="20"/>
          <w:color w:val="auto"/>
        </w:rPr>
      </w:pPr>
      <w:r>
        <w:rPr>
          <w:rFonts w:ascii="Times New Roman" w:cs="Times New Roman" w:eastAsia="Times New Roman" w:hAnsi="Times New Roman"/>
          <w:sz w:val="17"/>
          <w:szCs w:val="17"/>
          <w:i w:val="1"/>
          <w:i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2400"/>
        <w:spacing w:after="0"/>
        <w:rPr>
          <w:sz w:val="20"/>
          <w:szCs w:val="20"/>
          <w:color w:val="auto"/>
        </w:rPr>
      </w:pPr>
      <w:r>
        <w:rPr>
          <w:rFonts w:ascii="Times New Roman" w:cs="Times New Roman" w:eastAsia="Times New Roman" w:hAnsi="Times New Roman"/>
          <w:sz w:val="18"/>
          <w:szCs w:val="18"/>
          <w:i w:val="1"/>
          <w:iCs w:val="1"/>
          <w:color w:val="auto"/>
        </w:rPr>
        <w:t>(I.R.S. Employer</w:t>
      </w:r>
    </w:p>
    <w:p>
      <w:pPr>
        <w:jc w:val="center"/>
        <w:ind w:right="2400"/>
        <w:spacing w:after="0"/>
        <w:rPr>
          <w:sz w:val="20"/>
          <w:szCs w:val="20"/>
          <w:color w:val="auto"/>
        </w:rPr>
      </w:pPr>
      <w:r>
        <w:rPr>
          <w:rFonts w:ascii="Times New Roman" w:cs="Times New Roman" w:eastAsia="Times New Roman" w:hAnsi="Times New Roman"/>
          <w:sz w:val="18"/>
          <w:szCs w:val="18"/>
          <w:i w:val="1"/>
          <w:iCs w:val="1"/>
          <w:color w:val="auto"/>
        </w:rPr>
        <w:t>Identification No.)</w:t>
      </w:r>
    </w:p>
    <w:p>
      <w:pPr>
        <w:spacing w:after="0" w:line="80" w:lineRule="exact"/>
        <w:rPr>
          <w:sz w:val="24"/>
          <w:szCs w:val="24"/>
          <w:color w:val="auto"/>
        </w:rPr>
      </w:pPr>
    </w:p>
    <w:p>
      <w:pPr>
        <w:sectPr>
          <w:pgSz w:w="11900" w:h="16838" w:orient="portrait"/>
          <w:cols w:equalWidth="0" w:num="2">
            <w:col w:w="6640" w:space="720"/>
            <w:col w:w="3740"/>
          </w:cols>
          <w:pgMar w:left="320" w:top="1276" w:right="479" w:bottom="1440" w:gutter="0" w:footer="0" w:header="0"/>
          <w:type w:val="continuous"/>
        </w:sectPr>
      </w:pPr>
    </w:p>
    <w:p>
      <w:pPr>
        <w:ind w:left="4340"/>
        <w:spacing w:after="0"/>
        <w:rPr>
          <w:sz w:val="20"/>
          <w:szCs w:val="20"/>
          <w:color w:val="auto"/>
        </w:rPr>
      </w:pPr>
      <w:r>
        <w:rPr>
          <w:rFonts w:ascii="Times New Roman" w:cs="Times New Roman" w:eastAsia="Times New Roman" w:hAnsi="Times New Roman"/>
          <w:sz w:val="18"/>
          <w:szCs w:val="18"/>
          <w:b w:val="1"/>
          <w:bCs w:val="1"/>
          <w:color w:val="auto"/>
        </w:rPr>
        <w:t>6210 Ardrey Kell Road, Suite 120</w:t>
      </w:r>
    </w:p>
    <w:p>
      <w:pPr>
        <w:spacing w:after="0" w:line="31"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Charlotte, North Carolina 28277</w:t>
      </w:r>
    </w:p>
    <w:p>
      <w:pPr>
        <w:spacing w:after="0" w:line="97"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i w:val="1"/>
          <w:iCs w:val="1"/>
          <w:color w:val="auto"/>
        </w:rPr>
        <w:t>(Address of principal executive offices, including zip code)</w:t>
      </w:r>
    </w:p>
    <w:p>
      <w:pPr>
        <w:spacing w:after="0" w:line="61"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(980) 264-4300</w:t>
      </w:r>
    </w:p>
    <w:p>
      <w:pPr>
        <w:spacing w:after="0" w:line="119"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8"/>
          <w:szCs w:val="18"/>
          <w:i w:val="1"/>
          <w:iCs w:val="1"/>
          <w:color w:val="auto"/>
        </w:rPr>
        <w:t>(Registrant’s telephone number, including area code)</w:t>
      </w:r>
    </w:p>
    <w:p>
      <w:pPr>
        <w:spacing w:after="0" w:line="129"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7"/>
          <w:szCs w:val="17"/>
          <w:b w:val="1"/>
          <w:bCs w:val="1"/>
          <w:color w:val="auto"/>
        </w:rPr>
        <w:t>Securities registered pursuant to Section 12(b) of the Act:</w:t>
      </w:r>
    </w:p>
    <w:p>
      <w:pPr>
        <w:sectPr>
          <w:pgSz w:w="11900" w:h="16838" w:orient="portrait"/>
          <w:cols w:equalWidth="0" w:num="1">
            <w:col w:w="11100"/>
          </w:cols>
          <w:pgMar w:left="320" w:top="1276" w:right="479" w:bottom="1440" w:gutter="0" w:footer="0" w:header="0"/>
          <w:type w:val="continuous"/>
        </w:sectPr>
      </w:pPr>
    </w:p>
    <w:p>
      <w:pPr>
        <w:spacing w:after="0" w:line="45" w:lineRule="exact"/>
        <w:rPr>
          <w:sz w:val="24"/>
          <w:szCs w:val="24"/>
          <w:color w:val="auto"/>
        </w:rPr>
      </w:pPr>
    </w:p>
    <w:p>
      <w:pPr>
        <w:jc w:val="center"/>
        <w:ind w:left="640"/>
        <w:spacing w:after="0"/>
        <w:rPr>
          <w:sz w:val="20"/>
          <w:szCs w:val="20"/>
          <w:color w:val="auto"/>
        </w:rPr>
      </w:pPr>
      <w:r>
        <w:rPr>
          <w:rFonts w:ascii="Times New Roman" w:cs="Times New Roman" w:eastAsia="Times New Roman" w:hAnsi="Times New Roman"/>
          <w:sz w:val="14"/>
          <w:szCs w:val="14"/>
          <w:i w:val="1"/>
          <w:iCs w:val="1"/>
          <w:color w:val="auto"/>
        </w:rPr>
        <w:t>Title of each class</w:t>
      </w:r>
    </w:p>
    <w:p>
      <w:pPr>
        <w:spacing w:after="0" w:line="20" w:lineRule="exact"/>
        <w:rPr>
          <w:sz w:val="24"/>
          <w:szCs w:val="24"/>
          <w:color w:val="auto"/>
        </w:rPr>
      </w:pPr>
      <w:r>
        <w:rPr>
          <w:sz w:val="24"/>
          <w:szCs w:val="24"/>
          <w:color w:val="auto"/>
        </w:rPr>
        <w:br w:type="column"/>
      </w:r>
    </w:p>
    <w:p>
      <w:pPr>
        <w:spacing w:after="0" w:line="2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Trading symbol</w:t>
      </w:r>
    </w:p>
    <w:p>
      <w:pPr>
        <w:spacing w:after="0" w:line="20" w:lineRule="exact"/>
        <w:rPr>
          <w:sz w:val="24"/>
          <w:szCs w:val="24"/>
          <w:color w:val="auto"/>
        </w:rPr>
      </w:pPr>
      <w:r>
        <w:rPr>
          <w:sz w:val="24"/>
          <w:szCs w:val="24"/>
          <w:color w:val="auto"/>
        </w:rPr>
        <w:br w:type="column"/>
      </w:r>
    </w:p>
    <w:p>
      <w:pPr>
        <w:spacing w:after="0" w:line="2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Name of each exchange on which registered</w:t>
      </w:r>
    </w:p>
    <w:p>
      <w:pPr>
        <w:spacing w:after="0" w:line="71" w:lineRule="exact"/>
        <w:rPr>
          <w:sz w:val="24"/>
          <w:szCs w:val="24"/>
          <w:color w:val="auto"/>
        </w:rPr>
      </w:pPr>
    </w:p>
    <w:p>
      <w:pPr>
        <w:sectPr>
          <w:pgSz w:w="11900" w:h="16838" w:orient="portrait"/>
          <w:cols w:equalWidth="0" w:num="3">
            <w:col w:w="4480" w:space="720"/>
            <w:col w:w="1520" w:space="720"/>
            <w:col w:w="3660"/>
          </w:cols>
          <w:pgMar w:left="320" w:top="1276" w:right="479" w:bottom="1440" w:gutter="0" w:footer="0" w:header="0"/>
          <w:type w:val="continuous"/>
        </w:sectPr>
      </w:pPr>
    </w:p>
    <w:p>
      <w:pPr>
        <w:ind w:left="1340"/>
        <w:spacing w:after="0"/>
        <w:rPr>
          <w:sz w:val="20"/>
          <w:szCs w:val="20"/>
          <w:color w:val="auto"/>
        </w:rPr>
      </w:pPr>
      <w:r>
        <w:rPr>
          <w:rFonts w:ascii="Times New Roman" w:cs="Times New Roman" w:eastAsia="Times New Roman" w:hAnsi="Times New Roman"/>
          <w:sz w:val="17"/>
          <w:szCs w:val="17"/>
          <w:b w:val="1"/>
          <w:bCs w:val="1"/>
          <w:color w:val="auto"/>
        </w:rPr>
        <w:t>Common Stock, par value $0.01</w:t>
      </w:r>
    </w:p>
    <w:p>
      <w:pPr>
        <w:spacing w:after="0" w:line="20" w:lineRule="exact"/>
        <w:rPr>
          <w:sz w:val="24"/>
          <w:szCs w:val="24"/>
          <w:color w:val="auto"/>
        </w:rPr>
      </w:pPr>
      <w:r>
        <w:rPr>
          <w:sz w:val="24"/>
          <w:szCs w:val="24"/>
          <w:color w:val="auto"/>
        </w:rPr>
        <w:br w:type="column"/>
      </w:r>
    </w:p>
    <w:p>
      <w:pPr>
        <w:jc w:val="center"/>
        <w:ind w:right="880"/>
        <w:spacing w:after="0"/>
        <w:rPr>
          <w:sz w:val="20"/>
          <w:szCs w:val="20"/>
          <w:color w:val="auto"/>
        </w:rPr>
      </w:pPr>
      <w:r>
        <w:rPr>
          <w:rFonts w:ascii="Times New Roman" w:cs="Times New Roman" w:eastAsia="Times New Roman" w:hAnsi="Times New Roman"/>
          <w:sz w:val="17"/>
          <w:szCs w:val="17"/>
          <w:b w:val="1"/>
          <w:bCs w:val="1"/>
          <w:color w:val="auto"/>
        </w:rPr>
        <w:t>NNBR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The Nasdaq Stock Market LLC</w:t>
      </w:r>
    </w:p>
    <w:p>
      <w:pPr>
        <w:spacing w:after="0" w:line="200" w:lineRule="exact"/>
        <w:rPr>
          <w:sz w:val="24"/>
          <w:szCs w:val="24"/>
          <w:color w:val="auto"/>
        </w:rPr>
      </w:pPr>
    </w:p>
    <w:p>
      <w:pPr>
        <w:sectPr>
          <w:pgSz w:w="11900" w:h="16838" w:orient="portrait"/>
          <w:cols w:equalWidth="0" w:num="3">
            <w:col w:w="4680" w:space="720"/>
            <w:col w:w="1380" w:space="720"/>
            <w:col w:w="3600"/>
          </w:cols>
          <w:pgMar w:left="320" w:top="1276" w:right="479" w:bottom="1440" w:gutter="0" w:footer="0" w:header="0"/>
          <w:type w:val="continuous"/>
        </w:sectPr>
      </w:pPr>
    </w:p>
    <w:p>
      <w:pPr>
        <w:spacing w:after="0" w:line="27" w:lineRule="exact"/>
        <w:rPr>
          <w:sz w:val="24"/>
          <w:szCs w:val="24"/>
          <w:color w:val="auto"/>
        </w:rPr>
      </w:pPr>
    </w:p>
    <w:p>
      <w:pPr>
        <w:ind w:right="16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9" w:lineRule="exact"/>
        <w:rPr>
          <w:sz w:val="24"/>
          <w:szCs w:val="24"/>
          <w:color w:val="auto"/>
        </w:rPr>
      </w:pPr>
    </w:p>
    <w:p>
      <w:pPr>
        <w:ind w:right="22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9" w:lineRule="exact"/>
        <w:rPr>
          <w:sz w:val="24"/>
          <w:szCs w:val="24"/>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2" w:lineRule="exact"/>
        <w:rPr>
          <w:sz w:val="24"/>
          <w:szCs w:val="24"/>
          <w:color w:val="auto"/>
        </w:rPr>
      </w:pPr>
    </w:p>
    <w:tbl>
      <w:tblPr>
        <w:tblLayout w:type="fixed"/>
        <w:tblInd w:w="980" w:type="dxa"/>
        <w:tblCellMar>
          <w:top w:w="0" w:type="dxa"/>
          <w:left w:w="0" w:type="dxa"/>
          <w:bottom w:w="0" w:type="dxa"/>
          <w:right w:w="0" w:type="dxa"/>
        </w:tblCellMar>
      </w:tblPr>
      <w:tr>
        <w:trPr>
          <w:trHeight w:val="256"/>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60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430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29"/>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60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430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19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430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Emerging growth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48" w:lineRule="exact"/>
        <w:rPr>
          <w:sz w:val="24"/>
          <w:szCs w:val="24"/>
          <w:color w:val="auto"/>
        </w:rPr>
      </w:pPr>
    </w:p>
    <w:p>
      <w:pPr>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right="1580"/>
        <w:spacing w:after="0" w:line="25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As of April 25, 2025, there were 50,447,151 shares of the registrant’s common stock, par value $0.01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648335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86360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112395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00"/>
          </w:cols>
          <w:pgMar w:left="320" w:top="1276" w:right="47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94"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63"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200" w:lineRule="exact"/>
        <w:rPr>
          <w:sz w:val="20"/>
          <w:szCs w:val="20"/>
          <w:color w:val="auto"/>
        </w:rPr>
      </w:pPr>
    </w:p>
    <w:p>
      <w:pPr>
        <w:spacing w:after="0" w:line="38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u w:val="single" w:color="auto"/>
          <w:color w:val="0000FF"/>
        </w:rPr>
        <w:t>PART I. FINANCIAL INFORMATION</w:t>
      </w:r>
    </w:p>
    <w:p>
      <w:pPr>
        <w:spacing w:after="0" w:line="117" w:lineRule="exact"/>
        <w:rPr>
          <w:sz w:val="20"/>
          <w:szCs w:val="20"/>
          <w:color w:val="auto"/>
        </w:rPr>
      </w:pPr>
    </w:p>
    <w:p>
      <w:pPr>
        <w:ind w:left="1380"/>
        <w:spacing w:after="0"/>
        <w:tabs>
          <w:tab w:leader="none" w:pos="2360" w:val="left"/>
        </w:tabs>
        <w:rPr>
          <w:sz w:val="20"/>
          <w:szCs w:val="20"/>
          <w:color w:val="auto"/>
        </w:rPr>
      </w:pPr>
      <w:r>
        <w:rPr>
          <w:rFonts w:ascii="Times New Roman" w:cs="Times New Roman" w:eastAsia="Times New Roman" w:hAnsi="Times New Roman"/>
          <w:sz w:val="18"/>
          <w:szCs w:val="18"/>
          <w:color w:val="auto"/>
        </w:rPr>
        <w:t>Item 1.</w:t>
      </w:r>
      <w:r>
        <w:rPr>
          <w:sz w:val="20"/>
          <w:szCs w:val="20"/>
          <w:color w:val="auto"/>
        </w:rPr>
        <w:tab/>
      </w:r>
      <w:r>
        <w:rPr>
          <w:rFonts w:ascii="Times New Roman" w:cs="Times New Roman" w:eastAsia="Times New Roman" w:hAnsi="Times New Roman"/>
          <w:sz w:val="18"/>
          <w:szCs w:val="18"/>
          <w:u w:val="single" w:color="auto"/>
          <w:color w:val="0000FF"/>
        </w:rPr>
        <w:t>Financial Statements</w:t>
      </w:r>
    </w:p>
    <w:p>
      <w:pPr>
        <w:spacing w:after="0" w:line="104"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u w:val="single" w:color="auto"/>
          <w:color w:val="0000FF"/>
        </w:rPr>
        <w:t>Condensed Consolidated Statements of Operations and Comprehensive Income (Loss)</w:t>
      </w:r>
    </w:p>
    <w:p>
      <w:pPr>
        <w:spacing w:after="0" w:line="2"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u w:val="single" w:color="auto"/>
          <w:color w:val="0000FF"/>
        </w:rPr>
        <w:t>(Unaudited)</w:t>
      </w:r>
    </w:p>
    <w:p>
      <w:pPr>
        <w:spacing w:after="0" w:line="30"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u w:val="single" w:color="auto"/>
          <w:color w:val="0000FF"/>
        </w:rPr>
        <w:t>Condensed Consolidated Balance Sheets (Unaudited)</w:t>
      </w:r>
    </w:p>
    <w:p>
      <w:pPr>
        <w:spacing w:after="0" w:line="63"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u w:val="single" w:color="auto"/>
          <w:color w:val="0000FF"/>
        </w:rPr>
        <w:t>Condensed Consolidated Statements of Cash Flows (Unaudited)</w:t>
      </w:r>
    </w:p>
    <w:p>
      <w:pPr>
        <w:spacing w:after="0" w:line="63"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u w:val="single" w:color="auto"/>
          <w:color w:val="0000FF"/>
        </w:rPr>
        <w:t>Condensed Consolidated Statements of Changes in Stockholders’ Equity (Unaudited)</w:t>
      </w:r>
    </w:p>
    <w:p>
      <w:pPr>
        <w:spacing w:after="0" w:line="63"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u w:val="single" w:color="auto"/>
          <w:color w:val="0000FF"/>
        </w:rPr>
        <w:t>Notes to Condensed Consolidated Financial Statements (Unaudited)</w:t>
      </w:r>
    </w:p>
    <w:p>
      <w:pPr>
        <w:spacing w:after="0" w:line="50"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u w:val="single" w:color="auto"/>
          <w:color w:val="0000FF"/>
        </w:rPr>
        <w:t>Note 1. Interim Financial Statements</w:t>
      </w:r>
    </w:p>
    <w:p>
      <w:pPr>
        <w:spacing w:after="0" w:line="63"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u w:val="single" w:color="auto"/>
          <w:color w:val="0000FF"/>
        </w:rPr>
        <w:t>Note 2. Segment Information</w:t>
      </w:r>
    </w:p>
    <w:p>
      <w:pPr>
        <w:spacing w:after="0" w:line="63"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u w:val="single" w:color="auto"/>
          <w:color w:val="0000FF"/>
        </w:rPr>
        <w:t>Note 3. Revenue from Contracts with Customers</w:t>
      </w:r>
    </w:p>
    <w:p>
      <w:pPr>
        <w:spacing w:after="0" w:line="63"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u w:val="single" w:color="auto"/>
          <w:color w:val="0000FF"/>
        </w:rPr>
        <w:t>Note 4. Accounts Receivable</w:t>
      </w:r>
    </w:p>
    <w:p>
      <w:pPr>
        <w:spacing w:after="0" w:line="63"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u w:val="single" w:color="auto"/>
          <w:color w:val="0000FF"/>
        </w:rPr>
        <w:t>Note 5. Inventories</w:t>
      </w:r>
    </w:p>
    <w:p>
      <w:pPr>
        <w:spacing w:after="0" w:line="63"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u w:val="single" w:color="auto"/>
          <w:color w:val="0000FF"/>
        </w:rPr>
        <w:t>Note 6. Intangible Assets</w:t>
      </w:r>
    </w:p>
    <w:p>
      <w:pPr>
        <w:spacing w:after="0" w:line="63"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u w:val="single" w:color="auto"/>
          <w:color w:val="0000FF"/>
        </w:rPr>
        <w:t>Note 7. Investment in Joint Venture</w:t>
      </w:r>
    </w:p>
    <w:p>
      <w:pPr>
        <w:spacing w:after="0" w:line="63"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u w:val="single" w:color="auto"/>
          <w:color w:val="0000FF"/>
        </w:rPr>
        <w:t>Note 8. Debt</w:t>
      </w:r>
    </w:p>
    <w:p>
      <w:pPr>
        <w:spacing w:after="0" w:line="63"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u w:val="single" w:color="auto"/>
          <w:color w:val="0000FF"/>
        </w:rPr>
        <w:t>Note 9. Preferred Stock</w:t>
      </w:r>
    </w:p>
    <w:p>
      <w:pPr>
        <w:spacing w:after="0" w:line="63"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u w:val="single" w:color="auto"/>
          <w:color w:val="0000FF"/>
        </w:rPr>
        <w:t>Note 10. Leases</w:t>
      </w:r>
    </w:p>
    <w:p>
      <w:pPr>
        <w:spacing w:after="0" w:line="63"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u w:val="single" w:color="auto"/>
          <w:color w:val="0000FF"/>
        </w:rPr>
        <w:t>Note 11. Commitments and Contingencies</w:t>
      </w:r>
    </w:p>
    <w:p>
      <w:pPr>
        <w:spacing w:after="0" w:line="63"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u w:val="single" w:color="auto"/>
          <w:color w:val="0000FF"/>
        </w:rPr>
        <w:t>Note 12. Income Taxes</w:t>
      </w:r>
    </w:p>
    <w:p>
      <w:pPr>
        <w:spacing w:after="0" w:line="63"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u w:val="single" w:color="auto"/>
          <w:color w:val="0000FF"/>
        </w:rPr>
        <w:t>Note 13. Net Loss Per Common Share</w:t>
      </w:r>
    </w:p>
    <w:p>
      <w:pPr>
        <w:spacing w:after="0" w:line="63"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u w:val="single" w:color="auto"/>
          <w:color w:val="0000FF"/>
        </w:rPr>
        <w:t>Note 14. Share-Based Compensation</w:t>
      </w:r>
    </w:p>
    <w:p>
      <w:pPr>
        <w:spacing w:after="0" w:line="63"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u w:val="single" w:color="auto"/>
          <w:color w:val="0000FF"/>
        </w:rPr>
        <w:t>Note 15. Accumulated Other Comprehensive Income</w:t>
      </w:r>
    </w:p>
    <w:p>
      <w:pPr>
        <w:spacing w:after="0" w:line="63"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u w:val="single" w:color="auto"/>
          <w:color w:val="0000FF"/>
        </w:rPr>
        <w:t>Note 16. Fair Value Measurements</w:t>
      </w:r>
    </w:p>
    <w:p>
      <w:pPr>
        <w:spacing w:after="0" w:line="63"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u w:val="single" w:color="auto"/>
          <w:color w:val="0000FF"/>
        </w:rPr>
        <w:t>Note 17. Plant Optimization Activities</w:t>
      </w:r>
    </w:p>
    <w:p>
      <w:pPr>
        <w:spacing w:after="0" w:line="63"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u w:val="single" w:color="auto"/>
          <w:color w:val="0000FF"/>
        </w:rPr>
        <w:t>Note 18. Subsequent Event</w:t>
      </w:r>
    </w:p>
    <w:p>
      <w:pPr>
        <w:spacing w:after="0" w:line="131" w:lineRule="exact"/>
        <w:rPr>
          <w:sz w:val="20"/>
          <w:szCs w:val="20"/>
          <w:color w:val="auto"/>
        </w:rPr>
      </w:pPr>
    </w:p>
    <w:p>
      <w:pPr>
        <w:jc w:val="right"/>
        <w:ind w:right="140"/>
        <w:spacing w:after="0"/>
        <w:tabs>
          <w:tab w:leader="none" w:pos="6580" w:val="left"/>
        </w:tabs>
        <w:rPr>
          <w:sz w:val="20"/>
          <w:szCs w:val="20"/>
          <w:color w:val="auto"/>
        </w:rPr>
      </w:pPr>
      <w:r>
        <w:rPr>
          <w:rFonts w:ascii="Times New Roman" w:cs="Times New Roman" w:eastAsia="Times New Roman" w:hAnsi="Times New Roman"/>
          <w:sz w:val="18"/>
          <w:szCs w:val="18"/>
          <w:color w:val="auto"/>
        </w:rPr>
        <w:t>Item 2.</w:t>
      </w:r>
      <w:r>
        <w:rPr>
          <w:sz w:val="20"/>
          <w:szCs w:val="20"/>
          <w:color w:val="auto"/>
        </w:rPr>
        <w:tab/>
      </w:r>
      <w:r>
        <w:rPr>
          <w:rFonts w:ascii="Times New Roman" w:cs="Times New Roman" w:eastAsia="Times New Roman" w:hAnsi="Times New Roman"/>
          <w:sz w:val="17"/>
          <w:szCs w:val="17"/>
          <w:u w:val="single" w:color="auto"/>
          <w:color w:val="0000FF"/>
        </w:rPr>
        <w:t>Management’s Discussion and Analysis of Financial Condition and Results of Operations</w:t>
      </w:r>
    </w:p>
    <w:p>
      <w:pPr>
        <w:spacing w:after="0" w:line="117" w:lineRule="exact"/>
        <w:rPr>
          <w:sz w:val="20"/>
          <w:szCs w:val="20"/>
          <w:color w:val="auto"/>
        </w:rPr>
      </w:pPr>
    </w:p>
    <w:p>
      <w:pPr>
        <w:ind w:left="1220"/>
        <w:spacing w:after="0"/>
        <w:tabs>
          <w:tab w:leader="none" w:pos="2360" w:val="left"/>
        </w:tabs>
        <w:rPr>
          <w:sz w:val="20"/>
          <w:szCs w:val="20"/>
          <w:color w:val="auto"/>
        </w:rPr>
      </w:pPr>
      <w:r>
        <w:rPr>
          <w:rFonts w:ascii="Times New Roman" w:cs="Times New Roman" w:eastAsia="Times New Roman" w:hAnsi="Times New Roman"/>
          <w:sz w:val="18"/>
          <w:szCs w:val="18"/>
          <w:color w:val="auto"/>
        </w:rPr>
        <w:t>Item 3.</w:t>
      </w:r>
      <w:r>
        <w:rPr>
          <w:sz w:val="20"/>
          <w:szCs w:val="20"/>
          <w:color w:val="auto"/>
        </w:rPr>
        <w:tab/>
      </w:r>
      <w:r>
        <w:rPr>
          <w:rFonts w:ascii="Times New Roman" w:cs="Times New Roman" w:eastAsia="Times New Roman" w:hAnsi="Times New Roman"/>
          <w:sz w:val="17"/>
          <w:szCs w:val="17"/>
          <w:u w:val="single" w:color="auto"/>
          <w:color w:val="0000FF"/>
        </w:rPr>
        <w:t>Quantitative and Qualitative Disclosures About Market Risk</w:t>
      </w:r>
    </w:p>
    <w:p>
      <w:pPr>
        <w:spacing w:after="0" w:line="117" w:lineRule="exact"/>
        <w:rPr>
          <w:sz w:val="20"/>
          <w:szCs w:val="20"/>
          <w:color w:val="auto"/>
        </w:rPr>
      </w:pPr>
    </w:p>
    <w:p>
      <w:pPr>
        <w:ind w:left="1220"/>
        <w:spacing w:after="0"/>
        <w:tabs>
          <w:tab w:leader="none" w:pos="2360" w:val="left"/>
        </w:tabs>
        <w:rPr>
          <w:sz w:val="20"/>
          <w:szCs w:val="20"/>
          <w:color w:val="auto"/>
        </w:rPr>
      </w:pPr>
      <w:r>
        <w:rPr>
          <w:rFonts w:ascii="Times New Roman" w:cs="Times New Roman" w:eastAsia="Times New Roman" w:hAnsi="Times New Roman"/>
          <w:sz w:val="18"/>
          <w:szCs w:val="18"/>
          <w:color w:val="auto"/>
        </w:rPr>
        <w:t>Item 4.</w:t>
      </w:r>
      <w:r>
        <w:rPr>
          <w:sz w:val="20"/>
          <w:szCs w:val="20"/>
          <w:color w:val="auto"/>
        </w:rPr>
        <w:tab/>
      </w:r>
      <w:r>
        <w:rPr>
          <w:rFonts w:ascii="Times New Roman" w:cs="Times New Roman" w:eastAsia="Times New Roman" w:hAnsi="Times New Roman"/>
          <w:sz w:val="18"/>
          <w:szCs w:val="18"/>
          <w:u w:val="single" w:color="auto"/>
          <w:color w:val="0000FF"/>
        </w:rPr>
        <w:t>Controls and Procedures</w:t>
      </w:r>
    </w:p>
    <w:p>
      <w:pPr>
        <w:spacing w:after="0" w:line="11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u w:val="single" w:color="auto"/>
          <w:color w:val="0000FF"/>
        </w:rPr>
        <w:t>PART II. OTHER INFORMATION</w:t>
      </w:r>
    </w:p>
    <w:p>
      <w:pPr>
        <w:spacing w:after="0" w:line="104" w:lineRule="exact"/>
        <w:rPr>
          <w:sz w:val="20"/>
          <w:szCs w:val="20"/>
          <w:color w:val="auto"/>
        </w:rPr>
      </w:pPr>
    </w:p>
    <w:tbl>
      <w:tblPr>
        <w:tblLayout w:type="fixed"/>
        <w:tblInd w:w="1020" w:type="dxa"/>
        <w:tblCellMar>
          <w:top w:w="0" w:type="dxa"/>
          <w:left w:w="0" w:type="dxa"/>
          <w:bottom w:w="0" w:type="dxa"/>
          <w:right w:w="0" w:type="dxa"/>
        </w:tblCellMar>
      </w:tblPr>
      <w:tr>
        <w:trPr>
          <w:trHeight w:val="207"/>
        </w:trPr>
        <w:tc>
          <w:tcPr>
            <w:tcW w:w="13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Item 1.</w:t>
            </w:r>
          </w:p>
        </w:tc>
        <w:tc>
          <w:tcPr>
            <w:tcW w:w="43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Legal Proceedings</w:t>
            </w:r>
          </w:p>
        </w:tc>
      </w:tr>
      <w:tr>
        <w:trPr>
          <w:trHeight w:val="250"/>
        </w:trPr>
        <w:tc>
          <w:tcPr>
            <w:tcW w:w="13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Risk Factors</w:t>
            </w:r>
          </w:p>
        </w:tc>
        <w:tc>
          <w:tcPr>
            <w:tcW w:w="420" w:type="dxa"/>
            <w:vAlign w:val="bottom"/>
            <w:tcBorders>
              <w:top w:val="single" w:sz="8" w:color="0000FF"/>
            </w:tcBorders>
            <w:gridSpan w:val="2"/>
          </w:tcPr>
          <w:p>
            <w:pPr>
              <w:spacing w:after="0"/>
              <w:rPr>
                <w:sz w:val="21"/>
                <w:szCs w:val="21"/>
                <w:color w:val="auto"/>
              </w:rPr>
            </w:pPr>
          </w:p>
        </w:tc>
        <w:tc>
          <w:tcPr>
            <w:tcW w:w="3020" w:type="dxa"/>
            <w:vAlign w:val="bottom"/>
            <w:gridSpan w:val="3"/>
          </w:tcPr>
          <w:p>
            <w:pPr>
              <w:spacing w:after="0"/>
              <w:rPr>
                <w:sz w:val="21"/>
                <w:szCs w:val="21"/>
                <w:color w:val="auto"/>
              </w:rPr>
            </w:pPr>
          </w:p>
        </w:tc>
      </w:tr>
      <w:tr>
        <w:trPr>
          <w:trHeight w:val="250"/>
        </w:trPr>
        <w:tc>
          <w:tcPr>
            <w:tcW w:w="13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Item 2.</w:t>
            </w:r>
          </w:p>
        </w:tc>
        <w:tc>
          <w:tcPr>
            <w:tcW w:w="436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r>
      <w:tr>
        <w:trPr>
          <w:trHeight w:val="250"/>
        </w:trPr>
        <w:tc>
          <w:tcPr>
            <w:tcW w:w="13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Item 3.</w:t>
            </w:r>
          </w:p>
        </w:tc>
        <w:tc>
          <w:tcPr>
            <w:tcW w:w="23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Defaults Upon Senior Securities</w:t>
            </w:r>
          </w:p>
        </w:tc>
        <w:tc>
          <w:tcPr>
            <w:tcW w:w="2020" w:type="dxa"/>
            <w:vAlign w:val="bottom"/>
          </w:tcPr>
          <w:p>
            <w:pPr>
              <w:spacing w:after="0"/>
              <w:rPr>
                <w:sz w:val="21"/>
                <w:szCs w:val="21"/>
                <w:color w:val="auto"/>
              </w:rPr>
            </w:pPr>
          </w:p>
        </w:tc>
      </w:tr>
      <w:tr>
        <w:trPr>
          <w:trHeight w:val="250"/>
        </w:trPr>
        <w:tc>
          <w:tcPr>
            <w:tcW w:w="13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Mine Safety Disclosures</w:t>
            </w:r>
          </w:p>
        </w:tc>
        <w:tc>
          <w:tcPr>
            <w:tcW w:w="2580" w:type="dxa"/>
            <w:vAlign w:val="bottom"/>
            <w:gridSpan w:val="2"/>
          </w:tcPr>
          <w:p>
            <w:pPr>
              <w:spacing w:after="0"/>
              <w:rPr>
                <w:sz w:val="21"/>
                <w:szCs w:val="21"/>
                <w:color w:val="auto"/>
              </w:rPr>
            </w:pPr>
          </w:p>
        </w:tc>
      </w:tr>
      <w:tr>
        <w:trPr>
          <w:trHeight w:val="250"/>
        </w:trPr>
        <w:tc>
          <w:tcPr>
            <w:tcW w:w="13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Item 5.</w:t>
            </w:r>
          </w:p>
        </w:tc>
        <w:tc>
          <w:tcPr>
            <w:tcW w:w="43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Other Information</w:t>
            </w:r>
          </w:p>
        </w:tc>
      </w:tr>
      <w:tr>
        <w:trPr>
          <w:trHeight w:val="250"/>
        </w:trPr>
        <w:tc>
          <w:tcPr>
            <w:tcW w:w="13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Item 6.</w:t>
            </w:r>
          </w:p>
        </w:tc>
        <w:tc>
          <w:tcPr>
            <w:tcW w:w="132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rPr>
              <w:t>Exhibits</w:t>
            </w:r>
          </w:p>
        </w:tc>
        <w:tc>
          <w:tcPr>
            <w:tcW w:w="3040" w:type="dxa"/>
            <w:vAlign w:val="bottom"/>
            <w:gridSpan w:val="4"/>
          </w:tcPr>
          <w:p>
            <w:pPr>
              <w:spacing w:after="0"/>
              <w:rPr>
                <w:sz w:val="21"/>
                <w:szCs w:val="21"/>
                <w:color w:val="auto"/>
              </w:rPr>
            </w:pPr>
          </w:p>
        </w:tc>
      </w:tr>
      <w:tr>
        <w:trPr>
          <w:trHeight w:val="250"/>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Borders>
              <w:top w:val="single" w:sz="8" w:color="0000FF"/>
            </w:tcBorders>
          </w:tcPr>
          <w:p>
            <w:pPr>
              <w:spacing w:after="0"/>
              <w:rPr>
                <w:sz w:val="21"/>
                <w:szCs w:val="21"/>
                <w:color w:val="auto"/>
              </w:rPr>
            </w:pPr>
          </w:p>
        </w:tc>
        <w:tc>
          <w:tcPr>
            <w:tcW w:w="3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20" w:type="dxa"/>
            <w:vAlign w:val="bottom"/>
          </w:tcPr>
          <w:p>
            <w:pPr>
              <w:spacing w:after="0"/>
              <w:rPr>
                <w:sz w:val="21"/>
                <w:szCs w:val="21"/>
                <w:color w:val="auto"/>
              </w:rPr>
            </w:pPr>
          </w:p>
        </w:tc>
      </w:tr>
      <w:tr>
        <w:trPr>
          <w:trHeight w:val="20"/>
        </w:trPr>
        <w:tc>
          <w:tcPr>
            <w:tcW w:w="110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Page</w:t>
      </w:r>
    </w:p>
    <w:p>
      <w:pPr>
        <w:spacing w:after="0" w:line="5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3</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3</w:t>
      </w:r>
    </w:p>
    <w:p>
      <w:pPr>
        <w:spacing w:after="0" w:line="19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3</w:t>
      </w:r>
    </w:p>
    <w:p>
      <w:pPr>
        <w:spacing w:after="0" w:line="14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4</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5</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6</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7</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7</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8</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9</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10</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10</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10</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11</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11</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12</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13</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13</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14</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14</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15</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16</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16</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17</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18</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0000FF"/>
        </w:rPr>
        <w:t>19</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0000FF"/>
        </w:rPr>
        <w:t>23</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0000FF"/>
        </w:rPr>
        <w:t>23</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0000FF"/>
        </w:rPr>
        <w:t>25</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0000FF"/>
        </w:rPr>
        <w:t>25</w:t>
      </w:r>
    </w:p>
    <w:p>
      <w:pPr>
        <w:spacing w:after="0" w:line="6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0000FF"/>
        </w:rPr>
        <w:t>25</w:t>
      </w:r>
    </w:p>
    <w:p>
      <w:pPr>
        <w:spacing w:after="0" w:line="6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0000FF"/>
        </w:rPr>
        <w:t>25</w:t>
      </w:r>
    </w:p>
    <w:p>
      <w:pPr>
        <w:spacing w:after="0" w:line="6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0000FF"/>
        </w:rPr>
        <w:t>25</w:t>
      </w:r>
    </w:p>
    <w:p>
      <w:pPr>
        <w:spacing w:after="0" w:line="6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0000FF"/>
        </w:rPr>
        <w:t>26</w:t>
      </w:r>
    </w:p>
    <w:p>
      <w:pPr>
        <w:spacing w:after="0" w:line="6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0000FF"/>
        </w:rPr>
        <w:t>26</w:t>
      </w:r>
    </w:p>
    <w:p>
      <w:pPr>
        <w:spacing w:after="0" w:line="6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0000FF"/>
        </w:rPr>
        <w:t>26</w:t>
      </w:r>
    </w:p>
    <w:p>
      <w:pPr>
        <w:spacing w:after="0" w:line="6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0000FF"/>
        </w:rPr>
        <w:t>27</w:t>
      </w:r>
    </w:p>
    <w:p>
      <w:pPr>
        <w:spacing w:after="0" w:line="200" w:lineRule="exact"/>
        <w:rPr>
          <w:sz w:val="20"/>
          <w:szCs w:val="20"/>
          <w:color w:val="auto"/>
        </w:rPr>
      </w:pPr>
    </w:p>
    <w:p>
      <w:pPr>
        <w:sectPr>
          <w:pgSz w:w="11900" w:h="16838" w:orient="portrait"/>
          <w:cols w:equalWidth="0" w:num="2">
            <w:col w:w="8980" w:space="720"/>
            <w:col w:w="520"/>
          </w:cols>
          <w:pgMar w:left="320" w:top="477" w:right="1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20"/>
          </w:cols>
          <w:pgMar w:left="320" w:top="477" w:right="1359"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9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25"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Income (Loss)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40" w:type="dxa"/>
            <w:vAlign w:val="bottom"/>
            <w:gridSpan w:val="4"/>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94"/>
        </w:trPr>
        <w:tc>
          <w:tcPr>
            <w:tcW w:w="84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40" w:type="dxa"/>
            <w:vAlign w:val="bottom"/>
            <w:tcBorders>
              <w:bottom w:val="single" w:sz="8" w:color="auto"/>
            </w:tcBorders>
          </w:tcPr>
          <w:p>
            <w:pPr>
              <w:spacing w:after="0"/>
              <w:rPr>
                <w:sz w:val="16"/>
                <w:szCs w:val="16"/>
                <w:color w:val="auto"/>
              </w:rPr>
            </w:pPr>
          </w:p>
        </w:tc>
      </w:tr>
      <w:tr>
        <w:trPr>
          <w:trHeight w:val="196"/>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105,688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121,198</w:t>
            </w:r>
          </w:p>
        </w:tc>
      </w:tr>
      <w:tr>
        <w:trPr>
          <w:trHeight w:val="229"/>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 (exclusive of depreciation and amortization shown separately below)</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91,646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101,086</w:t>
            </w:r>
          </w:p>
        </w:tc>
      </w:tr>
      <w:tr>
        <w:trPr>
          <w:trHeight w:val="22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13,348</w:t>
            </w:r>
          </w:p>
        </w:tc>
      </w:tr>
      <w:tr>
        <w:trPr>
          <w:trHeight w:val="230"/>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12,547</w:t>
            </w:r>
          </w:p>
        </w:tc>
      </w:tr>
      <w:tr>
        <w:trPr>
          <w:trHeight w:val="22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operating income, net</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2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(4,783)</w:t>
            </w:r>
          </w:p>
        </w:tc>
      </w:tr>
      <w:tr>
        <w:trPr>
          <w:trHeight w:val="22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5,366</w:t>
            </w:r>
          </w:p>
        </w:tc>
      </w:tr>
      <w:tr>
        <w:trPr>
          <w:trHeight w:val="229"/>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(2,169)</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4,153</w:t>
            </w:r>
          </w:p>
        </w:tc>
      </w:tr>
      <w:tr>
        <w:trPr>
          <w:trHeight w:val="223"/>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provision for income taxes and share of net income from joint venture</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(14,302)</w:t>
            </w:r>
          </w:p>
        </w:tc>
      </w:tr>
      <w:tr>
        <w:trPr>
          <w:trHeight w:val="229"/>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w:t>
            </w:r>
          </w:p>
        </w:tc>
      </w:tr>
      <w:tr>
        <w:trPr>
          <w:trHeight w:val="230"/>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 of net income from joint venture</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2,439</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2,271</w:t>
            </w:r>
          </w:p>
        </w:tc>
      </w:tr>
      <w:tr>
        <w:trPr>
          <w:trHeight w:val="223"/>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(6,685)</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(12,537)</w:t>
            </w:r>
          </w:p>
        </w:tc>
      </w:tr>
      <w:tr>
        <w:trPr>
          <w:trHeight w:val="210"/>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29"/>
        </w:trPr>
        <w:tc>
          <w:tcPr>
            <w:tcW w:w="84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Foreign currency translation gain (loss)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3,125</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(2,346)</w:t>
            </w:r>
          </w:p>
        </w:tc>
      </w:tr>
      <w:tr>
        <w:trPr>
          <w:trHeight w:val="229"/>
        </w:trPr>
        <w:tc>
          <w:tcPr>
            <w:tcW w:w="84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Reclassification adjustments from the interest rate swap included in net loss, net of tax</w:t>
            </w:r>
          </w:p>
        </w:tc>
        <w:tc>
          <w:tcPr>
            <w:tcW w:w="3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w:t>
            </w:r>
          </w:p>
        </w:tc>
      </w:tr>
      <w:tr>
        <w:trPr>
          <w:trHeight w:val="223"/>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3,125</w:t>
            </w:r>
          </w:p>
        </w:tc>
        <w:tc>
          <w:tcPr>
            <w:tcW w:w="12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(2,795)</w:t>
            </w:r>
          </w:p>
        </w:tc>
      </w:tr>
      <w:tr>
        <w:trPr>
          <w:trHeight w:val="248"/>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(15,332)</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8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2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and diluted net loss per share</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(0.34)</w:t>
            </w:r>
          </w:p>
        </w:tc>
      </w:tr>
      <w:tr>
        <w:trPr>
          <w:trHeight w:val="234"/>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used to calculate basic and diluted net loss per share</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49,075</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47,724</w:t>
            </w:r>
          </w:p>
        </w:tc>
      </w:tr>
    </w:tbl>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notes to condensed consolidated financial statements (unaudited).</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6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260" w:type="dxa"/>
            <w:vAlign w:val="bottom"/>
          </w:tcPr>
          <w:p>
            <w:pPr>
              <w:spacing w:after="0"/>
              <w:rPr>
                <w:sz w:val="13"/>
                <w:szCs w:val="13"/>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3"/>
                <w:szCs w:val="13"/>
                <w:color w:val="auto"/>
              </w:rPr>
            </w:pPr>
          </w:p>
        </w:tc>
        <w:tc>
          <w:tcPr>
            <w:tcW w:w="122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826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5"/>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18,128</w:t>
            </w:r>
          </w:p>
        </w:tc>
        <w:tc>
          <w:tcPr>
            <w:tcW w:w="0" w:type="dxa"/>
            <w:vAlign w:val="bottom"/>
          </w:tcPr>
          <w:p>
            <w:pPr>
              <w:spacing w:after="0"/>
              <w:rPr>
                <w:sz w:val="1"/>
                <w:szCs w:val="1"/>
                <w:color w:val="auto"/>
              </w:rPr>
            </w:pPr>
          </w:p>
        </w:tc>
      </w:tr>
      <w:tr>
        <w:trPr>
          <w:trHeight w:val="230"/>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 net of allowances of $1,375 and $1,515 at March 31, 2025 and December 31, 2024</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67,750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61,549</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62,927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61,877</w:t>
            </w:r>
          </w:p>
        </w:tc>
        <w:tc>
          <w:tcPr>
            <w:tcW w:w="0" w:type="dxa"/>
            <w:vAlign w:val="bottom"/>
          </w:tcPr>
          <w:p>
            <w:pPr>
              <w:spacing w:after="0"/>
              <w:rPr>
                <w:sz w:val="1"/>
                <w:szCs w:val="1"/>
                <w:color w:val="auto"/>
              </w:rPr>
            </w:pPr>
          </w:p>
        </w:tc>
      </w:tr>
      <w:tr>
        <w:trPr>
          <w:trHeight w:val="229"/>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tax receivable</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12,688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12,634</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assets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2,855</w:t>
            </w:r>
          </w:p>
        </w:tc>
        <w:tc>
          <w:tcPr>
            <w:tcW w:w="0" w:type="dxa"/>
            <w:vAlign w:val="bottom"/>
          </w:tcPr>
          <w:p>
            <w:pPr>
              <w:spacing w:after="0"/>
              <w:rPr>
                <w:sz w:val="1"/>
                <w:szCs w:val="1"/>
                <w:color w:val="auto"/>
              </w:rPr>
            </w:pPr>
          </w:p>
        </w:tc>
      </w:tr>
      <w:tr>
        <w:trPr>
          <w:trHeight w:val="229"/>
        </w:trPr>
        <w:tc>
          <w:tcPr>
            <w:tcW w:w="82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current assets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12,270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10,519</w:t>
            </w: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172,974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167,562</w:t>
            </w:r>
          </w:p>
        </w:tc>
        <w:tc>
          <w:tcPr>
            <w:tcW w:w="0" w:type="dxa"/>
            <w:vAlign w:val="bottom"/>
          </w:tcPr>
          <w:p>
            <w:pPr>
              <w:spacing w:after="0"/>
              <w:rPr>
                <w:sz w:val="1"/>
                <w:szCs w:val="1"/>
                <w:color w:val="auto"/>
              </w:rPr>
            </w:pPr>
          </w:p>
        </w:tc>
      </w:tr>
      <w:tr>
        <w:trPr>
          <w:trHeight w:val="175"/>
        </w:trPr>
        <w:tc>
          <w:tcPr>
            <w:tcW w:w="82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Property, plant and equipment, net of accumulated depreciation of $247,739 and $240,532 at March 31, 2025 and</w:t>
            </w: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December 31, 2024</w:t>
            </w: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162,040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162,034</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38,305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39,317</w:t>
            </w: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41,005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44,410</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in joint venture</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37,622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34,971</w:t>
            </w:r>
          </w:p>
        </w:tc>
        <w:tc>
          <w:tcPr>
            <w:tcW w:w="0" w:type="dxa"/>
            <w:vAlign w:val="bottom"/>
          </w:tcPr>
          <w:p>
            <w:pPr>
              <w:spacing w:after="0"/>
              <w:rPr>
                <w:sz w:val="1"/>
                <w:szCs w:val="1"/>
                <w:color w:val="auto"/>
              </w:rPr>
            </w:pP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1,329</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7,270</w:t>
            </w:r>
          </w:p>
        </w:tc>
        <w:tc>
          <w:tcPr>
            <w:tcW w:w="0" w:type="dxa"/>
            <w:vAlign w:val="bottom"/>
          </w:tcPr>
          <w:p>
            <w:pPr>
              <w:spacing w:after="0"/>
              <w:rPr>
                <w:sz w:val="1"/>
                <w:szCs w:val="1"/>
                <w:color w:val="auto"/>
              </w:rPr>
            </w:pPr>
          </w:p>
        </w:tc>
      </w:tr>
      <w:tr>
        <w:trPr>
          <w:trHeight w:val="22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460,724</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456,893</w:t>
            </w:r>
          </w:p>
        </w:tc>
        <w:tc>
          <w:tcPr>
            <w:tcW w:w="0" w:type="dxa"/>
            <w:vAlign w:val="bottom"/>
          </w:tcPr>
          <w:p>
            <w:pPr>
              <w:spacing w:after="0"/>
              <w:rPr>
                <w:sz w:val="1"/>
                <w:szCs w:val="1"/>
                <w:color w:val="auto"/>
              </w:rPr>
            </w:pP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2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Preferred Stock, and Stockholders’ Equity</w:t>
            </w:r>
          </w:p>
        </w:tc>
        <w:tc>
          <w:tcPr>
            <w:tcW w:w="2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45,876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38,879</w:t>
            </w:r>
          </w:p>
        </w:tc>
        <w:tc>
          <w:tcPr>
            <w:tcW w:w="0" w:type="dxa"/>
            <w:vAlign w:val="bottom"/>
          </w:tcPr>
          <w:p>
            <w:pPr>
              <w:spacing w:after="0"/>
              <w:rPr>
                <w:sz w:val="1"/>
                <w:szCs w:val="1"/>
                <w:color w:val="auto"/>
              </w:rPr>
            </w:pPr>
          </w:p>
        </w:tc>
      </w:tr>
      <w:tr>
        <w:trPr>
          <w:trHeight w:val="230"/>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salaries, wages and benefits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17,698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19,915</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 payable</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0" w:type="dxa"/>
            <w:vAlign w:val="bottom"/>
          </w:tcPr>
          <w:p>
            <w:pPr>
              <w:spacing w:after="0"/>
              <w:rPr>
                <w:sz w:val="1"/>
                <w:szCs w:val="1"/>
                <w:color w:val="auto"/>
              </w:rPr>
            </w:pPr>
          </w:p>
        </w:tc>
      </w:tr>
      <w:tr>
        <w:trPr>
          <w:trHeight w:val="230"/>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Short-term debt and current maturities of long-term debt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5,039</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6,038</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16,711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13,382</w:t>
            </w: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90,104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83,912</w:t>
            </w: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4,969</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net of current maturities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147,604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143,591</w:t>
            </w: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41,007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42,291</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14,111</w:t>
            </w:r>
          </w:p>
        </w:tc>
        <w:tc>
          <w:tcPr>
            <w:tcW w:w="0" w:type="dxa"/>
            <w:vAlign w:val="bottom"/>
          </w:tcPr>
          <w:p>
            <w:pPr>
              <w:spacing w:after="0"/>
              <w:rPr>
                <w:sz w:val="1"/>
                <w:szCs w:val="1"/>
                <w:color w:val="auto"/>
              </w:rPr>
            </w:pPr>
          </w:p>
        </w:tc>
      </w:tr>
      <w:tr>
        <w:trPr>
          <w:trHeight w:val="223"/>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295,476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288,874</w:t>
            </w:r>
          </w:p>
        </w:tc>
        <w:tc>
          <w:tcPr>
            <w:tcW w:w="0" w:type="dxa"/>
            <w:vAlign w:val="bottom"/>
          </w:tcPr>
          <w:p>
            <w:pPr>
              <w:spacing w:after="0"/>
              <w:rPr>
                <w:sz w:val="1"/>
                <w:szCs w:val="1"/>
                <w:color w:val="auto"/>
              </w:rPr>
            </w:pPr>
          </w:p>
        </w:tc>
      </w:tr>
      <w:tr>
        <w:trPr>
          <w:trHeight w:val="21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11)</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82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Series D perpetual preferred stock - $0.01 par value per share, 65 shares authorized, issued and outstanding at</w:t>
            </w: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March 31, 2025 and December 31, 2024</w:t>
            </w: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97,904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93,497</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26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Common stock - $0.01 par value per share, 90,000 shares authorized, 50,526 and 49,908 shares issued and</w:t>
            </w: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2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outstanding at March 31, 2025 and December 31, 2024</w:t>
            </w: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452,187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455,811</w:t>
            </w:r>
          </w:p>
        </w:tc>
        <w:tc>
          <w:tcPr>
            <w:tcW w:w="0" w:type="dxa"/>
            <w:vAlign w:val="bottom"/>
          </w:tcPr>
          <w:p>
            <w:pPr>
              <w:spacing w:after="0"/>
              <w:rPr>
                <w:sz w:val="1"/>
                <w:szCs w:val="1"/>
                <w:color w:val="auto"/>
              </w:rPr>
            </w:pPr>
          </w:p>
        </w:tc>
      </w:tr>
      <w:tr>
        <w:trPr>
          <w:trHeight w:val="230"/>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Accumulated deficit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(340,306)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(333,621)</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(45,042)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(48,167)</w:t>
            </w:r>
          </w:p>
        </w:tc>
        <w:tc>
          <w:tcPr>
            <w:tcW w:w="0" w:type="dxa"/>
            <w:vAlign w:val="bottom"/>
          </w:tcPr>
          <w:p>
            <w:pPr>
              <w:spacing w:after="0"/>
              <w:rPr>
                <w:sz w:val="1"/>
                <w:szCs w:val="1"/>
                <w:color w:val="auto"/>
              </w:rPr>
            </w:pPr>
          </w:p>
        </w:tc>
      </w:tr>
      <w:tr>
        <w:trPr>
          <w:trHeight w:val="223"/>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67,344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74,522</w:t>
            </w:r>
          </w:p>
        </w:tc>
        <w:tc>
          <w:tcPr>
            <w:tcW w:w="0" w:type="dxa"/>
            <w:vAlign w:val="bottom"/>
          </w:tcPr>
          <w:p>
            <w:pPr>
              <w:spacing w:after="0"/>
              <w:rPr>
                <w:sz w:val="1"/>
                <w:szCs w:val="1"/>
                <w:color w:val="auto"/>
              </w:rPr>
            </w:pP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 preferred stock, and stockholders’ equity</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460,724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456,893</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notes to condensed consolidated financial statements (unaudited).</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20" w:type="dxa"/>
            <w:vAlign w:val="bottom"/>
            <w:gridSpan w:val="4"/>
          </w:tcPr>
          <w:p>
            <w:pPr>
              <w:jc w:val="right"/>
              <w:ind w:right="751"/>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94"/>
        </w:trPr>
        <w:tc>
          <w:tcPr>
            <w:tcW w:w="82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20" w:type="dxa"/>
            <w:vAlign w:val="bottom"/>
            <w:tcBorders>
              <w:bottom w:val="single" w:sz="8" w:color="auto"/>
            </w:tcBorders>
          </w:tcPr>
          <w:p>
            <w:pPr>
              <w:spacing w:after="0"/>
              <w:rPr>
                <w:sz w:val="16"/>
                <w:szCs w:val="16"/>
                <w:color w:val="auto"/>
              </w:rPr>
            </w:pPr>
          </w:p>
        </w:tc>
      </w:tr>
      <w:tr>
        <w:trPr>
          <w:trHeight w:val="196"/>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6"/>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29"/>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(6,685)</w:t>
            </w:r>
          </w:p>
        </w:tc>
        <w:tc>
          <w:tcPr>
            <w:tcW w:w="8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(12,537)</w:t>
            </w:r>
          </w:p>
        </w:tc>
      </w:tr>
      <w:tr>
        <w:trPr>
          <w:trHeight w:val="23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 (used in) operating activities: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8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8,774</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12,547</w:t>
            </w:r>
          </w:p>
        </w:tc>
      </w:tr>
      <w:tr>
        <w:trPr>
          <w:trHeight w:val="229"/>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of debt issuance costs and discount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w:t>
            </w:r>
          </w:p>
        </w:tc>
      </w:tr>
      <w:tr>
        <w:trPr>
          <w:trHeight w:val="230"/>
        </w:trPr>
        <w:tc>
          <w:tcPr>
            <w:tcW w:w="8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Paid-in-kind interest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w:t>
            </w:r>
          </w:p>
        </w:tc>
      </w:tr>
      <w:tr>
        <w:trPr>
          <w:trHeight w:val="229"/>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derivative loss (gain), net of cash settlements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(1,762)</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3,331</w:t>
            </w:r>
          </w:p>
        </w:tc>
      </w:tr>
      <w:tr>
        <w:trPr>
          <w:trHeight w:val="229"/>
        </w:trPr>
        <w:tc>
          <w:tcPr>
            <w:tcW w:w="8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Share of net income from joint venture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(2,439)</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(2,271)</w:t>
            </w:r>
          </w:p>
        </w:tc>
      </w:tr>
      <w:tr>
        <w:trPr>
          <w:trHeight w:val="230"/>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w:t>
            </w:r>
          </w:p>
        </w:tc>
      </w:tr>
      <w:tr>
        <w:trPr>
          <w:trHeight w:val="229"/>
        </w:trPr>
        <w:tc>
          <w:tcPr>
            <w:tcW w:w="8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income taxes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r>
      <w:tr>
        <w:trPr>
          <w:trHeight w:val="230"/>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w:t>
            </w:r>
          </w:p>
        </w:tc>
      </w:tr>
      <w:tr>
        <w:trPr>
          <w:trHeight w:val="229"/>
        </w:trPr>
        <w:tc>
          <w:tcPr>
            <w:tcW w:w="8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82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Accounts receivable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(5,403)</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(6,888)</w:t>
            </w:r>
          </w:p>
        </w:tc>
      </w:tr>
      <w:tr>
        <w:trPr>
          <w:trHeight w:val="230"/>
        </w:trPr>
        <w:tc>
          <w:tcPr>
            <w:tcW w:w="82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Inventories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(1,554)</w:t>
            </w:r>
          </w:p>
        </w:tc>
      </w:tr>
      <w:tr>
        <w:trPr>
          <w:trHeight w:val="229"/>
        </w:trPr>
        <w:tc>
          <w:tcPr>
            <w:tcW w:w="82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Other operating assets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(3,444)</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(4,821)</w:t>
            </w:r>
          </w:p>
        </w:tc>
      </w:tr>
      <w:tr>
        <w:trPr>
          <w:trHeight w:val="229"/>
        </w:trPr>
        <w:tc>
          <w:tcPr>
            <w:tcW w:w="82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Income taxes receivable and payable, net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r>
      <w:tr>
        <w:trPr>
          <w:trHeight w:val="230"/>
        </w:trPr>
        <w:tc>
          <w:tcPr>
            <w:tcW w:w="82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6,468</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6,130</w:t>
            </w:r>
          </w:p>
        </w:tc>
      </w:tr>
      <w:tr>
        <w:trPr>
          <w:trHeight w:val="229"/>
        </w:trPr>
        <w:tc>
          <w:tcPr>
            <w:tcW w:w="828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Other operating liabilities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5,744</w:t>
            </w:r>
          </w:p>
        </w:tc>
      </w:tr>
      <w:tr>
        <w:trPr>
          <w:trHeight w:val="22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(3,345)</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w:t>
            </w:r>
          </w:p>
        </w:tc>
      </w:tr>
      <w:tr>
        <w:trPr>
          <w:trHeight w:val="209"/>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 of property, plant and equipment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(3,907)</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(5,460)</w:t>
            </w:r>
          </w:p>
        </w:tc>
      </w:tr>
      <w:tr>
        <w:trPr>
          <w:trHeight w:val="230"/>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Proceeds from sale of property, plant, and equipment</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2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(3,730)</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(5,362)</w:t>
            </w:r>
          </w:p>
        </w:tc>
      </w:tr>
      <w:tr>
        <w:trPr>
          <w:trHeight w:val="210"/>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long-term debt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11,000</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13,001</w:t>
            </w:r>
          </w:p>
        </w:tc>
      </w:tr>
      <w:tr>
        <w:trPr>
          <w:trHeight w:val="229"/>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Repayments of long-term debt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(9,026)</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(29,808)</w:t>
            </w:r>
          </w:p>
        </w:tc>
      </w:tr>
      <w:tr>
        <w:trPr>
          <w:trHeight w:val="23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debt issuance costs</w:t>
            </w:r>
          </w:p>
        </w:tc>
        <w:tc>
          <w:tcPr>
            <w:tcW w:w="3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w:t>
            </w:r>
          </w:p>
        </w:tc>
      </w:tr>
      <w:tr>
        <w:trPr>
          <w:trHeight w:val="230"/>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sale-leaseback of equipment</w:t>
            </w:r>
          </w:p>
        </w:tc>
        <w:tc>
          <w:tcPr>
            <w:tcW w:w="3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4,910</w:t>
            </w:r>
          </w:p>
        </w:tc>
      </w:tr>
      <w:tr>
        <w:trPr>
          <w:trHeight w:val="23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sale-leaseback of land and buildings</w:t>
            </w:r>
          </w:p>
        </w:tc>
        <w:tc>
          <w:tcPr>
            <w:tcW w:w="3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16,863</w:t>
            </w:r>
          </w:p>
        </w:tc>
      </w:tr>
      <w:tr>
        <w:trPr>
          <w:trHeight w:val="229"/>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Repayments of financing obligations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3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Repayments of short-term debt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(1,031)</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(651)</w:t>
            </w:r>
          </w:p>
        </w:tc>
      </w:tr>
      <w:tr>
        <w:trPr>
          <w:trHeight w:val="22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3,570</w:t>
            </w:r>
          </w:p>
        </w:tc>
      </w:tr>
      <w:tr>
        <w:trPr>
          <w:trHeight w:val="223"/>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flows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r>
      <w:tr>
        <w:trPr>
          <w:trHeight w:val="23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(6,389)</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w:t>
            </w:r>
          </w:p>
        </w:tc>
      </w:tr>
      <w:tr>
        <w:trPr>
          <w:trHeight w:val="230"/>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18,128</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21,903</w:t>
            </w:r>
          </w:p>
        </w:tc>
      </w:tr>
      <w:tr>
        <w:trPr>
          <w:trHeight w:val="248"/>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11,739</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20,610</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notes to condensed consolidated financial statements (unaudited).</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Three Months Ended March 31, 2025 and 2024</w:t>
      </w:r>
    </w:p>
    <w:p>
      <w:pPr>
        <w:spacing w:after="0" w:line="1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20" w:type="dxa"/>
            <w:vAlign w:val="bottom"/>
          </w:tcPr>
          <w:p>
            <w:pPr>
              <w:spacing w:after="0"/>
              <w:rPr>
                <w:sz w:val="16"/>
                <w:szCs w:val="16"/>
                <w:color w:val="auto"/>
              </w:rPr>
            </w:pPr>
          </w:p>
        </w:tc>
        <w:tc>
          <w:tcPr>
            <w:tcW w:w="176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tcPr>
          <w:p>
            <w:pPr>
              <w:spacing w:after="0"/>
              <w:rPr>
                <w:sz w:val="16"/>
                <w:szCs w:val="16"/>
                <w:color w:val="auto"/>
              </w:rPr>
            </w:pPr>
          </w:p>
        </w:tc>
        <w:tc>
          <w:tcPr>
            <w:tcW w:w="9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7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47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80" w:type="dxa"/>
            <w:vAlign w:val="bottom"/>
            <w:gridSpan w:val="2"/>
          </w:tcPr>
          <w:p>
            <w:pPr>
              <w:jc w:val="center"/>
              <w:ind w:right="100"/>
              <w:spacing w:after="0" w:line="158"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3"/>
                <w:szCs w:val="13"/>
                <w:color w:val="auto"/>
              </w:rPr>
            </w:pPr>
          </w:p>
        </w:tc>
        <w:tc>
          <w:tcPr>
            <w:tcW w:w="64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4"/>
                <w:szCs w:val="14"/>
                <w:b w:val="1"/>
                <w:bCs w:val="1"/>
                <w:color w:val="auto"/>
              </w:rPr>
              <w:t>Par</w:t>
            </w:r>
          </w:p>
        </w:tc>
        <w:tc>
          <w:tcPr>
            <w:tcW w:w="140" w:type="dxa"/>
            <w:vAlign w:val="bottom"/>
          </w:tcPr>
          <w:p>
            <w:pPr>
              <w:spacing w:after="0"/>
              <w:rPr>
                <w:sz w:val="13"/>
                <w:szCs w:val="13"/>
                <w:color w:val="auto"/>
              </w:rPr>
            </w:pPr>
          </w:p>
        </w:tc>
        <w:tc>
          <w:tcPr>
            <w:tcW w:w="94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4"/>
                <w:szCs w:val="14"/>
                <w:b w:val="1"/>
                <w:bCs w:val="1"/>
                <w:color w:val="auto"/>
              </w:rPr>
              <w:t>paid-in</w:t>
            </w:r>
          </w:p>
        </w:tc>
        <w:tc>
          <w:tcPr>
            <w:tcW w:w="160" w:type="dxa"/>
            <w:vAlign w:val="bottom"/>
          </w:tcPr>
          <w:p>
            <w:pPr>
              <w:spacing w:after="0"/>
              <w:rPr>
                <w:sz w:val="13"/>
                <w:szCs w:val="13"/>
                <w:color w:val="auto"/>
              </w:rPr>
            </w:pPr>
          </w:p>
        </w:tc>
        <w:tc>
          <w:tcPr>
            <w:tcW w:w="116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420" w:type="dxa"/>
            <w:vAlign w:val="bottom"/>
            <w:gridSpan w:val="3"/>
          </w:tcPr>
          <w:p>
            <w:pPr>
              <w:ind w:left="60"/>
              <w:spacing w:after="0" w:line="158" w:lineRule="exact"/>
              <w:rPr>
                <w:sz w:val="20"/>
                <w:szCs w:val="20"/>
                <w:color w:val="auto"/>
              </w:rPr>
            </w:pPr>
            <w:r>
              <w:rPr>
                <w:rFonts w:ascii="Times New Roman" w:cs="Times New Roman" w:eastAsia="Times New Roman" w:hAnsi="Times New Roman"/>
                <w:sz w:val="14"/>
                <w:szCs w:val="14"/>
                <w:b w:val="1"/>
                <w:bCs w:val="1"/>
                <w:color w:val="auto"/>
              </w:rPr>
              <w:t>Accumulated other</w:t>
            </w:r>
          </w:p>
        </w:tc>
        <w:tc>
          <w:tcPr>
            <w:tcW w:w="200" w:type="dxa"/>
            <w:vAlign w:val="bottom"/>
          </w:tcPr>
          <w:p>
            <w:pPr>
              <w:spacing w:after="0"/>
              <w:rPr>
                <w:sz w:val="13"/>
                <w:szCs w:val="13"/>
                <w:color w:val="auto"/>
              </w:rPr>
            </w:pPr>
          </w:p>
        </w:tc>
        <w:tc>
          <w:tcPr>
            <w:tcW w:w="740" w:type="dxa"/>
            <w:vAlign w:val="bottom"/>
            <w:vMerge w:val="restart"/>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720" w:type="dxa"/>
            <w:vAlign w:val="bottom"/>
            <w:vMerge w:val="continue"/>
          </w:tcPr>
          <w:p>
            <w:pPr>
              <w:spacing w:after="0"/>
              <w:rPr>
                <w:sz w:val="16"/>
                <w:szCs w:val="16"/>
                <w:color w:val="auto"/>
              </w:rPr>
            </w:pP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6"/>
                <w:szCs w:val="16"/>
                <w:color w:val="auto"/>
              </w:rPr>
            </w:pPr>
          </w:p>
        </w:tc>
        <w:tc>
          <w:tcPr>
            <w:tcW w:w="6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40" w:type="dxa"/>
            <w:vAlign w:val="bottom"/>
          </w:tcPr>
          <w:p>
            <w:pPr>
              <w:spacing w:after="0"/>
              <w:rPr>
                <w:sz w:val="16"/>
                <w:szCs w:val="16"/>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Pr>
          <w:p>
            <w:pPr>
              <w:spacing w:after="0"/>
              <w:rPr>
                <w:sz w:val="16"/>
                <w:szCs w:val="16"/>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2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49,908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455,811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(333,621)</w:t>
            </w:r>
          </w:p>
        </w:tc>
        <w:tc>
          <w:tcPr>
            <w:tcW w:w="1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(48,167)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74,522</w:t>
            </w:r>
          </w:p>
        </w:tc>
        <w:tc>
          <w:tcPr>
            <w:tcW w:w="0" w:type="dxa"/>
            <w:vAlign w:val="bottom"/>
          </w:tcPr>
          <w:p>
            <w:pPr>
              <w:spacing w:after="0"/>
              <w:rPr>
                <w:sz w:val="1"/>
                <w:szCs w:val="1"/>
                <w:color w:val="auto"/>
              </w:rPr>
            </w:pPr>
          </w:p>
        </w:tc>
      </w:tr>
      <w:tr>
        <w:trPr>
          <w:trHeight w:val="229"/>
        </w:trPr>
        <w:tc>
          <w:tcPr>
            <w:tcW w:w="4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(6,685)</w:t>
            </w: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Dividends accrued for preferred stock</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(4,407)</w:t>
            </w:r>
          </w:p>
        </w:tc>
        <w:tc>
          <w:tcPr>
            <w:tcW w:w="0" w:type="dxa"/>
            <w:vAlign w:val="bottom"/>
          </w:tcPr>
          <w:p>
            <w:pPr>
              <w:spacing w:after="0"/>
              <w:rPr>
                <w:sz w:val="1"/>
                <w:szCs w:val="1"/>
                <w:color w:val="auto"/>
              </w:rPr>
            </w:pPr>
          </w:p>
        </w:tc>
      </w:tr>
      <w:tr>
        <w:trPr>
          <w:trHeight w:val="184"/>
        </w:trPr>
        <w:tc>
          <w:tcPr>
            <w:tcW w:w="4720" w:type="dxa"/>
            <w:vAlign w:val="bottom"/>
          </w:tcPr>
          <w:p>
            <w:pPr>
              <w:ind w:left="180"/>
              <w:spacing w:after="0" w:line="184" w:lineRule="exact"/>
              <w:rPr>
                <w:sz w:val="20"/>
                <w:szCs w:val="20"/>
                <w:color w:val="auto"/>
              </w:rPr>
            </w:pPr>
            <w:r>
              <w:rPr>
                <w:rFonts w:ascii="Times New Roman" w:cs="Times New Roman" w:eastAsia="Times New Roman" w:hAnsi="Times New Roman"/>
                <w:sz w:val="18"/>
                <w:szCs w:val="18"/>
                <w:color w:val="auto"/>
              </w:rPr>
              <w:t>Shares issued under stock incentive plans, net of forfeitures</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7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and tax withholdings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0"/>
                <w:szCs w:val="20"/>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4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0" w:type="dxa"/>
            <w:vAlign w:val="bottom"/>
          </w:tcPr>
          <w:p>
            <w:pPr>
              <w:spacing w:after="0"/>
              <w:rPr>
                <w:sz w:val="1"/>
                <w:szCs w:val="1"/>
                <w:color w:val="auto"/>
              </w:rPr>
            </w:pPr>
          </w:p>
        </w:tc>
      </w:tr>
      <w:tr>
        <w:trPr>
          <w:trHeight w:val="184"/>
        </w:trPr>
        <w:tc>
          <w:tcPr>
            <w:tcW w:w="4720" w:type="dxa"/>
            <w:vAlign w:val="bottom"/>
          </w:tcPr>
          <w:p>
            <w:pPr>
              <w:ind w:left="180"/>
              <w:spacing w:after="0" w:line="184" w:lineRule="exact"/>
              <w:rPr>
                <w:sz w:val="20"/>
                <w:szCs w:val="20"/>
                <w:color w:val="auto"/>
              </w:rPr>
            </w:pPr>
            <w:r>
              <w:rPr>
                <w:rFonts w:ascii="Times New Roman" w:cs="Times New Roman" w:eastAsia="Times New Roman" w:hAnsi="Times New Roman"/>
                <w:sz w:val="18"/>
                <w:szCs w:val="18"/>
                <w:color w:val="auto"/>
              </w:rPr>
              <w:t>Restricted shares surrendered for tax withholdings under stock</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7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incentive plans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0"/>
                <w:szCs w:val="20"/>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3,125</w:t>
            </w:r>
          </w:p>
        </w:tc>
        <w:tc>
          <w:tcPr>
            <w:tcW w:w="0" w:type="dxa"/>
            <w:vAlign w:val="bottom"/>
          </w:tcPr>
          <w:p>
            <w:pPr>
              <w:spacing w:after="0"/>
              <w:rPr>
                <w:sz w:val="1"/>
                <w:szCs w:val="1"/>
                <w:color w:val="auto"/>
              </w:rPr>
            </w:pPr>
          </w:p>
        </w:tc>
      </w:tr>
      <w:tr>
        <w:trPr>
          <w:trHeight w:val="223"/>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March 31, 2025</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50,526</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452,187</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(340,306)</w:t>
            </w:r>
          </w:p>
        </w:tc>
        <w:tc>
          <w:tcPr>
            <w:tcW w:w="12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(45,042)</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67,344</w:t>
            </w:r>
          </w:p>
        </w:tc>
        <w:tc>
          <w:tcPr>
            <w:tcW w:w="0" w:type="dxa"/>
            <w:vAlign w:val="bottom"/>
          </w:tcPr>
          <w:p>
            <w:pPr>
              <w:spacing w:after="0"/>
              <w:rPr>
                <w:sz w:val="1"/>
                <w:szCs w:val="1"/>
                <w:color w:val="auto"/>
              </w:rPr>
            </w:pPr>
          </w:p>
        </w:tc>
      </w:tr>
      <w:tr>
        <w:trPr>
          <w:trHeight w:val="21"/>
        </w:trPr>
        <w:tc>
          <w:tcPr>
            <w:tcW w:w="47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48"/>
        </w:trPr>
        <w:tc>
          <w:tcPr>
            <w:tcW w:w="4720" w:type="dxa"/>
            <w:vAlign w:val="bottom"/>
          </w:tcPr>
          <w:p>
            <w:pPr>
              <w:spacing w:after="0"/>
              <w:rPr>
                <w:sz w:val="24"/>
                <w:szCs w:val="24"/>
                <w:color w:val="auto"/>
              </w:rPr>
            </w:pPr>
          </w:p>
        </w:tc>
        <w:tc>
          <w:tcPr>
            <w:tcW w:w="176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tcPr>
          <w:p>
            <w:pPr>
              <w:spacing w:after="0"/>
              <w:rPr>
                <w:sz w:val="24"/>
                <w:szCs w:val="24"/>
                <w:color w:val="auto"/>
              </w:rPr>
            </w:pPr>
          </w:p>
        </w:tc>
        <w:tc>
          <w:tcPr>
            <w:tcW w:w="9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7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47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80" w:type="dxa"/>
            <w:vAlign w:val="bottom"/>
            <w:gridSpan w:val="2"/>
          </w:tcPr>
          <w:p>
            <w:pPr>
              <w:jc w:val="center"/>
              <w:ind w:right="100"/>
              <w:spacing w:after="0" w:line="155"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3"/>
                <w:szCs w:val="13"/>
                <w:color w:val="auto"/>
              </w:rPr>
            </w:pPr>
          </w:p>
        </w:tc>
        <w:tc>
          <w:tcPr>
            <w:tcW w:w="640" w:type="dxa"/>
            <w:vAlign w:val="bottom"/>
            <w:gridSpan w:val="2"/>
          </w:tcPr>
          <w:p>
            <w:pPr>
              <w:jc w:val="center"/>
              <w:ind w:right="260"/>
              <w:spacing w:after="0" w:line="155" w:lineRule="exact"/>
              <w:rPr>
                <w:sz w:val="20"/>
                <w:szCs w:val="20"/>
                <w:color w:val="auto"/>
              </w:rPr>
            </w:pPr>
            <w:r>
              <w:rPr>
                <w:rFonts w:ascii="Times New Roman" w:cs="Times New Roman" w:eastAsia="Times New Roman" w:hAnsi="Times New Roman"/>
                <w:sz w:val="14"/>
                <w:szCs w:val="14"/>
                <w:b w:val="1"/>
                <w:bCs w:val="1"/>
                <w:color w:val="auto"/>
              </w:rPr>
              <w:t>Par</w:t>
            </w:r>
          </w:p>
        </w:tc>
        <w:tc>
          <w:tcPr>
            <w:tcW w:w="140" w:type="dxa"/>
            <w:vAlign w:val="bottom"/>
          </w:tcPr>
          <w:p>
            <w:pPr>
              <w:spacing w:after="0"/>
              <w:rPr>
                <w:sz w:val="13"/>
                <w:szCs w:val="13"/>
                <w:color w:val="auto"/>
              </w:rPr>
            </w:pPr>
          </w:p>
        </w:tc>
        <w:tc>
          <w:tcPr>
            <w:tcW w:w="940" w:type="dxa"/>
            <w:vAlign w:val="bottom"/>
            <w:gridSpan w:val="2"/>
          </w:tcPr>
          <w:p>
            <w:pPr>
              <w:jc w:val="center"/>
              <w:ind w:right="260"/>
              <w:spacing w:after="0" w:line="155" w:lineRule="exact"/>
              <w:rPr>
                <w:sz w:val="20"/>
                <w:szCs w:val="20"/>
                <w:color w:val="auto"/>
              </w:rPr>
            </w:pPr>
            <w:r>
              <w:rPr>
                <w:rFonts w:ascii="Times New Roman" w:cs="Times New Roman" w:eastAsia="Times New Roman" w:hAnsi="Times New Roman"/>
                <w:sz w:val="14"/>
                <w:szCs w:val="14"/>
                <w:b w:val="1"/>
                <w:bCs w:val="1"/>
                <w:color w:val="auto"/>
              </w:rPr>
              <w:t>paid-in</w:t>
            </w:r>
          </w:p>
        </w:tc>
        <w:tc>
          <w:tcPr>
            <w:tcW w:w="160" w:type="dxa"/>
            <w:vAlign w:val="bottom"/>
          </w:tcPr>
          <w:p>
            <w:pPr>
              <w:spacing w:after="0"/>
              <w:rPr>
                <w:sz w:val="13"/>
                <w:szCs w:val="13"/>
                <w:color w:val="auto"/>
              </w:rPr>
            </w:pPr>
          </w:p>
        </w:tc>
        <w:tc>
          <w:tcPr>
            <w:tcW w:w="1160" w:type="dxa"/>
            <w:vAlign w:val="bottom"/>
            <w:gridSpan w:val="2"/>
          </w:tcPr>
          <w:p>
            <w:pPr>
              <w:jc w:val="center"/>
              <w:ind w:right="260"/>
              <w:spacing w:after="0" w:line="155"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420" w:type="dxa"/>
            <w:vAlign w:val="bottom"/>
            <w:gridSpan w:val="3"/>
          </w:tcPr>
          <w:p>
            <w:pPr>
              <w:ind w:left="60"/>
              <w:spacing w:after="0" w:line="155" w:lineRule="exact"/>
              <w:rPr>
                <w:sz w:val="20"/>
                <w:szCs w:val="20"/>
                <w:color w:val="auto"/>
              </w:rPr>
            </w:pPr>
            <w:r>
              <w:rPr>
                <w:rFonts w:ascii="Times New Roman" w:cs="Times New Roman" w:eastAsia="Times New Roman" w:hAnsi="Times New Roman"/>
                <w:sz w:val="14"/>
                <w:szCs w:val="14"/>
                <w:b w:val="1"/>
                <w:bCs w:val="1"/>
                <w:color w:val="auto"/>
              </w:rPr>
              <w:t>Accumulated other</w:t>
            </w:r>
          </w:p>
        </w:tc>
        <w:tc>
          <w:tcPr>
            <w:tcW w:w="200" w:type="dxa"/>
            <w:vAlign w:val="bottom"/>
          </w:tcPr>
          <w:p>
            <w:pPr>
              <w:spacing w:after="0"/>
              <w:rPr>
                <w:sz w:val="13"/>
                <w:szCs w:val="13"/>
                <w:color w:val="auto"/>
              </w:rPr>
            </w:pPr>
          </w:p>
        </w:tc>
        <w:tc>
          <w:tcPr>
            <w:tcW w:w="740" w:type="dxa"/>
            <w:vAlign w:val="bottom"/>
            <w:vMerge w:val="restart"/>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8"/>
        </w:trPr>
        <w:tc>
          <w:tcPr>
            <w:tcW w:w="4720" w:type="dxa"/>
            <w:vAlign w:val="bottom"/>
            <w:vMerge w:val="continue"/>
          </w:tcPr>
          <w:p>
            <w:pPr>
              <w:spacing w:after="0"/>
              <w:rPr>
                <w:sz w:val="17"/>
                <w:szCs w:val="17"/>
                <w:color w:val="auto"/>
              </w:rPr>
            </w:pP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7"/>
                <w:szCs w:val="17"/>
                <w:color w:val="auto"/>
              </w:rPr>
            </w:pPr>
          </w:p>
        </w:tc>
        <w:tc>
          <w:tcPr>
            <w:tcW w:w="6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40" w:type="dxa"/>
            <w:vAlign w:val="bottom"/>
          </w:tcPr>
          <w:p>
            <w:pPr>
              <w:spacing w:after="0"/>
              <w:rPr>
                <w:sz w:val="17"/>
                <w:szCs w:val="17"/>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Pr>
          <w:p>
            <w:pPr>
              <w:spacing w:after="0"/>
              <w:rPr>
                <w:sz w:val="17"/>
                <w:szCs w:val="17"/>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20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4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47,269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457,632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(295,348)</w:t>
            </w:r>
          </w:p>
        </w:tc>
        <w:tc>
          <w:tcPr>
            <w:tcW w:w="1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(37,755)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125,002</w:t>
            </w:r>
          </w:p>
        </w:tc>
        <w:tc>
          <w:tcPr>
            <w:tcW w:w="0" w:type="dxa"/>
            <w:vAlign w:val="bottom"/>
          </w:tcPr>
          <w:p>
            <w:pPr>
              <w:spacing w:after="0"/>
              <w:rPr>
                <w:sz w:val="1"/>
                <w:szCs w:val="1"/>
                <w:color w:val="auto"/>
              </w:rPr>
            </w:pPr>
          </w:p>
        </w:tc>
      </w:tr>
      <w:tr>
        <w:trPr>
          <w:trHeight w:val="230"/>
        </w:trPr>
        <w:tc>
          <w:tcPr>
            <w:tcW w:w="4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(12,537)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(12,537)</w:t>
            </w: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Dividends accrued for preferred stock</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(3,670)</w:t>
            </w:r>
          </w:p>
        </w:tc>
        <w:tc>
          <w:tcPr>
            <w:tcW w:w="0" w:type="dxa"/>
            <w:vAlign w:val="bottom"/>
          </w:tcPr>
          <w:p>
            <w:pPr>
              <w:spacing w:after="0"/>
              <w:rPr>
                <w:sz w:val="1"/>
                <w:szCs w:val="1"/>
                <w:color w:val="auto"/>
              </w:rPr>
            </w:pPr>
          </w:p>
        </w:tc>
      </w:tr>
      <w:tr>
        <w:trPr>
          <w:trHeight w:val="230"/>
        </w:trPr>
        <w:tc>
          <w:tcPr>
            <w:tcW w:w="4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Shares issued for warrants exercised</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9,386</w:t>
            </w: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 issued under stock incentive plans, net of forfeitures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0" w:type="dxa"/>
            <w:vAlign w:val="bottom"/>
          </w:tcPr>
          <w:p>
            <w:pPr>
              <w:spacing w:after="0"/>
              <w:rPr>
                <w:sz w:val="1"/>
                <w:szCs w:val="1"/>
                <w:color w:val="auto"/>
              </w:rPr>
            </w:pPr>
          </w:p>
        </w:tc>
      </w:tr>
      <w:tr>
        <w:trPr>
          <w:trHeight w:val="175"/>
        </w:trPr>
        <w:tc>
          <w:tcPr>
            <w:tcW w:w="472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Restricted shares surrendered for tax withholdings under stock</w:t>
            </w: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7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incentive plans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29"/>
        </w:trPr>
        <w:tc>
          <w:tcPr>
            <w:tcW w:w="4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comprehensive loss</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(2,795)</w:t>
            </w:r>
          </w:p>
        </w:tc>
        <w:tc>
          <w:tcPr>
            <w:tcW w:w="0" w:type="dxa"/>
            <w:vAlign w:val="bottom"/>
          </w:tcPr>
          <w:p>
            <w:pPr>
              <w:spacing w:after="0"/>
              <w:rPr>
                <w:sz w:val="1"/>
                <w:szCs w:val="1"/>
                <w:color w:val="auto"/>
              </w:rPr>
            </w:pPr>
          </w:p>
        </w:tc>
      </w:tr>
      <w:tr>
        <w:trPr>
          <w:trHeight w:val="248"/>
        </w:trPr>
        <w:tc>
          <w:tcPr>
            <w:tcW w:w="4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March 31, 2024</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49,520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464,081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(307,885)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116,141</w:t>
            </w: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March 31, 2025</w:t>
      </w:r>
    </w:p>
    <w:p>
      <w:pPr>
        <w:spacing w:after="0" w:line="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Interim Financial Statements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Nature of Business</w:t>
      </w:r>
    </w:p>
    <w:p>
      <w:pPr>
        <w:spacing w:after="0" w:line="6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NN, Inc., a Delaware corporation, is a diversified industrial company that combines advanced engineering and production capabilities with in-depth materials science expertise to design and manufacture high-precision components and assemblies for a variety of end markets on a global basis. As of March 31, 2025, we had 24 facilities in North America, South America, Europe and China. As used in this Quarterly Report on Form 10-Q (this “Quarterly Report”), the terms “NN,” the “Company,” “we,” “our,” or “us” refer to NN, Inc. and its subsidiaries.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6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not been audited. The Condensed Consolidated Balance Sheet as of December 31, 2024, was derived from the audited consolidated financial statements included in our Annual Report on Form 10-K for the year ended December 31, 2024 (the “2024 Annual Report”), which we filed with the U.S. Securities and Exchange Commission (the “SEC”) on March 6, 2025. In management’s opinion, the accompanying unaudited condensed consolidated financial statements reflect all adjustments necessary to fairly state our results of operations for the three months ended March 31, 2025 and 2024; financial position as of March 31, 2025 and December 31, 2024; and cash flows for the three months ended March 31, 2025 and 2024, on a basis consistent with our audited consolidated financial statements. These adjustments are of a normal recurring nature and are, in the opinion of management, necessary to state fairly the our financial position and operating results for the interim periods. Certain prior period amounts have been reclassified to conform to the current year’s presentation.</w:t>
      </w:r>
    </w:p>
    <w:p>
      <w:pPr>
        <w:spacing w:after="0" w:line="8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Certain information and footnote disclosures normally included in the consolidated financial statements prepared in accordance with accounting principles generally accepted in the United States (“U.S. GAAP”) have been condensed or omitted from the unaudited condensed consolidated financial statements presented in this Quarterly Report. These unaudited condensed consolidated financial statements should be read in conjunction with our audited consolidated financial statements and accompanying notes included in the 2024 Annual Report. The results for the three months ended March 31, 2025, are not necessarily indicative of results for the year ending December 31, 2025, or any other future periods.</w:t>
      </w:r>
    </w:p>
    <w:p>
      <w:pPr>
        <w:spacing w:after="0" w:line="75" w:lineRule="exact"/>
        <w:rPr>
          <w:sz w:val="20"/>
          <w:szCs w:val="20"/>
          <w:color w:val="auto"/>
        </w:rPr>
      </w:pPr>
    </w:p>
    <w:p>
      <w:pPr>
        <w:ind w:right="820"/>
        <w:spacing w:after="0" w:line="282" w:lineRule="auto"/>
        <w:rPr>
          <w:sz w:val="20"/>
          <w:szCs w:val="20"/>
          <w:color w:val="auto"/>
        </w:rPr>
      </w:pPr>
      <w:r>
        <w:rPr>
          <w:rFonts w:ascii="Times New Roman" w:cs="Times New Roman" w:eastAsia="Times New Roman" w:hAnsi="Times New Roman"/>
          <w:sz w:val="18"/>
          <w:szCs w:val="18"/>
          <w:color w:val="auto"/>
        </w:rPr>
        <w:t>Except for per share data or as otherwise indicated, all U.S. dollar amounts and share counts presented in the tables in these Notes to Condensed Consolidated Financial Statements are in thousands.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Standards Recently Adopted</w:t>
      </w:r>
    </w:p>
    <w:p>
      <w:pPr>
        <w:spacing w:after="0" w:line="63"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 xml:space="preserve">In November 2023, the Financial Accounting Standards Board (“FASB”) issued Accounting Standards Update 2023-07, </w:t>
      </w:r>
      <w:r>
        <w:rPr>
          <w:rFonts w:ascii="Times New Roman" w:cs="Times New Roman" w:eastAsia="Times New Roman" w:hAnsi="Times New Roman"/>
          <w:sz w:val="18"/>
          <w:szCs w:val="18"/>
          <w:i w:val="1"/>
          <w:iCs w:val="1"/>
          <w:color w:val="auto"/>
        </w:rPr>
        <w:t>Segment Reporting (Topic 832):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Improvements to Reportable Segment Disclosures </w:t>
      </w:r>
      <w:r>
        <w:rPr>
          <w:rFonts w:ascii="Times New Roman" w:cs="Times New Roman" w:eastAsia="Times New Roman" w:hAnsi="Times New Roman"/>
          <w:sz w:val="18"/>
          <w:szCs w:val="18"/>
          <w:color w:val="auto"/>
        </w:rPr>
        <w:t>(“ASU 2023-07”), which requires additional disclosures related to reportable segments,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significant segment expenses and other segment items. ASU 2023-07 also permits entities to disclose more than one measure of a segment’s profit or loss and requires quarterly disclosure of certain information that is now only required annually. We adopted ASU 2023-07 for the year ended December 31, 2024 and have presented the required interim disclosures on a retrospective basis in this March 31, 2025 Form 10-Q.</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Standards Not Yet Adopted</w:t>
      </w:r>
    </w:p>
    <w:p>
      <w:pPr>
        <w:spacing w:after="0" w:line="6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(“ASU 2023-09”), which requires additional annual income tax disclosures. These include a tabular rate reconciliation comprised of eight specific categories, the disaggregation of income taxes paid between federal, state, and foreign jurisdictions, and to disaggregate income from continuing operations before income tax expense and income tax expense from continuing operations between domestic and foreign. ASU 2023-09 eliminates the disclosure of the nature and estimate of reasonably possible changes to unrecognized tax benefits in the next 12 months or that an estimated range cannot be made. ASU 2023-09 is effective for fiscal years beginning on or after December 15, 2024, with early adoption permitted, and can be applied on a prospective or retrospective basis. We plan to adopt ASU 2023-09 in our Form 10-K for the year ended December 31, 2025 and are in the process of assessing the impact on our disclosures.</w:t>
      </w:r>
    </w:p>
    <w:p>
      <w:pPr>
        <w:spacing w:after="0" w:line="75"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In November 2024, the FASB issued ASU 2024-03, “</w:t>
      </w:r>
      <w:r>
        <w:rPr>
          <w:rFonts w:ascii="Times New Roman" w:cs="Times New Roman" w:eastAsia="Times New Roman" w:hAnsi="Times New Roman"/>
          <w:sz w:val="18"/>
          <w:szCs w:val="18"/>
          <w:i w:val="1"/>
          <w:iCs w:val="1"/>
          <w:color w:val="auto"/>
        </w:rPr>
        <w:t>Expense Disaggregation Disclosures (Subtopic 220-40): Disaggregation of Income Statement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Expenses</w:t>
      </w:r>
      <w:r>
        <w:rPr>
          <w:rFonts w:ascii="Times New Roman" w:cs="Times New Roman" w:eastAsia="Times New Roman" w:hAnsi="Times New Roman"/>
          <w:sz w:val="18"/>
          <w:szCs w:val="18"/>
          <w:color w:val="auto"/>
        </w:rPr>
        <w:t>” (“ASU 2024-03”), which requires disaggregated disclosures of certain categories of expenses that are included in income statement line items.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ASU 2024-03 is effective for fiscal years beginning on or after December 15, 2026, and interim periods within fiscal years beginning after December 15, 2027. Companies may early adopt and can apply the guidance prospectively or retrospectively. The Company has not yet determined the potential impact of adopting this standard.</w:t>
      </w:r>
    </w:p>
    <w:p>
      <w:pPr>
        <w:spacing w:after="0" w:line="200" w:lineRule="exact"/>
        <w:rPr>
          <w:sz w:val="20"/>
          <w:szCs w:val="20"/>
          <w:color w:val="auto"/>
        </w:rPr>
      </w:pPr>
    </w:p>
    <w:p>
      <w:pPr>
        <w:spacing w:after="0" w:line="3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77" w:right="3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Assets Held for Sale</w:t>
      </w:r>
    </w:p>
    <w:p>
      <w:pPr>
        <w:spacing w:after="0" w:line="65"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During the quarter ended March 31, 2025, we ceased production activity at our Mobile Solutions plant in Dowagiac, Michigan. The land and building, which we own, have been classified as held for sale as of March 31, 2025 as we are actively marketing the property for sale. The net book value of $1.4 million is included in “Other current assets” on the Condensed Consolidated Balance Sheets as of March 31,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Segment Information</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business is aggregated into the following two reportable segments:</w:t>
      </w:r>
    </w:p>
    <w:p>
      <w:pPr>
        <w:spacing w:after="0" w:line="63"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Mobile Solutions, which is focused on growth in the automotive, general industrial, and medical end markets;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Power Solutions, which is focused on growth in the electrical, general industrial, automotive, and medical end markets.</w:t>
      </w:r>
    </w:p>
    <w:p>
      <w:pPr>
        <w:spacing w:after="0" w:line="117"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These components are operating segments as each has engaged in business activities for which it earns revenues and incurs expenses, discrete financial information is available for each, and this is the level at which the chief operating decision maker (“CODM”) reviews discrete financial information for purposes of allocating resources and assessing performance. The CODM, who is our President and Chief Executive Officer, uses segment income (loss) from operations to evaluate the performance of our segments each quarter and for annual forecasting purposes. Income (loss) from operations is used to make key operating decisions, such as the amount and timing of capital expenditures, plant optimization actions, and allocation of management resources. In addition to our two reportable segments, we report a Corporate category which includes corporate costs and unallocated expenses.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reconcile segment revenues to consolidated loss before provision for income taxes and share of net income from joint venture.</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2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Three Months Ended March 31, 2025</w:t>
            </w:r>
          </w:p>
        </w:tc>
        <w:tc>
          <w:tcPr>
            <w:tcW w:w="260" w:type="dxa"/>
            <w:vAlign w:val="bottom"/>
          </w:tcPr>
          <w:p>
            <w:pPr>
              <w:spacing w:after="0"/>
              <w:rPr>
                <w:sz w:val="13"/>
                <w:szCs w:val="13"/>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Mobile</w:t>
            </w:r>
          </w:p>
        </w:tc>
        <w:tc>
          <w:tcPr>
            <w:tcW w:w="280" w:type="dxa"/>
            <w:vAlign w:val="bottom"/>
          </w:tcPr>
          <w:p>
            <w:pPr>
              <w:spacing w:after="0"/>
              <w:rPr>
                <w:sz w:val="13"/>
                <w:szCs w:val="13"/>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9"/>
              </w:rPr>
              <w:t>Power</w:t>
            </w:r>
          </w:p>
        </w:tc>
        <w:tc>
          <w:tcPr>
            <w:tcW w:w="200" w:type="dxa"/>
            <w:vAlign w:val="bottom"/>
          </w:tcPr>
          <w:p>
            <w:pPr>
              <w:spacing w:after="0"/>
              <w:rPr>
                <w:sz w:val="13"/>
                <w:szCs w:val="13"/>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Corporate and</w:t>
            </w:r>
          </w:p>
        </w:tc>
        <w:tc>
          <w:tcPr>
            <w:tcW w:w="340" w:type="dxa"/>
            <w:vAlign w:val="bottom"/>
          </w:tcPr>
          <w:p>
            <w:pPr>
              <w:spacing w:after="0"/>
              <w:rPr>
                <w:sz w:val="13"/>
                <w:szCs w:val="13"/>
                <w:color w:val="auto"/>
              </w:rPr>
            </w:pPr>
          </w:p>
        </w:tc>
        <w:tc>
          <w:tcPr>
            <w:tcW w:w="1100" w:type="dxa"/>
            <w:vAlign w:val="bottom"/>
            <w:vMerge w:val="restart"/>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20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gridSpan w:val="2"/>
          </w:tcPr>
          <w:p>
            <w:pPr>
              <w:jc w:val="center"/>
              <w:ind w:right="360"/>
              <w:spacing w:after="0" w:line="127" w:lineRule="exact"/>
              <w:rPr>
                <w:sz w:val="20"/>
                <w:szCs w:val="20"/>
                <w:color w:val="auto"/>
              </w:rPr>
            </w:pPr>
            <w:r>
              <w:rPr>
                <w:rFonts w:ascii="Times New Roman" w:cs="Times New Roman" w:eastAsia="Times New Roman" w:hAnsi="Times New Roman"/>
                <w:sz w:val="14"/>
                <w:szCs w:val="14"/>
                <w:b w:val="1"/>
                <w:bCs w:val="1"/>
                <w:color w:val="auto"/>
              </w:rPr>
              <w:t>Solutions</w:t>
            </w:r>
          </w:p>
        </w:tc>
        <w:tc>
          <w:tcPr>
            <w:tcW w:w="280" w:type="dxa"/>
            <w:vAlign w:val="bottom"/>
          </w:tcPr>
          <w:p>
            <w:pPr>
              <w:spacing w:after="0"/>
              <w:rPr>
                <w:sz w:val="12"/>
                <w:szCs w:val="12"/>
                <w:color w:val="auto"/>
              </w:rPr>
            </w:pPr>
          </w:p>
        </w:tc>
        <w:tc>
          <w:tcPr>
            <w:tcW w:w="1240" w:type="dxa"/>
            <w:vAlign w:val="bottom"/>
            <w:gridSpan w:val="2"/>
          </w:tcPr>
          <w:p>
            <w:pPr>
              <w:jc w:val="center"/>
              <w:ind w:right="380"/>
              <w:spacing w:after="0" w:line="127" w:lineRule="exact"/>
              <w:rPr>
                <w:sz w:val="20"/>
                <w:szCs w:val="20"/>
                <w:color w:val="auto"/>
              </w:rPr>
            </w:pPr>
            <w:r>
              <w:rPr>
                <w:rFonts w:ascii="Times New Roman" w:cs="Times New Roman" w:eastAsia="Times New Roman" w:hAnsi="Times New Roman"/>
                <w:sz w:val="14"/>
                <w:szCs w:val="14"/>
                <w:b w:val="1"/>
                <w:bCs w:val="1"/>
                <w:color w:val="auto"/>
              </w:rPr>
              <w:t>Solutions</w:t>
            </w:r>
          </w:p>
        </w:tc>
        <w:tc>
          <w:tcPr>
            <w:tcW w:w="200" w:type="dxa"/>
            <w:vAlign w:val="bottom"/>
          </w:tcPr>
          <w:p>
            <w:pPr>
              <w:spacing w:after="0"/>
              <w:rPr>
                <w:sz w:val="12"/>
                <w:szCs w:val="12"/>
                <w:color w:val="auto"/>
              </w:rPr>
            </w:pPr>
          </w:p>
        </w:tc>
        <w:tc>
          <w:tcPr>
            <w:tcW w:w="1340" w:type="dxa"/>
            <w:vAlign w:val="bottom"/>
            <w:gridSpan w:val="2"/>
          </w:tcPr>
          <w:p>
            <w:pPr>
              <w:jc w:val="center"/>
              <w:ind w:right="280"/>
              <w:spacing w:after="0" w:line="127" w:lineRule="exact"/>
              <w:rPr>
                <w:sz w:val="20"/>
                <w:szCs w:val="20"/>
                <w:color w:val="auto"/>
              </w:rPr>
            </w:pPr>
            <w:r>
              <w:rPr>
                <w:rFonts w:ascii="Times New Roman" w:cs="Times New Roman" w:eastAsia="Times New Roman" w:hAnsi="Times New Roman"/>
                <w:sz w:val="14"/>
                <w:szCs w:val="14"/>
                <w:b w:val="1"/>
                <w:bCs w:val="1"/>
                <w:color w:val="auto"/>
              </w:rPr>
              <w:t>Eliminations</w:t>
            </w:r>
          </w:p>
        </w:tc>
        <w:tc>
          <w:tcPr>
            <w:tcW w:w="3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2300" w:type="dxa"/>
            <w:vAlign w:val="bottom"/>
            <w:tcBorders>
              <w:top w:val="single" w:sz="8" w:color="auto"/>
              <w:bottom w:val="single" w:sz="8" w:color="CCEEFF"/>
            </w:tcBorders>
          </w:tcPr>
          <w:p>
            <w:pPr>
              <w:spacing w:after="0"/>
              <w:rPr>
                <w:sz w:val="2"/>
                <w:szCs w:val="2"/>
                <w:color w:val="auto"/>
              </w:rPr>
            </w:pPr>
          </w:p>
        </w:tc>
        <w:tc>
          <w:tcPr>
            <w:tcW w:w="2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62,244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43,508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105,688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Cost of sales</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56,450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35,268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91,646</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2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Depreciation expense</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5,369</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2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segment items (1)</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2,292</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52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Segment income (loss) from operations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(4,789)</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2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5,194</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520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8"/>
                <w:szCs w:val="18"/>
                <w:color w:val="auto"/>
              </w:rPr>
              <w:t>Other income, net</w:t>
            </w:r>
          </w:p>
        </w:tc>
        <w:tc>
          <w:tcPr>
            <w:tcW w:w="26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(2,169)</w:t>
            </w:r>
          </w:p>
        </w:tc>
        <w:tc>
          <w:tcPr>
            <w:tcW w:w="0" w:type="dxa"/>
            <w:vAlign w:val="bottom"/>
          </w:tcPr>
          <w:p>
            <w:pPr>
              <w:spacing w:after="0"/>
              <w:rPr>
                <w:sz w:val="1"/>
                <w:szCs w:val="1"/>
                <w:color w:val="auto"/>
              </w:rPr>
            </w:pPr>
          </w:p>
        </w:tc>
      </w:tr>
      <w:tr>
        <w:trPr>
          <w:trHeight w:val="155"/>
        </w:trPr>
        <w:tc>
          <w:tcPr>
            <w:tcW w:w="20" w:type="dxa"/>
            <w:vAlign w:val="bottom"/>
            <w:shd w:val="clear" w:color="auto" w:fill="CCEEFF"/>
          </w:tcPr>
          <w:p>
            <w:pPr>
              <w:spacing w:after="0"/>
              <w:rPr>
                <w:sz w:val="13"/>
                <w:szCs w:val="13"/>
                <w:color w:val="auto"/>
              </w:rPr>
            </w:pPr>
          </w:p>
        </w:tc>
        <w:tc>
          <w:tcPr>
            <w:tcW w:w="5200" w:type="dxa"/>
            <w:vAlign w:val="bottom"/>
            <w:gridSpan w:val="2"/>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Loss before provision for income taxes and share of net income from</w:t>
            </w:r>
          </w:p>
        </w:tc>
        <w:tc>
          <w:tcPr>
            <w:tcW w:w="2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(7,814)</w:t>
            </w:r>
          </w:p>
        </w:tc>
        <w:tc>
          <w:tcPr>
            <w:tcW w:w="0" w:type="dxa"/>
            <w:vAlign w:val="bottom"/>
          </w:tcPr>
          <w:p>
            <w:pPr>
              <w:spacing w:after="0"/>
              <w:rPr>
                <w:sz w:val="1"/>
                <w:szCs w:val="1"/>
                <w:color w:val="auto"/>
              </w:rPr>
            </w:pPr>
          </w:p>
        </w:tc>
      </w:tr>
      <w:tr>
        <w:trPr>
          <w:trHeight w:val="236"/>
        </w:trPr>
        <w:tc>
          <w:tcPr>
            <w:tcW w:w="20" w:type="dxa"/>
            <w:vAlign w:val="bottom"/>
            <w:tcBorders>
              <w:bottom w:val="single" w:sz="8" w:color="CCEEFF"/>
            </w:tcBorders>
            <w:shd w:val="clear" w:color="auto" w:fill="CCEEFF"/>
          </w:tcPr>
          <w:p>
            <w:pPr>
              <w:spacing w:after="0"/>
              <w:rPr>
                <w:sz w:val="20"/>
                <w:szCs w:val="20"/>
                <w:color w:val="auto"/>
              </w:rPr>
            </w:pPr>
          </w:p>
        </w:tc>
        <w:tc>
          <w:tcPr>
            <w:tcW w:w="520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joint venture</w:t>
            </w:r>
          </w:p>
        </w:tc>
        <w:tc>
          <w:tcPr>
            <w:tcW w:w="2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c>
          <w:tcPr>
            <w:tcW w:w="29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CCEEFF"/>
            </w:tcBorders>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Mobile</w:t>
            </w:r>
          </w:p>
        </w:tc>
        <w:tc>
          <w:tcPr>
            <w:tcW w:w="2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CCEEFF"/>
            </w:tcBorders>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9"/>
              </w:rPr>
              <w:t>Power</w:t>
            </w:r>
          </w:p>
        </w:tc>
        <w:tc>
          <w:tcPr>
            <w:tcW w:w="2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CCEEFF"/>
            </w:tcBorders>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Corporate and</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4"/>
        </w:trPr>
        <w:tc>
          <w:tcPr>
            <w:tcW w:w="20" w:type="dxa"/>
            <w:vAlign w:val="bottom"/>
          </w:tcPr>
          <w:p>
            <w:pPr>
              <w:spacing w:after="0"/>
              <w:rPr>
                <w:sz w:val="24"/>
                <w:szCs w:val="24"/>
                <w:color w:val="auto"/>
              </w:rPr>
            </w:pPr>
          </w:p>
        </w:tc>
        <w:tc>
          <w:tcPr>
            <w:tcW w:w="52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Three Months Ended March 31, 2024</w:t>
            </w:r>
          </w:p>
        </w:tc>
        <w:tc>
          <w:tcPr>
            <w:tcW w:w="260" w:type="dxa"/>
            <w:vAlign w:val="bottom"/>
          </w:tcPr>
          <w:p>
            <w:pPr>
              <w:spacing w:after="0"/>
              <w:rPr>
                <w:sz w:val="24"/>
                <w:szCs w:val="24"/>
                <w:color w:val="auto"/>
              </w:rPr>
            </w:pPr>
          </w:p>
        </w:tc>
        <w:tc>
          <w:tcPr>
            <w:tcW w:w="126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vMerge w:val="restart"/>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20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Solutions</w:t>
            </w:r>
          </w:p>
        </w:tc>
        <w:tc>
          <w:tcPr>
            <w:tcW w:w="280" w:type="dxa"/>
            <w:vAlign w:val="bottom"/>
          </w:tcPr>
          <w:p>
            <w:pPr>
              <w:spacing w:after="0"/>
              <w:rPr>
                <w:sz w:val="12"/>
                <w:szCs w:val="12"/>
                <w:color w:val="auto"/>
              </w:rPr>
            </w:pPr>
          </w:p>
        </w:tc>
        <w:tc>
          <w:tcPr>
            <w:tcW w:w="124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Solutions</w:t>
            </w:r>
          </w:p>
        </w:tc>
        <w:tc>
          <w:tcPr>
            <w:tcW w:w="200" w:type="dxa"/>
            <w:vAlign w:val="bottom"/>
          </w:tcPr>
          <w:p>
            <w:pPr>
              <w:spacing w:after="0"/>
              <w:rPr>
                <w:sz w:val="12"/>
                <w:szCs w:val="12"/>
                <w:color w:val="auto"/>
              </w:rPr>
            </w:pPr>
          </w:p>
        </w:tc>
        <w:tc>
          <w:tcPr>
            <w:tcW w:w="13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Eliminations</w:t>
            </w:r>
          </w:p>
        </w:tc>
        <w:tc>
          <w:tcPr>
            <w:tcW w:w="3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2300" w:type="dxa"/>
            <w:vAlign w:val="bottom"/>
            <w:tcBorders>
              <w:top w:val="single" w:sz="8" w:color="auto"/>
              <w:bottom w:val="single" w:sz="8" w:color="CCEEFF"/>
            </w:tcBorders>
          </w:tcPr>
          <w:p>
            <w:pPr>
              <w:spacing w:after="0"/>
              <w:rPr>
                <w:sz w:val="2"/>
                <w:szCs w:val="2"/>
                <w:color w:val="auto"/>
              </w:rPr>
            </w:pPr>
          </w:p>
        </w:tc>
        <w:tc>
          <w:tcPr>
            <w:tcW w:w="2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73,060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48,238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121,198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Cost of sales</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63,087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38,110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101,086</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2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Depreciation expense</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9,091</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2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segment items (1)</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2,456</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52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Segment income (loss) from operations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(4,783)</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2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5,366</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520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8"/>
                <w:szCs w:val="18"/>
                <w:color w:val="auto"/>
              </w:rPr>
              <w:t>Other expense, net</w:t>
            </w:r>
          </w:p>
        </w:tc>
        <w:tc>
          <w:tcPr>
            <w:tcW w:w="26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4,153</w:t>
            </w:r>
          </w:p>
        </w:tc>
        <w:tc>
          <w:tcPr>
            <w:tcW w:w="0" w:type="dxa"/>
            <w:vAlign w:val="bottom"/>
          </w:tcPr>
          <w:p>
            <w:pPr>
              <w:spacing w:after="0"/>
              <w:rPr>
                <w:sz w:val="1"/>
                <w:szCs w:val="1"/>
                <w:color w:val="auto"/>
              </w:rPr>
            </w:pPr>
          </w:p>
        </w:tc>
      </w:tr>
      <w:tr>
        <w:trPr>
          <w:trHeight w:val="155"/>
        </w:trPr>
        <w:tc>
          <w:tcPr>
            <w:tcW w:w="20" w:type="dxa"/>
            <w:vAlign w:val="bottom"/>
            <w:shd w:val="clear" w:color="auto" w:fill="CCEEFF"/>
          </w:tcPr>
          <w:p>
            <w:pPr>
              <w:spacing w:after="0"/>
              <w:rPr>
                <w:sz w:val="13"/>
                <w:szCs w:val="13"/>
                <w:color w:val="auto"/>
              </w:rPr>
            </w:pPr>
          </w:p>
        </w:tc>
        <w:tc>
          <w:tcPr>
            <w:tcW w:w="5200" w:type="dxa"/>
            <w:vAlign w:val="bottom"/>
            <w:gridSpan w:val="2"/>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Loss before provision for income taxes and share of net income from</w:t>
            </w:r>
          </w:p>
        </w:tc>
        <w:tc>
          <w:tcPr>
            <w:tcW w:w="2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(14,302)</w:t>
            </w:r>
          </w:p>
        </w:tc>
        <w:tc>
          <w:tcPr>
            <w:tcW w:w="0" w:type="dxa"/>
            <w:vAlign w:val="bottom"/>
          </w:tcPr>
          <w:p>
            <w:pPr>
              <w:spacing w:after="0"/>
              <w:rPr>
                <w:sz w:val="1"/>
                <w:szCs w:val="1"/>
                <w:color w:val="auto"/>
              </w:rPr>
            </w:pPr>
          </w:p>
        </w:tc>
      </w:tr>
      <w:tr>
        <w:trPr>
          <w:trHeight w:val="236"/>
        </w:trPr>
        <w:tc>
          <w:tcPr>
            <w:tcW w:w="20" w:type="dxa"/>
            <w:vAlign w:val="bottom"/>
            <w:tcBorders>
              <w:bottom w:val="single" w:sz="8" w:color="CCEEFF"/>
            </w:tcBorders>
            <w:shd w:val="clear" w:color="auto" w:fill="CCEEFF"/>
          </w:tcPr>
          <w:p>
            <w:pPr>
              <w:spacing w:after="0"/>
              <w:rPr>
                <w:sz w:val="20"/>
                <w:szCs w:val="20"/>
                <w:color w:val="auto"/>
              </w:rPr>
            </w:pPr>
          </w:p>
        </w:tc>
        <w:tc>
          <w:tcPr>
            <w:tcW w:w="520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joint venture</w:t>
            </w:r>
          </w:p>
        </w:tc>
        <w:tc>
          <w:tcPr>
            <w:tcW w:w="2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c>
          <w:tcPr>
            <w:tcW w:w="29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w:t>
      </w:r>
    </w:p>
    <w:p>
      <w:pPr>
        <w:spacing w:after="0" w:line="127" w:lineRule="exact"/>
        <w:rPr>
          <w:sz w:val="20"/>
          <w:szCs w:val="20"/>
          <w:color w:val="auto"/>
        </w:rPr>
      </w:pPr>
    </w:p>
    <w:p>
      <w:pPr>
        <w:ind w:left="5580" w:right="3900" w:hanging="5410"/>
        <w:spacing w:after="0" w:line="939" w:lineRule="auto"/>
        <w:tabs>
          <w:tab w:leader="none" w:pos="561"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segment items includes amortization expense and other operating expenses and income.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-325755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capital expenditures and depreciation and amortization by reportable segment.</w:t>
      </w:r>
    </w:p>
    <w:p>
      <w:pPr>
        <w:spacing w:after="0" w:line="43" w:lineRule="exact"/>
        <w:rPr>
          <w:sz w:val="20"/>
          <w:szCs w:val="20"/>
          <w:color w:val="auto"/>
        </w:rPr>
      </w:pPr>
    </w:p>
    <w:p>
      <w:pPr>
        <w:ind w:left="88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ind w:left="922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784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420" w:type="dxa"/>
            <w:vAlign w:val="bottom"/>
            <w:tcBorders>
              <w:top w:val="single" w:sz="8" w:color="auto"/>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top w:val="single" w:sz="8" w:color="auto"/>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480" w:type="dxa"/>
            <w:vAlign w:val="bottom"/>
            <w:tcBorders>
              <w:top w:val="single" w:sz="8" w:color="auto"/>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6"/>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Mobile Solutions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2,666</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3,828</w:t>
            </w:r>
          </w:p>
        </w:tc>
        <w:tc>
          <w:tcPr>
            <w:tcW w:w="0" w:type="dxa"/>
            <w:vAlign w:val="bottom"/>
          </w:tcPr>
          <w:p>
            <w:pPr>
              <w:spacing w:after="0"/>
              <w:rPr>
                <w:sz w:val="1"/>
                <w:szCs w:val="1"/>
                <w:color w:val="auto"/>
              </w:rPr>
            </w:pPr>
          </w:p>
        </w:tc>
      </w:tr>
      <w:tr>
        <w:trPr>
          <w:trHeight w:val="230"/>
        </w:trPr>
        <w:tc>
          <w:tcPr>
            <w:tcW w:w="78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Power Solutions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w:t>
            </w:r>
          </w:p>
        </w:tc>
        <w:tc>
          <w:tcPr>
            <w:tcW w:w="0" w:type="dxa"/>
            <w:vAlign w:val="bottom"/>
          </w:tcPr>
          <w:p>
            <w:pPr>
              <w:spacing w:after="0"/>
              <w:rPr>
                <w:sz w:val="1"/>
                <w:szCs w:val="1"/>
                <w:color w:val="auto"/>
              </w:rPr>
            </w:pPr>
          </w:p>
        </w:tc>
      </w:tr>
      <w:tr>
        <w:trPr>
          <w:trHeight w:val="229"/>
        </w:trPr>
        <w:tc>
          <w:tcPr>
            <w:tcW w:w="78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Corporate</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0" w:type="dxa"/>
            <w:vAlign w:val="bottom"/>
          </w:tcPr>
          <w:p>
            <w:pPr>
              <w:spacing w:after="0"/>
              <w:rPr>
                <w:sz w:val="1"/>
                <w:szCs w:val="1"/>
                <w:color w:val="auto"/>
              </w:rPr>
            </w:pPr>
          </w:p>
        </w:tc>
      </w:tr>
      <w:tr>
        <w:trPr>
          <w:trHeight w:val="248"/>
        </w:trPr>
        <w:tc>
          <w:tcPr>
            <w:tcW w:w="78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5,460</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8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8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Mobile Solutions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8,409</w:t>
            </w:r>
          </w:p>
        </w:tc>
        <w:tc>
          <w:tcPr>
            <w:tcW w:w="0" w:type="dxa"/>
            <w:vAlign w:val="bottom"/>
          </w:tcPr>
          <w:p>
            <w:pPr>
              <w:spacing w:after="0"/>
              <w:rPr>
                <w:sz w:val="1"/>
                <w:szCs w:val="1"/>
                <w:color w:val="auto"/>
              </w:rPr>
            </w:pPr>
          </w:p>
        </w:tc>
      </w:tr>
      <w:tr>
        <w:trPr>
          <w:trHeight w:val="229"/>
        </w:trPr>
        <w:tc>
          <w:tcPr>
            <w:tcW w:w="7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Power Solutions</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3,668</w:t>
            </w:r>
          </w:p>
        </w:tc>
        <w:tc>
          <w:tcPr>
            <w:tcW w:w="0" w:type="dxa"/>
            <w:vAlign w:val="bottom"/>
          </w:tcPr>
          <w:p>
            <w:pPr>
              <w:spacing w:after="0"/>
              <w:rPr>
                <w:sz w:val="1"/>
                <w:szCs w:val="1"/>
                <w:color w:val="auto"/>
              </w:rPr>
            </w:pPr>
          </w:p>
        </w:tc>
      </w:tr>
      <w:tr>
        <w:trPr>
          <w:trHeight w:val="230"/>
        </w:trPr>
        <w:tc>
          <w:tcPr>
            <w:tcW w:w="78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Corporate</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0" w:type="dxa"/>
            <w:vAlign w:val="bottom"/>
          </w:tcPr>
          <w:p>
            <w:pPr>
              <w:spacing w:after="0"/>
              <w:rPr>
                <w:sz w:val="1"/>
                <w:szCs w:val="1"/>
                <w:color w:val="auto"/>
              </w:rPr>
            </w:pPr>
          </w:p>
        </w:tc>
      </w:tr>
      <w:tr>
        <w:trPr>
          <w:trHeight w:val="223"/>
        </w:trPr>
        <w:tc>
          <w:tcPr>
            <w:tcW w:w="7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8,774</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12,547</w:t>
            </w:r>
          </w:p>
        </w:tc>
        <w:tc>
          <w:tcPr>
            <w:tcW w:w="0" w:type="dxa"/>
            <w:vAlign w:val="bottom"/>
          </w:tcPr>
          <w:p>
            <w:pPr>
              <w:spacing w:after="0"/>
              <w:rPr>
                <w:sz w:val="1"/>
                <w:szCs w:val="1"/>
                <w:color w:val="auto"/>
              </w:rPr>
            </w:pPr>
          </w:p>
        </w:tc>
      </w:tr>
      <w:tr>
        <w:trPr>
          <w:trHeight w:val="21"/>
        </w:trPr>
        <w:tc>
          <w:tcPr>
            <w:tcW w:w="78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The following table summarizes total assets by reportable segment.</w:t>
            </w: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78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7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60" w:type="dxa"/>
            <w:vAlign w:val="bottom"/>
          </w:tcPr>
          <w:p>
            <w:pPr>
              <w:spacing w:after="0"/>
              <w:rPr>
                <w:sz w:val="17"/>
                <w:szCs w:val="17"/>
                <w:color w:val="auto"/>
              </w:rPr>
            </w:pPr>
          </w:p>
        </w:tc>
        <w:tc>
          <w:tcPr>
            <w:tcW w:w="148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3"/>
        </w:trPr>
        <w:tc>
          <w:tcPr>
            <w:tcW w:w="78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Mobile Solutions (1)</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295,563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294,204</w:t>
            </w:r>
          </w:p>
        </w:tc>
        <w:tc>
          <w:tcPr>
            <w:tcW w:w="0" w:type="dxa"/>
            <w:vAlign w:val="bottom"/>
          </w:tcPr>
          <w:p>
            <w:pPr>
              <w:spacing w:after="0"/>
              <w:rPr>
                <w:sz w:val="1"/>
                <w:szCs w:val="1"/>
                <w:color w:val="auto"/>
              </w:rPr>
            </w:pPr>
          </w:p>
        </w:tc>
      </w:tr>
      <w:tr>
        <w:trPr>
          <w:trHeight w:val="229"/>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Power Solutions</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128,474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124,460</w:t>
            </w:r>
          </w:p>
        </w:tc>
        <w:tc>
          <w:tcPr>
            <w:tcW w:w="0" w:type="dxa"/>
            <w:vAlign w:val="bottom"/>
          </w:tcPr>
          <w:p>
            <w:pPr>
              <w:spacing w:after="0"/>
              <w:rPr>
                <w:sz w:val="1"/>
                <w:szCs w:val="1"/>
                <w:color w:val="auto"/>
              </w:rPr>
            </w:pPr>
          </w:p>
        </w:tc>
      </w:t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36,687</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38,229</w:t>
            </w:r>
          </w:p>
        </w:tc>
        <w:tc>
          <w:tcPr>
            <w:tcW w:w="0" w:type="dxa"/>
            <w:vAlign w:val="bottom"/>
          </w:tcPr>
          <w:p>
            <w:pPr>
              <w:spacing w:after="0"/>
              <w:rPr>
                <w:sz w:val="1"/>
                <w:szCs w:val="1"/>
                <w:color w:val="auto"/>
              </w:rPr>
            </w:pPr>
          </w:p>
        </w:tc>
      </w:tr>
      <w:tr>
        <w:trPr>
          <w:trHeight w:val="223"/>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460,724</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456,893</w:t>
            </w:r>
          </w:p>
        </w:tc>
        <w:tc>
          <w:tcPr>
            <w:tcW w:w="0" w:type="dxa"/>
            <w:vAlign w:val="bottom"/>
          </w:tcPr>
          <w:p>
            <w:pPr>
              <w:spacing w:after="0"/>
              <w:rPr>
                <w:sz w:val="1"/>
                <w:szCs w:val="1"/>
                <w:color w:val="auto"/>
              </w:rPr>
            </w:pPr>
          </w:p>
        </w:tc>
      </w:tr>
      <w:tr>
        <w:trPr>
          <w:trHeight w:val="21"/>
        </w:trPr>
        <w:tc>
          <w:tcPr>
            <w:tcW w:w="7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w:t>
      </w:r>
    </w:p>
    <w:p>
      <w:pPr>
        <w:spacing w:after="0" w:line="73" w:lineRule="exact"/>
        <w:rPr>
          <w:sz w:val="20"/>
          <w:szCs w:val="20"/>
          <w:color w:val="auto"/>
        </w:rPr>
      </w:pPr>
    </w:p>
    <w:p>
      <w:pPr>
        <w:ind w:left="500" w:right="20" w:hanging="330"/>
        <w:spacing w:after="0" w:line="282" w:lineRule="auto"/>
        <w:tabs>
          <w:tab w:leader="none" w:pos="607"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assets in Mobile Solutions includes $37.6 million and $35.0 million as of March 31, 2025 and December 31, 2024, respectively, related to our investment in a joint venture (see Note 7).</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Revenue from Contracts with Customers</w:t>
      </w:r>
    </w:p>
    <w:p>
      <w:pPr>
        <w:spacing w:after="0" w:line="67"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Revenue is recognized when control of the good or service is transferred to the customer either at a point in time or, in limited circumstances, as our services are rendered over time. Revenue is measured as the amount of consideration we expect to receive in exchange for transferring goods or services.</w:t>
      </w:r>
    </w:p>
    <w:p>
      <w:pPr>
        <w:spacing w:after="0" w:line="54"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following tables summarize revenue by customer industry. Our products in the automotive industry include high-precision components and assemblies for electric power steering systems, electric braking, electric motors, fuel systems, emissions control, transmissions, stampings, sensors, and electrical contacts. Our products in the general industrial industry include high-precision metal components for a variety of industrial applications including diesel industrial motors, heating and cooling systems, fluid power systems, power tools, and more. While many of the industries we serve include electrical components, our products in the residential/commercial electrical industry category in the following tables include components used in smart meters, charging stations, circuit breakers, transformers, electrical contact assemblies, precision stampings, welded contact assemblies, specification plating, and surface finishing. The other category includes products sold in aerospace, defense, medical, and other industries.</w:t>
      </w:r>
    </w:p>
    <w:tbl>
      <w:tblPr>
        <w:tblLayout w:type="fixed"/>
        <w:tblInd w:w="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Mobile</w:t>
            </w:r>
          </w:p>
        </w:tc>
        <w:tc>
          <w:tcPr>
            <w:tcW w:w="260" w:type="dxa"/>
            <w:vAlign w:val="bottom"/>
          </w:tcPr>
          <w:p>
            <w:pPr>
              <w:spacing w:after="0"/>
              <w:rPr>
                <w:sz w:val="13"/>
                <w:szCs w:val="13"/>
                <w:color w:val="auto"/>
              </w:rPr>
            </w:pPr>
          </w:p>
        </w:tc>
        <w:tc>
          <w:tcPr>
            <w:tcW w:w="124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Power</w:t>
            </w:r>
          </w:p>
        </w:tc>
        <w:tc>
          <w:tcPr>
            <w:tcW w:w="200" w:type="dxa"/>
            <w:vAlign w:val="bottom"/>
          </w:tcPr>
          <w:p>
            <w:pPr>
              <w:spacing w:after="0"/>
              <w:rPr>
                <w:sz w:val="13"/>
                <w:szCs w:val="13"/>
                <w:color w:val="auto"/>
              </w:rPr>
            </w:pPr>
          </w:p>
        </w:tc>
        <w:tc>
          <w:tcPr>
            <w:tcW w:w="1320" w:type="dxa"/>
            <w:vAlign w:val="bottom"/>
            <w:gridSpan w:val="2"/>
          </w:tcPr>
          <w:p>
            <w:pPr>
              <w:jc w:val="center"/>
              <w:ind w:right="300"/>
              <w:spacing w:after="0" w:line="155" w:lineRule="exact"/>
              <w:rPr>
                <w:sz w:val="20"/>
                <w:szCs w:val="20"/>
                <w:color w:val="auto"/>
              </w:rPr>
            </w:pPr>
            <w:r>
              <w:rPr>
                <w:rFonts w:ascii="Times New Roman" w:cs="Times New Roman" w:eastAsia="Times New Roman" w:hAnsi="Times New Roman"/>
                <w:sz w:val="14"/>
                <w:szCs w:val="14"/>
                <w:b w:val="1"/>
                <w:bCs w:val="1"/>
                <w:color w:val="auto"/>
              </w:rPr>
              <w:t>Intersegment</w:t>
            </w: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3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Three Months Ended March 31, 2025</w:t>
            </w:r>
          </w:p>
        </w:tc>
        <w:tc>
          <w:tcPr>
            <w:tcW w:w="26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gridSpan w:val="2"/>
          </w:tcPr>
          <w:p>
            <w:pPr>
              <w:jc w:val="center"/>
              <w:ind w:right="300"/>
              <w:spacing w:after="0" w:line="146" w:lineRule="exact"/>
              <w:rPr>
                <w:sz w:val="20"/>
                <w:szCs w:val="20"/>
                <w:color w:val="auto"/>
              </w:rPr>
            </w:pPr>
            <w:r>
              <w:rPr>
                <w:rFonts w:ascii="Times New Roman" w:cs="Times New Roman" w:eastAsia="Times New Roman" w:hAnsi="Times New Roman"/>
                <w:sz w:val="14"/>
                <w:szCs w:val="14"/>
                <w:b w:val="1"/>
                <w:bCs w:val="1"/>
                <w:color w:val="auto"/>
                <w:w w:val="98"/>
              </w:rPr>
              <w:t>Sales</w:t>
            </w:r>
          </w:p>
        </w:tc>
        <w:tc>
          <w:tcPr>
            <w:tcW w:w="320" w:type="dxa"/>
            <w:vAlign w:val="bottom"/>
          </w:tcPr>
          <w:p>
            <w:pPr>
              <w:spacing w:after="0"/>
              <w:rPr>
                <w:sz w:val="12"/>
                <w:szCs w:val="12"/>
                <w:color w:val="auto"/>
              </w:rPr>
            </w:pPr>
          </w:p>
        </w:tc>
        <w:tc>
          <w:tcPr>
            <w:tcW w:w="1080" w:type="dxa"/>
            <w:vAlign w:val="bottom"/>
            <w:vMerge w:val="restart"/>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0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gridSpan w:val="2"/>
          </w:tcPr>
          <w:p>
            <w:pPr>
              <w:jc w:val="center"/>
              <w:ind w:right="360"/>
              <w:spacing w:after="0" w:line="129" w:lineRule="exact"/>
              <w:rPr>
                <w:sz w:val="20"/>
                <w:szCs w:val="20"/>
                <w:color w:val="auto"/>
              </w:rPr>
            </w:pPr>
            <w:r>
              <w:rPr>
                <w:rFonts w:ascii="Times New Roman" w:cs="Times New Roman" w:eastAsia="Times New Roman" w:hAnsi="Times New Roman"/>
                <w:sz w:val="14"/>
                <w:szCs w:val="14"/>
                <w:b w:val="1"/>
                <w:bCs w:val="1"/>
                <w:color w:val="auto"/>
              </w:rPr>
              <w:t>Solutions</w:t>
            </w:r>
          </w:p>
        </w:tc>
        <w:tc>
          <w:tcPr>
            <w:tcW w:w="260" w:type="dxa"/>
            <w:vAlign w:val="bottom"/>
          </w:tcPr>
          <w:p>
            <w:pPr>
              <w:spacing w:after="0"/>
              <w:rPr>
                <w:sz w:val="12"/>
                <w:szCs w:val="12"/>
                <w:color w:val="auto"/>
              </w:rPr>
            </w:pPr>
          </w:p>
        </w:tc>
        <w:tc>
          <w:tcPr>
            <w:tcW w:w="1240" w:type="dxa"/>
            <w:vAlign w:val="bottom"/>
            <w:gridSpan w:val="2"/>
          </w:tcPr>
          <w:p>
            <w:pPr>
              <w:jc w:val="center"/>
              <w:ind w:right="360"/>
              <w:spacing w:after="0" w:line="129" w:lineRule="exact"/>
              <w:rPr>
                <w:sz w:val="20"/>
                <w:szCs w:val="20"/>
                <w:color w:val="auto"/>
              </w:rPr>
            </w:pPr>
            <w:r>
              <w:rPr>
                <w:rFonts w:ascii="Times New Roman" w:cs="Times New Roman" w:eastAsia="Times New Roman" w:hAnsi="Times New Roman"/>
                <w:sz w:val="14"/>
                <w:szCs w:val="14"/>
                <w:b w:val="1"/>
                <w:bCs w:val="1"/>
                <w:color w:val="auto"/>
              </w:rPr>
              <w:t>Solutions</w:t>
            </w:r>
          </w:p>
        </w:tc>
        <w:tc>
          <w:tcPr>
            <w:tcW w:w="200" w:type="dxa"/>
            <w:vAlign w:val="bottom"/>
          </w:tcPr>
          <w:p>
            <w:pPr>
              <w:spacing w:after="0"/>
              <w:rPr>
                <w:sz w:val="12"/>
                <w:szCs w:val="12"/>
                <w:color w:val="auto"/>
              </w:rPr>
            </w:pPr>
          </w:p>
        </w:tc>
        <w:tc>
          <w:tcPr>
            <w:tcW w:w="1320" w:type="dxa"/>
            <w:vAlign w:val="bottom"/>
            <w:gridSpan w:val="2"/>
          </w:tcPr>
          <w:p>
            <w:pPr>
              <w:jc w:val="center"/>
              <w:ind w:right="300"/>
              <w:spacing w:after="0" w:line="129" w:lineRule="exact"/>
              <w:rPr>
                <w:sz w:val="20"/>
                <w:szCs w:val="20"/>
                <w:color w:val="auto"/>
              </w:rPr>
            </w:pPr>
            <w:r>
              <w:rPr>
                <w:rFonts w:ascii="Times New Roman" w:cs="Times New Roman" w:eastAsia="Times New Roman" w:hAnsi="Times New Roman"/>
                <w:sz w:val="14"/>
                <w:szCs w:val="14"/>
                <w:b w:val="1"/>
                <w:bCs w:val="1"/>
                <w:color w:val="auto"/>
              </w:rPr>
              <w:t>Eliminations</w:t>
            </w:r>
          </w:p>
        </w:tc>
        <w:tc>
          <w:tcPr>
            <w:tcW w:w="32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2300" w:type="dxa"/>
            <w:vAlign w:val="bottom"/>
            <w:tcBorders>
              <w:top w:val="single" w:sz="8" w:color="auto"/>
              <w:bottom w:val="single" w:sz="8" w:color="CCEEFF"/>
            </w:tcBorders>
          </w:tcPr>
          <w:p>
            <w:pPr>
              <w:spacing w:after="0"/>
              <w:rPr>
                <w:sz w:val="2"/>
                <w:szCs w:val="2"/>
                <w:color w:val="auto"/>
              </w:rPr>
            </w:pPr>
          </w:p>
        </w:tc>
        <w:tc>
          <w:tcPr>
            <w:tcW w:w="3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Automotive</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52,887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center"/>
              <w:ind w:left="817"/>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60,124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Industrial</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center"/>
              <w:ind w:left="697"/>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13,982</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Residential/Commercial Electrical</w:t>
            </w: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20,532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center"/>
              <w:ind w:left="697"/>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20,532</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53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6,160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left="777"/>
              <w:spacing w:after="0"/>
              <w:rPr>
                <w:sz w:val="20"/>
                <w:szCs w:val="20"/>
                <w:color w:val="auto"/>
              </w:rPr>
            </w:pPr>
            <w:r>
              <w:rPr>
                <w:rFonts w:ascii="Times New Roman" w:cs="Times New Roman" w:eastAsia="Times New Roman" w:hAnsi="Times New Roman"/>
                <w:sz w:val="18"/>
                <w:szCs w:val="18"/>
                <w:color w:val="auto"/>
                <w:w w:val="99"/>
              </w:rPr>
              <w:t>(64)</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11,050</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sales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62,244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43,508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center"/>
              <w:ind w:left="777"/>
              <w:spacing w:after="0"/>
              <w:rPr>
                <w:sz w:val="20"/>
                <w:szCs w:val="20"/>
                <w:color w:val="auto"/>
              </w:rPr>
            </w:pPr>
            <w:r>
              <w:rPr>
                <w:rFonts w:ascii="Times New Roman" w:cs="Times New Roman" w:eastAsia="Times New Roman" w:hAnsi="Times New Roman"/>
                <w:sz w:val="18"/>
                <w:szCs w:val="18"/>
                <w:color w:val="auto"/>
                <w:w w:val="99"/>
              </w:rPr>
              <w:t>(64)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105,688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c>
          <w:tcPr>
            <w:tcW w:w="30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Mobile</w:t>
            </w:r>
          </w:p>
        </w:tc>
        <w:tc>
          <w:tcPr>
            <w:tcW w:w="260" w:type="dxa"/>
            <w:vAlign w:val="bottom"/>
          </w:tcPr>
          <w:p>
            <w:pPr>
              <w:spacing w:after="0"/>
              <w:rPr>
                <w:sz w:val="13"/>
                <w:szCs w:val="13"/>
                <w:color w:val="auto"/>
              </w:rPr>
            </w:pPr>
          </w:p>
        </w:tc>
        <w:tc>
          <w:tcPr>
            <w:tcW w:w="124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Power</w:t>
            </w:r>
          </w:p>
        </w:tc>
        <w:tc>
          <w:tcPr>
            <w:tcW w:w="200" w:type="dxa"/>
            <w:vAlign w:val="bottom"/>
          </w:tcPr>
          <w:p>
            <w:pPr>
              <w:spacing w:after="0"/>
              <w:rPr>
                <w:sz w:val="13"/>
                <w:szCs w:val="13"/>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Intersegment</w:t>
            </w: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3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Three Months Ended March 31, 2024</w:t>
            </w:r>
          </w:p>
        </w:tc>
        <w:tc>
          <w:tcPr>
            <w:tcW w:w="26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gridSpan w:val="2"/>
          </w:tcPr>
          <w:p>
            <w:pPr>
              <w:jc w:val="center"/>
              <w:ind w:right="300"/>
              <w:spacing w:after="0" w:line="146" w:lineRule="exact"/>
              <w:rPr>
                <w:sz w:val="20"/>
                <w:szCs w:val="20"/>
                <w:color w:val="auto"/>
              </w:rPr>
            </w:pPr>
            <w:r>
              <w:rPr>
                <w:rFonts w:ascii="Times New Roman" w:cs="Times New Roman" w:eastAsia="Times New Roman" w:hAnsi="Times New Roman"/>
                <w:sz w:val="14"/>
                <w:szCs w:val="14"/>
                <w:b w:val="1"/>
                <w:bCs w:val="1"/>
                <w:color w:val="auto"/>
                <w:w w:val="98"/>
              </w:rPr>
              <w:t>Sales</w:t>
            </w:r>
          </w:p>
        </w:tc>
        <w:tc>
          <w:tcPr>
            <w:tcW w:w="320" w:type="dxa"/>
            <w:vAlign w:val="bottom"/>
          </w:tcPr>
          <w:p>
            <w:pPr>
              <w:spacing w:after="0"/>
              <w:rPr>
                <w:sz w:val="12"/>
                <w:szCs w:val="12"/>
                <w:color w:val="auto"/>
              </w:rPr>
            </w:pPr>
          </w:p>
        </w:tc>
        <w:tc>
          <w:tcPr>
            <w:tcW w:w="1080" w:type="dxa"/>
            <w:vAlign w:val="bottom"/>
            <w:vMerge w:val="restart"/>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0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gridSpan w:val="2"/>
          </w:tcPr>
          <w:p>
            <w:pPr>
              <w:jc w:val="center"/>
              <w:ind w:right="360"/>
              <w:spacing w:after="0" w:line="129" w:lineRule="exact"/>
              <w:rPr>
                <w:sz w:val="20"/>
                <w:szCs w:val="20"/>
                <w:color w:val="auto"/>
              </w:rPr>
            </w:pPr>
            <w:r>
              <w:rPr>
                <w:rFonts w:ascii="Times New Roman" w:cs="Times New Roman" w:eastAsia="Times New Roman" w:hAnsi="Times New Roman"/>
                <w:sz w:val="14"/>
                <w:szCs w:val="14"/>
                <w:b w:val="1"/>
                <w:bCs w:val="1"/>
                <w:color w:val="auto"/>
              </w:rPr>
              <w:t>Solutions</w:t>
            </w:r>
          </w:p>
        </w:tc>
        <w:tc>
          <w:tcPr>
            <w:tcW w:w="260" w:type="dxa"/>
            <w:vAlign w:val="bottom"/>
          </w:tcPr>
          <w:p>
            <w:pPr>
              <w:spacing w:after="0"/>
              <w:rPr>
                <w:sz w:val="12"/>
                <w:szCs w:val="12"/>
                <w:color w:val="auto"/>
              </w:rPr>
            </w:pPr>
          </w:p>
        </w:tc>
        <w:tc>
          <w:tcPr>
            <w:tcW w:w="1240" w:type="dxa"/>
            <w:vAlign w:val="bottom"/>
            <w:gridSpan w:val="2"/>
          </w:tcPr>
          <w:p>
            <w:pPr>
              <w:jc w:val="center"/>
              <w:ind w:right="360"/>
              <w:spacing w:after="0" w:line="129" w:lineRule="exact"/>
              <w:rPr>
                <w:sz w:val="20"/>
                <w:szCs w:val="20"/>
                <w:color w:val="auto"/>
              </w:rPr>
            </w:pPr>
            <w:r>
              <w:rPr>
                <w:rFonts w:ascii="Times New Roman" w:cs="Times New Roman" w:eastAsia="Times New Roman" w:hAnsi="Times New Roman"/>
                <w:sz w:val="14"/>
                <w:szCs w:val="14"/>
                <w:b w:val="1"/>
                <w:bCs w:val="1"/>
                <w:color w:val="auto"/>
              </w:rPr>
              <w:t>Solutions</w:t>
            </w:r>
          </w:p>
        </w:tc>
        <w:tc>
          <w:tcPr>
            <w:tcW w:w="200" w:type="dxa"/>
            <w:vAlign w:val="bottom"/>
          </w:tcPr>
          <w:p>
            <w:pPr>
              <w:spacing w:after="0"/>
              <w:rPr>
                <w:sz w:val="12"/>
                <w:szCs w:val="12"/>
                <w:color w:val="auto"/>
              </w:rPr>
            </w:pPr>
          </w:p>
        </w:tc>
        <w:tc>
          <w:tcPr>
            <w:tcW w:w="1320" w:type="dxa"/>
            <w:vAlign w:val="bottom"/>
            <w:gridSpan w:val="2"/>
          </w:tcPr>
          <w:p>
            <w:pPr>
              <w:jc w:val="center"/>
              <w:ind w:right="300"/>
              <w:spacing w:after="0" w:line="129" w:lineRule="exact"/>
              <w:rPr>
                <w:sz w:val="20"/>
                <w:szCs w:val="20"/>
                <w:color w:val="auto"/>
              </w:rPr>
            </w:pPr>
            <w:r>
              <w:rPr>
                <w:rFonts w:ascii="Times New Roman" w:cs="Times New Roman" w:eastAsia="Times New Roman" w:hAnsi="Times New Roman"/>
                <w:sz w:val="14"/>
                <w:szCs w:val="14"/>
                <w:b w:val="1"/>
                <w:bCs w:val="1"/>
                <w:color w:val="auto"/>
              </w:rPr>
              <w:t>Eliminations</w:t>
            </w:r>
          </w:p>
        </w:tc>
        <w:tc>
          <w:tcPr>
            <w:tcW w:w="32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2300" w:type="dxa"/>
            <w:vAlign w:val="bottom"/>
            <w:tcBorders>
              <w:top w:val="single" w:sz="8" w:color="auto"/>
              <w:bottom w:val="single" w:sz="8" w:color="CCEEFF"/>
            </w:tcBorders>
          </w:tcPr>
          <w:p>
            <w:pPr>
              <w:spacing w:after="0"/>
              <w:rPr>
                <w:sz w:val="2"/>
                <w:szCs w:val="2"/>
                <w:color w:val="auto"/>
              </w:rPr>
            </w:pPr>
          </w:p>
        </w:tc>
        <w:tc>
          <w:tcPr>
            <w:tcW w:w="3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Automotive</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48,975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57,231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Industrial</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18,713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13,138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31,851</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Residential/Commercial Electrical</w:t>
            </w: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20,232</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53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11,884</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sales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73,060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48,238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121,198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c>
          <w:tcPr>
            <w:tcW w:w="30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Concentration</w:t>
      </w:r>
    </w:p>
    <w:p>
      <w:pPr>
        <w:spacing w:after="0" w:line="65"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2025, a customer in our Mobile Solutions segment represented 13% of consolidated revenue, and a customer from our Power Solutions segment represented 11% of consolidated revenue.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Deferred Revenue</w:t>
      </w:r>
    </w:p>
    <w:p>
      <w:pPr>
        <w:spacing w:after="0" w:line="6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Deferred revenue relates to payments received in advance of performance under the contract and recognized as revenue as (or when) we perform under the contract. The balance of deferred revenue was $0.4 million and $0.2 million as of March 31, 2025 and December 31, 2024, respectively. Revenue recognized for performance obligations satisfied or partially satisfied during the three months ended March 31, 2025 included $0.1 million that was included in deferred revenue as of December 31, 2024.</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Transaction Price Allocated to Future Performance Obligations</w:t>
      </w:r>
    </w:p>
    <w:p>
      <w:pPr>
        <w:spacing w:after="0" w:line="65"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We are required to disclose the aggregate amount of transaction price that is allocated to performance obligations that have not yet been satisfied as of March 31, 2025, unless our contracts meet one of the practical expedients. Our contracts met the practical expedient for a performance obligation that is part of a contract that has an original expected duration of one year or less.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Accounts Receivable</w:t>
      </w:r>
    </w:p>
    <w:p>
      <w:pPr>
        <w:spacing w:after="0" w:line="6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participate in programs established by our customers, which allows us to sell certain receivables from that customer on a non-recourse basis to a third-party financial institution. During the three months ended March 31, 2025 and 2024, we incurred fees of $0.1 million and $0.3 million, respectively, related to the sale of receivables, which is recorded in the “Other expense (income), net” line item on the Condensed Consolidated Statements of Operations and Comprehensive Income (Loss).</w:t>
      </w:r>
    </w:p>
    <w:p>
      <w:pPr>
        <w:spacing w:after="0" w:line="72"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As of March 31, 2025 and December 31, 2024, one customer represented 11% of consolidated accounts receivable. Amounts due from this customer are primarily related to Mobile Solutions.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Inventories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are comprised of the following amounts: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3"/>
        </w:trPr>
        <w:tc>
          <w:tcPr>
            <w:tcW w:w="644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21,765</w:t>
            </w:r>
          </w:p>
        </w:tc>
        <w:tc>
          <w:tcPr>
            <w:tcW w:w="12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20,664</w:t>
            </w:r>
          </w:p>
        </w:tc>
        <w:tc>
          <w:tcPr>
            <w:tcW w:w="0" w:type="dxa"/>
            <w:vAlign w:val="bottom"/>
          </w:tcPr>
          <w:p>
            <w:pPr>
              <w:spacing w:after="0"/>
              <w:rPr>
                <w:sz w:val="1"/>
                <w:szCs w:val="1"/>
                <w:color w:val="auto"/>
              </w:rPr>
            </w:pPr>
          </w:p>
        </w:tc>
      </w:tr>
      <w:tr>
        <w:trPr>
          <w:trHeight w:val="229"/>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22,275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22,139</w:t>
            </w:r>
          </w:p>
        </w:tc>
        <w:tc>
          <w:tcPr>
            <w:tcW w:w="0" w:type="dxa"/>
            <w:vAlign w:val="bottom"/>
          </w:tcPr>
          <w:p>
            <w:pPr>
              <w:spacing w:after="0"/>
              <w:rPr>
                <w:sz w:val="1"/>
                <w:szCs w:val="1"/>
                <w:color w:val="auto"/>
              </w:rPr>
            </w:pPr>
          </w:p>
        </w:tc>
      </w:tr>
      <w:tr>
        <w:trPr>
          <w:trHeight w:val="230"/>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18,887</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19,074</w:t>
            </w:r>
          </w:p>
        </w:tc>
        <w:tc>
          <w:tcPr>
            <w:tcW w:w="0" w:type="dxa"/>
            <w:vAlign w:val="bottom"/>
          </w:tcPr>
          <w:p>
            <w:pPr>
              <w:spacing w:after="0"/>
              <w:rPr>
                <w:sz w:val="1"/>
                <w:szCs w:val="1"/>
                <w:color w:val="auto"/>
              </w:rPr>
            </w:pPr>
          </w:p>
        </w:tc>
      </w:tr>
      <w:tr>
        <w:trPr>
          <w:trHeight w:val="223"/>
        </w:trPr>
        <w:tc>
          <w:tcPr>
            <w:tcW w:w="6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inventories</w:t>
            </w: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62,927</w:t>
            </w:r>
          </w:p>
        </w:tc>
        <w:tc>
          <w:tcPr>
            <w:tcW w:w="120" w:type="dxa"/>
            <w:vAlign w:val="bottom"/>
          </w:tcPr>
          <w:p>
            <w:pPr>
              <w:spacing w:after="0"/>
              <w:rPr>
                <w:sz w:val="19"/>
                <w:szCs w:val="19"/>
                <w:color w:val="auto"/>
              </w:rPr>
            </w:pPr>
          </w:p>
        </w:tc>
        <w:tc>
          <w:tcPr>
            <w:tcW w:w="22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61,877</w:t>
            </w:r>
          </w:p>
        </w:tc>
        <w:tc>
          <w:tcPr>
            <w:tcW w:w="0" w:type="dxa"/>
            <w:vAlign w:val="bottom"/>
          </w:tcPr>
          <w:p>
            <w:pPr>
              <w:spacing w:after="0"/>
              <w:rPr>
                <w:sz w:val="1"/>
                <w:szCs w:val="1"/>
                <w:color w:val="auto"/>
              </w:rPr>
            </w:pPr>
          </w:p>
        </w:tc>
      </w:tr>
      <w:tr>
        <w:trPr>
          <w:trHeight w:val="20"/>
        </w:trPr>
        <w:tc>
          <w:tcPr>
            <w:tcW w:w="64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6. Intangible Assets</w:t>
            </w: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7"/>
        </w:trPr>
        <w:tc>
          <w:tcPr>
            <w:tcW w:w="64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0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following table shows changes in the carrying amount of intangible assets, net, by reportable segment.</w:t>
            </w:r>
          </w:p>
        </w:tc>
        <w:tc>
          <w:tcPr>
            <w:tcW w:w="1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4"/>
        </w:trPr>
        <w:tc>
          <w:tcPr>
            <w:tcW w:w="6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Mobile</w:t>
            </w:r>
          </w:p>
        </w:tc>
        <w:tc>
          <w:tcPr>
            <w:tcW w:w="120" w:type="dxa"/>
            <w:vAlign w:val="bottom"/>
          </w:tcPr>
          <w:p>
            <w:pPr>
              <w:spacing w:after="0"/>
              <w:rPr>
                <w:sz w:val="14"/>
                <w:szCs w:val="14"/>
                <w:color w:val="auto"/>
              </w:rPr>
            </w:pPr>
          </w:p>
        </w:tc>
        <w:tc>
          <w:tcPr>
            <w:tcW w:w="14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Power</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6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120" w:type="dxa"/>
            <w:vAlign w:val="bottom"/>
          </w:tcPr>
          <w:p>
            <w:pPr>
              <w:spacing w:after="0"/>
              <w:rPr>
                <w:sz w:val="16"/>
                <w:szCs w:val="16"/>
                <w:color w:val="auto"/>
              </w:rPr>
            </w:pPr>
          </w:p>
        </w:tc>
        <w:tc>
          <w:tcPr>
            <w:tcW w:w="14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15,649</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28,761</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44,410</w:t>
            </w:r>
          </w:p>
        </w:tc>
        <w:tc>
          <w:tcPr>
            <w:tcW w:w="0" w:type="dxa"/>
            <w:vAlign w:val="bottom"/>
          </w:tcPr>
          <w:p>
            <w:pPr>
              <w:spacing w:after="0"/>
              <w:rPr>
                <w:sz w:val="1"/>
                <w:szCs w:val="1"/>
                <w:color w:val="auto"/>
              </w:rPr>
            </w:pPr>
          </w:p>
        </w:tc>
      </w:tr>
      <w:tr>
        <w:trPr>
          <w:trHeight w:val="229"/>
        </w:trPr>
        <w:tc>
          <w:tcPr>
            <w:tcW w:w="6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2"/>
          </w:tcPr>
          <w:p>
            <w:pPr>
              <w:ind w:left="860"/>
              <w:spacing w:after="0"/>
              <w:rPr>
                <w:sz w:val="20"/>
                <w:szCs w:val="20"/>
                <w:color w:val="auto"/>
              </w:rPr>
            </w:pPr>
            <w:r>
              <w:rPr>
                <w:rFonts w:ascii="Times New Roman" w:cs="Times New Roman" w:eastAsia="Times New Roman" w:hAnsi="Times New Roman"/>
                <w:sz w:val="18"/>
                <w:szCs w:val="18"/>
                <w:color w:val="auto"/>
              </w:rPr>
              <w:t>(2,567)</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(3,405)</w:t>
            </w:r>
          </w:p>
        </w:tc>
        <w:tc>
          <w:tcPr>
            <w:tcW w:w="0" w:type="dxa"/>
            <w:vAlign w:val="bottom"/>
          </w:tcPr>
          <w:p>
            <w:pPr>
              <w:spacing w:after="0"/>
              <w:rPr>
                <w:sz w:val="1"/>
                <w:szCs w:val="1"/>
                <w:color w:val="auto"/>
              </w:rPr>
            </w:pPr>
          </w:p>
        </w:tc>
      </w:tr>
      <w:tr>
        <w:trPr>
          <w:trHeight w:val="248"/>
        </w:trPr>
        <w:tc>
          <w:tcPr>
            <w:tcW w:w="6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March 31, 2025</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26,194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41,005</w:t>
            </w:r>
          </w:p>
        </w:tc>
        <w:tc>
          <w:tcPr>
            <w:tcW w:w="0" w:type="dxa"/>
            <w:vAlign w:val="bottom"/>
          </w:tcPr>
          <w:p>
            <w:pPr>
              <w:spacing w:after="0"/>
              <w:rPr>
                <w:sz w:val="1"/>
                <w:szCs w:val="1"/>
                <w:color w:val="auto"/>
              </w:rPr>
            </w:pP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Intangible assets are reviewed for impairment when changes in circumstances indicate the carrying value of those assets may not be recoverable. There were no impairment charges for the three months ended March 31, 2025 and 2024.</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Investment in Joint Venture</w:t>
      </w:r>
    </w:p>
    <w:p>
      <w:pPr>
        <w:spacing w:after="0" w:line="67"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We own a 49% investment in Wuxi Weifu Autocam Precision Machinery Company, Ltd. (the “JV”), a joint venture located in Wuxi, China. The JV is jointly controlled and managed, and we account for it under the equity method, with the share of net income from the joint venture recorded in the Mobile Solutions segment.</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4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shows changes in our investment in the JV.</w:t>
            </w:r>
          </w:p>
        </w:tc>
        <w:tc>
          <w:tcPr>
            <w:tcW w:w="2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 of earnings</w:t>
            </w: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gain</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March 31, 2025</w:t>
            </w: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78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8. Debt</w:t>
            </w:r>
          </w:p>
        </w:tc>
        <w:tc>
          <w:tcPr>
            <w:tcW w:w="2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78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84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presents amounts outstanding on our debt facilities.</w:t>
            </w:r>
          </w:p>
        </w:tc>
        <w:tc>
          <w:tcPr>
            <w:tcW w:w="2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6"/>
        </w:trPr>
        <w:tc>
          <w:tcPr>
            <w:tcW w:w="7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3"/>
        </w:trPr>
        <w:tc>
          <w:tcPr>
            <w:tcW w:w="78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Loan Facility</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114,308</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114,397</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ABL Facility</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Financing obligations from sale-leaseback transactions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24,229</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24,496</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 loans</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8,417</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Unamortized debt issuance costs and discount (1)</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(3,631)</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(4,148)</w:t>
            </w:r>
          </w:p>
        </w:tc>
        <w:tc>
          <w:tcPr>
            <w:tcW w:w="0" w:type="dxa"/>
            <w:vAlign w:val="bottom"/>
          </w:tcPr>
          <w:p>
            <w:pPr>
              <w:spacing w:after="0"/>
              <w:rPr>
                <w:sz w:val="1"/>
                <w:szCs w:val="1"/>
                <w:color w:val="auto"/>
              </w:rPr>
            </w:pPr>
          </w:p>
        </w:tc>
      </w:tr>
      <w:tr>
        <w:trPr>
          <w:trHeight w:val="223"/>
        </w:trPr>
        <w:tc>
          <w:tcPr>
            <w:tcW w:w="7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debt</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151,323</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148,630</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w:t>
      </w:r>
    </w:p>
    <w:p>
      <w:pPr>
        <w:spacing w:after="0" w:line="73" w:lineRule="exact"/>
        <w:rPr>
          <w:sz w:val="20"/>
          <w:szCs w:val="20"/>
          <w:color w:val="auto"/>
        </w:rPr>
      </w:pPr>
    </w:p>
    <w:p>
      <w:pPr>
        <w:ind w:left="500" w:right="640" w:hanging="330"/>
        <w:spacing w:after="0" w:line="282" w:lineRule="auto"/>
        <w:tabs>
          <w:tab w:leader="none" w:pos="56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this amount, costs of $1.0 million and $1.2 million related to the ABL Facility were recorded in other non-current assets as of March 31, 2025 and December 31, 2024, respectively.</w:t>
      </w:r>
    </w:p>
    <w:p>
      <w:pPr>
        <w:spacing w:after="0" w:line="54"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We capitalized interest costs of $0.2 million and $0.5 million in the three months ended March 31, 2025 and 2024, respectively, related to construction in progress.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 Loan Facility</w:t>
      </w:r>
    </w:p>
    <w:p>
      <w:pPr>
        <w:spacing w:after="0" w:line="65"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On March 22, 2021, we entered into a $150.0 million term loan facility (as amended from time to time, the “2021 Term Loan Facility”), on which outstanding borrowings bear interest at either: 1) one-month, three-month, or six-month term secured overnight finance rate (“SOFR”) with a duration adjustment (“Adjusted Term SOFR”), subject to a 1.000% floor, plus an applicable margin of 6.875%, or 2) the greater of various benchmark rates plus an applicable margin of 5.875%. Beginning in the second quarter of 2023, interest was increased on a paid-in-kind basis at a rate between 1.00% and 2.00% (“PIK interest”), dependent on our net leverage ratio for the most recently reported fiscal quarter and subject to reduction upon the occurrence of certain conditions as set forth in the credit agreement governing the 2021 Term Loan Facility. The PIK interest is payable on the loan maturity date of September 22, 2026. At March 31, 2025, the 2021 Term Loan Facility bore interest, including PIK interest, based on one-month Adjusted Term SOFR, at 12.300%.</w:t>
      </w:r>
    </w:p>
    <w:p>
      <w:pPr>
        <w:spacing w:after="0" w:line="84"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The 2021 Term Loan Facility requires quarterly principal payments of $0.4 million with the remaining unpaid principal amount due at the loan maturity date. We may be required to make additional principal payments annually that are calculated as a percentage of our excess cash flow, as defined by the lender, based on our net leverage ratio. The 2021 Term Loan Facility is collateralized by all of our assets. The 2021 Term Loan Facility has a first lien on all domestic assets, other than accounts receivable and inventory and has a second lien on domestic accounts receivable and inventory. We were in compliance with all requirements under the 2021 Term Loan Facility as of March 31, 2025.</w:t>
      </w:r>
    </w:p>
    <w:p>
      <w:pPr>
        <w:spacing w:after="0" w:line="75"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2021 Term Loan Facility was issued at a $3.8 million discount and we have capitalized an additional $5.5 million in debt issuance costs. These costs are recorded as a direct reduction to the carrying amount of the associated long-term debt and amortized over the term of the debt.</w:t>
      </w:r>
    </w:p>
    <w:p>
      <w:pPr>
        <w:spacing w:after="0" w:line="54"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On April 16, 2025, we repaid all of our outstanding obligations under the 2021 Term Loan Facility with the proceeds from a new term loan arrangement that has an initial principal balance of $118.0 million. See Note 18.</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ABL Facility</w:t>
      </w:r>
    </w:p>
    <w:p>
      <w:pPr>
        <w:spacing w:after="0" w:line="6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December 30, 2024, we entered into a new asset backed credit facility (the “ABL Facility”) which provides for a senior secured revolving credit facility in the amount of $50.0 million, of which $15.0 million is available in the form of letters of credit and $5.0 million is available for the issuance of short-term swingline loans. The availability of credit under the ABL Facility is limited by a borrowing base calculation derived from accounts receivable and inventory held in the United States. Outstanding borrowings under the ABL Facility bear interest at either: 1) the one, three or six month SOFR plus 1.50%, plus an</w:t>
      </w:r>
    </w:p>
    <w:p>
      <w:pPr>
        <w:sectPr>
          <w:pgSz w:w="11900" w:h="16838" w:orient="portrait"/>
          <w:cols w:equalWidth="0" w:num="1">
            <w:col w:w="11240"/>
          </w:cols>
          <w:pgMar w:left="320" w:top="477" w:right="339" w:bottom="1440" w:gutter="0" w:footer="0" w:header="0"/>
        </w:sect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7"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98"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adjustment of 0.10% (“Term SOFR Rate”); or 2) the highest of the base commercial lending rate of the lender or various benchmark rates plus an applicable margin of 0.50% or 1.00%, depending on the benchmark (“Alternative Base Rate”). At March 31, 2025, based on a one-month Term SOFR Rate, the interest rate on outstanding borrowings under the ABL Facility was 5.922%. We incur a commitment fee of 0.25% for unused capacity under the ABL Facility and a 1.85% fee on the amount of letters of credit outstanding. The final maturity date of the ABL Facility is the earlier of: 1) December 30, 2029; or 2) 91 days prior to the loan maturity date of the 2021 Term Loan Facility. We capitalized a total of $1.2 million in new debt issuance costs related to the ABL Facility.</w:t>
      </w:r>
    </w:p>
    <w:p>
      <w:pPr>
        <w:spacing w:after="0" w:line="7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 of March 31, 2025, we had $8.0 million outstanding borrowings under the ABL Facility, $10.4 million of outstanding letters of credit, and $18.3 million available for future borrowings under the ABL Facility. The ABL Facility is secured by a perfected lien over substantially all of the Company’s assets. We were in compliance with all requirements under the ABL Facility as of March 31, 2025.</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Sale-Leaseback Transactions</w:t>
      </w:r>
    </w:p>
    <w:p>
      <w:pPr>
        <w:spacing w:after="0" w:line="52"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18"/>
          <w:szCs w:val="18"/>
          <w:color w:val="auto"/>
        </w:rPr>
        <w:t>In March 2024, we sold three of our properties for an aggregate sales price of $16.9 million, with the net proceeds used to repay a portion of the outstanding borrowings under the 2021 Term Loan Facility. Concurrent with the sale, we entered into a 20-year lease agreement for these properties. Since the lease agreement allows for us to exercise renewal options that extend for substantially all of the remaining economic life, we have the ability to maintain the risks and rewards of ownership. Since the transaction did not transfer control of the assets, it cannot be accounted for as a sale under ASC 606. As a result, the properties remain on our Condensed Consolidated Balance Sheets and the non-land assets will continue to be depreciated over their remaining useful lives. The $16.9 million of gross proceeds was recognized as a financing obligation as a component of long-term debt. The monthly lease payments, which increase 3.0% each year, are being amortized as principal payments and interest expense based on an effective interest rate of 9.715%. We incurred $0.6 million in debt issuance costs related to this transaction, which are being amortized over the term of the debt.</w:t>
      </w:r>
    </w:p>
    <w:p>
      <w:pPr>
        <w:spacing w:after="0" w:line="79"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8"/>
          <w:szCs w:val="18"/>
          <w:color w:val="auto"/>
        </w:rPr>
        <w:t>In March 2024, we sold multiple pieces of manufacturing equipment for an aggregate sales price of $4.9 million. Concurrent with the sale, we entered into a 5-year lease agreement that includes a repurchase option for this equipment. In May 2024, we sold additional pieces of manufacturing equipment for an aggregate sales price of $3.4 million and entered into 5-year and 6-year lease agreements for the equipment. Since the three lease agreements allow for us to exercise an early buyout option, we have the ability to maintain the risks and rewards of ownership. Since the transactions did not transfer control of the assets, they cannot be accounted for as sales under ASC 606. As a result, the assets remain on our Condensed Consolidated Balance Sheets and will continue to be depreciated over their remaining useful lives. The $8.3 million of gross proceeds was recognized as a financing obligation as a component of long-term debt. The monthly lease payments are being amortized as principal payments and interest expense on a weighted average effective interest rate of 10.540%.</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International Loans</w:t>
      </w:r>
    </w:p>
    <w:p>
      <w:pPr>
        <w:spacing w:after="0" w:line="52"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We have fixed rate debt with various financial institutions in France, Poland and China, with maturity dates between 2025 and 2033. These loans, which were obtained to fund working capital and equipment purchases, had a weighted average interest rate of 2.335% at March 31,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Preferred Stock</w:t>
      </w:r>
    </w:p>
    <w:p>
      <w:pPr>
        <w:spacing w:after="0" w:line="6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 March 22, 2021, we completed a private placement of 65,000 shares of newly designated Series D Perpetual Preferred Stock, with a par value of $0.01 per share (the “Series D Preferred Stock”), at a price of $1,000 per share. The Series D Preferred Stock has an initial liquidation preference of $1,000 per share and is redeemable at our option in cash at a redemption price equal to the liquidation preference then in effect. Series D Preferred Stock shares earn cash dividends at a rate of 10.0% per year, payable quarterly in arrears, accruing whether or not earned or declared. If no cash dividend is paid, then the liquidation preference per share effective on the dividend date increases by 12.0% per year. On March 22, 2026, the cash dividend rate and in-kind dividend rate increase by 2.5% per year. Cash dividends are required beginning on September 30, 2027 and are limited based on terms and conditions of the 2021 Term Loan Agreement.</w:t>
      </w:r>
    </w:p>
    <w:p>
      <w:pPr>
        <w:spacing w:after="0" w:line="8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Series D Preferred Stock is classified as mezzanine equity, between liabilities and stockholders’ equity, because certain features of the Series D Preferred Stock could require redemption of the Series D Preferred Stock upon a change of control event that is considered not solely within our control. For initial recognition, the Series D Preferred Stock was recognized at a discounted value, net of issuance costs and allocation to warrants and a bifurcated embedded derivative. The aggregate discount is amortized as a deemed dividend through March 22, 2026, which is the date the dividend rate begins to increase by 2.5% per year. Deemed dividends adjust additional paid-in capital due to the absence of retained earnings.</w:t>
      </w:r>
    </w:p>
    <w:p>
      <w:pPr>
        <w:spacing w:after="0" w:line="73" w:lineRule="exact"/>
        <w:rPr>
          <w:sz w:val="20"/>
          <w:szCs w:val="20"/>
          <w:color w:val="auto"/>
        </w:rPr>
      </w:pPr>
    </w:p>
    <w:p>
      <w:pPr>
        <w:ind w:right="280"/>
        <w:spacing w:after="0" w:line="284" w:lineRule="auto"/>
        <w:rPr>
          <w:sz w:val="20"/>
          <w:szCs w:val="20"/>
          <w:color w:val="auto"/>
        </w:rPr>
      </w:pPr>
      <w:r>
        <w:rPr>
          <w:rFonts w:ascii="Times New Roman" w:cs="Times New Roman" w:eastAsia="Times New Roman" w:hAnsi="Times New Roman"/>
          <w:sz w:val="18"/>
          <w:szCs w:val="18"/>
          <w:color w:val="auto"/>
        </w:rPr>
        <w:t xml:space="preserve">In accordance with ASC 815-15, </w:t>
      </w:r>
      <w:r>
        <w:rPr>
          <w:rFonts w:ascii="Times New Roman" w:cs="Times New Roman" w:eastAsia="Times New Roman" w:hAnsi="Times New Roman"/>
          <w:sz w:val="18"/>
          <w:szCs w:val="18"/>
          <w:i w:val="1"/>
          <w:iCs w:val="1"/>
          <w:color w:val="auto"/>
        </w:rPr>
        <w:t>Derivatives and Hedging - Embedded Derivatives,</w:t>
      </w:r>
      <w:r>
        <w:rPr>
          <w:rFonts w:ascii="Times New Roman" w:cs="Times New Roman" w:eastAsia="Times New Roman" w:hAnsi="Times New Roman"/>
          <w:sz w:val="18"/>
          <w:szCs w:val="18"/>
          <w:color w:val="auto"/>
        </w:rPr>
        <w:t xml:space="preserve"> certain features of the Series D Preferred Stock were bifurcated and accounted for as derivatives separately. Note 16 discusses the accounting for these features.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98"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As of March 31, 2025, the carrying value of the Series D Preferred Stock shares was $97.9 million, which included $51.2 million of accumulated unpaid and deemed dividends. The following table presents the change in the Series D Preferred Stock carrying value during the three months ended March 31, 2025.</w:t>
      </w:r>
    </w:p>
    <w:p>
      <w:pPr>
        <w:sectPr>
          <w:pgSz w:w="11900" w:h="16838" w:orient="portrait"/>
          <w:cols w:equalWidth="0" w:num="1">
            <w:col w:w="11240"/>
          </w:cols>
          <w:pgMar w:left="320" w:top="477" w:right="339" w:bottom="1440" w:gutter="0" w:footer="0" w:header="0"/>
        </w:sectPr>
      </w:pPr>
    </w:p>
    <w:p>
      <w:pPr>
        <w:spacing w:after="0" w:line="10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as of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Accrual of in-kind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Amortization</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as of March 31, 2025</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Leases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contains supplemental cash flow information related to leases.</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ind w:left="1860" w:hanging="1285"/>
        <w:spacing w:after="0"/>
        <w:tabs>
          <w:tab w:leader="none" w:pos="186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93,497</w:t>
      </w:r>
    </w:p>
    <w:p>
      <w:pPr>
        <w:spacing w:after="0" w:line="38" w:lineRule="exact"/>
        <w:rPr>
          <w:rFonts w:ascii="Times New Roman" w:cs="Times New Roman" w:eastAsia="Times New Roman" w:hAnsi="Times New Roman"/>
          <w:sz w:val="17"/>
          <w:szCs w:val="17"/>
          <w:color w:val="auto"/>
        </w:rPr>
      </w:pPr>
    </w:p>
    <w:p>
      <w:pPr>
        <w:ind w:left="19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3,054</w:t>
      </w:r>
    </w:p>
    <w:p>
      <w:pPr>
        <w:spacing w:after="0" w:line="34" w:lineRule="exact"/>
        <w:rPr>
          <w:rFonts w:ascii="Times New Roman" w:cs="Times New Roman" w:eastAsia="Times New Roman" w:hAnsi="Times New Roman"/>
          <w:sz w:val="17"/>
          <w:szCs w:val="17"/>
          <w:color w:val="auto"/>
        </w:rPr>
      </w:pPr>
    </w:p>
    <w:p>
      <w:pPr>
        <w:ind w:left="19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1,353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wp:posOffset>
            </wp:positionH>
            <wp:positionV relativeFrom="paragraph">
              <wp:posOffset>21590</wp:posOffset>
            </wp:positionV>
            <wp:extent cx="118300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183005" cy="8890"/>
                    </a:xfrm>
                    <a:prstGeom prst="rect">
                      <a:avLst/>
                    </a:prstGeom>
                    <a:noFill/>
                  </pic:spPr>
                </pic:pic>
              </a:graphicData>
            </a:graphic>
          </wp:anchor>
        </w:drawing>
      </w:r>
    </w:p>
    <w:p>
      <w:pPr>
        <w:spacing w:after="0" w:line="23" w:lineRule="exact"/>
        <w:rPr>
          <w:sz w:val="20"/>
          <w:szCs w:val="20"/>
          <w:color w:val="auto"/>
        </w:rPr>
      </w:pPr>
    </w:p>
    <w:p>
      <w:pPr>
        <w:ind w:left="1860" w:hanging="1285"/>
        <w:spacing w:after="0"/>
        <w:tabs>
          <w:tab w:leader="none" w:pos="186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97,904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wp:posOffset>
            </wp:positionH>
            <wp:positionV relativeFrom="paragraph">
              <wp:posOffset>24765</wp:posOffset>
            </wp:positionV>
            <wp:extent cx="118300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18300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wp:posOffset>
            </wp:positionH>
            <wp:positionV relativeFrom="paragraph">
              <wp:posOffset>50165</wp:posOffset>
            </wp:positionV>
            <wp:extent cx="118300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1830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ind w:left="60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-365760</wp:posOffset>
            </wp:positionH>
            <wp:positionV relativeFrom="paragraph">
              <wp:posOffset>22225</wp:posOffset>
            </wp:positionV>
            <wp:extent cx="190309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7" w:lineRule="exact"/>
        <w:rPr>
          <w:sz w:val="20"/>
          <w:szCs w:val="20"/>
          <w:color w:val="auto"/>
        </w:rPr>
      </w:pPr>
    </w:p>
    <w:p>
      <w:pPr>
        <w:spacing w:after="0"/>
        <w:tabs>
          <w:tab w:leader="none" w:pos="1540" w:val="left"/>
        </w:tabs>
        <w:rPr>
          <w:sz w:val="20"/>
          <w:szCs w:val="20"/>
          <w:color w:val="auto"/>
        </w:rPr>
      </w:pPr>
      <w:r>
        <w:rPr>
          <w:rFonts w:ascii="Times New Roman" w:cs="Times New Roman" w:eastAsia="Times New Roman" w:hAnsi="Times New Roman"/>
          <w:sz w:val="14"/>
          <w:szCs w:val="14"/>
          <w:b w:val="1"/>
          <w:bCs w:val="1"/>
          <w:color w:val="auto"/>
        </w:rPr>
        <w:t>2025</w:t>
      </w:r>
      <w:r>
        <w:rPr>
          <w:sz w:val="20"/>
          <w:szCs w:val="20"/>
          <w:color w:val="auto"/>
        </w:rPr>
        <w:tab/>
      </w:r>
      <w:r>
        <w:rPr>
          <w:rFonts w:ascii="Times New Roman" w:cs="Times New Roman" w:eastAsia="Times New Roman" w:hAnsi="Times New Roman"/>
          <w:sz w:val="14"/>
          <w:szCs w:val="14"/>
          <w:b w:val="1"/>
          <w:bCs w:val="1"/>
          <w:color w:val="auto"/>
        </w:rPr>
        <w:t>2024</w:t>
      </w:r>
    </w:p>
    <w:p>
      <w:pPr>
        <w:spacing w:after="0" w:line="33" w:lineRule="exact"/>
        <w:rPr>
          <w:sz w:val="20"/>
          <w:szCs w:val="20"/>
          <w:color w:val="auto"/>
        </w:rPr>
      </w:pPr>
    </w:p>
    <w:p>
      <w:pPr>
        <w:sectPr>
          <w:pgSz w:w="11900" w:h="16838" w:orient="portrait"/>
          <w:cols w:equalWidth="0" w:num="2">
            <w:col w:w="8100" w:space="720"/>
            <w:col w:w="2420"/>
          </w:cols>
          <w:pgMar w:left="320" w:top="477" w:right="339" w:bottom="1440" w:gutter="0" w:footer="0" w:header="0"/>
          <w:type w:val="continuous"/>
        </w:sectPr>
      </w:pPr>
    </w:p>
    <w:tbl>
      <w:tblPr>
        <w:tblLayout w:type="fixed"/>
        <w:tblInd w:w="0" w:type="dxa"/>
        <w:tblCellMar>
          <w:top w:w="0" w:type="dxa"/>
          <w:left w:w="0" w:type="dxa"/>
          <w:bottom w:w="0" w:type="dxa"/>
          <w:right w:w="0" w:type="dxa"/>
        </w:tblCellMar>
      </w:tblPr>
      <w:tr>
        <w:trPr>
          <w:trHeight w:val="229"/>
        </w:trPr>
        <w:tc>
          <w:tcPr>
            <w:tcW w:w="8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54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r>
      <w:tr>
        <w:trPr>
          <w:trHeight w:val="230"/>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cash flows used in operating leases</w:t>
            </w: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2,158</w:t>
            </w:r>
          </w:p>
        </w:tc>
        <w:tc>
          <w:tcPr>
            <w:tcW w:w="120" w:type="dxa"/>
            <w:vAlign w:val="bottom"/>
          </w:tcPr>
          <w:p>
            <w:pPr>
              <w:spacing w:after="0"/>
              <w:rPr>
                <w:sz w:val="19"/>
                <w:szCs w:val="19"/>
                <w:color w:val="auto"/>
              </w:rPr>
            </w:pP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2,739</w:t>
            </w:r>
          </w:p>
        </w:tc>
      </w:tr>
      <w:tr>
        <w:trPr>
          <w:trHeight w:val="22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cash flows used in finance leases</w:t>
            </w: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30"/>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Financing cash flows used in finance leases</w:t>
            </w: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new finance lease liabilities</w:t>
            </w: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2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We recognized sublease income of $1.0 million and $0.9 million in the three months ended March 31, 2025 and 2024, respectively, which is recognized in the “Other operating income, net” line in the Condensed Consolidated Statements of Operations and Comprehensive Income (Loss).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finance lease-related assets and liabilities recorded on the balance sheet.</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40" w:type="dxa"/>
            <w:vAlign w:val="bottom"/>
          </w:tcPr>
          <w:p>
            <w:pPr>
              <w:spacing w:after="0"/>
              <w:rPr>
                <w:sz w:val="16"/>
                <w:szCs w:val="16"/>
                <w:color w:val="auto"/>
              </w:rPr>
            </w:pPr>
          </w:p>
        </w:tc>
        <w:tc>
          <w:tcPr>
            <w:tcW w:w="3900" w:type="dxa"/>
            <w:vAlign w:val="bottom"/>
            <w:gridSpan w:val="2"/>
          </w:tcPr>
          <w:p>
            <w:pPr>
              <w:ind w:left="960"/>
              <w:spacing w:after="0"/>
              <w:rPr>
                <w:sz w:val="20"/>
                <w:szCs w:val="20"/>
                <w:color w:val="auto"/>
              </w:rPr>
            </w:pPr>
            <w:r>
              <w:rPr>
                <w:rFonts w:ascii="Times New Roman" w:cs="Times New Roman" w:eastAsia="Times New Roman" w:hAnsi="Times New Roman"/>
                <w:sz w:val="14"/>
                <w:szCs w:val="14"/>
                <w:b w:val="1"/>
                <w:bCs w:val="1"/>
                <w:color w:val="auto"/>
              </w:rPr>
              <w:t>Financial Statement Line Item</w:t>
            </w:r>
          </w:p>
        </w:tc>
        <w:tc>
          <w:tcPr>
            <w:tcW w:w="220" w:type="dxa"/>
            <w:vAlign w:val="bottom"/>
          </w:tcPr>
          <w:p>
            <w:pPr>
              <w:spacing w:after="0"/>
              <w:rPr>
                <w:sz w:val="16"/>
                <w:szCs w:val="16"/>
                <w:color w:val="auto"/>
              </w:rPr>
            </w:pPr>
          </w:p>
        </w:tc>
        <w:tc>
          <w:tcPr>
            <w:tcW w:w="14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60" w:type="dxa"/>
            <w:vAlign w:val="bottom"/>
          </w:tcPr>
          <w:p>
            <w:pPr>
              <w:spacing w:after="0"/>
              <w:rPr>
                <w:sz w:val="16"/>
                <w:szCs w:val="16"/>
                <w:color w:val="auto"/>
              </w:rPr>
            </w:pPr>
          </w:p>
        </w:tc>
        <w:tc>
          <w:tcPr>
            <w:tcW w:w="144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3"/>
        </w:trPr>
        <w:tc>
          <w:tcPr>
            <w:tcW w:w="4040" w:type="dxa"/>
            <w:vAlign w:val="bottom"/>
            <w:tcBorders>
              <w:bottom w:val="single" w:sz="8" w:color="CCEEFF"/>
            </w:tcBorders>
          </w:tcPr>
          <w:p>
            <w:pPr>
              <w:spacing w:after="0"/>
              <w:rPr>
                <w:sz w:val="2"/>
                <w:szCs w:val="2"/>
                <w:color w:val="auto"/>
              </w:rPr>
            </w:pPr>
          </w:p>
        </w:tc>
        <w:tc>
          <w:tcPr>
            <w:tcW w:w="3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23"/>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assets</w:t>
            </w:r>
          </w:p>
        </w:tc>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16,885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16,579</w:t>
            </w:r>
          </w:p>
        </w:tc>
      </w:tr>
      <w:tr>
        <w:trPr>
          <w:trHeight w:val="270"/>
        </w:trPr>
        <w:tc>
          <w:tcPr>
            <w:tcW w:w="4040" w:type="dxa"/>
            <w:vAlign w:val="bottom"/>
          </w:tcPr>
          <w:p>
            <w:pPr>
              <w:spacing w:after="0"/>
              <w:rPr>
                <w:sz w:val="23"/>
                <w:szCs w:val="23"/>
                <w:color w:val="auto"/>
              </w:rPr>
            </w:pPr>
          </w:p>
        </w:tc>
        <w:tc>
          <w:tcPr>
            <w:tcW w:w="3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230"/>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current liabilities</w:t>
            </w:r>
          </w:p>
        </w:tc>
        <w:tc>
          <w:tcPr>
            <w:tcW w:w="3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3,565</w:t>
            </w:r>
          </w:p>
        </w:tc>
      </w:tr>
      <w:tr>
        <w:trPr>
          <w:trHeight w:val="230"/>
        </w:trPr>
        <w:tc>
          <w:tcPr>
            <w:tcW w:w="4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Finance lease non-current liabilities</w:t>
            </w:r>
          </w:p>
        </w:tc>
        <w:tc>
          <w:tcPr>
            <w:tcW w:w="39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5,469</w:t>
            </w:r>
          </w:p>
        </w:tc>
      </w:tr>
      <w:tr>
        <w:trPr>
          <w:trHeight w:val="248"/>
        </w:trPr>
        <w:tc>
          <w:tcPr>
            <w:tcW w:w="4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finance lease liabilities</w:t>
            </w:r>
          </w:p>
        </w:tc>
        <w:tc>
          <w:tcPr>
            <w:tcW w:w="3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9,034</w:t>
            </w: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3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Commitments and Contingencies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Brazil ICMS Tax Matter</w:t>
      </w:r>
    </w:p>
    <w:p>
      <w:pPr>
        <w:spacing w:after="0" w:line="6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Prior to the acquisition of Autocam Corporation (“Autocam”) in 2014, Autocam’s Brazilian subsidiary (“Autocam Brazil”) received notification from the Brazilian tax authority regarding ICMS (state value added tax) tax credits claimed on intermediary materials (e.g., tooling and perishable items) used in the manufacturing process. The Brazilian tax authority notification disallowed state ICMS tax credits claimed on intermediary materials based on the argument that these items are not intrinsically related to the manufacturing processes. Autocam Brazil filed an administrative defense with the Brazilian tax authority arguing, among other matters, that it should qualify for an ICMS tax credit, contending that the intermediary materials are directly related to the manufacturing process.</w:t>
      </w:r>
    </w:p>
    <w:p>
      <w:pPr>
        <w:spacing w:after="0" w:line="7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believe that we have substantial legal and factual defenses, and we plan to defend our interests in this matter vigorously. The matter encompasses several lawsuits filed with the Brazilian courts requesting declaratory actions that no tax is due or seeking a stay of execution on the collection of the tax. We have obtained multiple favorable decisions and one unfavorable decision. Although we anticipate a favorable resolution to the remaining matters, we can provide no assurances that we will be successful in achieving dismissal of all pending cases. The U.S. dollar amount that would be owed in the event of an unfavorable decision is subject to interest, penalties, and currency impacts and therefore is dependent on the timing of the decision. For the remaining open lawsuits, we currently believe the cumulative potential liability in the event of unfavorable decisions on all matters will be less than $2.0 million, inclusive of interest and penalties.</w:t>
      </w:r>
    </w:p>
    <w:p>
      <w:pPr>
        <w:spacing w:after="0" w:line="81"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We are entitled to indemnification from the former shareholders of Autocam, subject to the limitations and procedures set forth in the agreement and plan of merger relating to the Autocam acquisition. Accordingly, we do not expect such losses, if any, to have a material impact on our business, operations or financial results.</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7"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Legal Matters</w:t>
      </w:r>
    </w:p>
    <w:p>
      <w:pPr>
        <w:spacing w:after="0" w:line="6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All other legal proceedings are of an ordinary and routine nature and are incidental to our operations. Management believes that such proceedings should not, individually or in the aggregate, have a material adverse effect on our business, financial condition, results of operations, or cash flows. In making that determination, we analyze the facts and circumstances of each case at least quarterly in consultation with our attorneys and determine a range of reasonably possible outcomes.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Income Taxes</w:t>
      </w:r>
    </w:p>
    <w:p>
      <w:pPr>
        <w:spacing w:after="0" w:line="67"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Our effective tax rate was (16.8)% and (3.5)% for the three months ended March 31, 2025 and 2024, respectively. The effective tax rate for the three months ended March 31, 2025 differs from the U.S. federal statutory tax rate of 21% primarily due to the accrual of tax on non-permanently reinvested unremitted earnings of foreign subsidiaries and by limitation of the amount of tax benefit recorded for losses in certain jurisdictions where we believe it is more likely than not that a future tax benefit may not be realized.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Net Loss Per Common Share</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computation of basic and diluted net loss per common share.</w:t>
      </w:r>
    </w:p>
    <w:p>
      <w:pPr>
        <w:spacing w:after="0" w:line="43" w:lineRule="exact"/>
        <w:rPr>
          <w:sz w:val="20"/>
          <w:szCs w:val="20"/>
          <w:color w:val="auto"/>
        </w:rPr>
      </w:pPr>
    </w:p>
    <w:p>
      <w:pPr>
        <w:ind w:left="92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ind w:left="954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48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6"/>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29"/>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(6,685)</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(12,537)</w:t>
            </w:r>
          </w:p>
        </w:tc>
      </w:tr>
      <w:tr>
        <w:trPr>
          <w:trHeight w:val="230"/>
        </w:trPr>
        <w:tc>
          <w:tcPr>
            <w:tcW w:w="8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 for preferred stock cumulative dividends and deemed dividends</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(4,407)</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(3,670)</w:t>
            </w:r>
          </w:p>
        </w:tc>
      </w:tr>
      <w:tr>
        <w:trPr>
          <w:trHeight w:val="22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Numerator for basic and diluted net loss per common share</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(11,092)</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(16,207)</w:t>
            </w:r>
          </w:p>
        </w:tc>
      </w:tr>
      <w:tr>
        <w:trPr>
          <w:trHeight w:val="216"/>
        </w:trPr>
        <w:tc>
          <w:tcPr>
            <w:tcW w:w="8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29"/>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49,987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48,488</w:t>
            </w:r>
          </w:p>
        </w:tc>
      </w:tr>
      <w:tr>
        <w:trPr>
          <w:trHeight w:val="230"/>
        </w:trPr>
        <w:tc>
          <w:tcPr>
            <w:tcW w:w="8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Adjustment for participating securities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(3,454)</w:t>
            </w:r>
          </w:p>
        </w:tc>
      </w:tr>
      <w:tr>
        <w:trPr>
          <w:trHeight w:val="230"/>
        </w:trPr>
        <w:tc>
          <w:tcPr>
            <w:tcW w:w="8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 for warrants outstanding (1)</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1,460</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2,690</w:t>
            </w:r>
          </w:p>
        </w:tc>
      </w:tr>
      <w:tr>
        <w:trPr>
          <w:trHeight w:val="22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used to calculate basic and diluted net loss per share</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49,075</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47,724</w:t>
            </w:r>
          </w:p>
        </w:tc>
      </w:tr>
      <w:tr>
        <w:trPr>
          <w:trHeight w:val="20"/>
        </w:trPr>
        <w:tc>
          <w:tcPr>
            <w:tcW w:w="84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37"/>
        </w:trPr>
        <w:tc>
          <w:tcPr>
            <w:tcW w:w="84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34"/>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and diluted net loss per common share</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12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(0.34)</w:t>
            </w:r>
          </w:p>
        </w:tc>
      </w:tr>
      <w:tr>
        <w:trPr>
          <w:trHeight w:val="255"/>
        </w:trPr>
        <w:tc>
          <w:tcPr>
            <w:tcW w:w="8480" w:type="dxa"/>
            <w:vAlign w:val="bottom"/>
          </w:tcPr>
          <w:p>
            <w:pPr>
              <w:spacing w:after="0"/>
              <w:rPr>
                <w:sz w:val="20"/>
                <w:szCs w:val="20"/>
                <w:color w:val="auto"/>
              </w:rPr>
            </w:pPr>
            <w:r>
              <w:rPr>
                <w:rFonts w:ascii="Times New Roman" w:cs="Times New Roman" w:eastAsia="Times New Roman" w:hAnsi="Times New Roman"/>
                <w:sz w:val="14"/>
                <w:szCs w:val="14"/>
                <w:color w:val="auto"/>
              </w:rPr>
              <w:t>_______________________________</w:t>
            </w:r>
          </w:p>
        </w:tc>
        <w:tc>
          <w:tcPr>
            <w:tcW w:w="3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r>
    </w:tbl>
    <w:p>
      <w:pPr>
        <w:spacing w:after="0" w:line="32" w:lineRule="exact"/>
        <w:rPr>
          <w:sz w:val="20"/>
          <w:szCs w:val="20"/>
          <w:color w:val="auto"/>
        </w:rPr>
      </w:pPr>
    </w:p>
    <w:p>
      <w:pPr>
        <w:ind w:left="980" w:right="160" w:hanging="324"/>
        <w:spacing w:after="0" w:line="282" w:lineRule="auto"/>
        <w:tabs>
          <w:tab w:leader="none" w:pos="1091"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Outstanding warrants that are exercisable at an exercise price of $0.01 per share, are included in shares outstanding for calculation of basic earnings per share (see Note 16).</w:t>
      </w:r>
    </w:p>
    <w:p>
      <w:pPr>
        <w:spacing w:after="0" w:line="162" w:lineRule="exact"/>
        <w:rPr>
          <w:sz w:val="20"/>
          <w:szCs w:val="20"/>
          <w:color w:val="auto"/>
        </w:rPr>
      </w:pPr>
    </w:p>
    <w:p>
      <w:pPr>
        <w:ind w:right="640"/>
        <w:spacing w:after="0" w:line="270" w:lineRule="auto"/>
        <w:rPr>
          <w:sz w:val="20"/>
          <w:szCs w:val="20"/>
          <w:color w:val="auto"/>
        </w:rPr>
      </w:pPr>
      <w:r>
        <w:rPr>
          <w:rFonts w:ascii="Times New Roman" w:cs="Times New Roman" w:eastAsia="Times New Roman" w:hAnsi="Times New Roman"/>
          <w:sz w:val="18"/>
          <w:szCs w:val="18"/>
          <w:color w:val="auto"/>
        </w:rPr>
        <w:t>The following table presents securities that could be potentially dilutive in the future that were excluded from the calculation of diluted net loss per common share because they had an anti-dilutive effect.</w:t>
      </w:r>
    </w:p>
    <w:p>
      <w:pPr>
        <w:ind w:left="92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ind w:left="954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480" w:type="dxa"/>
            <w:vAlign w:val="bottom"/>
            <w:tcBorders>
              <w:bottom w:val="single" w:sz="8" w:color="CCEEFF"/>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CCEEFF"/>
            </w:tcBorders>
          </w:tcPr>
          <w:p>
            <w:pPr>
              <w:spacing w:after="0"/>
              <w:rPr>
                <w:sz w:val="17"/>
                <w:szCs w:val="17"/>
                <w:color w:val="auto"/>
              </w:rPr>
            </w:pPr>
          </w:p>
        </w:tc>
        <w:tc>
          <w:tcPr>
            <w:tcW w:w="1320" w:type="dxa"/>
            <w:vAlign w:val="bottom"/>
            <w:tcBorders>
              <w:top w:val="single" w:sz="8" w:color="auto"/>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r>
      <w:tr>
        <w:trPr>
          <w:trHeight w:val="230"/>
        </w:trPr>
        <w:tc>
          <w:tcPr>
            <w:tcW w:w="9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Warrants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1,500</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r>
      <w:tr>
        <w:trPr>
          <w:trHeight w:val="22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Performance share units</w:t>
            </w:r>
          </w:p>
        </w:tc>
        <w:tc>
          <w:tcPr>
            <w:tcW w:w="8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12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r>
      <w:tr>
        <w:trPr>
          <w:trHeight w:val="223"/>
        </w:trPr>
        <w:tc>
          <w:tcPr>
            <w:tcW w:w="9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antidilutive securities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2,488</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2,025</w:t>
            </w:r>
          </w:p>
        </w:tc>
      </w:tr>
      <w:tr>
        <w:trPr>
          <w:trHeight w:val="20"/>
        </w:trPr>
        <w:tc>
          <w:tcPr>
            <w:tcW w:w="84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Stock options excluded from the calculations of diluted net loss per share have a per share exercise price ranging from $7.93 to $25.16 for the three months ended March 31, 2025. Warrants excluded from the calculation of diluted net loss per share have a per share exercise price of $11.03 (see Note 16). Performance share units are potentially dilutive when the related performance criterion has been met.</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Share-Based Compensation</w:t>
      </w:r>
    </w:p>
    <w:p>
      <w:pPr>
        <w:spacing w:after="0" w:line="121" w:lineRule="exact"/>
        <w:rPr>
          <w:sz w:val="20"/>
          <w:szCs w:val="20"/>
          <w:color w:val="auto"/>
        </w:rPr>
      </w:pPr>
    </w:p>
    <w:p>
      <w:pPr>
        <w:ind w:right="700"/>
        <w:spacing w:after="0" w:line="293" w:lineRule="auto"/>
        <w:rPr>
          <w:sz w:val="20"/>
          <w:szCs w:val="20"/>
          <w:color w:val="auto"/>
        </w:rPr>
      </w:pPr>
      <w:r>
        <w:rPr>
          <w:rFonts w:ascii="Times New Roman" w:cs="Times New Roman" w:eastAsia="Times New Roman" w:hAnsi="Times New Roman"/>
          <w:sz w:val="18"/>
          <w:szCs w:val="18"/>
          <w:color w:val="auto"/>
        </w:rPr>
        <w:t>The following table lists the components of share-based compensation expense by type of award, which is recognized in the “Selling, general, and administrative expense” line in the Condensed Consolidated Statements of Operations and Comprehensive Income (Loss).</w:t>
      </w:r>
    </w:p>
    <w:p>
      <w:pPr>
        <w:spacing w:after="0" w:line="1" w:lineRule="exact"/>
        <w:rPr>
          <w:sz w:val="20"/>
          <w:szCs w:val="20"/>
          <w:color w:val="auto"/>
        </w:rPr>
      </w:pPr>
    </w:p>
    <w:p>
      <w:pPr>
        <w:ind w:left="89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ind w:left="934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080" w:type="dxa"/>
            <w:vAlign w:val="bottom"/>
            <w:tcBorders>
              <w:bottom w:val="single" w:sz="8" w:color="CCEEFF"/>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w:t>
            </w:r>
          </w:p>
        </w:tc>
        <w:tc>
          <w:tcPr>
            <w:tcW w:w="1040" w:type="dxa"/>
            <w:vAlign w:val="bottom"/>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w:t>
            </w:r>
          </w:p>
        </w:tc>
      </w:tr>
      <w:tr>
        <w:trPr>
          <w:trHeight w:val="229"/>
        </w:trPr>
        <w:tc>
          <w:tcPr>
            <w:tcW w:w="8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Performance share units</w:t>
            </w:r>
          </w:p>
        </w:tc>
        <w:tc>
          <w:tcPr>
            <w:tcW w:w="10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w:t>
            </w:r>
          </w:p>
        </w:tc>
      </w:tr>
      <w:tr>
        <w:trPr>
          <w:trHeight w:val="248"/>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040" w:type="dxa"/>
            <w:vAlign w:val="bottom"/>
            <w:tcBorders>
              <w:bottom w:val="single" w:sz="8" w:color="auto"/>
            </w:tcBorders>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status of unvested restricted stock awards as of March 31, 2025, and activity during the three months then ended.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20" w:type="dxa"/>
            <w:vAlign w:val="bottom"/>
          </w:tcPr>
          <w:p>
            <w:pPr>
              <w:spacing w:after="0"/>
              <w:rPr>
                <w:sz w:val="13"/>
                <w:szCs w:val="13"/>
                <w:color w:val="auto"/>
              </w:rPr>
            </w:pPr>
          </w:p>
        </w:tc>
        <w:tc>
          <w:tcPr>
            <w:tcW w:w="1160" w:type="dxa"/>
            <w:vAlign w:val="bottom"/>
          </w:tcPr>
          <w:p>
            <w:pPr>
              <w:jc w:val="center"/>
              <w:ind w:left="408"/>
              <w:spacing w:after="0"/>
              <w:rPr>
                <w:sz w:val="20"/>
                <w:szCs w:val="20"/>
                <w:color w:val="auto"/>
              </w:rPr>
            </w:pPr>
            <w:r>
              <w:rPr>
                <w:rFonts w:ascii="Times New Roman" w:cs="Times New Roman" w:eastAsia="Times New Roman" w:hAnsi="Times New Roman"/>
                <w:sz w:val="14"/>
                <w:szCs w:val="14"/>
                <w:b w:val="1"/>
                <w:bCs w:val="1"/>
                <w:color w:val="auto"/>
              </w:rPr>
              <w:t>Nonvested</w:t>
            </w: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80" w:type="dxa"/>
            <w:vAlign w:val="bottom"/>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Weighted Average</w:t>
            </w:r>
          </w:p>
        </w:tc>
      </w:tr>
      <w:tr>
        <w:trPr>
          <w:trHeight w:val="146"/>
        </w:trPr>
        <w:tc>
          <w:tcPr>
            <w:tcW w:w="7820" w:type="dxa"/>
            <w:vAlign w:val="bottom"/>
          </w:tcPr>
          <w:p>
            <w:pPr>
              <w:spacing w:after="0"/>
              <w:rPr>
                <w:sz w:val="12"/>
                <w:szCs w:val="12"/>
                <w:color w:val="auto"/>
              </w:rPr>
            </w:pPr>
          </w:p>
        </w:tc>
        <w:tc>
          <w:tcPr>
            <w:tcW w:w="1160" w:type="dxa"/>
            <w:vAlign w:val="bottom"/>
          </w:tcPr>
          <w:p>
            <w:pPr>
              <w:jc w:val="center"/>
              <w:ind w:left="428"/>
              <w:spacing w:after="0" w:line="146" w:lineRule="exact"/>
              <w:rPr>
                <w:sz w:val="20"/>
                <w:szCs w:val="20"/>
                <w:color w:val="auto"/>
              </w:rPr>
            </w:pPr>
            <w:r>
              <w:rPr>
                <w:rFonts w:ascii="Times New Roman" w:cs="Times New Roman" w:eastAsia="Times New Roman" w:hAnsi="Times New Roman"/>
                <w:sz w:val="14"/>
                <w:szCs w:val="14"/>
                <w:b w:val="1"/>
                <w:bCs w:val="1"/>
                <w:color w:val="auto"/>
              </w:rPr>
              <w:t>Restricted</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tcPr>
          <w:p>
            <w:pPr>
              <w:jc w:val="center"/>
              <w:ind w:right="77"/>
              <w:spacing w:after="0" w:line="146" w:lineRule="exact"/>
              <w:rPr>
                <w:sz w:val="20"/>
                <w:szCs w:val="20"/>
                <w:color w:val="auto"/>
              </w:rPr>
            </w:pPr>
            <w:r>
              <w:rPr>
                <w:rFonts w:ascii="Times New Roman" w:cs="Times New Roman" w:eastAsia="Times New Roman" w:hAnsi="Times New Roman"/>
                <w:sz w:val="14"/>
                <w:szCs w:val="14"/>
                <w:b w:val="1"/>
                <w:bCs w:val="1"/>
                <w:color w:val="auto"/>
              </w:rPr>
              <w:t>Grant-Date</w:t>
            </w:r>
          </w:p>
        </w:tc>
      </w:tr>
      <w:tr>
        <w:trPr>
          <w:trHeight w:val="196"/>
        </w:trPr>
        <w:tc>
          <w:tcPr>
            <w:tcW w:w="782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center"/>
              <w:ind w:left="42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5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29"/>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January 1, 2025</w:t>
            </w:r>
          </w:p>
        </w:tc>
        <w:tc>
          <w:tcPr>
            <w:tcW w:w="11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2,326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r>
      <w:tr>
        <w:trPr>
          <w:trHeight w:val="229"/>
        </w:trPr>
        <w:tc>
          <w:tcPr>
            <w:tcW w:w="8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r>
      <w:tr>
        <w:trPr>
          <w:trHeight w:val="229"/>
        </w:trPr>
        <w:tc>
          <w:tcPr>
            <w:tcW w:w="8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w:t>
            </w:r>
          </w:p>
        </w:tc>
      </w:tr>
      <w:tr>
        <w:trPr>
          <w:trHeight w:val="230"/>
        </w:trPr>
        <w:tc>
          <w:tcPr>
            <w:tcW w:w="8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w:t>
            </w:r>
          </w:p>
        </w:tc>
      </w:tr>
      <w:tr>
        <w:trPr>
          <w:trHeight w:val="248"/>
        </w:trPr>
        <w:tc>
          <w:tcPr>
            <w:tcW w:w="7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March 31, 2025</w:t>
            </w:r>
          </w:p>
        </w:tc>
        <w:tc>
          <w:tcPr>
            <w:tcW w:w="1160" w:type="dxa"/>
            <w:vAlign w:val="bottom"/>
            <w:tcBorders>
              <w:top w:val="single" w:sz="8" w:color="auto"/>
              <w:bottom w:val="single" w:sz="8" w:color="auto"/>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2,704</w:t>
            </w:r>
          </w:p>
        </w:tc>
        <w:tc>
          <w:tcPr>
            <w:tcW w:w="26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r>
    </w:tbl>
    <w:p>
      <w:pPr>
        <w:spacing w:after="0" w:line="18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2025, we granted 664,000 shares of restricted stock to non-executive directors, officers and certain other employees. The shares of these restricted stock awards vest pro-rata generally over three years for employees and over one year for non-executive directors. Total grant date fair value of restricted stock that vested in the three months ended March 31, 2025, was $1.2 million.</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Share Units</w:t>
      </w:r>
    </w:p>
    <w:p>
      <w:pPr>
        <w:spacing w:after="0" w:line="65" w:lineRule="exact"/>
        <w:rPr>
          <w:sz w:val="20"/>
          <w:szCs w:val="20"/>
          <w:color w:val="auto"/>
        </w:rPr>
      </w:pPr>
    </w:p>
    <w:p>
      <w:pPr>
        <w:ind w:right="360"/>
        <w:spacing w:after="0" w:line="263" w:lineRule="auto"/>
        <w:rPr>
          <w:sz w:val="20"/>
          <w:szCs w:val="20"/>
          <w:color w:val="auto"/>
        </w:rPr>
      </w:pPr>
      <w:r>
        <w:rPr>
          <w:rFonts w:ascii="Times New Roman" w:cs="Times New Roman" w:eastAsia="Times New Roman" w:hAnsi="Times New Roman"/>
          <w:sz w:val="18"/>
          <w:szCs w:val="18"/>
          <w:color w:val="auto"/>
        </w:rPr>
        <w:t>Performance Share Units (“PSUs”) are a form of long-term incentive compensation awarded to executive officers and certain other key employees designed to directly align the interests of employees to the interests of our stockholders, and to create long-term stockholder value. The following table presents the status of unvested PSUs as of March 31, 2025, and activity during the three months then ended.</w:t>
      </w:r>
    </w:p>
    <w:tbl>
      <w:tblPr>
        <w:tblLayout w:type="fixed"/>
        <w:tblInd w:w="0" w:type="dxa"/>
        <w:tblCellMar>
          <w:top w:w="0" w:type="dxa"/>
          <w:left w:w="0" w:type="dxa"/>
          <w:bottom w:w="0" w:type="dxa"/>
          <w:right w:w="0" w:type="dxa"/>
        </w:tblCellMar>
      </w:tblPr>
      <w:tr>
        <w:trPr>
          <w:trHeight w:val="148"/>
        </w:trPr>
        <w:tc>
          <w:tcPr>
            <w:tcW w:w="78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gridSpan w:val="2"/>
          </w:tcPr>
          <w:p>
            <w:pPr>
              <w:ind w:left="20"/>
              <w:spacing w:after="0" w:line="148" w:lineRule="exact"/>
              <w:rPr>
                <w:sz w:val="20"/>
                <w:szCs w:val="20"/>
                <w:color w:val="auto"/>
              </w:rPr>
            </w:pPr>
            <w:r>
              <w:rPr>
                <w:rFonts w:ascii="Times New Roman" w:cs="Times New Roman" w:eastAsia="Times New Roman" w:hAnsi="Times New Roman"/>
                <w:sz w:val="14"/>
                <w:szCs w:val="14"/>
                <w:b w:val="1"/>
                <w:bCs w:val="1"/>
                <w:color w:val="auto"/>
              </w:rPr>
              <w:t>Weighted Average Grant-</w:t>
            </w:r>
          </w:p>
        </w:tc>
        <w:tc>
          <w:tcPr>
            <w:tcW w:w="0" w:type="dxa"/>
            <w:vAlign w:val="bottom"/>
          </w:tcPr>
          <w:p>
            <w:pPr>
              <w:spacing w:after="0"/>
              <w:rPr>
                <w:sz w:val="1"/>
                <w:szCs w:val="1"/>
                <w:color w:val="auto"/>
              </w:rPr>
            </w:pPr>
          </w:p>
        </w:tc>
      </w:tr>
      <w:tr>
        <w:trPr>
          <w:trHeight w:val="137"/>
        </w:trPr>
        <w:tc>
          <w:tcPr>
            <w:tcW w:w="7840" w:type="dxa"/>
            <w:vAlign w:val="bottom"/>
          </w:tcPr>
          <w:p>
            <w:pPr>
              <w:spacing w:after="0"/>
              <w:rPr>
                <w:sz w:val="11"/>
                <w:szCs w:val="11"/>
                <w:color w:val="auto"/>
              </w:rPr>
            </w:pPr>
          </w:p>
        </w:tc>
        <w:tc>
          <w:tcPr>
            <w:tcW w:w="1640" w:type="dxa"/>
            <w:vAlign w:val="bottom"/>
            <w:vMerge w:val="restart"/>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Nonvested PSU Awards</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40" w:type="dxa"/>
            <w:vAlign w:val="bottom"/>
          </w:tcPr>
          <w:p>
            <w:pPr>
              <w:jc w:val="right"/>
              <w:ind w:right="597"/>
              <w:spacing w:after="0" w:line="137" w:lineRule="exact"/>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190"/>
        </w:trPr>
        <w:tc>
          <w:tcPr>
            <w:tcW w:w="7840" w:type="dxa"/>
            <w:vAlign w:val="bottom"/>
          </w:tcPr>
          <w:p>
            <w:pPr>
              <w:spacing w:after="0"/>
              <w:rPr>
                <w:sz w:val="16"/>
                <w:szCs w:val="16"/>
                <w:color w:val="auto"/>
              </w:rPr>
            </w:pPr>
          </w:p>
        </w:tc>
        <w:tc>
          <w:tcPr>
            <w:tcW w:w="16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3"/>
        </w:trPr>
        <w:tc>
          <w:tcPr>
            <w:tcW w:w="784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January 1, 2025</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30"/>
        </w:trPr>
        <w:tc>
          <w:tcPr>
            <w:tcW w:w="78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0" w:type="dxa"/>
            <w:vAlign w:val="bottom"/>
          </w:tcPr>
          <w:p>
            <w:pPr>
              <w:spacing w:after="0"/>
              <w:rPr>
                <w:sz w:val="1"/>
                <w:szCs w:val="1"/>
                <w:color w:val="auto"/>
              </w:rPr>
            </w:pPr>
          </w:p>
        </w:tc>
      </w:tr>
      <w:tr>
        <w:trPr>
          <w:trHeight w:val="248"/>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March 31, 2025</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3,902</w:t>
            </w:r>
          </w:p>
        </w:tc>
        <w:tc>
          <w:tcPr>
            <w:tcW w:w="4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2025, we granted 231,000 PSUs to certain executive officers, which vest, if at all, upon our achieving a specified relative total shareholder return, which will be measured against the total shareholder return of a specified index during the three-year performance period that ends December 31, 2027.</w:t>
      </w:r>
    </w:p>
    <w:p>
      <w:pPr>
        <w:spacing w:after="0" w:line="68"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 xml:space="preserve">We estimated the grant date fair value of the PSU awards using the Monte Carlo simulation model, as the total shareholder return metric and changes in stock price are considered market conditions under ASC Topic 718, </w:t>
      </w:r>
      <w:r>
        <w:rPr>
          <w:rFonts w:ascii="Times New Roman" w:cs="Times New Roman" w:eastAsia="Times New Roman" w:hAnsi="Times New Roman"/>
          <w:sz w:val="18"/>
          <w:szCs w:val="18"/>
          <w:i w:val="1"/>
          <w:iCs w:val="1"/>
          <w:color w:val="auto"/>
        </w:rPr>
        <w:t>Compensation – stock compensation</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Accumulated Other Comprehensive Income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the components of accumulated other comprehensive income (loss) (“AOCI”).</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140" w:type="dxa"/>
            <w:vAlign w:val="bottom"/>
          </w:tcPr>
          <w:p>
            <w:pPr>
              <w:spacing w:after="0"/>
              <w:rPr>
                <w:sz w:val="13"/>
                <w:szCs w:val="13"/>
                <w:color w:val="auto"/>
              </w:rPr>
            </w:pPr>
          </w:p>
        </w:tc>
        <w:tc>
          <w:tcPr>
            <w:tcW w:w="14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Interest rate swap</w:t>
            </w:r>
          </w:p>
        </w:tc>
        <w:tc>
          <w:tcPr>
            <w:tcW w:w="340" w:type="dxa"/>
            <w:vAlign w:val="bottom"/>
          </w:tcPr>
          <w:p>
            <w:pPr>
              <w:spacing w:after="0"/>
              <w:rPr>
                <w:sz w:val="13"/>
                <w:szCs w:val="13"/>
                <w:color w:val="auto"/>
              </w:rPr>
            </w:pPr>
          </w:p>
        </w:tc>
        <w:tc>
          <w:tcPr>
            <w:tcW w:w="1100" w:type="dxa"/>
            <w:vAlign w:val="bottom"/>
            <w:vMerge w:val="restart"/>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6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Translation</w:t>
            </w:r>
          </w:p>
        </w:tc>
        <w:tc>
          <w:tcPr>
            <w:tcW w:w="14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(48,167)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(48,167)</w:t>
            </w:r>
          </w:p>
        </w:tc>
        <w:tc>
          <w:tcPr>
            <w:tcW w:w="0" w:type="dxa"/>
            <w:vAlign w:val="bottom"/>
          </w:tcPr>
          <w:p>
            <w:pPr>
              <w:spacing w:after="0"/>
              <w:rPr>
                <w:sz w:val="1"/>
                <w:szCs w:val="1"/>
                <w:color w:val="auto"/>
              </w:rPr>
            </w:pPr>
          </w:p>
        </w:tc>
      </w:tr>
      <w:tr>
        <w:trPr>
          <w:trHeight w:val="229"/>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3,125</w:t>
            </w:r>
          </w:p>
        </w:tc>
        <w:tc>
          <w:tcPr>
            <w:tcW w:w="0" w:type="dxa"/>
            <w:vAlign w:val="bottom"/>
          </w:tcPr>
          <w:p>
            <w:pPr>
              <w:spacing w:after="0"/>
              <w:rPr>
                <w:sz w:val="1"/>
                <w:szCs w:val="1"/>
                <w:color w:val="auto"/>
              </w:rPr>
            </w:pPr>
          </w:p>
        </w:tc>
      </w:tr>
      <w:tr>
        <w:trPr>
          <w:trHeight w:val="223"/>
        </w:trPr>
        <w:tc>
          <w:tcPr>
            <w:tcW w:w="6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other comprehensive income (loss)</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3,125</w:t>
            </w:r>
          </w:p>
        </w:tc>
        <w:tc>
          <w:tcPr>
            <w:tcW w:w="0" w:type="dxa"/>
            <w:vAlign w:val="bottom"/>
          </w:tcPr>
          <w:p>
            <w:pPr>
              <w:spacing w:after="0"/>
              <w:rPr>
                <w:sz w:val="1"/>
                <w:szCs w:val="1"/>
                <w:color w:val="auto"/>
              </w:rPr>
            </w:pPr>
          </w:p>
        </w:tc>
      </w:tr>
      <w:tr>
        <w:trPr>
          <w:trHeight w:val="223"/>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March 31, 2025</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(45,042)</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(45,042)</w:t>
            </w:r>
          </w:p>
        </w:tc>
        <w:tc>
          <w:tcPr>
            <w:tcW w:w="0" w:type="dxa"/>
            <w:vAlign w:val="bottom"/>
          </w:tcPr>
          <w:p>
            <w:pPr>
              <w:spacing w:after="0"/>
              <w:rPr>
                <w:sz w:val="1"/>
                <w:szCs w:val="1"/>
                <w:color w:val="auto"/>
              </w:rPr>
            </w:pPr>
          </w:p>
        </w:tc>
      </w:tr>
      <w:tr>
        <w:trPr>
          <w:trHeight w:val="20"/>
        </w:trPr>
        <w:tc>
          <w:tcPr>
            <w:tcW w:w="67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7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(38,762)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(37,755)</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(2,346)</w:t>
            </w:r>
          </w:p>
        </w:tc>
        <w:tc>
          <w:tcPr>
            <w:tcW w:w="0" w:type="dxa"/>
            <w:vAlign w:val="bottom"/>
          </w:tcPr>
          <w:p>
            <w:pPr>
              <w:spacing w:after="0"/>
              <w:rPr>
                <w:sz w:val="1"/>
                <w:szCs w:val="1"/>
                <w:color w:val="auto"/>
              </w:rPr>
            </w:pPr>
          </w:p>
        </w:tc>
      </w:tr>
      <w:tr>
        <w:trPr>
          <w:trHeight w:val="229"/>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Amounts reclassified from AOCI to interest expense (1)</w:t>
            </w:r>
          </w:p>
        </w:tc>
        <w:tc>
          <w:tcPr>
            <w:tcW w:w="12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0" w:type="dxa"/>
            <w:vAlign w:val="bottom"/>
          </w:tcPr>
          <w:p>
            <w:pPr>
              <w:spacing w:after="0"/>
              <w:rPr>
                <w:sz w:val="1"/>
                <w:szCs w:val="1"/>
                <w:color w:val="auto"/>
              </w:rPr>
            </w:pPr>
          </w:p>
        </w:tc>
      </w:tr>
      <w:tr>
        <w:trPr>
          <w:trHeight w:val="223"/>
        </w:trPr>
        <w:tc>
          <w:tcPr>
            <w:tcW w:w="6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other comprehensive income (loss)</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(2,795)</w:t>
            </w:r>
          </w:p>
        </w:tc>
        <w:tc>
          <w:tcPr>
            <w:tcW w:w="0" w:type="dxa"/>
            <w:vAlign w:val="bottom"/>
          </w:tcPr>
          <w:p>
            <w:pPr>
              <w:spacing w:after="0"/>
              <w:rPr>
                <w:sz w:val="1"/>
                <w:szCs w:val="1"/>
                <w:color w:val="auto"/>
              </w:rPr>
            </w:pPr>
          </w:p>
        </w:tc>
      </w:tr>
      <w:tr>
        <w:trPr>
          <w:trHeight w:val="223"/>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March 31, 2024</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(41,108)</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(40,550)</w:t>
            </w:r>
          </w:p>
        </w:tc>
        <w:tc>
          <w:tcPr>
            <w:tcW w:w="0" w:type="dxa"/>
            <w:vAlign w:val="bottom"/>
          </w:tcPr>
          <w:p>
            <w:pPr>
              <w:spacing w:after="0"/>
              <w:rPr>
                <w:sz w:val="1"/>
                <w:szCs w:val="1"/>
                <w:color w:val="auto"/>
              </w:rPr>
            </w:pPr>
          </w:p>
        </w:tc>
      </w:tr>
      <w:tr>
        <w:trPr>
          <w:trHeight w:val="21"/>
        </w:trPr>
        <w:tc>
          <w:tcPr>
            <w:tcW w:w="6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w:t>
      </w:r>
    </w:p>
    <w:p>
      <w:pPr>
        <w:spacing w:after="0" w:line="63" w:lineRule="exact"/>
        <w:rPr>
          <w:sz w:val="20"/>
          <w:szCs w:val="20"/>
          <w:color w:val="auto"/>
        </w:rPr>
      </w:pPr>
    </w:p>
    <w:p>
      <w:pPr>
        <w:ind w:left="720" w:hanging="388"/>
        <w:spacing w:after="0"/>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gain recognized in interest expense on effective interest rate swap.</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Fair Value Measurements</w:t>
      </w:r>
    </w:p>
    <w:p>
      <w:pPr>
        <w:spacing w:after="0" w:line="6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Fair value is an exit price representing the expected amount that an entity would receive to sell an asset or pay to transfer a liability in an orderly transaction with market participants at the measurement date. We followed consistent methods and assumptions to estimate fair values as more fully described in the 2024 Annual Report.</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Embedded Derivatives</w:t>
      </w:r>
    </w:p>
    <w:p>
      <w:pPr>
        <w:spacing w:after="0" w:line="63" w:lineRule="exact"/>
        <w:rPr>
          <w:sz w:val="20"/>
          <w:szCs w:val="20"/>
          <w:color w:val="auto"/>
        </w:rPr>
      </w:pPr>
    </w:p>
    <w:p>
      <w:pPr>
        <w:ind w:right="620"/>
        <w:spacing w:after="0" w:line="284" w:lineRule="auto"/>
        <w:rPr>
          <w:sz w:val="20"/>
          <w:szCs w:val="20"/>
          <w:color w:val="auto"/>
        </w:rPr>
      </w:pPr>
      <w:r>
        <w:rPr>
          <w:rFonts w:ascii="Times New Roman" w:cs="Times New Roman" w:eastAsia="Times New Roman" w:hAnsi="Times New Roman"/>
          <w:sz w:val="18"/>
          <w:szCs w:val="18"/>
          <w:color w:val="auto"/>
        </w:rPr>
        <w:t xml:space="preserve">In accordance with ASC 815-15, </w:t>
      </w:r>
      <w:r>
        <w:rPr>
          <w:rFonts w:ascii="Times New Roman" w:cs="Times New Roman" w:eastAsia="Times New Roman" w:hAnsi="Times New Roman"/>
          <w:sz w:val="18"/>
          <w:szCs w:val="18"/>
          <w:i w:val="1"/>
          <w:iCs w:val="1"/>
          <w:color w:val="auto"/>
        </w:rPr>
        <w:t>Derivatives and Hedging - Embedded Derivatives</w:t>
      </w:r>
      <w:r>
        <w:rPr>
          <w:rFonts w:ascii="Times New Roman" w:cs="Times New Roman" w:eastAsia="Times New Roman" w:hAnsi="Times New Roman"/>
          <w:sz w:val="18"/>
          <w:szCs w:val="18"/>
          <w:color w:val="auto"/>
        </w:rPr>
        <w:t>, certain features of our preferred stock and long-term debt were bifurcated and accounted for as derivatives separately.</w:t>
      </w:r>
    </w:p>
    <w:p>
      <w:pPr>
        <w:spacing w:after="0" w:line="5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In conjunction with an amendment to our 2021 Term Loan in 2023, we issued warrants to purchase up to 2.0 million shares of our common stock at an exercise price of $0.01 per share (the “2023 Warrants”). The 2023 Warrants are exercisable, in full or in part, at any time prior to June 30, 2033. The 2023 Warrants include anti-dilution adjustments in the event of certain future equity issuances, stock splits, stock dividends, combinations or similar events. As of March 31, 2025, 1.5 million of the 2023 Warrants remain outstanding.</w:t>
      </w:r>
    </w:p>
    <w:p>
      <w:pPr>
        <w:spacing w:after="0" w:line="7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conjunction with our placement of the Series D Preferred Stock in 2021, we issued warrants to purchase up to 1.9 million shares of our common stock (the “2021 Warrants”). The 2021 Warrants were exercisable, in full or in part, at an exercise price of $0.01 per share, subject to anti-dilution adjustments in the event of certain future equity issuances, stock splits, stock dividends, combinations or similar events. During the three months ended March 31, 2024, all of the 2021 Warrants were exercised on a cashless basis, resulting in the issuance of 1,896,000 shares.</w:t>
      </w:r>
    </w:p>
    <w:p>
      <w:pPr>
        <w:spacing w:after="0" w:line="7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 conjunction with our placement of Series B Preferred Stock in 2019, we issued detachable warrants to purchase up to 1.5 million shares of our common stock (the “2019 Warrants”). The 2019 Warrants, are exercisable, in full or in part, at any time prior to December 11, 2026, at an exercise price of $11.03 per share, and are subject to anti-dilution adjustments in the event of future below market issuances, stock splits, stock dividends, combinations or similar events.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change in the liability balance of the embedded derivatives during the three months ended March 31, 2025.</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w w:val="98"/>
              </w:rPr>
              <w:t>5,192</w:t>
            </w:r>
          </w:p>
        </w:tc>
      </w:tr>
      <w:tr>
        <w:trPr>
          <w:trHeight w:val="230"/>
        </w:trPr>
        <w:tc>
          <w:tcPr>
            <w:tcW w:w="9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Change in fair value (1)</w:t>
            </w: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left="270"/>
              <w:spacing w:after="0"/>
              <w:rPr>
                <w:sz w:val="20"/>
                <w:szCs w:val="20"/>
                <w:color w:val="auto"/>
              </w:rPr>
            </w:pPr>
            <w:r>
              <w:rPr>
                <w:rFonts w:ascii="Times New Roman" w:cs="Times New Roman" w:eastAsia="Times New Roman" w:hAnsi="Times New Roman"/>
                <w:sz w:val="18"/>
                <w:szCs w:val="18"/>
                <w:color w:val="auto"/>
              </w:rPr>
              <w:t>(1,762)</w:t>
            </w:r>
          </w:p>
        </w:tc>
      </w:tr>
      <w:tr>
        <w:trPr>
          <w:trHeight w:val="248"/>
        </w:trPr>
        <w:tc>
          <w:tcPr>
            <w:tcW w:w="9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March 31, 2025</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w w:val="98"/>
              </w:rPr>
              <w:t>3,430</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w:t>
      </w:r>
    </w:p>
    <w:p>
      <w:pPr>
        <w:spacing w:after="0" w:line="127" w:lineRule="exact"/>
        <w:rPr>
          <w:sz w:val="20"/>
          <w:szCs w:val="20"/>
          <w:color w:val="auto"/>
        </w:rPr>
      </w:pPr>
    </w:p>
    <w:p>
      <w:pPr>
        <w:ind w:left="660" w:right="160" w:hanging="328"/>
        <w:spacing w:after="0" w:line="282" w:lineRule="auto"/>
        <w:tabs>
          <w:tab w:leader="none" w:pos="72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fair value are recognized in the “Other expense (income), net” line in the Condensed Consolidated Statements of Operations and Comprehensive Income (Loss).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show the fair values of the embedded derivatives within the fair value hierarchy.</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900" w:type="dxa"/>
            <w:vAlign w:val="bottom"/>
          </w:tcPr>
          <w:p>
            <w:pPr>
              <w:spacing w:after="0"/>
              <w:rPr>
                <w:sz w:val="13"/>
                <w:szCs w:val="13"/>
                <w:color w:val="auto"/>
              </w:rPr>
            </w:pPr>
          </w:p>
        </w:tc>
        <w:tc>
          <w:tcPr>
            <w:tcW w:w="17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Quoted Prices in Active</w:t>
            </w:r>
          </w:p>
        </w:tc>
        <w:tc>
          <w:tcPr>
            <w:tcW w:w="180" w:type="dxa"/>
            <w:vAlign w:val="bottom"/>
          </w:tcPr>
          <w:p>
            <w:pPr>
              <w:spacing w:after="0"/>
              <w:rPr>
                <w:sz w:val="13"/>
                <w:szCs w:val="13"/>
                <w:color w:val="auto"/>
              </w:rPr>
            </w:pPr>
          </w:p>
        </w:tc>
        <w:tc>
          <w:tcPr>
            <w:tcW w:w="15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6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Significant Unobservable</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2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Markets for Identical</w:t>
            </w:r>
          </w:p>
        </w:tc>
        <w:tc>
          <w:tcPr>
            <w:tcW w:w="18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40" w:type="dxa"/>
            <w:vAlign w:val="bottom"/>
          </w:tcPr>
          <w:p>
            <w:pPr>
              <w:spacing w:after="0"/>
              <w:rPr>
                <w:sz w:val="12"/>
                <w:szCs w:val="12"/>
                <w:color w:val="auto"/>
              </w:rPr>
            </w:pPr>
          </w:p>
        </w:tc>
        <w:tc>
          <w:tcPr>
            <w:tcW w:w="16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Assets</w:t>
            </w:r>
          </w:p>
        </w:tc>
        <w:tc>
          <w:tcPr>
            <w:tcW w:w="180" w:type="dxa"/>
            <w:vAlign w:val="bottom"/>
          </w:tcPr>
          <w:p>
            <w:pPr>
              <w:spacing w:after="0"/>
              <w:rPr>
                <w:sz w:val="12"/>
                <w:szCs w:val="12"/>
                <w:color w:val="auto"/>
              </w:rPr>
            </w:pPr>
          </w:p>
        </w:tc>
        <w:tc>
          <w:tcPr>
            <w:tcW w:w="15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320" w:type="dxa"/>
            <w:vAlign w:val="bottom"/>
          </w:tcPr>
          <w:p>
            <w:pPr>
              <w:spacing w:after="0"/>
              <w:rPr>
                <w:sz w:val="12"/>
                <w:szCs w:val="12"/>
                <w:color w:val="auto"/>
              </w:rPr>
            </w:pPr>
          </w:p>
        </w:tc>
        <w:tc>
          <w:tcPr>
            <w:tcW w:w="1320" w:type="dxa"/>
            <w:vAlign w:val="bottom"/>
          </w:tcPr>
          <w:p>
            <w:pPr>
              <w:jc w:val="center"/>
              <w:ind w:right="242"/>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6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6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Pr>
          <w:p>
            <w:pPr>
              <w:spacing w:after="0"/>
              <w:rPr>
                <w:sz w:val="12"/>
                <w:szCs w:val="12"/>
                <w:color w:val="auto"/>
              </w:rPr>
            </w:pPr>
          </w:p>
        </w:tc>
        <w:tc>
          <w:tcPr>
            <w:tcW w:w="15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(Level 2)</w:t>
            </w:r>
          </w:p>
        </w:tc>
        <w:tc>
          <w:tcPr>
            <w:tcW w:w="320" w:type="dxa"/>
            <w:vAlign w:val="bottom"/>
          </w:tcPr>
          <w:p>
            <w:pPr>
              <w:spacing w:after="0"/>
              <w:rPr>
                <w:sz w:val="12"/>
                <w:szCs w:val="12"/>
                <w:color w:val="auto"/>
              </w:rPr>
            </w:pPr>
          </w:p>
        </w:tc>
        <w:tc>
          <w:tcPr>
            <w:tcW w:w="1320" w:type="dxa"/>
            <w:vAlign w:val="bottom"/>
          </w:tcPr>
          <w:p>
            <w:pPr>
              <w:jc w:val="center"/>
              <w:ind w:right="262"/>
              <w:spacing w:after="0" w:line="149" w:lineRule="exact"/>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960" w:type="dxa"/>
            <w:vAlign w:val="bottom"/>
            <w:tcBorders>
              <w:top w:val="single" w:sz="8" w:color="auto"/>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9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liability - other non-current liabilities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500"/>
        </w:trPr>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17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Quoted Prices in Active</w:t>
            </w:r>
          </w:p>
        </w:tc>
        <w:tc>
          <w:tcPr>
            <w:tcW w:w="180" w:type="dxa"/>
            <w:vAlign w:val="bottom"/>
          </w:tcPr>
          <w:p>
            <w:pPr>
              <w:spacing w:after="0"/>
              <w:rPr>
                <w:sz w:val="24"/>
                <w:szCs w:val="24"/>
                <w:color w:val="auto"/>
              </w:rPr>
            </w:pPr>
          </w:p>
        </w:tc>
        <w:tc>
          <w:tcPr>
            <w:tcW w:w="15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6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Significant Unobservable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Markets for Identical</w:t>
            </w:r>
          </w:p>
        </w:tc>
        <w:tc>
          <w:tcPr>
            <w:tcW w:w="18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0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40" w:type="dxa"/>
            <w:vAlign w:val="bottom"/>
          </w:tcPr>
          <w:p>
            <w:pPr>
              <w:spacing w:after="0"/>
              <w:rPr>
                <w:sz w:val="11"/>
                <w:szCs w:val="11"/>
                <w:color w:val="auto"/>
              </w:rPr>
            </w:pPr>
          </w:p>
        </w:tc>
        <w:tc>
          <w:tcPr>
            <w:tcW w:w="1620" w:type="dxa"/>
            <w:vAlign w:val="bottom"/>
            <w:gridSpan w:val="2"/>
          </w:tcPr>
          <w:p>
            <w:pPr>
              <w:jc w:val="center"/>
              <w:ind w:right="240"/>
              <w:spacing w:after="0" w:line="137" w:lineRule="exact"/>
              <w:rPr>
                <w:sz w:val="20"/>
                <w:szCs w:val="20"/>
                <w:color w:val="auto"/>
              </w:rPr>
            </w:pPr>
            <w:r>
              <w:rPr>
                <w:rFonts w:ascii="Times New Roman" w:cs="Times New Roman" w:eastAsia="Times New Roman" w:hAnsi="Times New Roman"/>
                <w:sz w:val="14"/>
                <w:szCs w:val="14"/>
                <w:b w:val="1"/>
                <w:bCs w:val="1"/>
                <w:color w:val="auto"/>
              </w:rPr>
              <w:t>Assets</w:t>
            </w:r>
          </w:p>
        </w:tc>
        <w:tc>
          <w:tcPr>
            <w:tcW w:w="180" w:type="dxa"/>
            <w:vAlign w:val="bottom"/>
          </w:tcPr>
          <w:p>
            <w:pPr>
              <w:spacing w:after="0"/>
              <w:rPr>
                <w:sz w:val="11"/>
                <w:szCs w:val="11"/>
                <w:color w:val="auto"/>
              </w:rPr>
            </w:pPr>
          </w:p>
        </w:tc>
        <w:tc>
          <w:tcPr>
            <w:tcW w:w="1580" w:type="dxa"/>
            <w:vAlign w:val="bottom"/>
            <w:gridSpan w:val="2"/>
          </w:tcPr>
          <w:p>
            <w:pPr>
              <w:jc w:val="center"/>
              <w:ind w:right="280"/>
              <w:spacing w:after="0" w:line="137"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320" w:type="dxa"/>
            <w:vAlign w:val="bottom"/>
          </w:tcPr>
          <w:p>
            <w:pPr>
              <w:spacing w:after="0"/>
              <w:rPr>
                <w:sz w:val="11"/>
                <w:szCs w:val="11"/>
                <w:color w:val="auto"/>
              </w:rPr>
            </w:pPr>
          </w:p>
        </w:tc>
        <w:tc>
          <w:tcPr>
            <w:tcW w:w="1320" w:type="dxa"/>
            <w:vAlign w:val="bottom"/>
          </w:tcPr>
          <w:p>
            <w:pPr>
              <w:jc w:val="center"/>
              <w:ind w:right="242"/>
              <w:spacing w:after="0" w:line="137"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06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1620" w:type="dxa"/>
            <w:vAlign w:val="bottom"/>
            <w:gridSpan w:val="2"/>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Pr>
          <w:p>
            <w:pPr>
              <w:spacing w:after="0"/>
              <w:rPr>
                <w:sz w:val="13"/>
                <w:szCs w:val="13"/>
                <w:color w:val="auto"/>
              </w:rPr>
            </w:pPr>
          </w:p>
        </w:tc>
        <w:tc>
          <w:tcPr>
            <w:tcW w:w="1580" w:type="dxa"/>
            <w:vAlign w:val="bottom"/>
            <w:gridSpan w:val="2"/>
          </w:tcPr>
          <w:p>
            <w:pPr>
              <w:jc w:val="center"/>
              <w:ind w:right="280"/>
              <w:spacing w:after="0" w:line="160" w:lineRule="exact"/>
              <w:rPr>
                <w:sz w:val="20"/>
                <w:szCs w:val="20"/>
                <w:color w:val="auto"/>
              </w:rPr>
            </w:pPr>
            <w:r>
              <w:rPr>
                <w:rFonts w:ascii="Times New Roman" w:cs="Times New Roman" w:eastAsia="Times New Roman" w:hAnsi="Times New Roman"/>
                <w:sz w:val="14"/>
                <w:szCs w:val="14"/>
                <w:b w:val="1"/>
                <w:bCs w:val="1"/>
                <w:color w:val="auto"/>
              </w:rPr>
              <w:t>(Level 2)</w:t>
            </w:r>
          </w:p>
        </w:tc>
        <w:tc>
          <w:tcPr>
            <w:tcW w:w="320" w:type="dxa"/>
            <w:vAlign w:val="bottom"/>
          </w:tcPr>
          <w:p>
            <w:pPr>
              <w:spacing w:after="0"/>
              <w:rPr>
                <w:sz w:val="13"/>
                <w:szCs w:val="13"/>
                <w:color w:val="auto"/>
              </w:rPr>
            </w:pPr>
          </w:p>
        </w:tc>
        <w:tc>
          <w:tcPr>
            <w:tcW w:w="1320" w:type="dxa"/>
            <w:vAlign w:val="bottom"/>
          </w:tcPr>
          <w:p>
            <w:pPr>
              <w:jc w:val="center"/>
              <w:ind w:right="262"/>
              <w:spacing w:after="0" w:line="160" w:lineRule="exact"/>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960" w:type="dxa"/>
            <w:vAlign w:val="bottom"/>
            <w:tcBorders>
              <w:top w:val="single" w:sz="8" w:color="auto"/>
              <w:bottom w:val="single" w:sz="8" w:color="CCEEFF"/>
            </w:tcBorders>
          </w:tcPr>
          <w:p>
            <w:pPr>
              <w:spacing w:after="0"/>
              <w:rPr>
                <w:sz w:val="2"/>
                <w:szCs w:val="2"/>
                <w:color w:val="auto"/>
              </w:rPr>
            </w:pPr>
          </w:p>
        </w:tc>
        <w:tc>
          <w:tcPr>
            <w:tcW w:w="200" w:type="dxa"/>
            <w:vAlign w:val="bottom"/>
            <w:tcBorders>
              <w:top w:val="single" w:sz="8" w:color="auto"/>
              <w:bottom w:val="single" w:sz="8" w:color="CCEEFF"/>
            </w:tcBorders>
          </w:tcPr>
          <w:p>
            <w:pPr>
              <w:spacing w:after="0"/>
              <w:rPr>
                <w:sz w:val="2"/>
                <w:szCs w:val="2"/>
                <w:color w:val="auto"/>
              </w:rPr>
            </w:pPr>
          </w:p>
        </w:tc>
        <w:tc>
          <w:tcPr>
            <w:tcW w:w="49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liability - other non-current liabilities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416</w:t>
            </w:r>
          </w:p>
        </w:tc>
        <w:tc>
          <w:tcPr>
            <w:tcW w:w="0" w:type="dxa"/>
            <w:vAlign w:val="bottom"/>
          </w:tcPr>
          <w:p>
            <w:pPr>
              <w:spacing w:after="0"/>
              <w:rPr>
                <w:sz w:val="1"/>
                <w:szCs w:val="1"/>
                <w:color w:val="auto"/>
              </w:rPr>
            </w:pPr>
          </w:p>
        </w:tc>
      </w:tr>
    </w:tbl>
    <w:p>
      <w:pPr>
        <w:spacing w:after="0" w:line="17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fair value of the 2023 Warrants and 2021 Warrants is determined using the observable market price of a share of our common stock, less the $0.01 per share exercise price (Level 1).</w:t>
      </w:r>
    </w:p>
    <w:p>
      <w:pPr>
        <w:spacing w:after="0" w:line="54"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fair value of the 2019 Warrants is determined using a valuation model that utilizes unobservable inputs to determine the probability that the 2019 Warrants will remain outstanding for future periods (Level 3). The probabilities resulted in a weighted average term of 2.0 years as of March 31, 2025 and December 31, 2024.</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Swap</w:t>
      </w:r>
    </w:p>
    <w:p>
      <w:pPr>
        <w:spacing w:after="0" w:line="6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On July 22, 2021, we entered into a fixed-rate interest rate swap agreement to change the LIBOR-based component of the interest rate on a portion of our variable rate debt to a fixed rate of 1.291% (the “2021 Swap”). The 2021 Swap had a notional amount of $60.0 million and a maturity date of July 31, 2024. We designated the 2021 Swap as a cash flow hedge at inception with cash settlements recognized in interest expense. During the first quarter of 2023, we terminated the 2021 Swap and received cash proceeds of $2.5 million, which was the then fair value of the 2021 Swap. Since the 2021 Swap was an effective cash flow hedge and the forecasted interest payments remain probable of occurring, the gain was recognized as a reduction to interest expense through the original maturity date of July 31, 2024.</w:t>
      </w:r>
    </w:p>
    <w:p>
      <w:pPr>
        <w:spacing w:after="0" w:line="79"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2024, we recognized an interest benefit of $0.4 million, from gains recognized in interest expense on the effective interest rate swap in the Condensed Consolidated Statements of Operations and Comprehensive Income (Loss).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Disclosures</w:t>
      </w:r>
    </w:p>
    <w:p>
      <w:pPr>
        <w:spacing w:after="0" w:line="6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Our financial instruments that are subject to fair value disclosure consist of cash and cash equivalents, accounts receivable, accounts payable, and debt. As of March 31, 2025 and December 31, 2024, the carrying values of these financial instruments, except for debt, approximated fair value. The fair value of our debt was $152.4 million and $147.8 million, with a carrying amount of $151.3 million and $148.6 million, as of March 31, 2025 and December 31, 2024, respectively. The fair value of debt was calculated by discounting the future cash flows to its present value using prevailing market interest rates for debt with similar creditworthiness, terms and maturities (Level 3).</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Plant Optimization Activities</w:t>
      </w:r>
    </w:p>
    <w:p>
      <w:pPr>
        <w:spacing w:after="0" w:line="67"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During the second half of 2024, we took specific steps to consolidate our footprint by identifying two manufacturing facilities to close due to volume rationalization which will reduce costs and improve operational efficiency. In January 2025, we ceased production activities at our Mobile Solutions plant in Juarez, Mexico, and in March 2025 we ended production activity at our Mobile Solutions plant in Dowagiac, Michigan. In addition, we implemented operational and cost optimization actions to reduce indirect and overhead costs.</w:t>
      </w:r>
    </w:p>
    <w:p>
      <w:pPr>
        <w:spacing w:after="0" w:line="7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expect the facility closures and organizational changes to be completed in the first half of 2025. We estimate incurring $13.6 million in charges and once fully implemented, we expect to recognize annual benefits of approximately $5.4 million. We have recognized cumulative costs of $13.3 million, with $5.5 million recognized in the “Cost of sales” line, $1.3 million in the “Selling, general, and administrative expense” line, and $6.5 million in the “Other expense (income), net” line in the Condensed Consolidated Statements of Operations and Comprehensive Income (Loss). All costs incurred have been recognized in the Mobile Solutions segment.</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costs incurred and amounts accrued during the three months ended March 31, 2025.</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Severance and</w:t>
            </w:r>
          </w:p>
        </w:tc>
        <w:tc>
          <w:tcPr>
            <w:tcW w:w="180" w:type="dxa"/>
            <w:vAlign w:val="bottom"/>
          </w:tcPr>
          <w:p>
            <w:pPr>
              <w:spacing w:after="0"/>
              <w:rPr>
                <w:sz w:val="13"/>
                <w:szCs w:val="13"/>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Impairment of</w:t>
            </w:r>
          </w:p>
        </w:tc>
        <w:tc>
          <w:tcPr>
            <w:tcW w:w="15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Costs associated with</w:t>
            </w: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5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gridSpan w:val="2"/>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property and</w:t>
            </w:r>
          </w:p>
        </w:tc>
        <w:tc>
          <w:tcPr>
            <w:tcW w:w="180" w:type="dxa"/>
            <w:vAlign w:val="bottom"/>
          </w:tcPr>
          <w:p>
            <w:pPr>
              <w:spacing w:after="0"/>
              <w:rPr>
                <w:sz w:val="12"/>
                <w:szCs w:val="12"/>
                <w:color w:val="auto"/>
              </w:rPr>
            </w:pPr>
          </w:p>
        </w:tc>
        <w:tc>
          <w:tcPr>
            <w:tcW w:w="1360" w:type="dxa"/>
            <w:vAlign w:val="bottom"/>
            <w:gridSpan w:val="2"/>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exit or disposal</w:t>
            </w:r>
          </w:p>
        </w:tc>
        <w:tc>
          <w:tcPr>
            <w:tcW w:w="340" w:type="dxa"/>
            <w:vAlign w:val="bottom"/>
          </w:tcPr>
          <w:p>
            <w:pPr>
              <w:spacing w:after="0"/>
              <w:rPr>
                <w:sz w:val="12"/>
                <w:szCs w:val="12"/>
                <w:color w:val="auto"/>
              </w:rPr>
            </w:pPr>
          </w:p>
        </w:tc>
        <w:tc>
          <w:tcPr>
            <w:tcW w:w="1100" w:type="dxa"/>
            <w:vAlign w:val="bottom"/>
            <w:vMerge w:val="restart"/>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8"/>
        </w:trPr>
        <w:tc>
          <w:tcPr>
            <w:tcW w:w="5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employee related</w:t>
            </w:r>
          </w:p>
        </w:tc>
        <w:tc>
          <w:tcPr>
            <w:tcW w:w="180" w:type="dxa"/>
            <w:vAlign w:val="bottom"/>
          </w:tcPr>
          <w:p>
            <w:pPr>
              <w:spacing w:after="0"/>
              <w:rPr>
                <w:sz w:val="17"/>
                <w:szCs w:val="17"/>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equipment</w:t>
            </w:r>
          </w:p>
        </w:tc>
        <w:tc>
          <w:tcPr>
            <w:tcW w:w="180" w:type="dxa"/>
            <w:vAlign w:val="bottom"/>
          </w:tcPr>
          <w:p>
            <w:pPr>
              <w:spacing w:after="0"/>
              <w:rPr>
                <w:sz w:val="17"/>
                <w:szCs w:val="17"/>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activities</w:t>
            </w:r>
          </w:p>
        </w:tc>
        <w:tc>
          <w:tcPr>
            <w:tcW w:w="34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5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Restructuring costs</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12,600</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Amounts paid</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0" w:type="dxa"/>
            <w:vAlign w:val="bottom"/>
          </w:tcPr>
          <w:p>
            <w:pPr>
              <w:spacing w:after="0"/>
              <w:rPr>
                <w:sz w:val="1"/>
                <w:szCs w:val="1"/>
                <w:color w:val="auto"/>
              </w:rPr>
            </w:pPr>
          </w:p>
        </w:tc>
      </w:tr>
      <w:tr>
        <w:trPr>
          <w:trHeight w:val="229"/>
        </w:trPr>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Charges against assets</w:t>
            </w:r>
          </w:p>
        </w:tc>
        <w:tc>
          <w:tcPr>
            <w:tcW w:w="16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(9,076)</w:t>
            </w:r>
          </w:p>
        </w:tc>
        <w:tc>
          <w:tcPr>
            <w:tcW w:w="0" w:type="dxa"/>
            <w:vAlign w:val="bottom"/>
          </w:tcPr>
          <w:p>
            <w:pPr>
              <w:spacing w:after="0"/>
              <w:rPr>
                <w:sz w:val="1"/>
                <w:szCs w:val="1"/>
                <w:color w:val="auto"/>
              </w:rPr>
            </w:pPr>
          </w:p>
        </w:tc>
      </w:tr>
      <w:tr>
        <w:trPr>
          <w:trHeight w:val="223"/>
        </w:trPr>
        <w:tc>
          <w:tcPr>
            <w:tcW w:w="5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2,686</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2,686</w:t>
            </w:r>
          </w:p>
        </w:tc>
        <w:tc>
          <w:tcPr>
            <w:tcW w:w="0" w:type="dxa"/>
            <w:vAlign w:val="bottom"/>
          </w:tcPr>
          <w:p>
            <w:pPr>
              <w:spacing w:after="0"/>
              <w:rPr>
                <w:sz w:val="1"/>
                <w:szCs w:val="1"/>
                <w:color w:val="auto"/>
              </w:rPr>
            </w:pPr>
          </w:p>
        </w:tc>
      </w:tr>
      <w:tr>
        <w:trPr>
          <w:trHeight w:val="229"/>
        </w:trPr>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Restructuring costs</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Amounts paid</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(2,175)</w:t>
            </w:r>
          </w:p>
        </w:tc>
        <w:tc>
          <w:tcPr>
            <w:tcW w:w="0" w:type="dxa"/>
            <w:vAlign w:val="bottom"/>
          </w:tcPr>
          <w:p>
            <w:pPr>
              <w:spacing w:after="0"/>
              <w:rPr>
                <w:sz w:val="1"/>
                <w:szCs w:val="1"/>
                <w:color w:val="auto"/>
              </w:rPr>
            </w:pPr>
          </w:p>
        </w:tc>
      </w:tr>
      <w:tr>
        <w:trPr>
          <w:trHeight w:val="22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March 31, 2025</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0" w:type="dxa"/>
            <w:vAlign w:val="bottom"/>
          </w:tcPr>
          <w:p>
            <w:pPr>
              <w:spacing w:after="0"/>
              <w:rPr>
                <w:sz w:val="1"/>
                <w:szCs w:val="1"/>
                <w:color w:val="auto"/>
              </w:rPr>
            </w:pPr>
          </w:p>
        </w:tc>
      </w:tr>
      <w:tr>
        <w:trPr>
          <w:trHeight w:val="21"/>
        </w:trPr>
        <w:tc>
          <w:tcPr>
            <w:tcW w:w="5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Voluntary Early Retirement Program</w:t>
      </w:r>
    </w:p>
    <w:p>
      <w:pPr>
        <w:spacing w:after="0" w:line="65"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2025, we recognized $0.2 million related to an early retirement incentive program (“ERIP”) that was open to certain U.S. employees that met specified age and service requirements, and who terminated employment in 2025. The estimated total cost of the ERIP, including costs recognized in 2024, is $1.6 million with all benefit payments expected to be made in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Subsequent Event</w:t>
      </w:r>
    </w:p>
    <w:p>
      <w:pPr>
        <w:spacing w:after="0" w:line="6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On April 16, 2025, we entered into a Term Loan Credit Agreement by and among the Company, the lenders from time to time party thereto (collectively, the “Lenders”) and Alter Domus (US) LLC, as administrative agent for the Lenders (the “2025 Term Loan Credit Agreement”). The 2025 Term Loan Credit Agreement establishes a new senior secured Term Loan Facility (the “2025 Term Loan Facility”) consisting of (i) $118.0 million of term loans (the “Closing Date Term Loans”) and (ii) $10.0 million of Delayed Draw Term Loans (together, with the Closing Date Term Loans, the “2025 Term Loans”) for an aggregate amount of $128.0 million maturing on April 16, 2030. We used the proceeds from the 2025 Term Loan Credit Agreement to repay all of our outstanding obligations under our previous 2021 Term Loan Facility.</w:t>
      </w:r>
    </w:p>
    <w:p>
      <w:pPr>
        <w:spacing w:after="0" w:line="79"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Under the 2025 Term Loan Credit Agreement, interest rates on the 2025 Term Loans are determined based on the type of Term Loan, certain time periods, our Consolidated Net Leverage Ratio and whether the Delayed Draw Funding Date (as defined in the 2025 Term Loan Credit Agreement) has occurred. Outstanding borrowings under the 2025 Term Loan Facility currently bear interest at either: 1) one-month, three-month, or six-month term secured overnight finance rate (“SOFR”) with a duration adjustment, subject to a 2.00% floor, plus an applicable margin of 9.25% (“Adjusted Term SOFR Rate Loans”); or 2) the greater of various benchmark rates, with certain adjustments, plus an applicable margin of 8.25% (“Base Rate Loans”). For interest payments due before April 16, 2027, we may elect to pay a portion of interest in-kind (“PIK Election”), subject to a minimum cash interest of 5.25% for Adjusted Term SOFR Rate Loans and 4.25% for Base Rate Loans. The applicable margin increases by 0.50% on borrowings to which the PIK Election is made.</w:t>
      </w:r>
    </w:p>
    <w:p>
      <w:pPr>
        <w:spacing w:after="0" w:line="84"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Through October 16, 2026, we can elect to borrow up to an additional $10.0 million (“Delayed Draw”) under the 2025 Term Loan Facility, subject to satisfying certain conditions. If we borrow under the Delayed Draw, the applicable margin for all outstanding borrowings increases by 0.50%. Through October 16, 2026, we incur a 1.00% commitment fee on undrawn amounts under the Delayed Draw.</w:t>
      </w:r>
    </w:p>
    <w:p>
      <w:pPr>
        <w:spacing w:after="0" w:line="68"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7"/>
          <w:szCs w:val="17"/>
          <w:color w:val="auto"/>
        </w:rPr>
        <w:t>We may voluntarily prepay outstanding amounts under the 2025 Term Loan Facility, in whole or part without premium or penalty following April 16, 2027. If we voluntarily prepay borrowings prior to April 16, 2026, we are subject to a prepayment premium equal to the present value at the prepayment date of</w:t>
      </w:r>
    </w:p>
    <w:p>
      <w:pPr>
        <w:spacing w:after="0" w:line="1" w:lineRule="exact"/>
        <w:rPr>
          <w:sz w:val="20"/>
          <w:szCs w:val="20"/>
          <w:color w:val="auto"/>
        </w:rPr>
      </w:pPr>
    </w:p>
    <w:p>
      <w:pPr>
        <w:ind w:right="140" w:firstLine="8"/>
        <w:spacing w:after="0" w:line="253" w:lineRule="auto"/>
        <w:tabs>
          <w:tab w:leader="none" w:pos="21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 of the outstanding principal amount of the 2025 Term Loans to be prepaid, plus (ii) all remaining scheduled interest payments due on such 2025 Term Loans through April 16, 2026 (excluding accrued but unpaid interest to, but not including, the prepayment date), computed using a discount rate equal to the Treasury Rate (determined as of the Business Day prior to such date of prepayment) plus 50 basis points. If we voluntarily prepay borrowings prior to April 16, 2027, we are subject to a prepayment premium equal to 2.00% of the principal amount prepaid.</w:t>
      </w:r>
    </w:p>
    <w:p>
      <w:pPr>
        <w:spacing w:after="0" w:line="8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2025 Term Loan Facility is collateralized by all of our assets. The 2025 Term Loan Facility has a first lien on all domestic assets, other than accounts receivable and inventory and has a second lien on domestic accounts receivable and inventory.</w:t>
      </w:r>
    </w:p>
    <w:p>
      <w:pPr>
        <w:spacing w:after="0" w:line="54" w:lineRule="exact"/>
        <w:rPr>
          <w:sz w:val="20"/>
          <w:szCs w:val="20"/>
          <w:color w:val="auto"/>
        </w:rPr>
      </w:pPr>
    </w:p>
    <w:p>
      <w:pPr>
        <w:ind w:right="1040"/>
        <w:spacing w:after="0" w:line="282" w:lineRule="auto"/>
        <w:rPr>
          <w:sz w:val="20"/>
          <w:szCs w:val="20"/>
          <w:color w:val="auto"/>
        </w:rPr>
      </w:pPr>
      <w:r>
        <w:rPr>
          <w:rFonts w:ascii="Times New Roman" w:cs="Times New Roman" w:eastAsia="Times New Roman" w:hAnsi="Times New Roman"/>
          <w:sz w:val="18"/>
          <w:szCs w:val="18"/>
          <w:color w:val="auto"/>
        </w:rPr>
        <w:t>In connection with the repayment and termination of the 2021 Term Loan Facility, we expect to recognize a loss on extinguishment of debt of approximately $3.0 million in the second quarter of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0"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6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 is intended to help the reader understand the results of operations and financial condition of NN, Inc. and its consolidated subsidiaries for the three months ended March 31, 2025. The financial information as of March 31, 2025, should be read in conjunction with the consolidated financial statements for the year ended December 31, 2024, contained in our 2024 Annual Report, and the Condensed Consolidated Financial Statements included in this Quarterly Report.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6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NN, Inc., a Delaware corporation, is a diversified industrial company that combines advanced engineering and production capabilities with in-depth materials science expertise to design and manufacture high-precision components and assemblies for a variety of end markets on a global basis. As used in this Quarterly Report, the terms “NN,” the “Company,” “we,” “our,” or “us” refer to NN, Inc. and its subsidiaries.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67"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This Quarterly Report contains forward-looking statements within the meaning of Section 27A of the Securities Act of 1933, as amended, and Section 21E of the Securities Exchange Act of 1934, as amended (the “Exchange Act”), which are intended to be covered by the safe harbor provisions of the Private Securities Litigation Reform Act of 1995 and include this statement for purposes of complying with these safe harbor provisions. These statements may discuss goals, intentions and expectations as to future trends, plans, events, results of operations or financial condition, or state other information relating to the Company, based on current beliefs of management as well as assumptions made by, and information currently available to, management. Forward-looking statements generally will be accompanied by words such as “anticipate,” “believe,” “could,” “estimate,” “expect,” “forecast,” “growth,” “guidance,” “intend,” “may,” “will,” “possible,” “potential,” “predict,” “project,” “trajectory” or other similar words, phrases or expressions. Forward-looking statements involve a number of risks and uncertainties that are outside of management’s control and that may cause actual results to be materially different from such forward-looking statements. Such factors include, among others, general economic conditions and economic conditions in the industrial sector; the impacts of pandemics, epidemics, disease outbreaks and other public health crises on our financial condition, business operations and liquidity; the potential impacts of tariffs on the U.S. economy, the economy of other countries in which we conduct operations and our industry, as well as the potential implications and ramifications of tariffs on our business and the local and global supply chains supporting the same, and our ability to mitigate any adverse impacts of such; competitive influences; risks that current customers will commence or increase captive production; risks of capacity underutilization; quality issues; material changes in the costs and availability of raw materials; economic, social, political and geopolitical instability, military conflict, currency fluctuation, and other risks of doing business outside of the United States; inflationary pressures and changes in the cost or availability of materials, supply chain shortages and disruptions, the availability of labor and labor disruptions along the supply chain; our dependence on certain major customers, some of whom are not parties to long-term agreements (and/or are terminable on short notice); the impact of acquisitions and divestitures, as well as expansion of end markets and product offerings; our ability to hire or retain key personnel; the level of our indebtedness; the restrictions contained in our debt agreements; our ability to obtain financing at favorable rates, if at all, and to refinance existing debt as it matures; our ability to secure, maintain or enforce patents or other appropriate protections for our intellectual property; new laws and governmental regulations; the impact of climate change on our operations; uncertainty of government policies and actions after recent U.S. elections in respect to global trade, tariffs and international trade agreements; and cyber liability or potential liability for breaches of our or our service providers’ information technology systems or business operations disruptions. The foregoing factors should not be construed as exhaustive and should be read in conjunction with the sections entitled “Risk Factors” and “Management’s Discussion and Analysis of Financial Condition and Results of Operations” included in our 2024 Annual Report and in this Quarterly Report. Any forward-looking statement speaks only as of the date of this Quarterly Report, and we undertake no obligation to publicly update or review any forward-looking statement, whether as a result of new information, future developments or otherwise, except as required by law. New risks and uncertainties may emerge from time to time, and it is not possible for us to predict their occurrence or how they will affect the Company. We qualify all forward-looking statements by these cautionary statements.</w:t>
      </w:r>
    </w:p>
    <w:p>
      <w:pPr>
        <w:spacing w:after="0" w:line="95"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For additional information concerning such risk factors and cautionary statements, please see the sections titled “Item 1A. Risk Factors” in the 2024 Annual Report and this Quarterly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Factors That May Influence Results of Operations</w:t>
      </w:r>
    </w:p>
    <w:p>
      <w:pPr>
        <w:spacing w:after="0" w:line="11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following paragraphs describe factors that have influenced results of operations for the three months ended March 31, 2025, that management believes are important to provide an understanding of the business and results of operations or that may influence operations in the future.</w:t>
      </w: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7"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Macroeconomic Conditions</w:t>
      </w:r>
    </w:p>
    <w:p>
      <w:pPr>
        <w:spacing w:after="0" w:line="63"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We continue to monitor the ongoing impacts of current macroeconomic and geopolitical events, including changing conditions from ongoing military conflicts, tariffs, inflationary cost pressures, elevated interest rates, supply chain disruptions, and labor shortages and disruptions.</w:t>
      </w:r>
    </w:p>
    <w:p>
      <w:pPr>
        <w:spacing w:after="0" w:line="5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Ongoing military conflicts continue to create volatility in global financial and energy markets, creating energy and supply chain shortages, which has added to the inflationary pressures experienced by the global economy. We continue to actively work with our suppliers to minimize impacts of supply shortages on our manufacturing capabilities. Although our business has not been materially impacted by these ongoing military conflicts as of the date of this filing, we cannot reasonably predict the extent to which our operations, or those of our customers or suppliers, will be impacted in the future, or the ways in which the conflicts may impact our business, financial condition, results of operations and cash flows.</w:t>
      </w:r>
    </w:p>
    <w:p>
      <w:pPr>
        <w:spacing w:after="0" w:line="75" w:lineRule="exact"/>
        <w:rPr>
          <w:sz w:val="20"/>
          <w:szCs w:val="20"/>
          <w:color w:val="auto"/>
        </w:rPr>
      </w:pPr>
    </w:p>
    <w:p>
      <w:pPr>
        <w:ind w:right="580"/>
        <w:spacing w:after="0" w:line="266" w:lineRule="auto"/>
        <w:rPr>
          <w:sz w:val="20"/>
          <w:szCs w:val="20"/>
          <w:color w:val="auto"/>
        </w:rPr>
      </w:pPr>
      <w:r>
        <w:rPr>
          <w:rFonts w:ascii="Times New Roman" w:cs="Times New Roman" w:eastAsia="Times New Roman" w:hAnsi="Times New Roman"/>
          <w:sz w:val="18"/>
          <w:szCs w:val="18"/>
          <w:color w:val="auto"/>
        </w:rPr>
        <w:t>The U.S. economy has experienced inflationary increases and elevated interest rates, as well as supply issues in materials, services, and labor due to economic policy and military conflicts. We cannot predict the future impact on our end-markets or input costs, including tariffs and their potential implications and ramifications, nor our ability to recover cost increases through pricing.</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Footprint Optimization</w:t>
      </w:r>
    </w:p>
    <w:p>
      <w:pPr>
        <w:spacing w:after="0" w:line="6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have taken specific steps to consolidate our footprint by identifying less profitable end markets and focusing our strategic growth initiatives in markets where we believe we will be able to maximize profitability. During the second half of 2024, we identified two manufacturing facilities to close due to volume rationalization which will reduce costs and improve operational efficiency. During the first quarter of 2025, we ceased production activities at our Mobile Solutions plants in Juarez, Mexico and Dowagiac, Michigan. Additionally, we continue to evaluate our global footprint, which may result in further consolidation actions to further improve our overall cost structure.</w:t>
      </w:r>
    </w:p>
    <w:p>
      <w:pPr>
        <w:spacing w:after="0" w:line="127" w:lineRule="exact"/>
        <w:rPr>
          <w:sz w:val="20"/>
          <w:szCs w:val="20"/>
          <w:color w:val="auto"/>
        </w:rPr>
      </w:pPr>
    </w:p>
    <w:p>
      <w:pPr>
        <w:ind w:right="4580"/>
        <w:spacing w:after="0" w:line="302" w:lineRule="auto"/>
        <w:rPr>
          <w:sz w:val="20"/>
          <w:szCs w:val="20"/>
          <w:color w:val="auto"/>
        </w:rPr>
      </w:pPr>
      <w:r>
        <w:rPr>
          <w:rFonts w:ascii="Times New Roman" w:cs="Times New Roman" w:eastAsia="Times New Roman" w:hAnsi="Times New Roman"/>
          <w:sz w:val="18"/>
          <w:szCs w:val="18"/>
          <w:i w:val="1"/>
          <w:iCs w:val="1"/>
          <w:color w:val="auto"/>
        </w:rPr>
        <w:t xml:space="preserve">Three Months Ended March 31, 2025 compared to the Three Months Ended March 31, 2024 </w:t>
      </w:r>
      <w:r>
        <w:rPr>
          <w:rFonts w:ascii="Times New Roman" w:cs="Times New Roman" w:eastAsia="Times New Roman" w:hAnsi="Times New Roman"/>
          <w:sz w:val="18"/>
          <w:szCs w:val="18"/>
          <w:u w:val="single" w:color="auto"/>
          <w:color w:val="auto"/>
        </w:rPr>
        <w:t>Consolidated Results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6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020" w:type="dxa"/>
            <w:vAlign w:val="bottom"/>
          </w:tcPr>
          <w:p>
            <w:pPr>
              <w:spacing w:after="0"/>
              <w:rPr>
                <w:sz w:val="16"/>
                <w:szCs w:val="16"/>
                <w:color w:val="auto"/>
              </w:rPr>
            </w:pPr>
          </w:p>
        </w:tc>
      </w:tr>
      <w:tr>
        <w:trPr>
          <w:trHeight w:val="23"/>
        </w:trPr>
        <w:tc>
          <w:tcPr>
            <w:tcW w:w="70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70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29"/>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105,688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121,198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(15,510)</w:t>
            </w:r>
          </w:p>
        </w:tc>
      </w:tr>
      <w:tr>
        <w:trPr>
          <w:trHeight w:val="229"/>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 (exclusive of depreciation and amortization shown separately below)</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91,646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101,086</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(9,440)</w:t>
            </w:r>
          </w:p>
        </w:tc>
      </w:tr>
      <w:tr>
        <w:trPr>
          <w:trHeight w:val="230"/>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(2,178)</w:t>
            </w:r>
          </w:p>
        </w:tc>
      </w:tr>
      <w:tr>
        <w:trPr>
          <w:trHeight w:val="230"/>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12,547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(3,773)</w:t>
            </w:r>
          </w:p>
        </w:tc>
      </w:tr>
      <w:tr>
        <w:trPr>
          <w:trHeight w:val="230"/>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operating income, net</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23"/>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9"/>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r>
      <w:tr>
        <w:trPr>
          <w:trHeight w:val="230"/>
        </w:trPr>
        <w:tc>
          <w:tcPr>
            <w:tcW w:w="7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4,153</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(6,322)</w:t>
            </w:r>
          </w:p>
        </w:tc>
      </w:tr>
      <w:tr>
        <w:trPr>
          <w:trHeight w:val="223"/>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provision for income taxes and share of net income from joint venture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6,488</w:t>
            </w:r>
          </w:p>
        </w:tc>
      </w:tr>
      <w:tr>
        <w:trPr>
          <w:trHeight w:val="230"/>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w:t>
            </w:r>
          </w:p>
        </w:tc>
      </w:tr>
      <w:tr>
        <w:trPr>
          <w:trHeight w:val="230"/>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 of net income from joint venture</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2,271</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r>
      <w:tr>
        <w:trPr>
          <w:trHeight w:val="223"/>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(6,685)</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(12,537)</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5,852</w:t>
            </w:r>
          </w:p>
        </w:tc>
      </w:tr>
      <w:tr>
        <w:trPr>
          <w:trHeight w:val="20"/>
        </w:trPr>
        <w:tc>
          <w:tcPr>
            <w:tcW w:w="7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ind w:right="120"/>
        <w:spacing w:after="0" w:line="267" w:lineRule="auto"/>
        <w:rPr>
          <w:sz w:val="20"/>
          <w:szCs w:val="20"/>
          <w:color w:val="auto"/>
        </w:rPr>
      </w:pPr>
      <w:r>
        <w:rPr>
          <w:rFonts w:ascii="Times New Roman" w:cs="Times New Roman" w:eastAsia="Times New Roman" w:hAnsi="Times New Roman"/>
          <w:sz w:val="18"/>
          <w:szCs w:val="18"/>
          <w:i w:val="1"/>
          <w:iCs w:val="1"/>
          <w:color w:val="auto"/>
        </w:rPr>
        <w:t>Net Sales</w:t>
      </w:r>
      <w:r>
        <w:rPr>
          <w:rFonts w:ascii="Times New Roman" w:cs="Times New Roman" w:eastAsia="Times New Roman" w:hAnsi="Times New Roman"/>
          <w:sz w:val="18"/>
          <w:szCs w:val="18"/>
          <w:color w:val="auto"/>
        </w:rPr>
        <w:t>. Net sales decreased by $15.5 million, or 12.8%, during the three months ended March 31, 2025, compared to the three months ended March 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 primarily due to the rationalization of underperforming business and plants, the sale of our Lubbock operations in 2024, lower volumes and unfavorable foreign exchange effects of $2.8 million. These decreases were partially offset by higher precious metals pass-through pricing.</w:t>
      </w:r>
    </w:p>
    <w:p>
      <w:pPr>
        <w:spacing w:after="0" w:line="65" w:lineRule="exact"/>
        <w:rPr>
          <w:sz w:val="20"/>
          <w:szCs w:val="20"/>
          <w:color w:val="auto"/>
        </w:rPr>
      </w:pPr>
    </w:p>
    <w:p>
      <w:pPr>
        <w:ind w:right="5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Cost of Sales. </w:t>
      </w:r>
      <w:r>
        <w:rPr>
          <w:rFonts w:ascii="Times New Roman" w:cs="Times New Roman" w:eastAsia="Times New Roman" w:hAnsi="Times New Roman"/>
          <w:sz w:val="18"/>
          <w:szCs w:val="18"/>
          <w:color w:val="auto"/>
        </w:rPr>
        <w:t>Cost of sales decreased by $9.4 million, or 9.3%, during the three months ended March 31, 2025, compared to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March 31, 2024, primarily due to the decrease in sales.</w:t>
      </w:r>
    </w:p>
    <w:p>
      <w:pPr>
        <w:spacing w:after="0" w:line="50" w:lineRule="exact"/>
        <w:rPr>
          <w:sz w:val="20"/>
          <w:szCs w:val="20"/>
          <w:color w:val="auto"/>
        </w:rPr>
      </w:pPr>
    </w:p>
    <w:p>
      <w:pPr>
        <w:ind w:right="5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Expense. </w:t>
      </w:r>
      <w:r>
        <w:rPr>
          <w:rFonts w:ascii="Times New Roman" w:cs="Times New Roman" w:eastAsia="Times New Roman" w:hAnsi="Times New Roman"/>
          <w:sz w:val="18"/>
          <w:szCs w:val="18"/>
          <w:color w:val="auto"/>
        </w:rPr>
        <w:t>Selling, general, and administrative expense decreased by $2.2 million during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March 31, 2025, compared to the three months ended March 31, 2024, primarily due to lower incentive compensation expense.</w:t>
      </w:r>
    </w:p>
    <w:p>
      <w:pPr>
        <w:spacing w:after="0" w:line="50" w:lineRule="exact"/>
        <w:rPr>
          <w:sz w:val="20"/>
          <w:szCs w:val="20"/>
          <w:color w:val="auto"/>
        </w:rPr>
      </w:pPr>
    </w:p>
    <w:p>
      <w:pPr>
        <w:ind w:right="160"/>
        <w:spacing w:after="0" w:line="284" w:lineRule="auto"/>
        <w:rPr>
          <w:sz w:val="20"/>
          <w:szCs w:val="20"/>
          <w:color w:val="auto"/>
        </w:rPr>
      </w:pPr>
      <w:r>
        <w:rPr>
          <w:rFonts w:ascii="Times New Roman" w:cs="Times New Roman" w:eastAsia="Times New Roman" w:hAnsi="Times New Roman"/>
          <w:sz w:val="18"/>
          <w:szCs w:val="18"/>
          <w:i w:val="1"/>
          <w:iCs w:val="1"/>
          <w:color w:val="auto"/>
        </w:rPr>
        <w:t>Depreciation and amortization</w:t>
      </w:r>
      <w:r>
        <w:rPr>
          <w:rFonts w:ascii="Times New Roman" w:cs="Times New Roman" w:eastAsia="Times New Roman" w:hAnsi="Times New Roman"/>
          <w:sz w:val="18"/>
          <w:szCs w:val="18"/>
          <w:color w:val="auto"/>
        </w:rPr>
        <w:t>. Depreciation and amortization decreased by $3.8 million during the three months ended March 31, 2025, compared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three months ended March 31, 2024, primarily due to impact of historical purchase accounting step-up basis becoming fully depreciated.</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96" w:lineRule="exact"/>
        <w:rPr>
          <w:sz w:val="20"/>
          <w:szCs w:val="20"/>
          <w:color w:val="auto"/>
        </w:rPr>
      </w:pPr>
    </w:p>
    <w:p>
      <w:pPr>
        <w:ind w:right="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Operating Income, Net. </w:t>
      </w:r>
      <w:r>
        <w:rPr>
          <w:rFonts w:ascii="Times New Roman" w:cs="Times New Roman" w:eastAsia="Times New Roman" w:hAnsi="Times New Roman"/>
          <w:sz w:val="18"/>
          <w:szCs w:val="18"/>
          <w:color w:val="auto"/>
        </w:rPr>
        <w:t>Other operating income, net increased by $0.1 million during the three months ended March 31, 2025, compared to the three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March 31, 2024, primarily due to an increase in gains on sale of equipment and higher sublease income.</w:t>
      </w:r>
    </w:p>
    <w:p>
      <w:pPr>
        <w:spacing w:after="0" w:line="50" w:lineRule="exact"/>
        <w:rPr>
          <w:sz w:val="20"/>
          <w:szCs w:val="20"/>
          <w:color w:val="auto"/>
        </w:rPr>
      </w:pPr>
    </w:p>
    <w:p>
      <w:pPr>
        <w:ind w:right="420"/>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Interest Expense. </w:t>
      </w:r>
      <w:r>
        <w:rPr>
          <w:rFonts w:ascii="Times New Roman" w:cs="Times New Roman" w:eastAsia="Times New Roman" w:hAnsi="Times New Roman"/>
          <w:sz w:val="18"/>
          <w:szCs w:val="18"/>
          <w:color w:val="auto"/>
        </w:rPr>
        <w:t>Interest expense decreased by $0.2 million during the three months ended March 31, 2025, compared to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March 31, 2024, primarily due to lower average debt balances and lower interest rates. These reductions were partially offset by a decrease in the gain recognized on interest rate swap and an increase in the amortization of debt issuance costs and a lower amount of capitalized interest.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25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80" w:type="dxa"/>
            <w:vAlign w:val="bottom"/>
          </w:tcPr>
          <w:p>
            <w:pPr>
              <w:spacing w:after="0"/>
              <w:rPr>
                <w:sz w:val="16"/>
                <w:szCs w:val="16"/>
                <w:color w:val="auto"/>
              </w:rPr>
            </w:pPr>
          </w:p>
        </w:tc>
      </w:tr>
      <w:tr>
        <w:trPr>
          <w:trHeight w:val="23"/>
        </w:trPr>
        <w:tc>
          <w:tcPr>
            <w:tcW w:w="826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190"/>
        </w:trPr>
        <w:tc>
          <w:tcPr>
            <w:tcW w:w="826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bottom w:val="single" w:sz="8" w:color="auto"/>
            </w:tcBorders>
          </w:tcPr>
          <w:p>
            <w:pPr>
              <w:spacing w:after="0"/>
              <w:rPr>
                <w:sz w:val="16"/>
                <w:szCs w:val="16"/>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on debt</w:t>
            </w:r>
          </w:p>
        </w:tc>
        <w:tc>
          <w:tcPr>
            <w:tcW w:w="920" w:type="dxa"/>
            <w:vAlign w:val="bottom"/>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4,405</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5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5,676</w:t>
            </w: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recognized on interest rate swap</w:t>
            </w:r>
          </w:p>
        </w:tc>
        <w:tc>
          <w:tcPr>
            <w:tcW w:w="92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debt issuance costs and discount</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w:t>
            </w: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interest</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0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23"/>
        </w:trPr>
        <w:tc>
          <w:tcPr>
            <w:tcW w:w="8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interest expense</w:t>
            </w:r>
          </w:p>
        </w:tc>
        <w:tc>
          <w:tcPr>
            <w:tcW w:w="920" w:type="dxa"/>
            <w:vAlign w:val="bottom"/>
            <w:tcBorders>
              <w:bottom w:val="single" w:sz="8" w:color="auto"/>
            </w:tcBorders>
          </w:tcPr>
          <w:p>
            <w:pPr>
              <w:jc w:val="right"/>
              <w:ind w:right="71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5,194</w:t>
            </w:r>
          </w:p>
        </w:tc>
        <w:tc>
          <w:tcPr>
            <w:tcW w:w="100" w:type="dxa"/>
            <w:vAlign w:val="bottom"/>
          </w:tcPr>
          <w:p>
            <w:pPr>
              <w:spacing w:after="0"/>
              <w:rPr>
                <w:sz w:val="19"/>
                <w:szCs w:val="19"/>
                <w:color w:val="auto"/>
              </w:rPr>
            </w:pPr>
          </w:p>
        </w:tc>
        <w:tc>
          <w:tcPr>
            <w:tcW w:w="960" w:type="dxa"/>
            <w:vAlign w:val="bottom"/>
            <w:tcBorders>
              <w:bottom w:val="single" w:sz="8" w:color="auto"/>
            </w:tcBorders>
          </w:tcPr>
          <w:p>
            <w:pPr>
              <w:jc w:val="right"/>
              <w:ind w:right="75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5,366</w:t>
            </w:r>
          </w:p>
        </w:tc>
      </w:tr>
      <w:tr>
        <w:trPr>
          <w:trHeight w:val="20"/>
        </w:trPr>
        <w:tc>
          <w:tcPr>
            <w:tcW w:w="82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Expense (Income), Net. </w:t>
      </w:r>
      <w:r>
        <w:rPr>
          <w:rFonts w:ascii="Times New Roman" w:cs="Times New Roman" w:eastAsia="Times New Roman" w:hAnsi="Times New Roman"/>
          <w:sz w:val="18"/>
          <w:szCs w:val="18"/>
          <w:color w:val="auto"/>
        </w:rPr>
        <w:t>Other expense (income), net changed favorably by $6.3 million during the three months ended March 31, 2025,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three months ended March 31, 2024, primarily due to noncash derivative mark-to-market gains recognized during the current quarter compared to derivative losses recognized in the first quarter of 2024.</w:t>
      </w:r>
    </w:p>
    <w:p>
      <w:pPr>
        <w:spacing w:after="0" w:line="65"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i w:val="1"/>
          <w:iCs w:val="1"/>
          <w:color w:val="auto"/>
        </w:rPr>
        <w:t>Provision For Income Taxes</w:t>
      </w:r>
      <w:r>
        <w:rPr>
          <w:rFonts w:ascii="Times New Roman" w:cs="Times New Roman" w:eastAsia="Times New Roman" w:hAnsi="Times New Roman"/>
          <w:sz w:val="18"/>
          <w:szCs w:val="18"/>
          <w:color w:val="auto"/>
        </w:rPr>
        <w:t>. Our effective tax rate was (16.8)% for the three months ended March 31, 2025, compared to (3.5)% for the three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March 31, 2024. The rate for the three months ended March 31, 2025 was unfavorably impacted due to the accrual of tax on non-permanently reinvested unremitted earnings of foreign subsidiaries and by the limitation of the amount of tax benefit recorded for losses in certain jurisdictions where we believe it is more likely than not that a future tax benefit may not be realized.</w:t>
      </w:r>
    </w:p>
    <w:p>
      <w:pPr>
        <w:spacing w:after="0" w:line="72" w:lineRule="exact"/>
        <w:rPr>
          <w:sz w:val="20"/>
          <w:szCs w:val="20"/>
          <w:color w:val="auto"/>
        </w:rPr>
      </w:pPr>
    </w:p>
    <w:p>
      <w:pPr>
        <w:ind w:right="30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Share of Net Income from Joint Venture. </w:t>
      </w:r>
      <w:r>
        <w:rPr>
          <w:rFonts w:ascii="Times New Roman" w:cs="Times New Roman" w:eastAsia="Times New Roman" w:hAnsi="Times New Roman"/>
          <w:sz w:val="18"/>
          <w:szCs w:val="18"/>
          <w:color w:val="auto"/>
        </w:rPr>
        <w:t>Share of net income from the JV increased by $0.2 million during the three months ended March 31, 2025,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the three months ended March 31, 2024, primarily due to higher sales. The JV, in which we own a 49% investment, recognized net sales of $32.7 million and $31.1 million for the three months ended March 31, 2025 and 2024, respectively.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Results by Segment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MOBILE SOLUTIONS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60" w:type="dxa"/>
            <w:vAlign w:val="bottom"/>
            <w:gridSpan w:val="6"/>
          </w:tcPr>
          <w:p>
            <w:pPr>
              <w:jc w:val="center"/>
              <w:ind w:left="63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020" w:type="dxa"/>
            <w:vAlign w:val="bottom"/>
          </w:tcPr>
          <w:p>
            <w:pPr>
              <w:spacing w:after="0"/>
              <w:rPr>
                <w:sz w:val="16"/>
                <w:szCs w:val="16"/>
                <w:color w:val="auto"/>
              </w:rPr>
            </w:pPr>
          </w:p>
        </w:tc>
      </w:tr>
      <w:tr>
        <w:trPr>
          <w:trHeight w:val="23"/>
        </w:trPr>
        <w:tc>
          <w:tcPr>
            <w:tcW w:w="70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70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29"/>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62,244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73,060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(10,816)</w:t>
            </w:r>
          </w:p>
        </w:tc>
      </w:tr>
      <w:tr>
        <w:trPr>
          <w:trHeight w:val="234"/>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(2,687)</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8"/>
              </w:rPr>
              <w:t>(2,143)</w:t>
            </w:r>
          </w:p>
        </w:tc>
        <w:tc>
          <w:tcPr>
            <w:tcW w:w="12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w:t>
            </w:r>
          </w:p>
        </w:tc>
      </w:tr>
    </w:tbl>
    <w:p>
      <w:pPr>
        <w:spacing w:after="0" w:line="166"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Net sales decreased by $10.8 million, or 14.8%, during the three months ended March 31, 2025, compared to the three months ended March 31, 2024, primarily due to the closure of our Juarez, Mexico plant, lower volumes and unfavorable foreign exchange effects of $1.9 million.</w:t>
      </w:r>
    </w:p>
    <w:p>
      <w:pPr>
        <w:spacing w:after="0" w:line="54"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Loss from operations increased by $0.5 million during the three months ended March 31, 2025, compared to the same period in the prior year, primarily due to the lower revenue, partially offset by lower depreciation expense.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POWER SOLUTIONS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6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020" w:type="dxa"/>
            <w:vAlign w:val="bottom"/>
          </w:tcPr>
          <w:p>
            <w:pPr>
              <w:spacing w:after="0"/>
              <w:rPr>
                <w:sz w:val="16"/>
                <w:szCs w:val="16"/>
                <w:color w:val="auto"/>
              </w:rPr>
            </w:pPr>
          </w:p>
        </w:tc>
      </w:tr>
      <w:tr>
        <w:trPr>
          <w:trHeight w:val="23"/>
        </w:trPr>
        <w:tc>
          <w:tcPr>
            <w:tcW w:w="70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70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29"/>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43,508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48,238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(4,730)</w:t>
            </w:r>
          </w:p>
        </w:tc>
      </w:tr>
      <w:tr>
        <w:trPr>
          <w:trHeight w:val="234"/>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3,023</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3,979</w:t>
            </w:r>
          </w:p>
        </w:tc>
        <w:tc>
          <w:tcPr>
            <w:tcW w:w="12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w:t>
            </w:r>
          </w:p>
        </w:tc>
      </w:tr>
    </w:tbl>
    <w:p>
      <w:pPr>
        <w:spacing w:after="0" w:line="166" w:lineRule="exact"/>
        <w:rPr>
          <w:sz w:val="20"/>
          <w:szCs w:val="20"/>
          <w:color w:val="auto"/>
        </w:rPr>
      </w:pPr>
    </w:p>
    <w:p>
      <w:pPr>
        <w:ind w:right="380"/>
        <w:spacing w:after="0" w:line="250" w:lineRule="auto"/>
        <w:rPr>
          <w:sz w:val="20"/>
          <w:szCs w:val="20"/>
          <w:color w:val="auto"/>
        </w:rPr>
      </w:pPr>
      <w:r>
        <w:rPr>
          <w:rFonts w:ascii="Times New Roman" w:cs="Times New Roman" w:eastAsia="Times New Roman" w:hAnsi="Times New Roman"/>
          <w:sz w:val="18"/>
          <w:szCs w:val="18"/>
          <w:color w:val="auto"/>
        </w:rPr>
        <w:t>Net sales decreased by $4.7 million, or 9.8%, during the three months ended March 31, 2025 compared to the three months ended March 31, 2024, primarily due to the sale of our Lubbock operations in 2024, lower volumes and unfavorable foreign exchange effects of $0.8 million. These decreases were partially offset by higher precious metals pass-through pricing.</w:t>
      </w:r>
    </w:p>
    <w:p>
      <w:pPr>
        <w:spacing w:after="0" w:line="82" w:lineRule="exact"/>
        <w:rPr>
          <w:sz w:val="20"/>
          <w:szCs w:val="20"/>
          <w:color w:val="auto"/>
        </w:rPr>
      </w:pPr>
    </w:p>
    <w:p>
      <w:pPr>
        <w:ind w:right="100"/>
        <w:spacing w:after="0" w:line="312" w:lineRule="auto"/>
        <w:rPr>
          <w:sz w:val="20"/>
          <w:szCs w:val="20"/>
          <w:color w:val="auto"/>
        </w:rPr>
      </w:pPr>
      <w:r>
        <w:rPr>
          <w:rFonts w:ascii="Times New Roman" w:cs="Times New Roman" w:eastAsia="Times New Roman" w:hAnsi="Times New Roman"/>
          <w:sz w:val="17"/>
          <w:szCs w:val="17"/>
          <w:color w:val="auto"/>
        </w:rPr>
        <w:t>Income from operations decreased by $1.0 million during the three months ended March 31, 2025 compared to the same period in the prior year, primarily due to the lower revenues and unfavorable product mix, partially offset by lower operating costs due to the sale of the Lubbock operations in 2024.</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0" w:lineRule="exact"/>
        <w:rPr>
          <w:sz w:val="20"/>
          <w:szCs w:val="20"/>
          <w:color w:val="auto"/>
        </w:rPr>
      </w:pPr>
    </w:p>
    <w:p>
      <w:pPr>
        <w:ind w:right="5420"/>
        <w:spacing w:after="0" w:line="346" w:lineRule="auto"/>
        <w:rPr>
          <w:sz w:val="20"/>
          <w:szCs w:val="20"/>
          <w:color w:val="auto"/>
        </w:rPr>
      </w:pPr>
      <w:r>
        <w:rPr>
          <w:rFonts w:ascii="Times New Roman" w:cs="Times New Roman" w:eastAsia="Times New Roman" w:hAnsi="Times New Roman"/>
          <w:sz w:val="18"/>
          <w:szCs w:val="18"/>
          <w:b w:val="1"/>
          <w:bCs w:val="1"/>
          <w:color w:val="auto"/>
        </w:rPr>
        <w:t xml:space="preserve">Changes in Financial Condition from December 31, 2024 to March 31, 2025 </w:t>
      </w:r>
      <w:r>
        <w:rPr>
          <w:rFonts w:ascii="Times New Roman" w:cs="Times New Roman" w:eastAsia="Times New Roman" w:hAnsi="Times New Roman"/>
          <w:sz w:val="18"/>
          <w:szCs w:val="18"/>
          <w:i w:val="1"/>
          <w:iCs w:val="1"/>
          <w:color w:val="auto"/>
        </w:rPr>
        <w:t>Overview</w:t>
      </w:r>
    </w:p>
    <w:p>
      <w:pPr>
        <w:spacing w:after="0" w:line="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From December 31, 2024 to March 31, 2025, total assets increased by $3.8 million primarily due to increases in accounts receivable, prepaid assets and our investment in a joint venture. These increases were partially offset by decreases in intangible assets due to amortization.</w:t>
      </w:r>
    </w:p>
    <w:p>
      <w:pPr>
        <w:spacing w:after="0" w:line="54" w:lineRule="exact"/>
        <w:rPr>
          <w:sz w:val="20"/>
          <w:szCs w:val="20"/>
          <w:color w:val="auto"/>
        </w:rPr>
      </w:pPr>
    </w:p>
    <w:p>
      <w:pPr>
        <w:ind w:right="560"/>
        <w:spacing w:after="0" w:line="266" w:lineRule="auto"/>
        <w:rPr>
          <w:sz w:val="20"/>
          <w:szCs w:val="20"/>
          <w:color w:val="auto"/>
        </w:rPr>
      </w:pPr>
      <w:r>
        <w:rPr>
          <w:rFonts w:ascii="Times New Roman" w:cs="Times New Roman" w:eastAsia="Times New Roman" w:hAnsi="Times New Roman"/>
          <w:sz w:val="18"/>
          <w:szCs w:val="18"/>
          <w:color w:val="auto"/>
        </w:rPr>
        <w:t>From December 31, 2024 to March 31, 2025, total liabilities increased by $6.6 million, primarily due to increases in accounts payable, other current liabilities and long-term debt. These increases were partially offset by the decrease other noncurrent liabilities due to a decrease in the fair value of outstanding warrants.</w:t>
      </w:r>
    </w:p>
    <w:p>
      <w:pPr>
        <w:spacing w:after="0" w:line="68"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Working capital, which consists of current assets less current liabilities, was $82.9 million as of March 31, 2025, compared to $83.7 million as of December 31, 2024. The decrease in working capital was primarily due to increases in accounts payable and other current liabilities, partially offset by increases in accounts receivable and prepaid assets.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w:t>
      </w:r>
    </w:p>
    <w:p>
      <w:pPr>
        <w:spacing w:after="0" w:line="65" w:lineRule="exact"/>
        <w:rPr>
          <w:sz w:val="20"/>
          <w:szCs w:val="20"/>
          <w:color w:val="auto"/>
        </w:rPr>
      </w:pPr>
    </w:p>
    <w:p>
      <w:pPr>
        <w:ind w:right="40"/>
        <w:spacing w:after="0" w:line="312" w:lineRule="auto"/>
        <w:rPr>
          <w:sz w:val="20"/>
          <w:szCs w:val="20"/>
          <w:color w:val="auto"/>
        </w:rPr>
      </w:pPr>
      <w:r>
        <w:rPr>
          <w:rFonts w:ascii="Times New Roman" w:cs="Times New Roman" w:eastAsia="Times New Roman" w:hAnsi="Times New Roman"/>
          <w:sz w:val="17"/>
          <w:szCs w:val="17"/>
          <w:color w:val="auto"/>
        </w:rPr>
        <w:t>Cash used in operations was $3.3 million for the three months ended March 31, 2025, compared with cash provided of $0.7 million for the three months ended March 31, 2024. The unfavorable change is primarily due to lower gross margin contributions due to lower sales, and an increase in working capital.</w:t>
      </w:r>
    </w:p>
    <w:p>
      <w:pPr>
        <w:spacing w:after="0" w:line="3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Cash used in investing activities decreased by $1.6 million during the three months ended March 31, 2025, compared with the same period in 2024, due to lower expenditures for property, plant and equipment.</w:t>
      </w:r>
    </w:p>
    <w:p>
      <w:pPr>
        <w:spacing w:after="0" w:line="54"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Cash provided by financing activities decreased by $3.0 million during the three months ended March 31, 2025 compared with the same period in 2024, primarily due to proceeds from the sale-leaseback transactions in 2024, partially offset by lower repayments of long-term debt.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Facilities</w:t>
      </w:r>
    </w:p>
    <w:p>
      <w:pPr>
        <w:spacing w:after="0" w:line="65"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The principal amount outstanding under our 2021 Term Loan Facility as of March 31, 2025, was $114.3 million, without regard to unamortized debt issuance costs and discount. As of March 31, 2025, we had $8.0 million outstanding borrowings under the ABL Facility and $18.3 million available for future borrowings under the ABL Facility. This amount of borrowing capacity is net of $10.4 million of outstanding letters of credit at March 31, 2025, which are considered as usage of the ABL Facility.</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ABL Facility bears interest on a variable borrowing rate based on either: 1) the one, three or six month SOFR plus 1.50%, plus an adjustment of 0.10% (“Term SOFR Rate”); or 2) the highest of the base commercial lending rate of the lender or various benchmark rates plus an applicable margin of 0.50% or 1.0%, depending on the benchmark. We pay a commitment fee of 0.25% for unused capacity under the ABL Facility.</w:t>
      </w:r>
    </w:p>
    <w:p>
      <w:pPr>
        <w:spacing w:after="0" w:line="68"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We were in compliance with all requirements under our 2021 Term Loan Facility and ABL Facility as of March 31, 2025. Both credit facilities allow for optional expansion of available borrowings, subject to certain terms and conditions.</w:t>
      </w:r>
    </w:p>
    <w:p>
      <w:pPr>
        <w:spacing w:after="0" w:line="54"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On April 16, 2025, we repaid all of our outstanding obligations under the 2021 Term Loan Facility with the proceeds from a new term loan arrangement that has an initial principal balance of $118.0 million. See Note 18 to the Condensed Consolidated Financial Statements.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 Leaseback Transactions</w:t>
      </w:r>
    </w:p>
    <w:p>
      <w:pPr>
        <w:spacing w:after="0" w:line="6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During 2024, we entered into several sale-leaseback transactions. We received $16.9 million from the sale and leaseback of three properties, with the net proceeds used to repay a portion of the outstanding borrowings under the 2021 Term Loan Facility. This financing obligation has an effective fixed interest rate of 9.715%, requires monthly payments and terminates in 2044. In addition, we received $8.3 million from the sale and leaseback of equipment, with $3.4 million of the net proceeds used to repay a portion of the outstanding borrowings under the 2021 Term Loan Facility and the balance used for ongoing operational investments. These financing obligations have a weighted average effective interest rate of 10.540%, require monthly payments and have a weighted average remaining term of 3.6 years.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Receivable Sales Programs</w:t>
      </w:r>
    </w:p>
    <w:p>
      <w:pPr>
        <w:spacing w:after="0" w:line="6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We participate in programs established by our customers which allows us to sell certain receivables from that customer on a non-recourse basis to a third-party financial institution. In exchange, we receive payment on the receivables, less a discount, sooner than under the customary credit terms we have extended to that customer. These programs allow us to improve working capital and cash flows at the same or lower interest rates as available on our ABL Facility. Our access to these programs is dependent on our customers’ ongoing agreements with the third-parties. Our participation in these programs is based on our</w:t>
      </w:r>
    </w:p>
    <w:p>
      <w:pPr>
        <w:spacing w:after="0" w:line="200" w:lineRule="exact"/>
        <w:rPr>
          <w:sz w:val="20"/>
          <w:szCs w:val="20"/>
          <w:color w:val="auto"/>
        </w:rPr>
      </w:pPr>
    </w:p>
    <w:p>
      <w:pPr>
        <w:spacing w:after="0" w:line="3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7"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9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specific cash needs throughout the year, the discount charged to receive payment earlier, the length of the payment terms with our customers, as well being subject to limits in our ABL Facility and 2021 Term Loan Facility agreements.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Receivables</w:t>
      </w:r>
    </w:p>
    <w:p>
      <w:pPr>
        <w:spacing w:after="0" w:line="6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 2021, we filed a refund claim with the IRS as a result of the Coronavirus Aid, Relief, and Economic Security Act. Including interest accrued on the initial refund amount, we have a $12.4 million tax refund receivable at March 31, 2025, which is in the process of IRS review. The timing of the receipt of the refund is expected in the first half of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 and Fluctuation in Quarterly Results</w:t>
      </w:r>
    </w:p>
    <w:p>
      <w:pPr>
        <w:spacing w:after="0" w:line="6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General economic conditions impact our business and financial results, and certain businesses experience seasonal and other trends related to the industries and end markets that they serve. For example, European sales are often weaker in the summer months as customers slow production, and sales to original equipment manufacturers are often stronger immediately preceding and following the launch of new products. However, as a whole, we are not materially impacted by seasonality.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67"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Our significant accounting policies, including the assumptions and judgments underlying them, are disclosed in Note 1 of the Notes to Consolidated Financial Statements included in the 2024 Annual Report. Our most critical accounting estimates are discussed in the Management’s Discussion and Analysis of Financial Condition and Results of Operations included in the 2024 Annual Report. There have been no material changes to our significant accounting policies or critical accounting estimates during the three months ended March 31, 2025.</w:t>
      </w:r>
    </w:p>
    <w:p>
      <w:pPr>
        <w:spacing w:after="0" w:line="17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6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are exposed to changes in financial market conditions in the normal course of business due to use of certain financial instruments as well as transacting business in various foreign currencies. To mitigate the exposure to these market risks, we have established policies, procedures, and internal processes governing the management of financial market risks. We are exposed to changes in interest rates primarily as a result of borrowing activities.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6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are subject to interest rate risk due to our variable rate debt, which comprises a majority of our outstanding indebtedness. The nature and amount of borrowings may vary as a result of future business requirements, market conditions, and other factors. To manage interest rate risk, we have used, and may in the future use, interest rate swap agreements.</w:t>
      </w:r>
    </w:p>
    <w:p>
      <w:pPr>
        <w:spacing w:after="0" w:line="6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At March 31, 2025, we had $114.3 million of principal outstanding under the 2021 Term Loan Facility without regard to capitalized debt issuance costs. A one-percent increase in one-month SOFR would have resulted in a net increase in interest expense of $1.1 million on an annualized basis.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March 31, 2025, based on a one-month Term SOFR Rate, the interest rate on outstanding borrowings under the ABL Facility was 5.92%.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Risk</w:t>
      </w:r>
    </w:p>
    <w:p>
      <w:pPr>
        <w:spacing w:after="0" w:line="67"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Translation of our operating cash flows denominated in foreign currencies is impacted by changes in foreign exchange rates. We invoice and receive payment from many of our customers in various other currencies. Additionally, we are party to third party and intercompany loans, payables, and receivables denominated in currencies other than the U.S. dollar. Various strategies to manage this risk are available to management, including producing and selling in local currencies and hedging programs. We did not hold a position in any foreign currency derivatives as of March 31, 2025.</w:t>
      </w:r>
    </w:p>
    <w:p>
      <w:pPr>
        <w:spacing w:after="0" w:line="17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12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Under the supervision and with the participation of management, including our Chief Executive Officer and Chief Financial Officer, we evaluated the effectiveness of disclosure controls and procedures (as defined in Rule 13a-15(e) and 15d-15(e) of the Exchange Act). Based upon that evaluation, our Chief Executive Officer and Chief Financial Officer concluded that our disclosure controls and procedures were effective as of March 31, 2025, to ensure that information required to be disclosed in the reports that we file or submit under the Exchange Act is recorded, processed, summarized, and reported within the time periods specified in the SEC’s rules and forms, and that such information is accumulated and communicated to management, including the Chief Executive Officer and Chief Financial Officer, as appropriate, to allow for timely decisions regarding required disclosure.</w:t>
      </w:r>
    </w:p>
    <w:p>
      <w:pPr>
        <w:spacing w:after="0" w:line="200" w:lineRule="exact"/>
        <w:rPr>
          <w:sz w:val="20"/>
          <w:szCs w:val="20"/>
          <w:color w:val="auto"/>
        </w:rPr>
      </w:pPr>
    </w:p>
    <w:p>
      <w:pPr>
        <w:spacing w:after="0" w:line="2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77" w:right="3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6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the Exchange Act Rules 13a-15(f) and 15d-15(f)) that occurred during the fiscal quarter ended March 31, 2025, that have materially affected, or are reasonably likely to materially affect, our internal control over financial reporting.</w:t>
      </w:r>
    </w:p>
    <w:p>
      <w:pPr>
        <w:spacing w:after="0" w:line="200" w:lineRule="exact"/>
        <w:rPr>
          <w:sz w:val="20"/>
          <w:szCs w:val="20"/>
          <w:color w:val="auto"/>
        </w:rPr>
      </w:pPr>
    </w:p>
    <w:p>
      <w:pPr>
        <w:spacing w:after="0" w:line="38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477" w:right="4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67"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As disclosed in Note 11 in the Notes to Condensed Consolidated Financial Statements included in this Quarterly Report, we are engaged in certain legal proceedings, and the disclosure set forth in Note 11 relating to legal proceedings is incorporated herein by reference.</w:t>
      </w:r>
    </w:p>
    <w:p>
      <w:pPr>
        <w:spacing w:after="0" w:line="158"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1A.</w:t>
        <w:tab/>
        <w:t>Risk Factors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Except as noted below, there have been no material changes to the risk factors disclosed in the 2024 Annual Report under Item 1A, “Risk Factors.”</w:t>
      </w:r>
    </w:p>
    <w:p>
      <w:pPr>
        <w:spacing w:after="0" w:line="113" w:lineRule="exact"/>
        <w:rPr>
          <w:sz w:val="20"/>
          <w:szCs w:val="20"/>
          <w:color w:val="auto"/>
        </w:rPr>
      </w:pPr>
    </w:p>
    <w:p>
      <w:pPr>
        <w:ind w:right="54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Changes in U.S. administrative policy, including the imposition of or increases in tariffs, changes to existing trade agreements and any resulting changes in international trade relations, may have an adverse effect on our business.</w:t>
      </w:r>
    </w:p>
    <w:p>
      <w:pPr>
        <w:spacing w:after="0" w:line="253" w:lineRule="auto"/>
        <w:rPr>
          <w:sz w:val="20"/>
          <w:szCs w:val="20"/>
          <w:color w:val="auto"/>
        </w:rPr>
      </w:pPr>
      <w:r>
        <w:rPr>
          <w:rFonts w:ascii="Times New Roman" w:cs="Times New Roman" w:eastAsia="Times New Roman" w:hAnsi="Times New Roman"/>
          <w:sz w:val="18"/>
          <w:szCs w:val="18"/>
          <w:color w:val="auto"/>
        </w:rPr>
        <w:t>Changes in laws or policies governing the terms of trade, and in particular increased trade restrictions, tariffs or taxes on imports from countries where we manufacture products, such as Mexico and China, could have a material adverse effect on our business and financial results. For example, the U.S. government has recently taken actions or made proposals that are intended to address trade imbalances or trade practices, specifically with China, among other countries, which include encouraging increased production in the United States. The impact of these tariffs is subject to a number of factors, including the effective date and duration of such tariffs, changes in the amount, scope and nature of the tariffs in the future, any retaliatory responses to such actions that the target countries may take and any mitigating actions that may become available. Despite recent trade negotiations between the United States and the Mexican, Canadian and Chinese governments, given the uncertainty regarding the scope and duration of any new tariffs, as well as the potential for additional tariffs or trade barriers by the United States, Mexico, Canada, China or other countries, we can provide no assurance that any strategies we implement to mitigate the impact of such tariffs or other trade actions will be successful. A trade war or other significant changes in trade regulations could have a material adverse effect on our business, financial condition and results of operations.</w:t>
      </w:r>
    </w:p>
    <w:p>
      <w:pPr>
        <w:spacing w:after="0" w:line="8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If renegotiations of existing tariffs are unsuccessful or additional tariffs or trade restrictions are implemented by the United States or other countries in connection with a global trade war, the resulting escalation of trade tensions could have a material adverse effect on world trade and the global economy. Even in the absence of further tariffs or trade restrictions, the related uncertainty and the market's fear of an economic slowdown could lead to a decrease in consumer spending, and we may experience lower net sales than expected. Reduced net sales may result in reduced operating cash flows if we are not able to appropriately manage inventory levels or leverage expenses.</w:t>
      </w:r>
    </w:p>
    <w:p>
      <w:pPr>
        <w:spacing w:after="0" w:line="75" w:lineRule="exact"/>
        <w:rPr>
          <w:sz w:val="20"/>
          <w:szCs w:val="20"/>
          <w:color w:val="auto"/>
        </w:rPr>
      </w:pPr>
    </w:p>
    <w:p>
      <w:pPr>
        <w:ind w:right="260"/>
        <w:spacing w:after="0" w:line="312" w:lineRule="auto"/>
        <w:rPr>
          <w:sz w:val="20"/>
          <w:szCs w:val="20"/>
          <w:color w:val="auto"/>
        </w:rPr>
      </w:pPr>
      <w:r>
        <w:rPr>
          <w:rFonts w:ascii="Times New Roman" w:cs="Times New Roman" w:eastAsia="Times New Roman" w:hAnsi="Times New Roman"/>
          <w:sz w:val="17"/>
          <w:szCs w:val="17"/>
          <w:color w:val="auto"/>
        </w:rPr>
        <w:t>While the future financial impact of these actions and potential additional U.S. tariff actions and retaliatory actions by other countries remains unknown, the potential implications and ramifications of tariffs could have a material adverse effect on our financial statements in any particular reporting period.</w:t>
      </w:r>
    </w:p>
    <w:p>
      <w:pPr>
        <w:spacing w:after="0" w:line="136"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Issuer Purchases of Equity Securities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about purchases we made during the quarter ended March 31, 2025.</w:t>
      </w:r>
    </w:p>
    <w:p>
      <w:pPr>
        <w:spacing w:after="0" w:line="3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34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Total Number of</w:t>
            </w:r>
          </w:p>
        </w:tc>
        <w:tc>
          <w:tcPr>
            <w:tcW w:w="1860" w:type="dxa"/>
            <w:vAlign w:val="bottom"/>
          </w:tcPr>
          <w:p>
            <w:pPr>
              <w:jc w:val="center"/>
              <w:ind w:left="228"/>
              <w:spacing w:after="0"/>
              <w:rPr>
                <w:sz w:val="20"/>
                <w:szCs w:val="20"/>
                <w:color w:val="auto"/>
              </w:rPr>
            </w:pPr>
            <w:r>
              <w:rPr>
                <w:rFonts w:ascii="Times New Roman" w:cs="Times New Roman" w:eastAsia="Times New Roman" w:hAnsi="Times New Roman"/>
                <w:sz w:val="14"/>
                <w:szCs w:val="14"/>
                <w:color w:val="auto"/>
              </w:rPr>
              <w:t>Maximum Number (or</w:t>
            </w:r>
          </w:p>
        </w:tc>
        <w:tc>
          <w:tcPr>
            <w:tcW w:w="0" w:type="dxa"/>
            <w:vAlign w:val="bottom"/>
          </w:tcPr>
          <w:p>
            <w:pPr>
              <w:spacing w:after="0"/>
              <w:rPr>
                <w:sz w:val="1"/>
                <w:szCs w:val="1"/>
                <w:color w:val="auto"/>
              </w:rPr>
            </w:pPr>
          </w:p>
        </w:tc>
      </w:tr>
      <w:tr>
        <w:trPr>
          <w:trHeight w:val="144"/>
        </w:trPr>
        <w:tc>
          <w:tcPr>
            <w:tcW w:w="234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66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Shares Purchased</w:t>
            </w:r>
          </w:p>
        </w:tc>
        <w:tc>
          <w:tcPr>
            <w:tcW w:w="1860" w:type="dxa"/>
            <w:vAlign w:val="bottom"/>
          </w:tcPr>
          <w:p>
            <w:pPr>
              <w:jc w:val="center"/>
              <w:ind w:left="228"/>
              <w:spacing w:after="0" w:line="145" w:lineRule="exact"/>
              <w:rPr>
                <w:sz w:val="20"/>
                <w:szCs w:val="20"/>
                <w:color w:val="auto"/>
              </w:rPr>
            </w:pPr>
            <w:r>
              <w:rPr>
                <w:rFonts w:ascii="Times New Roman" w:cs="Times New Roman" w:eastAsia="Times New Roman" w:hAnsi="Times New Roman"/>
                <w:sz w:val="14"/>
                <w:szCs w:val="14"/>
                <w:color w:val="auto"/>
              </w:rPr>
              <w:t>Approximate Dollar Value)</w:t>
            </w:r>
          </w:p>
        </w:tc>
        <w:tc>
          <w:tcPr>
            <w:tcW w:w="0" w:type="dxa"/>
            <w:vAlign w:val="bottom"/>
          </w:tcPr>
          <w:p>
            <w:pPr>
              <w:spacing w:after="0"/>
              <w:rPr>
                <w:sz w:val="1"/>
                <w:szCs w:val="1"/>
                <w:color w:val="auto"/>
              </w:rPr>
            </w:pPr>
          </w:p>
        </w:tc>
      </w:tr>
      <w:tr>
        <w:trPr>
          <w:trHeight w:val="139"/>
        </w:trPr>
        <w:tc>
          <w:tcPr>
            <w:tcW w:w="2340" w:type="dxa"/>
            <w:vAlign w:val="bottom"/>
          </w:tcPr>
          <w:p>
            <w:pPr>
              <w:spacing w:after="0"/>
              <w:rPr>
                <w:sz w:val="12"/>
                <w:szCs w:val="12"/>
                <w:color w:val="auto"/>
              </w:rPr>
            </w:pPr>
          </w:p>
        </w:tc>
        <w:tc>
          <w:tcPr>
            <w:tcW w:w="3400" w:type="dxa"/>
            <w:vAlign w:val="bottom"/>
            <w:vMerge w:val="restart"/>
          </w:tcPr>
          <w:p>
            <w:pPr>
              <w:jc w:val="center"/>
              <w:ind w:left="1608"/>
              <w:spacing w:after="0"/>
              <w:rPr>
                <w:sz w:val="20"/>
                <w:szCs w:val="20"/>
                <w:color w:val="auto"/>
              </w:rPr>
            </w:pPr>
            <w:r>
              <w:rPr>
                <w:rFonts w:ascii="Times New Roman" w:cs="Times New Roman" w:eastAsia="Times New Roman" w:hAnsi="Times New Roman"/>
                <w:sz w:val="14"/>
                <w:szCs w:val="14"/>
                <w:color w:val="auto"/>
              </w:rPr>
              <w:t>Total Number of</w:t>
            </w:r>
          </w:p>
        </w:tc>
        <w:tc>
          <w:tcPr>
            <w:tcW w:w="1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Average Price Paid</w:t>
            </w:r>
          </w:p>
        </w:tc>
        <w:tc>
          <w:tcPr>
            <w:tcW w:w="166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color w:val="auto"/>
              </w:rPr>
              <w:t>as Part of Publicly</w:t>
            </w:r>
          </w:p>
        </w:tc>
        <w:tc>
          <w:tcPr>
            <w:tcW w:w="1860" w:type="dxa"/>
            <w:vAlign w:val="bottom"/>
          </w:tcPr>
          <w:p>
            <w:pPr>
              <w:jc w:val="center"/>
              <w:ind w:left="228"/>
              <w:spacing w:after="0" w:line="139" w:lineRule="exact"/>
              <w:rPr>
                <w:sz w:val="20"/>
                <w:szCs w:val="20"/>
                <w:color w:val="auto"/>
              </w:rPr>
            </w:pPr>
            <w:r>
              <w:rPr>
                <w:rFonts w:ascii="Times New Roman" w:cs="Times New Roman" w:eastAsia="Times New Roman" w:hAnsi="Times New Roman"/>
                <w:sz w:val="14"/>
                <w:szCs w:val="14"/>
                <w:color w:val="auto"/>
              </w:rPr>
              <w:t>of Shares That May Yet</w:t>
            </w:r>
          </w:p>
        </w:tc>
        <w:tc>
          <w:tcPr>
            <w:tcW w:w="0" w:type="dxa"/>
            <w:vAlign w:val="bottom"/>
          </w:tcPr>
          <w:p>
            <w:pPr>
              <w:spacing w:after="0"/>
              <w:rPr>
                <w:sz w:val="1"/>
                <w:szCs w:val="1"/>
                <w:color w:val="auto"/>
              </w:rPr>
            </w:pPr>
          </w:p>
        </w:tc>
      </w:tr>
      <w:tr>
        <w:trPr>
          <w:trHeight w:val="145"/>
        </w:trPr>
        <w:tc>
          <w:tcPr>
            <w:tcW w:w="23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Period</w:t>
            </w:r>
          </w:p>
        </w:tc>
        <w:tc>
          <w:tcPr>
            <w:tcW w:w="3400" w:type="dxa"/>
            <w:vAlign w:val="bottom"/>
            <w:vMerge w:val="continue"/>
          </w:tcPr>
          <w:p>
            <w:pPr>
              <w:spacing w:after="0"/>
              <w:rPr>
                <w:sz w:val="12"/>
                <w:szCs w:val="12"/>
                <w:color w:val="auto"/>
              </w:rPr>
            </w:pPr>
          </w:p>
        </w:tc>
        <w:tc>
          <w:tcPr>
            <w:tcW w:w="1680" w:type="dxa"/>
            <w:vAlign w:val="bottom"/>
            <w:vMerge w:val="continue"/>
          </w:tcPr>
          <w:p>
            <w:pPr>
              <w:spacing w:after="0"/>
              <w:rPr>
                <w:sz w:val="12"/>
                <w:szCs w:val="12"/>
                <w:color w:val="auto"/>
              </w:rPr>
            </w:pPr>
          </w:p>
        </w:tc>
        <w:tc>
          <w:tcPr>
            <w:tcW w:w="166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Announced Plans</w:t>
            </w:r>
          </w:p>
        </w:tc>
        <w:tc>
          <w:tcPr>
            <w:tcW w:w="1860" w:type="dxa"/>
            <w:vAlign w:val="bottom"/>
          </w:tcPr>
          <w:p>
            <w:pPr>
              <w:jc w:val="center"/>
              <w:ind w:left="228"/>
              <w:spacing w:after="0" w:line="145" w:lineRule="exact"/>
              <w:rPr>
                <w:sz w:val="20"/>
                <w:szCs w:val="20"/>
                <w:color w:val="auto"/>
              </w:rPr>
            </w:pPr>
            <w:r>
              <w:rPr>
                <w:rFonts w:ascii="Times New Roman" w:cs="Times New Roman" w:eastAsia="Times New Roman" w:hAnsi="Times New Roman"/>
                <w:sz w:val="14"/>
                <w:szCs w:val="14"/>
                <w:color w:val="auto"/>
              </w:rPr>
              <w:t>Be Purchased Under the</w:t>
            </w:r>
          </w:p>
        </w:tc>
        <w:tc>
          <w:tcPr>
            <w:tcW w:w="0" w:type="dxa"/>
            <w:vAlign w:val="bottom"/>
          </w:tcPr>
          <w:p>
            <w:pPr>
              <w:spacing w:after="0"/>
              <w:rPr>
                <w:sz w:val="1"/>
                <w:szCs w:val="1"/>
                <w:color w:val="auto"/>
              </w:rPr>
            </w:pPr>
          </w:p>
        </w:tc>
      </w:tr>
      <w:tr>
        <w:trPr>
          <w:trHeight w:val="201"/>
        </w:trPr>
        <w:tc>
          <w:tcPr>
            <w:tcW w:w="2340" w:type="dxa"/>
            <w:vAlign w:val="bottom"/>
            <w:vMerge w:val="continue"/>
          </w:tcPr>
          <w:p>
            <w:pPr>
              <w:spacing w:after="0"/>
              <w:rPr>
                <w:sz w:val="17"/>
                <w:szCs w:val="17"/>
                <w:color w:val="auto"/>
              </w:rPr>
            </w:pPr>
          </w:p>
        </w:tc>
        <w:tc>
          <w:tcPr>
            <w:tcW w:w="3400" w:type="dxa"/>
            <w:vAlign w:val="bottom"/>
          </w:tcPr>
          <w:p>
            <w:pPr>
              <w:jc w:val="center"/>
              <w:ind w:left="1588"/>
              <w:spacing w:after="0" w:line="201" w:lineRule="exact"/>
              <w:rPr>
                <w:sz w:val="20"/>
                <w:szCs w:val="20"/>
                <w:color w:val="auto"/>
              </w:rPr>
            </w:pPr>
            <w:r>
              <w:rPr>
                <w:rFonts w:ascii="Times New Roman" w:cs="Times New Roman" w:eastAsia="Times New Roman" w:hAnsi="Times New Roman"/>
                <w:sz w:val="14"/>
                <w:szCs w:val="14"/>
                <w:color w:val="auto"/>
                <w:w w:val="98"/>
              </w:rPr>
              <w:t xml:space="preserve">Shares Purchased </w:t>
            </w:r>
            <w:r>
              <w:rPr>
                <w:rFonts w:ascii="Times New Roman" w:cs="Times New Roman" w:eastAsia="Times New Roman" w:hAnsi="Times New Roman"/>
                <w:sz w:val="18"/>
                <w:szCs w:val="18"/>
                <w:color w:val="auto"/>
                <w:w w:val="98"/>
                <w:vertAlign w:val="superscript"/>
              </w:rPr>
              <w:t>(1)</w:t>
            </w: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Per Share</w:t>
            </w:r>
          </w:p>
        </w:tc>
        <w:tc>
          <w:tcPr>
            <w:tcW w:w="1660" w:type="dxa"/>
            <w:vAlign w:val="bottom"/>
          </w:tcPr>
          <w:p>
            <w:pPr>
              <w:jc w:val="center"/>
              <w:spacing w:after="0" w:line="201" w:lineRule="exact"/>
              <w:rPr>
                <w:sz w:val="20"/>
                <w:szCs w:val="20"/>
                <w:color w:val="auto"/>
              </w:rPr>
            </w:pPr>
            <w:r>
              <w:rPr>
                <w:rFonts w:ascii="Times New Roman" w:cs="Times New Roman" w:eastAsia="Times New Roman" w:hAnsi="Times New Roman"/>
                <w:sz w:val="14"/>
                <w:szCs w:val="14"/>
                <w:color w:val="auto"/>
                <w:w w:val="97"/>
              </w:rPr>
              <w:t xml:space="preserve">or Programs </w:t>
            </w:r>
            <w:r>
              <w:rPr>
                <w:rFonts w:ascii="Times New Roman" w:cs="Times New Roman" w:eastAsia="Times New Roman" w:hAnsi="Times New Roman"/>
                <w:sz w:val="18"/>
                <w:szCs w:val="18"/>
                <w:color w:val="auto"/>
                <w:w w:val="97"/>
                <w:vertAlign w:val="superscript"/>
              </w:rPr>
              <w:t>(1)</w:t>
            </w:r>
          </w:p>
        </w:tc>
        <w:tc>
          <w:tcPr>
            <w:tcW w:w="1860" w:type="dxa"/>
            <w:vAlign w:val="bottom"/>
          </w:tcPr>
          <w:p>
            <w:pPr>
              <w:jc w:val="center"/>
              <w:ind w:left="228"/>
              <w:spacing w:after="0" w:line="201" w:lineRule="exact"/>
              <w:rPr>
                <w:sz w:val="20"/>
                <w:szCs w:val="20"/>
                <w:color w:val="auto"/>
              </w:rPr>
            </w:pPr>
            <w:r>
              <w:rPr>
                <w:rFonts w:ascii="Times New Roman" w:cs="Times New Roman" w:eastAsia="Times New Roman" w:hAnsi="Times New Roman"/>
                <w:sz w:val="14"/>
                <w:szCs w:val="14"/>
                <w:color w:val="auto"/>
              </w:rPr>
              <w:t xml:space="preserve">Plan or Programs </w:t>
            </w:r>
            <w:r>
              <w:rPr>
                <w:rFonts w:ascii="Times New Roman" w:cs="Times New Roman" w:eastAsia="Times New Roman" w:hAnsi="Times New Roman"/>
                <w:sz w:val="18"/>
                <w:szCs w:val="18"/>
                <w:color w:val="auto"/>
                <w:vertAlign w:val="superscript"/>
              </w:rPr>
              <w:t>(1)</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9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1, 2025 to January 31, 2025</w:t>
            </w:r>
          </w:p>
        </w:tc>
        <w:tc>
          <w:tcPr>
            <w:tcW w:w="12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10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120" w:type="dxa"/>
            <w:vAlign w:val="bottom"/>
            <w:tcBorders>
              <w:top w:val="single" w:sz="8" w:color="auto"/>
            </w:tcBorders>
            <w:shd w:val="clear" w:color="auto" w:fill="CCEEFF"/>
          </w:tcPr>
          <w:p>
            <w:pPr>
              <w:ind w:left="186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February 1, 2025 to February 28, 2025</w:t>
            </w:r>
          </w:p>
        </w:tc>
        <w:tc>
          <w:tcPr>
            <w:tcW w:w="1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1, 2025 to March 31, 2025</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19,049</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shd w:val="clear" w:color="auto" w:fill="CCEEFF"/>
          </w:tcPr>
          <w:p>
            <w:pPr>
              <w:ind w:left="186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19,620</w:t>
            </w:r>
          </w:p>
        </w:tc>
        <w:tc>
          <w:tcPr>
            <w:tcW w:w="10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tcPr>
          <w:p>
            <w:pPr>
              <w:spacing w:after="0"/>
              <w:rPr>
                <w:sz w:val="19"/>
                <w:szCs w:val="19"/>
                <w:color w:val="auto"/>
              </w:rPr>
            </w:pPr>
          </w:p>
        </w:tc>
        <w:tc>
          <w:tcPr>
            <w:tcW w:w="1520" w:type="dxa"/>
            <w:vAlign w:val="bottom"/>
            <w:tcBorders>
              <w:top w:val="single" w:sz="8" w:color="auto"/>
              <w:bottom w:val="single" w:sz="8" w:color="auto"/>
            </w:tcBorders>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120" w:type="dxa"/>
            <w:vAlign w:val="bottom"/>
            <w:tcBorders>
              <w:top w:val="single" w:sz="8" w:color="auto"/>
              <w:bottom w:val="single" w:sz="8" w:color="auto"/>
            </w:tcBorders>
          </w:tcPr>
          <w:p>
            <w:pPr>
              <w:ind w:left="186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3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w:t>
      </w:r>
    </w:p>
    <w:p>
      <w:pPr>
        <w:spacing w:after="0" w:line="113" w:lineRule="exact"/>
        <w:rPr>
          <w:sz w:val="20"/>
          <w:szCs w:val="20"/>
          <w:color w:val="auto"/>
        </w:rPr>
      </w:pPr>
    </w:p>
    <w:p>
      <w:pPr>
        <w:ind w:left="660" w:right="120" w:hanging="328"/>
        <w:spacing w:after="0" w:line="261" w:lineRule="auto"/>
        <w:tabs>
          <w:tab w:leader="none" w:pos="652"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Shares were withheld to pay for tax obligations due upon the vesting of share-based awards held by employees granted under the NN, Inc. Amended and Restated 2022 Omnibus Incentive Plan and prior plans (collectively the “Incentive Plans”). The Incentive Plans provides for the withholding of shares or units to satisfy income tax obligations. It does not specify a maximum number of shares or units that can be withheld for this purpose. These shares may be deemed to be “issuer purchases” of shares that are required to be disclosed pursuant to this Item.</w:t>
      </w:r>
    </w:p>
    <w:p>
      <w:pPr>
        <w:spacing w:after="0" w:line="17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Defaults Upon Senior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0"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tab/>
        <w:t>Other Information</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Adoption or Termination of Trading Arrangements</w:t>
      </w:r>
    </w:p>
    <w:p>
      <w:pPr>
        <w:spacing w:after="0" w:line="65"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During the quarter ended March 31, 2025, none of the Company’s directors or executive officers adopted or terminated any Rule 10b5-1 trading arrangement or non-Rule 10b5-1 trading arrangement, as defined in Item 408 of Regulation S-K.</w:t>
      </w:r>
    </w:p>
    <w:p>
      <w:pPr>
        <w:spacing w:after="0" w:line="15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2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40" w:type="dxa"/>
            <w:vAlign w:val="bottom"/>
            <w:gridSpan w:val="15"/>
            <w:vMerge w:val="restart"/>
          </w:tcPr>
          <w:p>
            <w:pPr>
              <w:ind w:left="360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0" w:type="dxa"/>
            <w:vAlign w:val="bottom"/>
          </w:tcPr>
          <w:p>
            <w:pPr>
              <w:spacing w:after="0"/>
              <w:rPr>
                <w:sz w:val="1"/>
                <w:szCs w:val="1"/>
                <w:color w:val="auto"/>
              </w:rPr>
            </w:pPr>
          </w:p>
        </w:tc>
      </w:tr>
      <w:tr>
        <w:trPr>
          <w:trHeight w:val="196"/>
        </w:trPr>
        <w:tc>
          <w:tcPr>
            <w:tcW w:w="112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240" w:type="dxa"/>
            <w:vAlign w:val="bottom"/>
            <w:gridSpan w:val="15"/>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37"/>
        </w:trPr>
        <w:tc>
          <w:tcPr>
            <w:tcW w:w="10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940" w:type="dxa"/>
            <w:vAlign w:val="bottom"/>
            <w:tcBorders>
              <w:top w:val="single" w:sz="8" w:color="auto"/>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Letter of Understanding by and between NN, Inc. and Jami Statham.</w:t>
            </w:r>
          </w:p>
        </w:tc>
        <w:tc>
          <w:tcPr>
            <w:tcW w:w="4980" w:type="dxa"/>
            <w:vAlign w:val="bottom"/>
            <w:tcBorders>
              <w:top w:val="single" w:sz="8" w:color="auto"/>
            </w:tcBorders>
            <w:gridSpan w:val="13"/>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920" w:type="dxa"/>
            <w:vAlign w:val="bottom"/>
            <w:gridSpan w:val="16"/>
          </w:tcPr>
          <w:p>
            <w:pPr>
              <w:spacing w:after="0"/>
              <w:rPr>
                <w:rFonts w:ascii="Times New Roman" w:cs="Times New Roman" w:eastAsia="Times New Roman" w:hAnsi="Times New Roman"/>
                <w:sz w:val="18"/>
                <w:szCs w:val="18"/>
                <w:color w:val="0000FF"/>
              </w:rPr>
            </w:pPr>
            <w:hyperlink r:id="rId48">
              <w:r>
                <w:rPr>
                  <w:rFonts w:ascii="Times New Roman" w:cs="Times New Roman" w:eastAsia="Times New Roman" w:hAnsi="Times New Roman"/>
                  <w:sz w:val="18"/>
                  <w:szCs w:val="18"/>
                  <w:color w:val="0000FF"/>
                </w:rPr>
                <w:t>Amendment No. 6 to Term Loan Credit Agreement, dated as of March 28, 2025, by and among NN, Inc., certain subsidiaries of NN,</w:t>
              </w:r>
            </w:hyperlink>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40" w:type="dxa"/>
            <w:vAlign w:val="bottom"/>
            <w:tcBorders>
              <w:top w:val="single" w:sz="8" w:color="0000FF"/>
              <w:bottom w:val="single" w:sz="8" w:color="0000FF"/>
            </w:tcBorders>
            <w:gridSpan w:val="9"/>
          </w:tcPr>
          <w:p>
            <w:pPr>
              <w:spacing w:after="0" w:line="156" w:lineRule="exact"/>
              <w:rPr>
                <w:rFonts w:ascii="Times New Roman" w:cs="Times New Roman" w:eastAsia="Times New Roman" w:hAnsi="Times New Roman"/>
                <w:sz w:val="18"/>
                <w:szCs w:val="18"/>
                <w:color w:val="0000FF"/>
                <w:w w:val="97"/>
              </w:rPr>
            </w:pPr>
            <w:hyperlink r:id="rId48">
              <w:r>
                <w:rPr>
                  <w:rFonts w:ascii="Times New Roman" w:cs="Times New Roman" w:eastAsia="Times New Roman" w:hAnsi="Times New Roman"/>
                  <w:sz w:val="18"/>
                  <w:szCs w:val="18"/>
                  <w:color w:val="0000FF"/>
                  <w:w w:val="97"/>
                </w:rPr>
                <w:t>Inc., the lenders party thereto and Oaktree Fund Administration, LLC, as administrative agent (Filed as Exhibit 10.1 to the Registrant’s</w:t>
              </w:r>
            </w:hyperlink>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tcPr>
          <w:p>
            <w:pPr>
              <w:spacing w:after="0"/>
              <w:rPr>
                <w:sz w:val="13"/>
                <w:szCs w:val="13"/>
                <w:color w:val="auto"/>
              </w:rPr>
            </w:pPr>
          </w:p>
        </w:tc>
        <w:tc>
          <w:tcPr>
            <w:tcW w:w="10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00" w:type="dxa"/>
            <w:vAlign w:val="bottom"/>
            <w:gridSpan w:val="12"/>
          </w:tcPr>
          <w:p>
            <w:pPr>
              <w:spacing w:after="0" w:line="156" w:lineRule="exact"/>
              <w:rPr>
                <w:rFonts w:ascii="Times New Roman" w:cs="Times New Roman" w:eastAsia="Times New Roman" w:hAnsi="Times New Roman"/>
                <w:sz w:val="18"/>
                <w:szCs w:val="18"/>
                <w:color w:val="0000FF"/>
              </w:rPr>
            </w:pPr>
            <w:hyperlink r:id="rId48">
              <w:r>
                <w:rPr>
                  <w:rFonts w:ascii="Times New Roman" w:cs="Times New Roman" w:eastAsia="Times New Roman" w:hAnsi="Times New Roman"/>
                  <w:sz w:val="18"/>
                  <w:szCs w:val="18"/>
                  <w:color w:val="0000FF"/>
                </w:rPr>
                <w:t>Current Report on Form 8-K filed on April 2, 2025 and incorporated herein by reference).</w:t>
              </w:r>
            </w:hyperlink>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3760" w:type="dxa"/>
            <w:vAlign w:val="bottom"/>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920" w:type="dxa"/>
            <w:vAlign w:val="bottom"/>
            <w:gridSpan w:val="16"/>
          </w:tcPr>
          <w:p>
            <w:pPr>
              <w:spacing w:after="0"/>
              <w:rPr>
                <w:rFonts w:ascii="Times New Roman" w:cs="Times New Roman" w:eastAsia="Times New Roman" w:hAnsi="Times New Roman"/>
                <w:sz w:val="18"/>
                <w:szCs w:val="18"/>
                <w:color w:val="0000FF"/>
              </w:rPr>
            </w:pPr>
            <w:hyperlink r:id="rId49">
              <w:r>
                <w:rPr>
                  <w:rFonts w:ascii="Times New Roman" w:cs="Times New Roman" w:eastAsia="Times New Roman" w:hAnsi="Times New Roman"/>
                  <w:sz w:val="18"/>
                  <w:szCs w:val="18"/>
                  <w:color w:val="0000FF"/>
                </w:rPr>
                <w:t>Term Loan Credit Agreement, dated as of April 16, 2025, among NN, Inc., as the Borrower and The Lenders Party Hereto and Alter</w:t>
              </w:r>
            </w:hyperlink>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20" w:type="dxa"/>
            <w:vAlign w:val="bottom"/>
            <w:tcBorders>
              <w:top w:val="single" w:sz="8" w:color="0000FF"/>
            </w:tcBorders>
            <w:gridSpan w:val="8"/>
          </w:tcPr>
          <w:p>
            <w:pPr>
              <w:spacing w:after="0" w:line="156" w:lineRule="exact"/>
              <w:rPr>
                <w:rFonts w:ascii="Times New Roman" w:cs="Times New Roman" w:eastAsia="Times New Roman" w:hAnsi="Times New Roman"/>
                <w:sz w:val="18"/>
                <w:szCs w:val="18"/>
                <w:color w:val="0000FF"/>
              </w:rPr>
            </w:pPr>
            <w:hyperlink r:id="rId49">
              <w:r>
                <w:rPr>
                  <w:rFonts w:ascii="Times New Roman" w:cs="Times New Roman" w:eastAsia="Times New Roman" w:hAnsi="Times New Roman"/>
                  <w:sz w:val="18"/>
                  <w:szCs w:val="18"/>
                  <w:color w:val="0000FF"/>
                </w:rPr>
                <w:t>Domus (US) LLC, as Administrative Agent for all of the Lenders (Filed as Exhibit 10.1 to the Registrant’s Current Report on Form</w:t>
              </w:r>
            </w:hyperlink>
          </w:p>
        </w:tc>
        <w:tc>
          <w:tcPr>
            <w:tcW w:w="400" w:type="dxa"/>
            <w:vAlign w:val="bottom"/>
            <w:gridSpan w:val="8"/>
          </w:tcPr>
          <w:p>
            <w:pPr>
              <w:spacing w:after="0" w:line="156" w:lineRule="exact"/>
              <w:rPr>
                <w:rFonts w:ascii="Times New Roman" w:cs="Times New Roman" w:eastAsia="Times New Roman" w:hAnsi="Times New Roman"/>
                <w:sz w:val="18"/>
                <w:szCs w:val="18"/>
                <w:color w:val="0000FF"/>
              </w:rPr>
            </w:pPr>
            <w:hyperlink r:id="rId49">
              <w:r>
                <w:rPr>
                  <w:rFonts w:ascii="Times New Roman" w:cs="Times New Roman" w:eastAsia="Times New Roman" w:hAnsi="Times New Roman"/>
                  <w:sz w:val="18"/>
                  <w:szCs w:val="18"/>
                  <w:color w:val="0000FF"/>
                </w:rPr>
                <w:t>8-K</w:t>
              </w:r>
            </w:hyperlink>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0" w:type="dxa"/>
            <w:vAlign w:val="bottom"/>
            <w:tcBorders>
              <w:top w:val="single" w:sz="8" w:color="0000FF"/>
            </w:tcBorders>
            <w:gridSpan w:val="15"/>
          </w:tcPr>
          <w:p>
            <w:pPr>
              <w:spacing w:after="0" w:line="156" w:lineRule="exact"/>
              <w:rPr>
                <w:rFonts w:ascii="Times New Roman" w:cs="Times New Roman" w:eastAsia="Times New Roman" w:hAnsi="Times New Roman"/>
                <w:sz w:val="18"/>
                <w:szCs w:val="18"/>
                <w:color w:val="0000FF"/>
              </w:rPr>
            </w:pPr>
            <w:hyperlink r:id="rId49">
              <w:r>
                <w:rPr>
                  <w:rFonts w:ascii="Times New Roman" w:cs="Times New Roman" w:eastAsia="Times New Roman" w:hAnsi="Times New Roman"/>
                  <w:sz w:val="18"/>
                  <w:szCs w:val="18"/>
                  <w:color w:val="0000FF"/>
                </w:rPr>
                <w:t>filed on April 17, 2025 and incorporated herein by reference).</w:t>
              </w:r>
            </w:hyperlink>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3760" w:type="dxa"/>
            <w:vAlign w:val="bottom"/>
            <w:shd w:val="clear" w:color="auto" w:fill="0000FF"/>
          </w:tcPr>
          <w:p>
            <w:pPr>
              <w:spacing w:after="0" w:line="20" w:lineRule="exact"/>
              <w:rPr>
                <w:sz w:val="1"/>
                <w:szCs w:val="1"/>
                <w:color w:val="auto"/>
              </w:rPr>
            </w:pPr>
          </w:p>
        </w:tc>
        <w:tc>
          <w:tcPr>
            <w:tcW w:w="29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920" w:type="dxa"/>
            <w:vAlign w:val="bottom"/>
            <w:gridSpan w:val="16"/>
          </w:tcPr>
          <w:p>
            <w:pPr>
              <w:spacing w:after="0"/>
              <w:rPr>
                <w:rFonts w:ascii="Times New Roman" w:cs="Times New Roman" w:eastAsia="Times New Roman" w:hAnsi="Times New Roman"/>
                <w:sz w:val="18"/>
                <w:szCs w:val="18"/>
                <w:color w:val="0000FF"/>
              </w:rPr>
            </w:pPr>
            <w:hyperlink r:id="rId50">
              <w:r>
                <w:rPr>
                  <w:rFonts w:ascii="Times New Roman" w:cs="Times New Roman" w:eastAsia="Times New Roman" w:hAnsi="Times New Roman"/>
                  <w:sz w:val="18"/>
                  <w:szCs w:val="18"/>
                  <w:color w:val="0000FF"/>
                </w:rPr>
                <w:t>First Amendment to Revolving Credit and Security Agreement, dated as of April 16, 2025, by and among NN, Inc. as Borrower, certain</w:t>
              </w:r>
            </w:hyperlink>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80" w:type="dxa"/>
            <w:vAlign w:val="bottom"/>
            <w:tcBorders>
              <w:top w:val="single" w:sz="8" w:color="0000FF"/>
            </w:tcBorders>
            <w:gridSpan w:val="14"/>
          </w:tcPr>
          <w:p>
            <w:pPr>
              <w:spacing w:after="0" w:line="156" w:lineRule="exact"/>
              <w:rPr>
                <w:rFonts w:ascii="Times New Roman" w:cs="Times New Roman" w:eastAsia="Times New Roman" w:hAnsi="Times New Roman"/>
                <w:sz w:val="18"/>
                <w:szCs w:val="18"/>
                <w:color w:val="0000FF"/>
              </w:rPr>
            </w:pPr>
            <w:hyperlink r:id="rId50">
              <w:r>
                <w:rPr>
                  <w:rFonts w:ascii="Times New Roman" w:cs="Times New Roman" w:eastAsia="Times New Roman" w:hAnsi="Times New Roman"/>
                  <w:sz w:val="18"/>
                  <w:szCs w:val="18"/>
                  <w:color w:val="0000FF"/>
                </w:rPr>
                <w:t>subsidiaries of NN, Inc., the lenders party thereto and PNC Bank, National Association, as lender and as agent (Filed as Exhibit 10.2 to</w:t>
              </w:r>
            </w:hyperlink>
          </w:p>
        </w:tc>
        <w:tc>
          <w:tcPr>
            <w:tcW w:w="1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20" w:type="dxa"/>
            <w:vAlign w:val="bottom"/>
            <w:tcBorders>
              <w:top w:val="single" w:sz="8" w:color="0000FF"/>
            </w:tcBorders>
            <w:gridSpan w:val="13"/>
          </w:tcPr>
          <w:p>
            <w:pPr>
              <w:spacing w:after="0" w:line="156" w:lineRule="exact"/>
              <w:rPr>
                <w:rFonts w:ascii="Times New Roman" w:cs="Times New Roman" w:eastAsia="Times New Roman" w:hAnsi="Times New Roman"/>
                <w:sz w:val="18"/>
                <w:szCs w:val="18"/>
                <w:color w:val="0000FF"/>
              </w:rPr>
            </w:pPr>
            <w:hyperlink r:id="rId50">
              <w:r>
                <w:rPr>
                  <w:rFonts w:ascii="Times New Roman" w:cs="Times New Roman" w:eastAsia="Times New Roman" w:hAnsi="Times New Roman"/>
                  <w:sz w:val="18"/>
                  <w:szCs w:val="18"/>
                  <w:color w:val="0000FF"/>
                </w:rPr>
                <w:t>the Registrant’s Current Report on Form 8-K filed on April 17, 2025 and incorporated herein by reference).</w:t>
              </w:r>
            </w:hyperlink>
          </w:p>
        </w:tc>
        <w:tc>
          <w:tcPr>
            <w:tcW w:w="20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74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9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Rules 13a-14(a) and 15d-14(a) under the Securities Exchange Act of 1934, as</w:t>
            </w:r>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0" w:type="dxa"/>
            <w:vAlign w:val="bottom"/>
            <w:tcBorders>
              <w:top w:val="single" w:sz="8" w:color="0000FF"/>
            </w:tcBorders>
            <w:gridSpan w:val="11"/>
          </w:tcPr>
          <w:p>
            <w:pPr>
              <w:spacing w:after="0" w:line="156" w:lineRule="exact"/>
              <w:rPr>
                <w:sz w:val="20"/>
                <w:szCs w:val="20"/>
                <w:color w:val="auto"/>
              </w:rPr>
            </w:pPr>
            <w:r>
              <w:rPr>
                <w:rFonts w:ascii="Times New Roman" w:cs="Times New Roman" w:eastAsia="Times New Roman" w:hAnsi="Times New Roman"/>
                <w:sz w:val="18"/>
                <w:szCs w:val="18"/>
                <w:color w:val="0000FF"/>
              </w:rPr>
              <w:t>amended.</w:t>
            </w:r>
          </w:p>
        </w:tc>
        <w:tc>
          <w:tcPr>
            <w:tcW w:w="32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7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36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9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 15d-14(a) under the Securities Exchange Act of 1934, as</w:t>
            </w:r>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60" w:type="dxa"/>
            <w:vAlign w:val="bottom"/>
            <w:tcBorders>
              <w:top w:val="single" w:sz="8" w:color="0000FF"/>
            </w:tcBorders>
            <w:gridSpan w:val="10"/>
          </w:tcPr>
          <w:p>
            <w:pPr>
              <w:spacing w:after="0" w:line="156" w:lineRule="exact"/>
              <w:rPr>
                <w:sz w:val="20"/>
                <w:szCs w:val="20"/>
                <w:color w:val="auto"/>
              </w:rPr>
            </w:pPr>
            <w:r>
              <w:rPr>
                <w:rFonts w:ascii="Times New Roman" w:cs="Times New Roman" w:eastAsia="Times New Roman" w:hAnsi="Times New Roman"/>
                <w:sz w:val="18"/>
                <w:szCs w:val="18"/>
                <w:color w:val="0000FF"/>
              </w:rPr>
              <w:t>amended.</w:t>
            </w:r>
          </w:p>
        </w:tc>
        <w:tc>
          <w:tcPr>
            <w:tcW w:w="36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7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6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9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Section 906 of the Sarbanes-Oxley Act of 2002.</w:t>
            </w:r>
          </w:p>
        </w:tc>
        <w:tc>
          <w:tcPr>
            <w:tcW w:w="0" w:type="dxa"/>
            <w:vAlign w:val="bottom"/>
          </w:tcPr>
          <w:p>
            <w:pPr>
              <w:spacing w:after="0"/>
              <w:rPr>
                <w:sz w:val="1"/>
                <w:szCs w:val="1"/>
                <w:color w:val="auto"/>
              </w:rPr>
            </w:pPr>
          </w:p>
        </w:tc>
      </w:tr>
      <w:tr>
        <w:trPr>
          <w:trHeight w:val="210"/>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2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Certification of Principal Financial Officer pursuant to Section 906 of the Sarbanes-Oxley Act of 2002.</w:t>
            </w:r>
          </w:p>
        </w:tc>
        <w:tc>
          <w:tcPr>
            <w:tcW w:w="40" w:type="dxa"/>
            <w:vAlign w:val="bottom"/>
            <w:tcBorders>
              <w:top w:val="single" w:sz="8" w:color="0000FF"/>
            </w:tcBorders>
          </w:tcPr>
          <w:p>
            <w:pPr>
              <w:spacing w:after="0"/>
              <w:rPr>
                <w:sz w:val="18"/>
                <w:szCs w:val="18"/>
                <w:color w:val="auto"/>
              </w:rPr>
            </w:pPr>
          </w:p>
        </w:tc>
        <w:tc>
          <w:tcPr>
            <w:tcW w:w="2460" w:type="dxa"/>
            <w:vAlign w:val="bottom"/>
            <w:gridSpan w:val="10"/>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2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101.INS</w:t>
            </w:r>
          </w:p>
        </w:tc>
        <w:tc>
          <w:tcPr>
            <w:tcW w:w="20" w:type="dxa"/>
            <w:vAlign w:val="bottom"/>
          </w:tcPr>
          <w:p>
            <w:pPr>
              <w:spacing w:after="0"/>
              <w:rPr>
                <w:sz w:val="17"/>
                <w:szCs w:val="17"/>
                <w:color w:val="auto"/>
              </w:rPr>
            </w:pPr>
          </w:p>
        </w:tc>
        <w:tc>
          <w:tcPr>
            <w:tcW w:w="992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auto"/>
              </w:rPr>
              <w:t>XBRL Instance Document (the instance document does not appear in the Interactive Data File because its XBRL tags are embedded</w:t>
            </w:r>
          </w:p>
        </w:tc>
        <w:tc>
          <w:tcPr>
            <w:tcW w:w="0" w:type="dxa"/>
            <w:vAlign w:val="bottom"/>
          </w:tcPr>
          <w:p>
            <w:pPr>
              <w:spacing w:after="0"/>
              <w:rPr>
                <w:sz w:val="1"/>
                <w:szCs w:val="1"/>
                <w:color w:val="auto"/>
              </w:rPr>
            </w:pPr>
          </w:p>
        </w:tc>
      </w:tr>
      <w:tr>
        <w:trPr>
          <w:trHeight w:val="234"/>
        </w:trPr>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92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0" w:type="dxa"/>
            <w:vAlign w:val="bottom"/>
          </w:tcPr>
          <w:p>
            <w:pPr>
              <w:spacing w:after="0"/>
              <w:rPr>
                <w:sz w:val="1"/>
                <w:szCs w:val="1"/>
                <w:color w:val="auto"/>
              </w:rPr>
            </w:pPr>
          </w:p>
        </w:tc>
      </w:tr>
      <w:tr>
        <w:trPr>
          <w:trHeight w:val="233"/>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20" w:type="dxa"/>
            <w:vAlign w:val="bottom"/>
          </w:tcPr>
          <w:p>
            <w:pPr>
              <w:spacing w:after="0"/>
              <w:rPr>
                <w:sz w:val="20"/>
                <w:szCs w:val="20"/>
                <w:color w:val="auto"/>
              </w:rPr>
            </w:pPr>
          </w:p>
        </w:tc>
        <w:tc>
          <w:tcPr>
            <w:tcW w:w="992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0" w:type="dxa"/>
            <w:vAlign w:val="bottom"/>
          </w:tcPr>
          <w:p>
            <w:pPr>
              <w:spacing w:after="0"/>
              <w:rPr>
                <w:sz w:val="1"/>
                <w:szCs w:val="1"/>
                <w:color w:val="auto"/>
              </w:rPr>
            </w:pPr>
          </w:p>
        </w:tc>
      </w:tr>
      <w:tr>
        <w:trPr>
          <w:trHeight w:val="230"/>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tcPr>
          <w:p>
            <w:pPr>
              <w:spacing w:after="0"/>
              <w:rPr>
                <w:sz w:val="19"/>
                <w:szCs w:val="19"/>
                <w:color w:val="auto"/>
              </w:rPr>
            </w:pPr>
          </w:p>
        </w:tc>
        <w:tc>
          <w:tcPr>
            <w:tcW w:w="992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30"/>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tcPr>
          <w:p>
            <w:pPr>
              <w:spacing w:after="0"/>
              <w:rPr>
                <w:sz w:val="19"/>
                <w:szCs w:val="19"/>
                <w:color w:val="auto"/>
              </w:rPr>
            </w:pPr>
          </w:p>
        </w:tc>
        <w:tc>
          <w:tcPr>
            <w:tcW w:w="992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0" w:type="dxa"/>
            <w:vAlign w:val="bottom"/>
          </w:tcPr>
          <w:p>
            <w:pPr>
              <w:spacing w:after="0"/>
              <w:rPr>
                <w:sz w:val="1"/>
                <w:szCs w:val="1"/>
                <w:color w:val="auto"/>
              </w:rPr>
            </w:pPr>
          </w:p>
        </w:tc>
      </w:tr>
      <w:tr>
        <w:trPr>
          <w:trHeight w:val="230"/>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20" w:type="dxa"/>
            <w:vAlign w:val="bottom"/>
          </w:tcPr>
          <w:p>
            <w:pPr>
              <w:spacing w:after="0"/>
              <w:rPr>
                <w:sz w:val="19"/>
                <w:szCs w:val="19"/>
                <w:color w:val="auto"/>
              </w:rPr>
            </w:pPr>
          </w:p>
        </w:tc>
        <w:tc>
          <w:tcPr>
            <w:tcW w:w="992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c>
          <w:tcPr>
            <w:tcW w:w="0" w:type="dxa"/>
            <w:vAlign w:val="bottom"/>
          </w:tcPr>
          <w:p>
            <w:pPr>
              <w:spacing w:after="0"/>
              <w:rPr>
                <w:sz w:val="1"/>
                <w:szCs w:val="1"/>
                <w:color w:val="auto"/>
              </w:rPr>
            </w:pPr>
          </w:p>
        </w:tc>
      </w:tr>
      <w:tr>
        <w:trPr>
          <w:trHeight w:val="234"/>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20" w:type="dxa"/>
            <w:vAlign w:val="bottom"/>
          </w:tcPr>
          <w:p>
            <w:pPr>
              <w:spacing w:after="0"/>
              <w:rPr>
                <w:sz w:val="20"/>
                <w:szCs w:val="20"/>
                <w:color w:val="auto"/>
              </w:rPr>
            </w:pPr>
          </w:p>
        </w:tc>
        <w:tc>
          <w:tcPr>
            <w:tcW w:w="992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0" w:type="dxa"/>
            <w:vAlign w:val="bottom"/>
          </w:tcPr>
          <w:p>
            <w:pPr>
              <w:spacing w:after="0"/>
              <w:rPr>
                <w:sz w:val="1"/>
                <w:szCs w:val="1"/>
                <w:color w:val="auto"/>
              </w:rPr>
            </w:pPr>
          </w:p>
        </w:tc>
      </w:tr>
    </w:tbl>
    <w:p>
      <w:pPr>
        <w:ind w:left="1140" w:hanging="1114"/>
        <w:spacing w:after="0"/>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11"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477" w:right="5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94"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spacing w:after="0" w:line="313" w:lineRule="exact"/>
        <w:rPr>
          <w:sz w:val="20"/>
          <w:szCs w:val="20"/>
          <w:color w:val="auto"/>
        </w:rPr>
      </w:pPr>
    </w:p>
    <w:p>
      <w:pPr>
        <w:ind w:left="1020" w:right="39"/>
        <w:spacing w:after="0" w:line="23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7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NN,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34290</wp:posOffset>
            </wp:positionV>
            <wp:extent cx="292290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2">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4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(Registrant)</w:t>
      </w:r>
    </w:p>
    <w:p>
      <w:pPr>
        <w:spacing w:after="0" w:line="306" w:lineRule="exact"/>
        <w:rPr>
          <w:sz w:val="20"/>
          <w:szCs w:val="20"/>
          <w:color w:val="auto"/>
        </w:rPr>
      </w:pPr>
    </w:p>
    <w:p>
      <w:pPr>
        <w:ind w:left="1040"/>
        <w:spacing w:after="0"/>
        <w:tabs>
          <w:tab w:leader="none" w:pos="5620" w:val="left"/>
        </w:tabs>
        <w:rPr>
          <w:sz w:val="20"/>
          <w:szCs w:val="20"/>
          <w:color w:val="auto"/>
        </w:rPr>
      </w:pPr>
      <w:r>
        <w:rPr>
          <w:rFonts w:ascii="Times New Roman" w:cs="Times New Roman" w:eastAsia="Times New Roman" w:hAnsi="Times New Roman"/>
          <w:sz w:val="18"/>
          <w:szCs w:val="18"/>
          <w:color w:val="auto"/>
        </w:rPr>
        <w:t>Date: May 7, 2025</w:t>
      </w:r>
      <w:r>
        <w:rPr>
          <w:sz w:val="20"/>
          <w:szCs w:val="20"/>
          <w:color w:val="auto"/>
        </w:rPr>
        <w:tab/>
      </w:r>
      <w:r>
        <w:rPr>
          <w:rFonts w:ascii="Times New Roman" w:cs="Times New Roman" w:eastAsia="Times New Roman" w:hAnsi="Times New Roman"/>
          <w:sz w:val="17"/>
          <w:szCs w:val="17"/>
          <w:color w:val="auto"/>
        </w:rPr>
        <w:t>/s/ Harold C. Bevis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34290</wp:posOffset>
            </wp:positionV>
            <wp:extent cx="292290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
                      <a:extLst>
                        <a:ext uri="{28A0092B-C50C-407E-A947-70E740481C1C}"/>
                      </a:extLst>
                    </a:blip>
                    <a:srcRect/>
                    <a:stretch>
                      <a:fillRect/>
                    </a:stretch>
                  </pic:blipFill>
                  <pic:spPr bwMode="auto">
                    <a:xfrm>
                      <a:off x="0" y="0"/>
                      <a:ext cx="2922905" cy="8890"/>
                    </a:xfrm>
                    <a:prstGeom prst="rect">
                      <a:avLst/>
                    </a:prstGeom>
                    <a:noFill/>
                  </pic:spPr>
                </pic:pic>
              </a:graphicData>
            </a:graphic>
          </wp:anchor>
        </w:drawing>
      </w:r>
    </w:p>
    <w:p>
      <w:pPr>
        <w:spacing w:after="0" w:line="4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Harold C. Bevis</w:t>
      </w:r>
    </w:p>
    <w:p>
      <w:pPr>
        <w:spacing w:after="0" w:line="3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p>
      <w:pPr>
        <w:spacing w:after="0" w:line="10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6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(Duly Authorized Officer)</w:t>
      </w:r>
    </w:p>
    <w:p>
      <w:pPr>
        <w:spacing w:after="0" w:line="293" w:lineRule="exact"/>
        <w:rPr>
          <w:sz w:val="20"/>
          <w:szCs w:val="20"/>
          <w:color w:val="auto"/>
        </w:rPr>
      </w:pPr>
    </w:p>
    <w:p>
      <w:pPr>
        <w:ind w:left="1040"/>
        <w:spacing w:after="0"/>
        <w:tabs>
          <w:tab w:leader="none" w:pos="5620" w:val="left"/>
        </w:tabs>
        <w:rPr>
          <w:sz w:val="20"/>
          <w:szCs w:val="20"/>
          <w:color w:val="auto"/>
        </w:rPr>
      </w:pPr>
      <w:r>
        <w:rPr>
          <w:rFonts w:ascii="Times New Roman" w:cs="Times New Roman" w:eastAsia="Times New Roman" w:hAnsi="Times New Roman"/>
          <w:sz w:val="18"/>
          <w:szCs w:val="18"/>
          <w:color w:val="auto"/>
        </w:rPr>
        <w:t>Date: May 7, 2025</w:t>
      </w:r>
      <w:r>
        <w:rPr>
          <w:sz w:val="20"/>
          <w:szCs w:val="20"/>
          <w:color w:val="auto"/>
        </w:rPr>
        <w:tab/>
      </w:r>
      <w:r>
        <w:rPr>
          <w:rFonts w:ascii="Times New Roman" w:cs="Times New Roman" w:eastAsia="Times New Roman" w:hAnsi="Times New Roman"/>
          <w:sz w:val="18"/>
          <w:szCs w:val="18"/>
          <w:color w:val="auto"/>
        </w:rPr>
        <w:t>/s/ Christopher H. Bohnert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34290</wp:posOffset>
            </wp:positionV>
            <wp:extent cx="292290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4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Christopher H. Bohnert</w:t>
      </w:r>
    </w:p>
    <w:p>
      <w:pPr>
        <w:spacing w:after="0" w:line="6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7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(Duly Authorized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139"/>
          </w:cols>
          <w:pgMar w:left="320" w:top="477" w:right="1440" w:bottom="1440" w:gutter="0" w:footer="0" w:header="0"/>
        </w:sectPr>
      </w:pPr>
    </w:p>
    <w:bookmarkStart w:id="27" w:name="page28"/>
    <w:bookmarkEnd w:id="27"/>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673735</wp:posOffset>
            </wp:positionV>
            <wp:extent cx="916940" cy="6858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a:extLst>
                        <a:ext uri="{28A0092B-C50C-407E-A947-70E740481C1C}"/>
                      </a:extLst>
                    </a:blip>
                    <a:srcRect/>
                    <a:stretch>
                      <a:fillRect/>
                    </a:stretch>
                  </pic:blipFill>
                  <pic:spPr bwMode="auto">
                    <a:xfrm>
                      <a:off x="0" y="0"/>
                      <a:ext cx="916940" cy="68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43"/>
          <w:szCs w:val="43"/>
          <w:color w:val="3C5BA8"/>
        </w:rPr>
        <w:t>NN,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1059180</wp:posOffset>
            </wp:positionH>
            <wp:positionV relativeFrom="paragraph">
              <wp:posOffset>47625</wp:posOffset>
            </wp:positionV>
            <wp:extent cx="573468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extLst>
                    </a:blip>
                    <a:srcRect/>
                    <a:stretch>
                      <a:fillRect/>
                    </a:stretch>
                  </pic:blipFill>
                  <pic:spPr bwMode="auto">
                    <a:xfrm>
                      <a:off x="0" y="0"/>
                      <a:ext cx="5734685" cy="8255"/>
                    </a:xfrm>
                    <a:prstGeom prst="rect">
                      <a:avLst/>
                    </a:prstGeom>
                    <a:noFill/>
                  </pic:spPr>
                </pic:pic>
              </a:graphicData>
            </a:graphic>
          </wp:anchor>
        </w:drawing>
      </w:r>
    </w:p>
    <w:p>
      <w:pPr>
        <w:spacing w:after="0" w:line="132"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color w:val="4E4E4E"/>
        </w:rPr>
        <w:t>BEYOND RELIABLE</w:t>
      </w: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June 5, 2024</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Ms. Jami Statham</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Via Email: [Redacted – personal information]</w:t>
      </w:r>
    </w:p>
    <w:p>
      <w:pPr>
        <w:spacing w:after="0" w:line="22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b w:val="1"/>
          <w:bCs w:val="1"/>
          <w:color w:val="auto"/>
        </w:rPr>
        <w:t>RE:</w:t>
      </w:r>
      <w:r>
        <w:rPr>
          <w:sz w:val="20"/>
          <w:szCs w:val="20"/>
          <w:color w:val="auto"/>
        </w:rPr>
        <w:tab/>
      </w:r>
      <w:r>
        <w:rPr>
          <w:rFonts w:ascii="Times New Roman" w:cs="Times New Roman" w:eastAsia="Times New Roman" w:hAnsi="Times New Roman"/>
          <w:sz w:val="19"/>
          <w:szCs w:val="19"/>
          <w:b w:val="1"/>
          <w:bCs w:val="1"/>
          <w:color w:val="auto"/>
        </w:rPr>
        <w:t>Letter of Understanding (LOU)</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Dear Jami:</w:t>
      </w:r>
    </w:p>
    <w:p>
      <w:pPr>
        <w:spacing w:after="0" w:line="243" w:lineRule="exact"/>
        <w:rPr>
          <w:sz w:val="20"/>
          <w:szCs w:val="20"/>
          <w:color w:val="auto"/>
        </w:rPr>
      </w:pPr>
    </w:p>
    <w:p>
      <w:pPr>
        <w:ind w:right="560"/>
        <w:spacing w:after="0" w:line="261" w:lineRule="auto"/>
        <w:rPr>
          <w:sz w:val="20"/>
          <w:szCs w:val="20"/>
          <w:color w:val="auto"/>
        </w:rPr>
      </w:pPr>
      <w:r>
        <w:rPr>
          <w:rFonts w:ascii="Times New Roman" w:cs="Times New Roman" w:eastAsia="Times New Roman" w:hAnsi="Times New Roman"/>
          <w:sz w:val="20"/>
          <w:szCs w:val="20"/>
          <w:color w:val="auto"/>
        </w:rPr>
        <w:t>We are pleased to extend an invitation to join the NN, Inc. team in the position of Senior Vice President, General Counsel &amp; Corporate Secretary (“GC”). In this salaried exempt role, you will report to Harold Bevis, President and Chief Executive Officer. Following is a summary of the terms of our offer:</w:t>
      </w:r>
    </w:p>
    <w:p>
      <w:pPr>
        <w:sectPr>
          <w:pgSz w:w="11900" w:h="16838" w:orient="portrait"/>
          <w:cols w:equalWidth="0" w:num="1">
            <w:col w:w="11240"/>
          </w:cols>
          <w:pgMar w:left="320" w:top="122" w:right="339" w:bottom="1440" w:gutter="0" w:footer="0" w:header="0"/>
        </w:sectPr>
      </w:pPr>
    </w:p>
    <w:p>
      <w:pPr>
        <w:spacing w:after="0" w:line="25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9"/>
          <w:szCs w:val="19"/>
          <w:b w:val="1"/>
          <w:bCs w:val="1"/>
          <w:color w:val="auto"/>
        </w:rPr>
        <w:t>Duties</w:t>
      </w:r>
    </w:p>
    <w:p>
      <w:pPr>
        <w:spacing w:after="0" w:line="20" w:lineRule="exact"/>
        <w:rPr>
          <w:sz w:val="20"/>
          <w:szCs w:val="20"/>
          <w:color w:val="auto"/>
        </w:rPr>
      </w:pPr>
      <w:r>
        <w:rPr>
          <w:sz w:val="20"/>
          <w:szCs w:val="20"/>
          <w:color w:val="auto"/>
        </w:rPr>
        <w:br w:type="column"/>
      </w:r>
    </w:p>
    <w:p>
      <w:pPr>
        <w:spacing w:after="0" w:line="242" w:lineRule="exact"/>
        <w:rPr>
          <w:sz w:val="20"/>
          <w:szCs w:val="20"/>
          <w:color w:val="auto"/>
        </w:rPr>
      </w:pPr>
    </w:p>
    <w:p>
      <w:pPr>
        <w:ind w:right="320"/>
        <w:spacing w:after="0" w:line="253" w:lineRule="auto"/>
        <w:rPr>
          <w:sz w:val="20"/>
          <w:szCs w:val="20"/>
          <w:color w:val="auto"/>
        </w:rPr>
      </w:pPr>
      <w:r>
        <w:rPr>
          <w:rFonts w:ascii="Times New Roman" w:cs="Times New Roman" w:eastAsia="Times New Roman" w:hAnsi="Times New Roman"/>
          <w:sz w:val="20"/>
          <w:szCs w:val="20"/>
          <w:color w:val="auto"/>
        </w:rPr>
        <w:t>Directs all legal matters for the Company, helping the organization navigate legal complexities and make informed decisions that follow the law while supporting the company’s strategic objectives. The GC will develop and maintain a global legal program for the company, including compliance and risk, corporate governance, contract management, crisis management, intellectual property, and, in support with applicable subject matter or regional managers, licensing/statutory requirements across all relevant jurisdictions. The GC serves as a member of the senior leadership team.</w:t>
      </w:r>
    </w:p>
    <w:p>
      <w:pPr>
        <w:spacing w:after="0" w:line="26" w:lineRule="exact"/>
        <w:rPr>
          <w:sz w:val="20"/>
          <w:szCs w:val="20"/>
          <w:color w:val="auto"/>
        </w:rPr>
      </w:pPr>
    </w:p>
    <w:p>
      <w:pPr>
        <w:sectPr>
          <w:pgSz w:w="11900" w:h="16838" w:orient="portrait"/>
          <w:cols w:equalWidth="0" w:num="2">
            <w:col w:w="1480" w:space="720"/>
            <w:col w:w="9040"/>
          </w:cols>
          <w:pgMar w:left="320" w:top="122" w:right="339" w:bottom="1440" w:gutter="0" w:footer="0" w:header="0"/>
          <w:type w:val="continuous"/>
        </w:sectPr>
      </w:pPr>
    </w:p>
    <w:p>
      <w:pPr>
        <w:ind w:left="80"/>
        <w:spacing w:after="0"/>
        <w:rPr>
          <w:sz w:val="20"/>
          <w:szCs w:val="20"/>
          <w:color w:val="auto"/>
        </w:rPr>
      </w:pPr>
      <w:r>
        <w:rPr>
          <w:rFonts w:ascii="Times New Roman" w:cs="Times New Roman" w:eastAsia="Times New Roman" w:hAnsi="Times New Roman"/>
          <w:sz w:val="19"/>
          <w:szCs w:val="19"/>
          <w:b w:val="1"/>
          <w:bCs w:val="1"/>
          <w:color w:val="auto"/>
        </w:rPr>
        <w:t>Effective Date</w:t>
      </w:r>
    </w:p>
    <w:p>
      <w:pPr>
        <w:spacing w:after="0" w:line="20" w:lineRule="exact"/>
        <w:rPr>
          <w:sz w:val="20"/>
          <w:szCs w:val="20"/>
          <w:color w:val="auto"/>
        </w:rPr>
      </w:pPr>
      <w:r>
        <w:rPr>
          <w:sz w:val="20"/>
          <w:szCs w:val="20"/>
          <w:color w:val="auto"/>
        </w:rPr>
        <w:br w:type="column"/>
      </w:r>
    </w:p>
    <w:p>
      <w:pPr>
        <w:ind w:right="120"/>
        <w:spacing w:after="0" w:line="274" w:lineRule="auto"/>
        <w:rPr>
          <w:sz w:val="20"/>
          <w:szCs w:val="20"/>
          <w:color w:val="auto"/>
        </w:rPr>
      </w:pPr>
      <w:r>
        <w:rPr>
          <w:rFonts w:ascii="Times New Roman" w:cs="Times New Roman" w:eastAsia="Times New Roman" w:hAnsi="Times New Roman"/>
          <w:sz w:val="20"/>
          <w:szCs w:val="20"/>
          <w:color w:val="auto"/>
        </w:rPr>
        <w:t xml:space="preserve">As soon as practicable, but no later than </w:t>
      </w:r>
      <w:r>
        <w:rPr>
          <w:rFonts w:ascii="Times New Roman" w:cs="Times New Roman" w:eastAsia="Times New Roman" w:hAnsi="Times New Roman"/>
          <w:sz w:val="20"/>
          <w:szCs w:val="20"/>
          <w:b w:val="1"/>
          <w:bCs w:val="1"/>
          <w:color w:val="auto"/>
        </w:rPr>
        <w:t>Monday, July 8, 2024</w:t>
      </w:r>
      <w:r>
        <w:rPr>
          <w:rFonts w:ascii="Times New Roman" w:cs="Times New Roman" w:eastAsia="Times New Roman" w:hAnsi="Times New Roman"/>
          <w:sz w:val="20"/>
          <w:szCs w:val="20"/>
          <w:color w:val="auto"/>
        </w:rPr>
        <w:t>. The term “Effective Date” refers to the date you actively begin employment with NN.</w:t>
      </w:r>
    </w:p>
    <w:p>
      <w:pPr>
        <w:spacing w:after="0" w:line="1" w:lineRule="exact"/>
        <w:rPr>
          <w:sz w:val="20"/>
          <w:szCs w:val="20"/>
          <w:color w:val="auto"/>
        </w:rPr>
      </w:pPr>
    </w:p>
    <w:p>
      <w:pPr>
        <w:sectPr>
          <w:pgSz w:w="11900" w:h="16838" w:orient="portrait"/>
          <w:cols w:equalWidth="0" w:num="2">
            <w:col w:w="1480" w:space="720"/>
            <w:col w:w="9040"/>
          </w:cols>
          <w:pgMar w:left="320" w:top="122" w:right="339" w:bottom="1440" w:gutter="0" w:footer="0" w:header="0"/>
          <w:type w:val="continuous"/>
        </w:sectPr>
      </w:pPr>
    </w:p>
    <w:p>
      <w:pPr>
        <w:ind w:left="80"/>
        <w:spacing w:after="0"/>
        <w:rPr>
          <w:sz w:val="20"/>
          <w:szCs w:val="20"/>
          <w:color w:val="auto"/>
        </w:rPr>
      </w:pPr>
      <w:r>
        <w:rPr>
          <w:rFonts w:ascii="Times New Roman" w:cs="Times New Roman" w:eastAsia="Times New Roman" w:hAnsi="Times New Roman"/>
          <w:sz w:val="19"/>
          <w:szCs w:val="19"/>
          <w:b w:val="1"/>
          <w:bCs w:val="1"/>
          <w:color w:val="auto"/>
        </w:rPr>
        <w:t>Base Salary</w:t>
      </w:r>
    </w:p>
    <w:p>
      <w:pPr>
        <w:spacing w:after="0" w:line="20" w:lineRule="exact"/>
        <w:rPr>
          <w:sz w:val="20"/>
          <w:szCs w:val="20"/>
          <w:color w:val="auto"/>
        </w:rPr>
      </w:pPr>
      <w:r>
        <w:rPr>
          <w:sz w:val="20"/>
          <w:szCs w:val="20"/>
          <w:color w:val="auto"/>
        </w:rPr>
        <w:br w:type="column"/>
      </w:r>
    </w:p>
    <w:p>
      <w:pPr>
        <w:ind w:right="160"/>
        <w:spacing w:after="0" w:line="258" w:lineRule="auto"/>
        <w:rPr>
          <w:sz w:val="20"/>
          <w:szCs w:val="20"/>
          <w:color w:val="auto"/>
        </w:rPr>
      </w:pPr>
      <w:r>
        <w:rPr>
          <w:rFonts w:ascii="Times New Roman" w:cs="Times New Roman" w:eastAsia="Times New Roman" w:hAnsi="Times New Roman"/>
          <w:sz w:val="20"/>
          <w:szCs w:val="20"/>
          <w:color w:val="auto"/>
        </w:rPr>
        <w:t xml:space="preserve">Your gross pay will be at the bi-weekly rate of Thirteen Thousand Four Hundred Sixty-One Dollars and fifty-four cents ($13,461.54), which equates to an annualized sum of </w:t>
      </w:r>
      <w:r>
        <w:rPr>
          <w:rFonts w:ascii="Times New Roman" w:cs="Times New Roman" w:eastAsia="Times New Roman" w:hAnsi="Times New Roman"/>
          <w:sz w:val="20"/>
          <w:szCs w:val="20"/>
          <w:b w:val="1"/>
          <w:bCs w:val="1"/>
          <w:color w:val="auto"/>
        </w:rPr>
        <w:t>$350,000</w:t>
      </w:r>
      <w:r>
        <w:rPr>
          <w:rFonts w:ascii="Times New Roman" w:cs="Times New Roman" w:eastAsia="Times New Roman" w:hAnsi="Times New Roman"/>
          <w:sz w:val="20"/>
          <w:szCs w:val="20"/>
          <w:color w:val="auto"/>
        </w:rPr>
        <w:t>. You will receive regular performance and salary reviews to evaluate your progress in attaining goals; these will be conducted at intervals commensurate with similarly-situated associates.</w:t>
      </w:r>
    </w:p>
    <w:p>
      <w:pPr>
        <w:spacing w:after="0" w:line="6" w:lineRule="exact"/>
        <w:rPr>
          <w:sz w:val="20"/>
          <w:szCs w:val="20"/>
          <w:color w:val="auto"/>
        </w:rPr>
      </w:pPr>
    </w:p>
    <w:p>
      <w:pPr>
        <w:sectPr>
          <w:pgSz w:w="11900" w:h="16838" w:orient="portrait"/>
          <w:cols w:equalWidth="0" w:num="2">
            <w:col w:w="1480" w:space="720"/>
            <w:col w:w="9040"/>
          </w:cols>
          <w:pgMar w:left="320" w:top="122" w:right="339" w:bottom="1440" w:gutter="0" w:footer="0" w:header="0"/>
          <w:type w:val="continuous"/>
        </w:sectPr>
      </w:pPr>
    </w:p>
    <w:p>
      <w:pPr>
        <w:ind w:left="80"/>
        <w:spacing w:after="0"/>
        <w:rPr>
          <w:sz w:val="20"/>
          <w:szCs w:val="20"/>
          <w:color w:val="auto"/>
        </w:rPr>
      </w:pPr>
      <w:r>
        <w:rPr>
          <w:rFonts w:ascii="Times New Roman" w:cs="Times New Roman" w:eastAsia="Times New Roman" w:hAnsi="Times New Roman"/>
          <w:sz w:val="19"/>
          <w:szCs w:val="19"/>
          <w:b w:val="1"/>
          <w:bCs w:val="1"/>
          <w:color w:val="auto"/>
        </w:rPr>
        <w:t>Signing Bonus</w:t>
      </w:r>
    </w:p>
    <w:p>
      <w:pPr>
        <w:spacing w:after="0" w:line="20" w:lineRule="exact"/>
        <w:rPr>
          <w:sz w:val="20"/>
          <w:szCs w:val="20"/>
          <w:color w:val="auto"/>
        </w:rPr>
      </w:pPr>
      <w:r>
        <w:rPr>
          <w:sz w:val="20"/>
          <w:szCs w:val="20"/>
          <w:color w:val="auto"/>
        </w:rPr>
        <w:br w:type="column"/>
      </w:r>
    </w:p>
    <w:p>
      <w:pPr>
        <w:ind w:right="300"/>
        <w:spacing w:after="0" w:line="310" w:lineRule="auto"/>
        <w:rPr>
          <w:sz w:val="20"/>
          <w:szCs w:val="20"/>
          <w:color w:val="auto"/>
        </w:rPr>
      </w:pPr>
      <w:r>
        <w:rPr>
          <w:rFonts w:ascii="Times New Roman" w:cs="Times New Roman" w:eastAsia="Times New Roman" w:hAnsi="Times New Roman"/>
          <w:sz w:val="19"/>
          <w:szCs w:val="19"/>
          <w:color w:val="auto"/>
        </w:rPr>
        <w:t>In consideration of other sums that you have forfeited by joining the Company, Company will pay a one-time bonus of Twenty Thousand Dollars ($20,000.00) on the first full payroll period following your Effective Date.</w:t>
      </w:r>
    </w:p>
    <w:p>
      <w:pPr>
        <w:spacing w:after="0" w:line="200" w:lineRule="exact"/>
        <w:rPr>
          <w:sz w:val="20"/>
          <w:szCs w:val="20"/>
          <w:color w:val="auto"/>
        </w:rPr>
      </w:pPr>
    </w:p>
    <w:p>
      <w:pPr>
        <w:sectPr>
          <w:pgSz w:w="11900" w:h="16838" w:orient="portrait"/>
          <w:cols w:equalWidth="0" w:num="2">
            <w:col w:w="1480" w:space="720"/>
            <w:col w:w="9040"/>
          </w:cols>
          <w:pgMar w:left="320" w:top="122"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3C5BA8"/>
        </w:rPr>
        <w:t xml:space="preserve">6210 Ardrey Kell Road, Suite 120 Charlotte, NC 28277 </w:t>
      </w:r>
      <w:r>
        <w:rPr>
          <w:rFonts w:ascii="Times New Roman" w:cs="Times New Roman" w:eastAsia="Times New Roman" w:hAnsi="Times New Roman"/>
          <w:sz w:val="16"/>
          <w:szCs w:val="16"/>
          <w:u w:val="single" w:color="auto"/>
          <w:color w:val="244061"/>
        </w:rPr>
        <w:t>www.nninc.com</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29A3DC"/>
        </w:rPr>
        <w:t>Page 1</w:t>
      </w:r>
    </w:p>
    <w:p>
      <w:pPr>
        <w:sectPr>
          <w:pgSz w:w="11900" w:h="16838" w:orient="portrait"/>
          <w:cols w:equalWidth="0" w:num="1">
            <w:col w:w="11240"/>
          </w:cols>
          <w:pgMar w:left="320" w:top="122" w:right="339" w:bottom="1440" w:gutter="0" w:footer="0" w:header="0"/>
          <w:type w:val="continuous"/>
        </w:sectPr>
      </w:pPr>
    </w:p>
    <w:bookmarkStart w:id="28" w:name="page29"/>
    <w:bookmarkEnd w:id="28"/>
    <w:p>
      <w:pPr>
        <w:spacing w:after="0" w:line="23" w:lineRule="exact"/>
        <w:rPr>
          <w:sz w:val="20"/>
          <w:szCs w:val="20"/>
          <w:color w:val="auto"/>
        </w:rPr>
      </w:pPr>
    </w:p>
    <w:p>
      <w:pPr>
        <w:ind w:left="2660" w:right="20" w:hanging="2658"/>
        <w:spacing w:after="0" w:line="254" w:lineRule="auto"/>
        <w:tabs>
          <w:tab w:leader="none" w:pos="2640" w:val="left"/>
        </w:tabs>
        <w:rPr>
          <w:sz w:val="20"/>
          <w:szCs w:val="20"/>
          <w:color w:val="auto"/>
        </w:rPr>
      </w:pPr>
      <w:r>
        <w:rPr>
          <w:rFonts w:ascii="Times New Roman" w:cs="Times New Roman" w:eastAsia="Times New Roman" w:hAnsi="Times New Roman"/>
          <w:sz w:val="20"/>
          <w:szCs w:val="20"/>
          <w:b w:val="1"/>
          <w:bCs w:val="1"/>
          <w:color w:val="auto"/>
        </w:rPr>
        <w:t>Annual Incentive Award</w:t>
      </w:r>
      <w:r>
        <w:rPr>
          <w:sz w:val="20"/>
          <w:szCs w:val="20"/>
          <w:color w:val="auto"/>
        </w:rPr>
        <w:tab/>
      </w:r>
      <w:r>
        <w:rPr>
          <w:rFonts w:ascii="Times New Roman" w:cs="Times New Roman" w:eastAsia="Times New Roman" w:hAnsi="Times New Roman"/>
          <w:sz w:val="20"/>
          <w:szCs w:val="20"/>
          <w:color w:val="auto"/>
        </w:rPr>
        <w:t xml:space="preserve">You will be eligible to participate in a discretionary executive-level bonus plan; the target is </w:t>
      </w:r>
      <w:r>
        <w:rPr>
          <w:rFonts w:ascii="Times New Roman" w:cs="Times New Roman" w:eastAsia="Times New Roman" w:hAnsi="Times New Roman"/>
          <w:sz w:val="20"/>
          <w:szCs w:val="20"/>
          <w:b w:val="1"/>
          <w:bCs w:val="1"/>
          <w:color w:val="auto"/>
        </w:rPr>
        <w:t>50%</w:t>
      </w:r>
      <w:r>
        <w:rPr>
          <w:rFonts w:ascii="Times New Roman" w:cs="Times New Roman" w:eastAsia="Times New Roman" w:hAnsi="Times New Roman"/>
          <w:sz w:val="20"/>
          <w:szCs w:val="20"/>
          <w:color w:val="auto"/>
        </w:rPr>
        <w:t xml:space="preserve"> of your base annual salary during the year. If a bonus is offered, its availability will be dependent upon corporate, group and individual performance, and any bonus amounts will be determined in accordance with NN corporate guidelines. Bonuses of this type are distributed after completion of the year-end financial audit, which is typically completed in March. This award will be prorated for the portion of the 2024 year employed; however, subject to and in accordance with the terms of the EIC, we will guarantee a minimum award of $50,000 for 2024.</w:t>
      </w:r>
    </w:p>
    <w:p>
      <w:pPr>
        <w:spacing w:after="0" w:line="204"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0"/>
          <w:szCs w:val="20"/>
          <w:color w:val="auto"/>
        </w:rPr>
        <w:t>Annual incentive awards are governed by the terms of the Executive Incentive Compensation (“EIC”)</w:t>
      </w:r>
    </w:p>
    <w:p>
      <w:pPr>
        <w:spacing w:after="0" w:line="28"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0"/>
          <w:szCs w:val="20"/>
          <w:color w:val="auto"/>
        </w:rPr>
        <w:t>Program Document.</w:t>
      </w:r>
    </w:p>
    <w:p>
      <w:pPr>
        <w:spacing w:after="0" w:line="304" w:lineRule="exact"/>
        <w:rPr>
          <w:sz w:val="20"/>
          <w:szCs w:val="20"/>
          <w:color w:val="auto"/>
        </w:rPr>
      </w:pPr>
    </w:p>
    <w:p>
      <w:pPr>
        <w:ind w:left="2660" w:right="300" w:hanging="2658"/>
        <w:spacing w:after="0" w:line="283" w:lineRule="auto"/>
        <w:tabs>
          <w:tab w:leader="none" w:pos="2640" w:val="left"/>
        </w:tabs>
        <w:rPr>
          <w:sz w:val="20"/>
          <w:szCs w:val="20"/>
          <w:color w:val="auto"/>
        </w:rPr>
      </w:pPr>
      <w:r>
        <w:rPr>
          <w:rFonts w:ascii="Times New Roman" w:cs="Times New Roman" w:eastAsia="Times New Roman" w:hAnsi="Times New Roman"/>
          <w:sz w:val="20"/>
          <w:szCs w:val="20"/>
          <w:b w:val="1"/>
          <w:bCs w:val="1"/>
          <w:color w:val="auto"/>
        </w:rPr>
        <w:t>Equity Award</w:t>
      </w:r>
      <w:r>
        <w:rPr>
          <w:sz w:val="20"/>
          <w:szCs w:val="20"/>
          <w:color w:val="auto"/>
        </w:rPr>
        <w:tab/>
      </w:r>
      <w:r>
        <w:rPr>
          <w:rFonts w:ascii="Times New Roman" w:cs="Times New Roman" w:eastAsia="Times New Roman" w:hAnsi="Times New Roman"/>
          <w:sz w:val="20"/>
          <w:szCs w:val="20"/>
          <w:color w:val="auto"/>
        </w:rPr>
        <w:t xml:space="preserve">You will be eligible to participate in the Company’s Long-Term Incentive (“LTI”) program; awards are generally granted in March of each year. Your annual grant will be </w:t>
      </w:r>
      <w:r>
        <w:rPr>
          <w:rFonts w:ascii="Times New Roman" w:cs="Times New Roman" w:eastAsia="Times New Roman" w:hAnsi="Times New Roman"/>
          <w:sz w:val="20"/>
          <w:szCs w:val="20"/>
          <w:b w:val="1"/>
          <w:bCs w:val="1"/>
          <w:color w:val="auto"/>
        </w:rPr>
        <w:t>85%</w:t>
      </w:r>
      <w:r>
        <w:rPr>
          <w:rFonts w:ascii="Times New Roman" w:cs="Times New Roman" w:eastAsia="Times New Roman" w:hAnsi="Times New Roman"/>
          <w:sz w:val="20"/>
          <w:szCs w:val="20"/>
          <w:color w:val="auto"/>
        </w:rPr>
        <w:t xml:space="preserve"> of your base salary.</w:t>
      </w:r>
    </w:p>
    <w:p>
      <w:pPr>
        <w:spacing w:after="0" w:line="177"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0"/>
          <w:szCs w:val="20"/>
          <w:color w:val="auto"/>
        </w:rPr>
        <w:t>The total dollar value of the equity award will be split as follows:</w:t>
      </w:r>
    </w:p>
    <w:p>
      <w:pPr>
        <w:spacing w:after="0" w:line="28" w:lineRule="exact"/>
        <w:rPr>
          <w:sz w:val="20"/>
          <w:szCs w:val="20"/>
          <w:color w:val="auto"/>
        </w:rPr>
      </w:pPr>
    </w:p>
    <w:p>
      <w:pPr>
        <w:ind w:left="3300" w:right="60" w:hanging="321"/>
        <w:spacing w:after="0" w:line="246" w:lineRule="auto"/>
        <w:tabs>
          <w:tab w:leader="none" w:pos="3288"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One-third of the grant date value will be issued as Restricted Stock Units (RSUs), which are time-based awards vesting ratably over three years; and,</w:t>
      </w:r>
    </w:p>
    <w:p>
      <w:pPr>
        <w:spacing w:after="0" w:line="1" w:lineRule="exact"/>
        <w:rPr>
          <w:rFonts w:ascii="Times New Roman" w:cs="Times New Roman" w:eastAsia="Times New Roman" w:hAnsi="Times New Roman"/>
          <w:sz w:val="20"/>
          <w:szCs w:val="20"/>
          <w:color w:val="auto"/>
        </w:rPr>
      </w:pPr>
    </w:p>
    <w:p>
      <w:pPr>
        <w:ind w:left="3300" w:right="1060" w:hanging="321"/>
        <w:spacing w:after="0" w:line="293" w:lineRule="auto"/>
        <w:tabs>
          <w:tab w:leader="none" w:pos="3288" w:val="left"/>
        </w:tabs>
        <w:numPr>
          <w:ilvl w:val="0"/>
          <w:numId w:val="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Two-thirds of the grant date value will be issued as Performance Share Units (PSUs), performance-based awards tied to Relative Total Shareholder Returns (TSR).</w:t>
      </w:r>
    </w:p>
    <w:p>
      <w:pPr>
        <w:sectPr>
          <w:pgSz w:w="11900" w:h="16838" w:orient="portrait"/>
          <w:cols w:equalWidth="0" w:num="1">
            <w:col w:w="11100"/>
          </w:cols>
          <w:pgMar w:left="400" w:top="1440"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Separation Provisions</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Employment-at-Will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Relocation</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Confidentiality</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ind w:left="20" w:right="180"/>
        <w:spacing w:after="0" w:line="283" w:lineRule="auto"/>
        <w:rPr>
          <w:sz w:val="20"/>
          <w:szCs w:val="20"/>
          <w:color w:val="auto"/>
        </w:rPr>
      </w:pPr>
      <w:r>
        <w:rPr>
          <w:rFonts w:ascii="Times New Roman" w:cs="Times New Roman" w:eastAsia="Times New Roman" w:hAnsi="Times New Roman"/>
          <w:sz w:val="20"/>
          <w:szCs w:val="20"/>
          <w:color w:val="auto"/>
        </w:rPr>
        <w:t>For 2024 only, these awards will be granted to you on your Effective Date, priced as of the closing stock price on that date. This award will be prorated for the portion of the 2024 year employed.</w:t>
      </w:r>
    </w:p>
    <w:p>
      <w:pPr>
        <w:spacing w:after="0" w:line="1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LTI awards are governed by the terms of the LTI Program Document.</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You will be eligible for additional separation provisions related to qualifying terminations—specifically,</w:t>
      </w:r>
    </w:p>
    <w:p>
      <w:pPr>
        <w:spacing w:after="0" w:line="221" w:lineRule="auto"/>
        <w:rPr>
          <w:sz w:val="20"/>
          <w:szCs w:val="20"/>
          <w:color w:val="auto"/>
        </w:rPr>
      </w:pPr>
      <w:r>
        <w:rPr>
          <w:rFonts w:ascii="Times New Roman" w:cs="Times New Roman" w:eastAsia="Times New Roman" w:hAnsi="Times New Roman"/>
          <w:sz w:val="20"/>
          <w:szCs w:val="20"/>
          <w:color w:val="auto"/>
        </w:rPr>
        <w:t>terminations both prior to and following a Change in Control. This Separation Agreement will be executed separately from the LOU.</w:t>
      </w:r>
    </w:p>
    <w:p>
      <w:pPr>
        <w:spacing w:after="0" w:line="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color w:val="auto"/>
        </w:rPr>
        <w:t>Except as expressly set forth herein, nothing in this Letter of Understanding and Relocation Agreement is</w:t>
      </w:r>
    </w:p>
    <w:p>
      <w:pPr>
        <w:spacing w:after="0" w:line="4" w:lineRule="exact"/>
        <w:rPr>
          <w:sz w:val="20"/>
          <w:szCs w:val="20"/>
          <w:color w:val="auto"/>
        </w:rPr>
      </w:pPr>
    </w:p>
    <w:p>
      <w:pPr>
        <w:ind w:left="20" w:right="160"/>
        <w:spacing w:after="0" w:line="215" w:lineRule="auto"/>
        <w:rPr>
          <w:sz w:val="20"/>
          <w:szCs w:val="20"/>
          <w:color w:val="auto"/>
        </w:rPr>
      </w:pPr>
      <w:r>
        <w:rPr>
          <w:rFonts w:ascii="Times New Roman" w:cs="Times New Roman" w:eastAsia="Times New Roman" w:hAnsi="Times New Roman"/>
          <w:sz w:val="19"/>
          <w:szCs w:val="19"/>
          <w:color w:val="auto"/>
        </w:rPr>
        <w:t>intended to supersede NN, Inc.’s employment-at-will policy. Under these provisions, employment with NN, Inc. is voluntarily entered into, and the associate is free to resign at will at any time, with or without</w:t>
      </w:r>
    </w:p>
    <w:p>
      <w:pPr>
        <w:ind w:left="20" w:right="100"/>
        <w:spacing w:after="0" w:line="228" w:lineRule="auto"/>
        <w:rPr>
          <w:sz w:val="20"/>
          <w:szCs w:val="20"/>
          <w:color w:val="auto"/>
        </w:rPr>
      </w:pPr>
      <w:r>
        <w:rPr>
          <w:rFonts w:ascii="Times New Roman" w:cs="Times New Roman" w:eastAsia="Times New Roman" w:hAnsi="Times New Roman"/>
          <w:sz w:val="20"/>
          <w:szCs w:val="20"/>
          <w:color w:val="auto"/>
        </w:rPr>
        <w:t>cause. Similarly, NN, Inc. may terminate the employment relationship at will at any time, with or without notice or cause, so long as there is no violation of applicable federal and state law.</w:t>
      </w:r>
    </w:p>
    <w:p>
      <w:pPr>
        <w:spacing w:after="0" w:line="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None.</w:t>
      </w:r>
    </w:p>
    <w:p>
      <w:pPr>
        <w:spacing w:after="0" w:line="65" w:lineRule="exact"/>
        <w:rPr>
          <w:sz w:val="20"/>
          <w:szCs w:val="20"/>
          <w:color w:val="auto"/>
        </w:rPr>
      </w:pPr>
    </w:p>
    <w:p>
      <w:pPr>
        <w:ind w:left="20" w:right="280"/>
        <w:spacing w:after="0" w:line="261" w:lineRule="auto"/>
        <w:rPr>
          <w:sz w:val="20"/>
          <w:szCs w:val="20"/>
          <w:color w:val="auto"/>
        </w:rPr>
      </w:pPr>
      <w:r>
        <w:rPr>
          <w:rFonts w:ascii="Times New Roman" w:cs="Times New Roman" w:eastAsia="Times New Roman" w:hAnsi="Times New Roman"/>
          <w:sz w:val="20"/>
          <w:szCs w:val="20"/>
          <w:color w:val="auto"/>
        </w:rPr>
        <w:t>Since you will be in a position of trust requiring the maintenance of confidence, you will be required to sign a confidentiality and non-disclosure agreement on your first day of employment. A copy of the current agreement will be provided for your review.</w:t>
      </w:r>
    </w:p>
    <w:p>
      <w:pPr>
        <w:spacing w:after="0" w:line="200" w:lineRule="exact"/>
        <w:rPr>
          <w:sz w:val="20"/>
          <w:szCs w:val="20"/>
          <w:color w:val="auto"/>
        </w:rPr>
      </w:pPr>
    </w:p>
    <w:p>
      <w:pPr>
        <w:sectPr>
          <w:pgSz w:w="11900" w:h="16838" w:orient="portrait"/>
          <w:cols w:equalWidth="0" w:num="2">
            <w:col w:w="1920" w:space="720"/>
            <w:col w:w="8460"/>
          </w:cols>
          <w:pgMar w:left="400" w:top="1440" w:right="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3C5BA8"/>
        </w:rPr>
        <w:t xml:space="preserve">6210 Ardrey Kell Road, Suite 120 Charlotte, NC 28277 </w:t>
      </w:r>
      <w:r>
        <w:rPr>
          <w:rFonts w:ascii="Times New Roman" w:cs="Times New Roman" w:eastAsia="Times New Roman" w:hAnsi="Times New Roman"/>
          <w:sz w:val="16"/>
          <w:szCs w:val="16"/>
          <w:u w:val="single" w:color="auto"/>
          <w:color w:val="244061"/>
        </w:rPr>
        <w:t>www.nninc.com</w:t>
      </w:r>
    </w:p>
    <w:p>
      <w:pPr>
        <w:spacing w:after="0" w:line="1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29A3DC"/>
        </w:rPr>
        <w:t>Page 2</w:t>
      </w:r>
    </w:p>
    <w:p>
      <w:pPr>
        <w:sectPr>
          <w:pgSz w:w="11900" w:h="16838" w:orient="portrait"/>
          <w:cols w:equalWidth="0" w:num="1">
            <w:col w:w="11100"/>
          </w:cols>
          <w:pgMar w:left="400" w:top="1440" w:right="399" w:bottom="1440" w:gutter="0" w:footer="0" w:header="0"/>
          <w:type w:val="continuous"/>
        </w:sectPr>
      </w:pPr>
    </w:p>
    <w:bookmarkStart w:id="29" w:name="page30"/>
    <w:bookmarkEnd w:id="29"/>
    <w:p>
      <w:pPr>
        <w:spacing w:after="0" w:line="2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9"/>
          <w:szCs w:val="19"/>
          <w:b w:val="1"/>
          <w:bCs w:val="1"/>
          <w:color w:val="auto"/>
        </w:rPr>
        <w:t>Benefits</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20"/>
          <w:szCs w:val="20"/>
          <w:color w:val="auto"/>
        </w:rPr>
        <w:t>The Company offers a broad range of benefits for you and your eligible dependents. All such benefits are subject to the terms of the benefit plans and are available to employees generally. Plans include medical, dental, life, and disability benefits, as well as voluntary offerings such as vision, 401(k), and other voluntary offerings are also available; a copy of the current enrollment guide will be provided for your review.</w:t>
      </w:r>
    </w:p>
    <w:p>
      <w:pPr>
        <w:spacing w:after="0" w:line="1" w:lineRule="exact"/>
        <w:rPr>
          <w:sz w:val="20"/>
          <w:szCs w:val="20"/>
          <w:color w:val="auto"/>
        </w:rPr>
      </w:pPr>
    </w:p>
    <w:p>
      <w:pPr>
        <w:sectPr>
          <w:pgSz w:w="11900" w:h="16838" w:orient="portrait"/>
          <w:cols w:equalWidth="0" w:num="2">
            <w:col w:w="1480" w:space="720"/>
            <w:col w:w="8960"/>
          </w:cols>
          <w:pgMar w:left="320" w:top="1440" w:right="419" w:bottom="1440" w:gutter="0" w:footer="0" w:header="0"/>
        </w:sectPr>
      </w:pPr>
    </w:p>
    <w:p>
      <w:pPr>
        <w:spacing w:after="0" w:line="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9"/>
          <w:szCs w:val="19"/>
          <w:b w:val="1"/>
          <w:bCs w:val="1"/>
          <w:color w:val="auto"/>
        </w:rPr>
        <w:t>Paid Leave</w:t>
      </w:r>
    </w:p>
    <w:p>
      <w:pPr>
        <w:spacing w:after="0" w:line="20" w:lineRule="exact"/>
        <w:rPr>
          <w:sz w:val="20"/>
          <w:szCs w:val="20"/>
          <w:color w:val="auto"/>
        </w:rPr>
      </w:pPr>
      <w:r>
        <w:rPr>
          <w:sz w:val="20"/>
          <w:szCs w:val="20"/>
          <w:color w:val="auto"/>
        </w:rPr>
        <w:br w:type="column"/>
      </w:r>
    </w:p>
    <w:p>
      <w:pPr>
        <w:ind w:right="340"/>
        <w:spacing w:after="0"/>
        <w:rPr>
          <w:sz w:val="20"/>
          <w:szCs w:val="20"/>
          <w:color w:val="auto"/>
        </w:rPr>
      </w:pPr>
      <w:r>
        <w:rPr>
          <w:rFonts w:ascii="Times New Roman" w:cs="Times New Roman" w:eastAsia="Times New Roman" w:hAnsi="Times New Roman"/>
          <w:sz w:val="20"/>
          <w:szCs w:val="20"/>
          <w:color w:val="auto"/>
        </w:rPr>
        <w:t>You are eligible to receive pay for holidays that NN, Inc. observes during your employ (currently eleven per year), and your annual PTO allocation will be unlimited.</w:t>
      </w:r>
    </w:p>
    <w:p>
      <w:pPr>
        <w:spacing w:after="0" w:line="67" w:lineRule="exact"/>
        <w:rPr>
          <w:sz w:val="20"/>
          <w:szCs w:val="20"/>
          <w:color w:val="auto"/>
        </w:rPr>
      </w:pPr>
    </w:p>
    <w:p>
      <w:pPr>
        <w:sectPr>
          <w:pgSz w:w="11900" w:h="16838" w:orient="portrait"/>
          <w:cols w:equalWidth="0" w:num="2">
            <w:col w:w="1540" w:space="720"/>
            <w:col w:w="8900"/>
          </w:cols>
          <w:pgMar w:left="320" w:top="1440" w:right="419" w:bottom="1440" w:gutter="0" w:footer="0" w:header="0"/>
          <w:type w:val="continuous"/>
        </w:sectPr>
      </w:pPr>
    </w:p>
    <w:p>
      <w:pPr>
        <w:ind w:right="40"/>
        <w:spacing w:after="0" w:line="261" w:lineRule="auto"/>
        <w:rPr>
          <w:sz w:val="20"/>
          <w:szCs w:val="20"/>
          <w:color w:val="auto"/>
        </w:rPr>
      </w:pPr>
      <w:r>
        <w:rPr>
          <w:rFonts w:ascii="Times New Roman" w:cs="Times New Roman" w:eastAsia="Times New Roman" w:hAnsi="Times New Roman"/>
          <w:sz w:val="20"/>
          <w:szCs w:val="20"/>
          <w:color w:val="auto"/>
        </w:rPr>
        <w:t>Any provision of this Agreement to the contrary notwithstanding, all payments made by the Company hereunder to you, your estate, or your beneficiaries shall be subject to the withholding of such amounts, if any, relating to tax and other payroll deductions as the Company may reasonably determine should be withheld pursuant to any applicable law or regulation.</w:t>
      </w:r>
    </w:p>
    <w:p>
      <w:pPr>
        <w:spacing w:after="0" w:line="195" w:lineRule="exact"/>
        <w:rPr>
          <w:sz w:val="20"/>
          <w:szCs w:val="20"/>
          <w:color w:val="auto"/>
        </w:rPr>
      </w:pPr>
    </w:p>
    <w:p>
      <w:pPr>
        <w:ind w:right="140"/>
        <w:spacing w:after="0" w:line="283" w:lineRule="auto"/>
        <w:rPr>
          <w:sz w:val="20"/>
          <w:szCs w:val="20"/>
          <w:color w:val="auto"/>
        </w:rPr>
      </w:pPr>
      <w:r>
        <w:rPr>
          <w:rFonts w:ascii="Times New Roman" w:cs="Times New Roman" w:eastAsia="Times New Roman" w:hAnsi="Times New Roman"/>
          <w:sz w:val="20"/>
          <w:szCs w:val="20"/>
          <w:color w:val="auto"/>
        </w:rPr>
        <w:t>Jami, we look forward to welcoming you to the NN team. If you are in agreement with the terms of this offer, please sign and return a copy of the executed letter to us for your file. If you have any questions, please feel free to call me directly at 7084.877.1182.</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Sincerely,</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D. Gail Nixon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______________________________________________</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 Gail Nixon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Senior Vice President &amp; Chief Human Resources Officer</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NN, Inc.</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Enclosure</w:t>
      </w:r>
    </w:p>
    <w:p>
      <w:pPr>
        <w:spacing w:after="0" w:line="263"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6"/>
          <w:szCs w:val="16"/>
          <w:i w:val="1"/>
          <w:iCs w:val="1"/>
          <w:color w:val="auto"/>
        </w:rPr>
        <w:t>Except as expressly set forth herein, nothing in the Letter of Understanding is intended to supersede NN, Inc.’s and its affiliates’ employment-at-will policy. Under these provisions, employment with the NN, Inc. or its affiliates is voluntarily entered into, and the associate is free to resign at will at any time, with or without cause. Similarly, the NN, Inc. may terminate the employment relationship at will at any time, with or without notice or cause, so long as there is no violation of applicable federal and state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3C5BA8"/>
        </w:rPr>
        <w:t xml:space="preserve">6210 Ardrey Kell Road, Suite 120 Charlotte, NC 28277 </w:t>
      </w:r>
      <w:r>
        <w:rPr>
          <w:rFonts w:ascii="Times New Roman" w:cs="Times New Roman" w:eastAsia="Times New Roman" w:hAnsi="Times New Roman"/>
          <w:sz w:val="16"/>
          <w:szCs w:val="16"/>
          <w:u w:val="single" w:color="auto"/>
          <w:color w:val="244061"/>
        </w:rPr>
        <w:t>www.nninc.com</w:t>
      </w:r>
    </w:p>
    <w:p>
      <w:pPr>
        <w:spacing w:after="0" w:line="11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29A3DC"/>
        </w:rPr>
        <w:t>Page 3</w:t>
      </w:r>
    </w:p>
    <w:p>
      <w:pPr>
        <w:sectPr>
          <w:pgSz w:w="11900" w:h="16838" w:orient="portrait"/>
          <w:cols w:equalWidth="0" w:num="1">
            <w:col w:w="11160"/>
          </w:cols>
          <w:pgMar w:left="320" w:top="1440" w:right="419" w:bottom="1440" w:gutter="0" w:footer="0" w:header="0"/>
          <w:type w:val="continuous"/>
        </w:sectPr>
      </w:pPr>
    </w:p>
    <w:bookmarkStart w:id="30" w:name="page31"/>
    <w:bookmarkEnd w:id="30"/>
    <w:p>
      <w:pPr>
        <w:ind w:left="1560"/>
        <w:spacing w:after="0"/>
        <w:rPr>
          <w:sz w:val="20"/>
          <w:szCs w:val="20"/>
          <w:color w:val="auto"/>
        </w:rPr>
      </w:pPr>
      <w:r>
        <w:rPr>
          <w:rFonts w:ascii="Times New Roman" w:cs="Times New Roman" w:eastAsia="Times New Roman" w:hAnsi="Times New Roman"/>
          <w:sz w:val="43"/>
          <w:szCs w:val="43"/>
          <w:color w:val="3C5BA8"/>
        </w:rPr>
        <w:drawing>
          <wp:anchor simplePos="0" relativeHeight="251657728" behindDoc="1" locked="0" layoutInCell="0" allowOverlap="1">
            <wp:simplePos x="0" y="0"/>
            <wp:positionH relativeFrom="page">
              <wp:posOffset>208280</wp:posOffset>
            </wp:positionH>
            <wp:positionV relativeFrom="page">
              <wp:posOffset>88900</wp:posOffset>
            </wp:positionV>
            <wp:extent cx="916940" cy="6858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7">
                      <a:clrChange>
                        <a:clrFrom>
                          <a:srgbClr val="FFFFFF"/>
                        </a:clrFrom>
                        <a:clrTo>
                          <a:srgbClr val="FFFFFF">
                            <a:alpha val="0"/>
                          </a:srgbClr>
                        </a:clrTo>
                      </a:clrChange>
                      <a:extLst>
                        <a:ext uri="{28A0092B-C50C-407E-A947-70E740481C1C}"/>
                      </a:extLst>
                    </a:blip>
                    <a:srcRect/>
                    <a:stretch>
                      <a:fillRect/>
                    </a:stretch>
                  </pic:blipFill>
                  <pic:spPr bwMode="auto">
                    <a:xfrm>
                      <a:off x="0" y="0"/>
                      <a:ext cx="916940" cy="685800"/>
                    </a:xfrm>
                    <a:prstGeom prst="rect">
                      <a:avLst/>
                    </a:prstGeom>
                    <a:noFill/>
                  </pic:spPr>
                </pic:pic>
              </a:graphicData>
            </a:graphic>
          </wp:anchor>
        </w:drawing>
        <w:t>NN,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47625</wp:posOffset>
            </wp:positionV>
            <wp:extent cx="574357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8">
                      <a:extLst>
                        <a:ext uri="{28A0092B-C50C-407E-A947-70E740481C1C}"/>
                      </a:extLst>
                    </a:blip>
                    <a:srcRect/>
                    <a:stretch>
                      <a:fillRect/>
                    </a:stretch>
                  </pic:blipFill>
                  <pic:spPr bwMode="auto">
                    <a:xfrm>
                      <a:off x="0" y="0"/>
                      <a:ext cx="5743575" cy="8255"/>
                    </a:xfrm>
                    <a:prstGeom prst="rect">
                      <a:avLst/>
                    </a:prstGeom>
                    <a:noFill/>
                  </pic:spPr>
                </pic:pic>
              </a:graphicData>
            </a:graphic>
          </wp:anchor>
        </w:drawing>
      </w:r>
    </w:p>
    <w:p>
      <w:pPr>
        <w:spacing w:after="0" w:line="132"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8"/>
          <w:szCs w:val="18"/>
          <w:color w:val="4E4E4E"/>
        </w:rPr>
        <w:t>BEYOND RELIABLE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Letter of Understanding</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 Jami Statham</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Agreement and Acceptance:</w:t>
      </w:r>
    </w:p>
    <w:p>
      <w:pPr>
        <w:spacing w:after="0" w:line="200" w:lineRule="exact"/>
        <w:rPr>
          <w:sz w:val="20"/>
          <w:szCs w:val="20"/>
          <w:color w:val="auto"/>
        </w:rPr>
      </w:pPr>
    </w:p>
    <w:p>
      <w:pPr>
        <w:spacing w:after="0" w:line="29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color w:val="auto"/>
        </w:rPr>
        <w:t>I hereby acknowledge and accept the terms and conditions cited in the foregoing Letter of Understanding. I understand and agree that this Letter of Understanding may be terminated at any time by NN, Inc. or its affiliates. I further understand and agree that, notwithstanding the terms, conditions and benefits of this Letter of Understanding, all employment with NN, Inc. or its affiliates is at will, and for an indefinite duration and there is no guarantee of employment with NN, Inc. or any affiliate thereof.</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tbl>
      <w:tblPr>
        <w:tblLayout w:type="fixed"/>
        <w:tblInd w:w="20" w:type="dxa"/>
        <w:tblCellMar>
          <w:top w:w="0" w:type="dxa"/>
          <w:left w:w="0" w:type="dxa"/>
          <w:bottom w:w="0" w:type="dxa"/>
          <w:right w:w="0" w:type="dxa"/>
        </w:tblCellMar>
      </w:tblPr>
      <w:tr>
        <w:trPr>
          <w:trHeight w:val="262"/>
        </w:trPr>
        <w:tc>
          <w:tcPr>
            <w:tcW w:w="1720" w:type="dxa"/>
            <w:vAlign w:val="bottom"/>
          </w:tcPr>
          <w:p>
            <w:pPr>
              <w:spacing w:after="0"/>
              <w:rPr>
                <w:sz w:val="20"/>
                <w:szCs w:val="20"/>
                <w:color w:val="auto"/>
              </w:rPr>
            </w:pPr>
            <w:r>
              <w:rPr>
                <w:rFonts w:ascii="Times New Roman" w:cs="Times New Roman" w:eastAsia="Times New Roman" w:hAnsi="Times New Roman"/>
                <w:sz w:val="20"/>
                <w:szCs w:val="20"/>
                <w:color w:val="auto"/>
              </w:rPr>
              <w:t>Signed:</w:t>
            </w:r>
          </w:p>
        </w:tc>
        <w:tc>
          <w:tcPr>
            <w:tcW w:w="4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Jami Statham</w:t>
            </w:r>
          </w:p>
        </w:tc>
      </w:tr>
      <w:tr>
        <w:trPr>
          <w:trHeight w:val="506"/>
        </w:trPr>
        <w:tc>
          <w:tcPr>
            <w:tcW w:w="1720" w:type="dxa"/>
            <w:vAlign w:val="bottom"/>
          </w:tcPr>
          <w:p>
            <w:pPr>
              <w:spacing w:after="0"/>
              <w:rPr>
                <w:sz w:val="20"/>
                <w:szCs w:val="20"/>
                <w:color w:val="auto"/>
              </w:rPr>
            </w:pPr>
            <w:r>
              <w:rPr>
                <w:rFonts w:ascii="Times New Roman" w:cs="Times New Roman" w:eastAsia="Times New Roman" w:hAnsi="Times New Roman"/>
                <w:sz w:val="20"/>
                <w:szCs w:val="20"/>
                <w:color w:val="auto"/>
              </w:rPr>
              <w:t>Printed Name:</w:t>
            </w:r>
          </w:p>
        </w:tc>
        <w:tc>
          <w:tcPr>
            <w:tcW w:w="4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Jami Statham</w:t>
            </w:r>
          </w:p>
        </w:tc>
      </w:tr>
      <w:tr>
        <w:trPr>
          <w:trHeight w:val="507"/>
        </w:trPr>
        <w:tc>
          <w:tcPr>
            <w:tcW w:w="1720" w:type="dxa"/>
            <w:vAlign w:val="bottom"/>
          </w:tcPr>
          <w:p>
            <w:pPr>
              <w:spacing w:after="0"/>
              <w:rPr>
                <w:sz w:val="20"/>
                <w:szCs w:val="20"/>
                <w:color w:val="auto"/>
              </w:rPr>
            </w:pPr>
            <w:r>
              <w:rPr>
                <w:rFonts w:ascii="Times New Roman" w:cs="Times New Roman" w:eastAsia="Times New Roman" w:hAnsi="Times New Roman"/>
                <w:sz w:val="20"/>
                <w:szCs w:val="20"/>
                <w:color w:val="auto"/>
              </w:rPr>
              <w:t>Date:</w:t>
            </w:r>
          </w:p>
        </w:tc>
        <w:tc>
          <w:tcPr>
            <w:tcW w:w="4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June 10, 2024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6"/>
          <w:szCs w:val="16"/>
          <w:color w:val="3C5BA8"/>
        </w:rPr>
        <w:t xml:space="preserve">6210 Ardrey Kell Road, Suite 120 Charlotte, NC 28277 </w:t>
      </w:r>
      <w:r>
        <w:rPr>
          <w:rFonts w:ascii="Times New Roman" w:cs="Times New Roman" w:eastAsia="Times New Roman" w:hAnsi="Times New Roman"/>
          <w:sz w:val="16"/>
          <w:szCs w:val="16"/>
          <w:u w:val="single" w:color="auto"/>
          <w:color w:val="244061"/>
        </w:rPr>
        <w:t>www.nninc.com</w:t>
      </w:r>
    </w:p>
    <w:p>
      <w:pPr>
        <w:spacing w:after="0" w:line="11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6"/>
          <w:szCs w:val="16"/>
          <w:color w:val="29A3DC"/>
        </w:rPr>
        <w:t>Page 1</w:t>
      </w:r>
    </w:p>
    <w:p>
      <w:pPr>
        <w:sectPr>
          <w:pgSz w:w="11900" w:h="16838" w:orient="portrait"/>
          <w:cols w:equalWidth="0" w:num="1">
            <w:col w:w="11020"/>
          </w:cols>
          <w:pgMar w:left="320" w:top="312" w:right="55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PRINCIPAL EXECUTIVE OFFICER PURSUANT TO RULES 13a-14(a) AND 15d-14(a)</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UNDER THE SECURITIES EXCHANGE ACT OF 1934, AS AMENDED</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Harold C. Bevis, certify that:</w:t>
      </w:r>
    </w:p>
    <w:p>
      <w:pPr>
        <w:spacing w:after="0" w:line="171" w:lineRule="exact"/>
        <w:rPr>
          <w:sz w:val="20"/>
          <w:szCs w:val="20"/>
          <w:color w:val="auto"/>
        </w:rPr>
      </w:pPr>
    </w:p>
    <w:p>
      <w:pPr>
        <w:ind w:left="320" w:hanging="312"/>
        <w:spacing w:after="0"/>
        <w:tabs>
          <w:tab w:leader="none" w:pos="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NN, Inc.;</w:t>
      </w:r>
    </w:p>
    <w:p>
      <w:pPr>
        <w:spacing w:after="0" w:line="117" w:lineRule="exact"/>
        <w:rPr>
          <w:rFonts w:ascii="Times New Roman" w:cs="Times New Roman" w:eastAsia="Times New Roman" w:hAnsi="Times New Roman"/>
          <w:sz w:val="18"/>
          <w:szCs w:val="18"/>
          <w:color w:val="auto"/>
        </w:rPr>
      </w:pPr>
    </w:p>
    <w:p>
      <w:pPr>
        <w:jc w:val="both"/>
        <w:ind w:left="340" w:right="460" w:hanging="332"/>
        <w:spacing w:after="0" w:line="266" w:lineRule="auto"/>
        <w:tabs>
          <w:tab w:leader="none" w:pos="32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340" w:right="420" w:hanging="332"/>
        <w:spacing w:after="0" w:line="282" w:lineRule="auto"/>
        <w:tabs>
          <w:tab w:leader="none" w:pos="32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2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7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980" w:right="360" w:hanging="324"/>
        <w:spacing w:after="0" w:line="266" w:lineRule="auto"/>
        <w:tabs>
          <w:tab w:leader="none" w:pos="9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980" w:right="540" w:hanging="324"/>
        <w:spacing w:after="0" w:line="312" w:lineRule="auto"/>
        <w:tabs>
          <w:tab w:leader="none" w:pos="970" w:val="left"/>
        </w:tabs>
        <w:numPr>
          <w:ilvl w:val="1"/>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980" w:right="40" w:hanging="324"/>
        <w:spacing w:after="0" w:line="266" w:lineRule="auto"/>
        <w:tabs>
          <w:tab w:leader="none" w:pos="9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the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340" w:right="340" w:hanging="332"/>
        <w:spacing w:after="0" w:line="282" w:lineRule="auto"/>
        <w:tabs>
          <w:tab w:leader="none" w:pos="32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980" w:right="460" w:hanging="324"/>
        <w:spacing w:after="0" w:line="282" w:lineRule="auto"/>
        <w:tabs>
          <w:tab w:leader="none" w:pos="9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1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 May 7, 2025</w:t>
            </w:r>
          </w:p>
        </w:tc>
        <w:tc>
          <w:tcPr>
            <w:tcW w:w="5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Harold C. Bevis</w:t>
            </w:r>
          </w:p>
        </w:tc>
      </w:tr>
      <w:tr>
        <w:trPr>
          <w:trHeight w:val="218"/>
        </w:trPr>
        <w:tc>
          <w:tcPr>
            <w:tcW w:w="5620" w:type="dxa"/>
            <w:vAlign w:val="bottom"/>
          </w:tcPr>
          <w:p>
            <w:pPr>
              <w:spacing w:after="0"/>
              <w:rPr>
                <w:sz w:val="18"/>
                <w:szCs w:val="18"/>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Harold C. Bevis</w:t>
            </w:r>
          </w:p>
        </w:tc>
      </w:tr>
      <w:tr>
        <w:trPr>
          <w:trHeight w:val="230"/>
        </w:trPr>
        <w:tc>
          <w:tcPr>
            <w:tcW w:w="5620" w:type="dxa"/>
            <w:vAlign w:val="bottom"/>
          </w:tcPr>
          <w:p>
            <w:pPr>
              <w:spacing w:after="0"/>
              <w:rPr>
                <w:sz w:val="19"/>
                <w:szCs w:val="19"/>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r>
      <w:tr>
        <w:trPr>
          <w:trHeight w:val="234"/>
        </w:trPr>
        <w:tc>
          <w:tcPr>
            <w:tcW w:w="5620" w:type="dxa"/>
            <w:vAlign w:val="bottom"/>
          </w:tcPr>
          <w:p>
            <w:pPr>
              <w:spacing w:after="0"/>
              <w:rPr>
                <w:sz w:val="20"/>
                <w:szCs w:val="20"/>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887" w:right="3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PRINCIPAL FINANCIAL OFFICER PURSUANT TO RULES 13a-14(a) AND 15d-14(a)</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UNDER THE SECURITIES EXCHANGE ACT OF 1934, AS AMENDED</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Christopher H. Bohnert, certify that:</w:t>
      </w:r>
    </w:p>
    <w:p>
      <w:pPr>
        <w:spacing w:after="0" w:line="171" w:lineRule="exact"/>
        <w:rPr>
          <w:sz w:val="20"/>
          <w:szCs w:val="20"/>
          <w:color w:val="auto"/>
        </w:rPr>
      </w:pPr>
    </w:p>
    <w:p>
      <w:pPr>
        <w:ind w:left="320" w:hanging="312"/>
        <w:spacing w:after="0"/>
        <w:tabs>
          <w:tab w:leader="none" w:pos="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NN, Inc.;</w:t>
      </w:r>
    </w:p>
    <w:p>
      <w:pPr>
        <w:spacing w:after="0" w:line="117" w:lineRule="exact"/>
        <w:rPr>
          <w:rFonts w:ascii="Times New Roman" w:cs="Times New Roman" w:eastAsia="Times New Roman" w:hAnsi="Times New Roman"/>
          <w:sz w:val="18"/>
          <w:szCs w:val="18"/>
          <w:color w:val="auto"/>
        </w:rPr>
      </w:pPr>
    </w:p>
    <w:p>
      <w:pPr>
        <w:jc w:val="both"/>
        <w:ind w:left="340" w:right="460" w:hanging="332"/>
        <w:spacing w:after="0" w:line="266" w:lineRule="auto"/>
        <w:tabs>
          <w:tab w:leader="none" w:pos="32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340" w:right="420" w:hanging="332"/>
        <w:spacing w:after="0" w:line="282" w:lineRule="auto"/>
        <w:tabs>
          <w:tab w:leader="none" w:pos="32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2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7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980" w:right="360" w:hanging="324"/>
        <w:spacing w:after="0" w:line="266" w:lineRule="auto"/>
        <w:tabs>
          <w:tab w:leader="none" w:pos="9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980" w:right="540" w:hanging="324"/>
        <w:spacing w:after="0" w:line="312" w:lineRule="auto"/>
        <w:tabs>
          <w:tab w:leader="none" w:pos="970" w:val="left"/>
        </w:tabs>
        <w:numPr>
          <w:ilvl w:val="1"/>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980" w:right="40" w:hanging="324"/>
        <w:spacing w:after="0" w:line="266" w:lineRule="auto"/>
        <w:tabs>
          <w:tab w:leader="none" w:pos="9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the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340" w:right="340" w:hanging="332"/>
        <w:spacing w:after="0" w:line="282" w:lineRule="auto"/>
        <w:tabs>
          <w:tab w:leader="none" w:pos="32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980" w:right="460" w:hanging="324"/>
        <w:spacing w:after="0" w:line="282" w:lineRule="auto"/>
        <w:tabs>
          <w:tab w:leader="none" w:pos="9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3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Date: May 7, 2025</w:t>
            </w:r>
          </w:p>
        </w:tc>
        <w:tc>
          <w:tcPr>
            <w:tcW w:w="5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Christopher H. Bohnert</w:t>
            </w:r>
          </w:p>
        </w:tc>
      </w:tr>
      <w:tr>
        <w:trPr>
          <w:trHeight w:val="218"/>
        </w:trPr>
        <w:tc>
          <w:tcPr>
            <w:tcW w:w="564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Christopher H. Bohnert</w:t>
            </w:r>
          </w:p>
        </w:tc>
      </w:tr>
      <w:tr>
        <w:trPr>
          <w:trHeight w:val="229"/>
        </w:trPr>
        <w:tc>
          <w:tcPr>
            <w:tcW w:w="5640" w:type="dxa"/>
            <w:vAlign w:val="bottom"/>
          </w:tcPr>
          <w:p>
            <w:pPr>
              <w:spacing w:after="0"/>
              <w:rPr>
                <w:sz w:val="19"/>
                <w:szCs w:val="19"/>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tc>
      </w:tr>
      <w:tr>
        <w:trPr>
          <w:trHeight w:val="234"/>
        </w:trPr>
        <w:tc>
          <w:tcPr>
            <w:tcW w:w="5640" w:type="dxa"/>
            <w:vAlign w:val="bottom"/>
          </w:tcPr>
          <w:p>
            <w:pPr>
              <w:spacing w:after="0"/>
              <w:rPr>
                <w:sz w:val="20"/>
                <w:szCs w:val="20"/>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ectPr>
          <w:pgSz w:w="11900" w:h="16838" w:orient="portrait"/>
          <w:cols w:equalWidth="0" w:num="1">
            <w:col w:w="11240"/>
          </w:cols>
          <w:pgMar w:left="320" w:top="887" w:right="3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PRINCIPAL EXECUTIVE OFFICER PURSUANT</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TO SECTION 906 OF THE SARBANES-OXLEY ACT OF 2002</w:t>
      </w:r>
    </w:p>
    <w:p>
      <w:pPr>
        <w:spacing w:after="0" w:line="30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connection with the Quarterly Report of NN, Inc. (the “Company”) on Form 10-Q for the quarterly period ended March 31, 2025, as filed with the Securities and Exchange Commission on the date hereof (the “Report”), the undersigned, in the capacity and date indicated below, hereby certifies pursuant to 18 U.S.C. §1350, as adopted pursuant to §906 of the Sarbanes-Oxley Act of 2002, that, to my knowledge: (1) the Report fully complies with the requirements of Section 13(a) or 15(d) of the Securities Exchange Act of 1934, and (2) the information contained in the Report fairly presents, in all material respects, the financial condition and results of operations of the Company as of the dates and for the periods indicated.</w:t>
      </w:r>
    </w:p>
    <w:p>
      <w:pPr>
        <w:spacing w:after="0" w:line="200" w:lineRule="exact"/>
        <w:rPr>
          <w:sz w:val="20"/>
          <w:szCs w:val="20"/>
          <w:color w:val="auto"/>
        </w:rPr>
      </w:pPr>
    </w:p>
    <w:p>
      <w:pPr>
        <w:spacing w:after="0" w:line="29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 May 7, 2025</w:t>
            </w:r>
          </w:p>
        </w:tc>
        <w:tc>
          <w:tcPr>
            <w:tcW w:w="5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Harold C. Bevis</w:t>
            </w:r>
          </w:p>
        </w:tc>
      </w:tr>
      <w:tr>
        <w:trPr>
          <w:trHeight w:val="218"/>
        </w:trPr>
        <w:tc>
          <w:tcPr>
            <w:tcW w:w="5620" w:type="dxa"/>
            <w:vAlign w:val="bottom"/>
          </w:tcPr>
          <w:p>
            <w:pPr>
              <w:spacing w:after="0"/>
              <w:rPr>
                <w:sz w:val="18"/>
                <w:szCs w:val="18"/>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Harold C. Bevis</w:t>
            </w:r>
          </w:p>
        </w:tc>
      </w:tr>
      <w:tr>
        <w:trPr>
          <w:trHeight w:val="229"/>
        </w:trPr>
        <w:tc>
          <w:tcPr>
            <w:tcW w:w="5620" w:type="dxa"/>
            <w:vAlign w:val="bottom"/>
          </w:tcPr>
          <w:p>
            <w:pPr>
              <w:spacing w:after="0"/>
              <w:rPr>
                <w:sz w:val="19"/>
                <w:szCs w:val="19"/>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r>
      <w:tr>
        <w:trPr>
          <w:trHeight w:val="234"/>
        </w:trPr>
        <w:tc>
          <w:tcPr>
            <w:tcW w:w="5620" w:type="dxa"/>
            <w:vAlign w:val="bottom"/>
          </w:tcPr>
          <w:p>
            <w:pPr>
              <w:spacing w:after="0"/>
              <w:rPr>
                <w:sz w:val="20"/>
                <w:szCs w:val="20"/>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887" w:right="3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PRINCIPAL FINANCIAL OFFICER PURSUANT</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TO SECTION 906 OF THE SARBANES-OXLEY ACT OF 2002</w:t>
      </w:r>
    </w:p>
    <w:p>
      <w:pPr>
        <w:spacing w:after="0" w:line="30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connection with the Quarterly Report of NN, Inc. (the “Company”) on Form 10-Q for the quarterly period ended March 31, 2025, as filed with the Securities and Exchange Commission on the date hereof (the “Report”), the undersigned, in the capacity and date indicated below, hereby certifies pursuant to 18 U.S.C. §1350, as adopted pursuant to §906 of the Sarbanes-Oxley Act of 2002, that, to my knowledge: (1) the Report fully complies with the requirements of Section 13(a) or 15(d) of the Securities Exchange Act of 1934, and (2) the information contained in the Report fairly presents, in all material respects, the financial condition and results of operations of the Company as of the dates and for the periods indicated.</w:t>
      </w:r>
    </w:p>
    <w:p>
      <w:pPr>
        <w:spacing w:after="0" w:line="200" w:lineRule="exact"/>
        <w:rPr>
          <w:sz w:val="20"/>
          <w:szCs w:val="20"/>
          <w:color w:val="auto"/>
        </w:rPr>
      </w:pPr>
    </w:p>
    <w:p>
      <w:pPr>
        <w:spacing w:after="0" w:line="29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Date: May 7, 2025</w:t>
            </w:r>
          </w:p>
        </w:tc>
        <w:tc>
          <w:tcPr>
            <w:tcW w:w="5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Christopher H. Bohnert</w:t>
            </w:r>
          </w:p>
        </w:tc>
      </w:tr>
      <w:tr>
        <w:trPr>
          <w:trHeight w:val="218"/>
        </w:trPr>
        <w:tc>
          <w:tcPr>
            <w:tcW w:w="564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Christopher H. Bohnert</w:t>
            </w:r>
          </w:p>
        </w:tc>
      </w:tr>
      <w:tr>
        <w:trPr>
          <w:trHeight w:val="230"/>
        </w:trPr>
        <w:tc>
          <w:tcPr>
            <w:tcW w:w="5640" w:type="dxa"/>
            <w:vAlign w:val="bottom"/>
          </w:tcPr>
          <w:p>
            <w:pPr>
              <w:spacing w:after="0"/>
              <w:rPr>
                <w:sz w:val="19"/>
                <w:szCs w:val="19"/>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tc>
      </w:tr>
      <w:tr>
        <w:trPr>
          <w:trHeight w:val="234"/>
        </w:trPr>
        <w:tc>
          <w:tcPr>
            <w:tcW w:w="5640" w:type="dxa"/>
            <w:vAlign w:val="bottom"/>
          </w:tcPr>
          <w:p>
            <w:pPr>
              <w:spacing w:after="0"/>
              <w:rPr>
                <w:sz w:val="20"/>
                <w:szCs w:val="20"/>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1" w:lineRule="exact"/>
        <w:rPr>
          <w:sz w:val="20"/>
          <w:szCs w:val="20"/>
          <w:color w:val="auto"/>
        </w:rPr>
      </w:pP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1)"/>
      <w:numFmt w:val="decimal"/>
      <w:start w:val="1"/>
    </w:lvl>
  </w:abstractNum>
  <w:abstractNum w:abstractNumId="4">
    <w:nsid w:val="1F16E9E8"/>
    <w:multiLevelType w:val="hybridMultilevel"/>
    <w:lvl w:ilvl="0">
      <w:lvlJc w:val="left"/>
      <w:lvlText w:val="(%1)"/>
      <w:numFmt w:val="decimal"/>
      <w:start w:val="1"/>
    </w:lvl>
  </w:abstractNum>
  <w:abstractNum w:abstractNumId="5">
    <w:nsid w:val="1190CDE7"/>
    <w:multiLevelType w:val="hybridMultilevel"/>
    <w:lvl w:ilvl="0">
      <w:lvlJc w:val="left"/>
      <w:lvlText w:val="(%1)"/>
      <w:numFmt w:val="decimal"/>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1)"/>
      <w:numFmt w:val="decimal"/>
      <w:start w:val="1"/>
    </w:lvl>
  </w:abstractNum>
  <w:abstractNum w:abstractNumId="9">
    <w:nsid w:val="109CF92E"/>
    <w:multiLevelType w:val="hybridMultilevel"/>
    <w:lvl w:ilvl="0">
      <w:lvlJc w:val="left"/>
      <w:lvlText w:val="(%1)"/>
      <w:numFmt w:val="decimal"/>
      <w:start w:val="1"/>
    </w:lvl>
  </w:abstractNum>
  <w:abstractNum w:abstractNumId="10">
    <w:nsid w:val="DED7263"/>
    <w:multiLevelType w:val="hybridMultilevel"/>
    <w:lvl w:ilvl="0">
      <w:lvlJc w:val="left"/>
      <w:lvlText w:val="(%1)"/>
      <w:numFmt w:val="decimal"/>
      <w:start w:val="1"/>
    </w:lvl>
  </w:abstractNum>
  <w:abstractNum w:abstractNumId="11">
    <w:nsid w:val="7FDCC233"/>
    <w:multiLevelType w:val="hybridMultilevel"/>
    <w:lvl w:ilvl="0">
      <w:lvlJc w:val="left"/>
      <w:lvlText w:val="(%1)"/>
      <w:numFmt w:val="lowerRoman"/>
      <w:start w:val="1"/>
    </w:lvl>
  </w:abstractNum>
  <w:abstractNum w:abstractNumId="12">
    <w:nsid w:val="1BEFD79F"/>
    <w:multiLevelType w:val="hybridMultilevel"/>
    <w:lvl w:ilvl="0">
      <w:lvlJc w:val="left"/>
      <w:lvlText w:val="(%1)"/>
      <w:numFmt w:val="decimal"/>
      <w:start w:val="1"/>
    </w:lvl>
  </w:abstractNum>
  <w:abstractNum w:abstractNumId="13">
    <w:nsid w:val="41A7C4C9"/>
    <w:multiLevelType w:val="hybridMultilevel"/>
    <w:lvl w:ilvl="0">
      <w:lvlJc w:val="left"/>
      <w:lvlText w:val="%1"/>
      <w:numFmt w:val="decimal"/>
      <w:start w:val="104"/>
    </w:lvl>
  </w:abstractNum>
  <w:abstractNum w:abstractNumId="14">
    <w:nsid w:val="6B68079A"/>
    <w:multiLevelType w:val="hybridMultilevel"/>
    <w:lvl w:ilvl="0">
      <w:lvlJc w:val="left"/>
      <w:lvlText w:val="•"/>
      <w:numFmt w:val="bullet"/>
      <w:start w:val="1"/>
    </w:lvl>
  </w:abstractNum>
  <w:abstractNum w:abstractNumId="15">
    <w:nsid w:val="4E6AFB66"/>
    <w:multiLevelType w:val="hybridMultilevel"/>
    <w:lvl w:ilvl="0">
      <w:lvlJc w:val="left"/>
      <w:lvlText w:val="%1)"/>
      <w:numFmt w:val="decimal"/>
      <w:start w:val="1"/>
    </w:lvl>
    <w:lvl w:ilvl="1">
      <w:lvlJc w:val="left"/>
      <w:lvlText w:val="%2."/>
      <w:numFmt w:val="lowerLetter"/>
      <w:start w:val="1"/>
    </w:lvl>
  </w:abstractNum>
  <w:abstractNum w:abstractNumId="16">
    <w:nsid w:val="25E45D3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51" Type="http://schemas.openxmlformats.org/officeDocument/2006/relationships/image" Target="media/image41.png"/><Relationship Id="rId52" Type="http://schemas.openxmlformats.org/officeDocument/2006/relationships/image" Target="media/image42.png"/><Relationship Id="rId53" Type="http://schemas.openxmlformats.org/officeDocument/2006/relationships/image" Target="media/image43.png"/><Relationship Id="rId54" Type="http://schemas.openxmlformats.org/officeDocument/2006/relationships/image" Target="media/image44.png"/><Relationship Id="rId55" Type="http://schemas.openxmlformats.org/officeDocument/2006/relationships/image" Target="media/image45.jpeg"/><Relationship Id="rId56" Type="http://schemas.openxmlformats.org/officeDocument/2006/relationships/image" Target="media/image46.png"/><Relationship Id="rId57" Type="http://schemas.openxmlformats.org/officeDocument/2006/relationships/image" Target="media/image47.jpeg"/><Relationship Id="rId58" Type="http://schemas.openxmlformats.org/officeDocument/2006/relationships/image" Target="media/image48.png"/><Relationship Id="rId48" Type="http://schemas.openxmlformats.org/officeDocument/2006/relationships/hyperlink" Target="https://www.sec.gov/Archives/edgar/data/918541/000091854125000041/exhibit101termloansixthame.htm" TargetMode="External"/><Relationship Id="rId49" Type="http://schemas.openxmlformats.org/officeDocument/2006/relationships/hyperlink" Target="https://www.sec.gov/Archives/edgar/data/918541/000091854125000050/exhibit101termloanagreemen.htm" TargetMode="External"/><Relationship Id="rId50" Type="http://schemas.openxmlformats.org/officeDocument/2006/relationships/hyperlink" Target="https://www.sec.gov/Archives/edgar/data/918541/000091854125000050/exhibit102ablagreementamen.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2025-05-07T16:25:21Z</dcterms:created>
  <dcterms:modified xsi:type="dcterms:W3CDTF">2025-05-07T16:25:21Z</dcterms:modified>
</cp:coreProperties>
</file>