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169545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September 18,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250190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3051175</wp:posOffset>
            </wp:positionH>
            <wp:positionV relativeFrom="paragraph">
              <wp:posOffset>429895</wp:posOffset>
            </wp:positionV>
            <wp:extent cx="900430" cy="892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00430" cy="8921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NN,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20"/>
          </w:cols>
          <w:pgMar w:left="440" w:top="449"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520" w:space="720"/>
            <w:col w:w="2860" w:space="720"/>
            <w:col w:w="2200"/>
          </w:cols>
          <w:pgMar w:left="440" w:top="449" w:right="43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320"/>
          </w:cols>
          <w:pgMar w:left="440" w:top="449" w:right="439" w:bottom="1440" w:gutter="0" w:footer="0" w:header="0"/>
          <w:type w:val="continuous"/>
        </w:sectPr>
      </w:pPr>
    </w:p>
    <w:p>
      <w:pPr>
        <w:spacing w:after="0" w:line="6"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6210 Ardrey Kell Road</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b w:val="1"/>
          <w:bCs w:val="1"/>
          <w:color w:val="auto"/>
        </w:rPr>
        <w:t>Charlotte, North Carolina</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28277</w:t>
      </w:r>
    </w:p>
    <w:p>
      <w:pPr>
        <w:spacing w:after="0" w:line="61" w:lineRule="exact"/>
        <w:rPr>
          <w:sz w:val="24"/>
          <w:szCs w:val="24"/>
          <w:color w:val="auto"/>
        </w:rPr>
      </w:pPr>
    </w:p>
    <w:p>
      <w:pPr>
        <w:sectPr>
          <w:pgSz w:w="11900" w:h="16838" w:orient="portrait"/>
          <w:cols w:equalWidth="0" w:num="2">
            <w:col w:w="8320" w:space="720"/>
            <w:col w:w="1980"/>
          </w:cols>
          <w:pgMar w:left="440" w:top="449" w:right="439" w:bottom="1440" w:gutter="0" w:footer="0" w:header="0"/>
          <w:type w:val="continuous"/>
        </w:sectPr>
      </w:pPr>
    </w:p>
    <w:p>
      <w:pPr>
        <w:ind w:left="25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8200" w:space="720"/>
            <w:col w:w="2100"/>
          </w:cols>
          <w:pgMar w:left="440" w:top="449" w:right="4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(980) 264-4300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020"/>
          </w:cols>
          <w:pgMar w:left="440" w:top="449" w:right="439" w:bottom="1440" w:gutter="0" w:footer="0" w:header="0"/>
          <w:type w:val="continuous"/>
        </w:sectPr>
      </w:pPr>
    </w:p>
    <w:p>
      <w:pPr>
        <w:spacing w:after="0" w:line="3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160655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117"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88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73"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449"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Introductory Note</w:t>
      </w:r>
    </w:p>
    <w:p>
      <w:pPr>
        <w:spacing w:after="0" w:line="121" w:lineRule="exact"/>
        <w:rPr>
          <w:sz w:val="20"/>
          <w:szCs w:val="20"/>
          <w:color w:val="auto"/>
        </w:rPr>
      </w:pPr>
    </w:p>
    <w:p>
      <w:pPr>
        <w:ind w:right="100" w:firstLine="441"/>
        <w:spacing w:after="0" w:line="270" w:lineRule="auto"/>
        <w:rPr>
          <w:sz w:val="20"/>
          <w:szCs w:val="20"/>
          <w:color w:val="auto"/>
        </w:rPr>
      </w:pPr>
      <w:r>
        <w:rPr>
          <w:rFonts w:ascii="Arial" w:cs="Arial" w:eastAsia="Arial" w:hAnsi="Arial"/>
          <w:sz w:val="17"/>
          <w:szCs w:val="17"/>
          <w:color w:val="auto"/>
        </w:rPr>
        <w:t>On September 18, 2018, NN, Inc. (the “Company”), completed its previously announced public offering of shares of its common stock (the “Shares”). The total number of Shares sold was 14,375,000, composed of 12,500,000 Shares initially offered and an additional 1,875,000 Shares sold pursuant to the exercise of the underwriters’ option to purchase additional Shares, in each case at the public offering price of $16.00 per share. The net proceeds to the Company from the offering, after deducting underwriting discounts and commissions and estimated offering expenses, are approximately $216,925,000 (the “Offering”). The Shares were offered and sold pursuant to a preliminary prospectus supplement, dated September 10, 2018, a final prospectus supplement, dated September 13, 2018, and a base prospectus, dated April 19, 2017, relating to the Company’s effective shelf registration statement on Form S-3 (File No. 333-216737). The Company used a portion of the net proceeds from the Offering to repay the Second Lien Facility (as defined below) incurred in connection with the acquisition of Paragon Medical, Inc. and intends to use the remaining net proceeds for general corporate purposes.</w:t>
      </w:r>
    </w:p>
    <w:p>
      <w:pPr>
        <w:spacing w:after="0" w:line="32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121" w:lineRule="exact"/>
        <w:rPr>
          <w:sz w:val="20"/>
          <w:szCs w:val="20"/>
          <w:color w:val="auto"/>
        </w:rPr>
      </w:pPr>
    </w:p>
    <w:p>
      <w:pPr>
        <w:jc w:val="both"/>
        <w:ind w:right="20" w:firstLine="441"/>
        <w:spacing w:after="0" w:line="302" w:lineRule="auto"/>
        <w:rPr>
          <w:sz w:val="20"/>
          <w:szCs w:val="20"/>
          <w:color w:val="auto"/>
        </w:rPr>
      </w:pPr>
      <w:r>
        <w:rPr>
          <w:rFonts w:ascii="Arial" w:cs="Arial" w:eastAsia="Arial" w:hAnsi="Arial"/>
          <w:sz w:val="16"/>
          <w:szCs w:val="16"/>
          <w:color w:val="auto"/>
        </w:rPr>
        <w:t>On September 18, 2018, in connection with the closing of the Offering, the Company (a) repaid in full all outstanding debt, together with interest and all other amounts due in connection with such repayment, under that certain $200.0 million secured second lien term loan facility (the “Second Lien Facility”), and (b) terminated that certain Second Lien Credit Agreement, dated May 7, 2018, by and among the Company, the affiliated guarantors party thereto, SunTrust Bank, SunTrust Robinson Humphrey, Inc. and the lenders party thereto (the “Second Lien Credit Agreement”).</w:t>
      </w:r>
    </w:p>
    <w:p>
      <w:pPr>
        <w:spacing w:after="0" w:line="154" w:lineRule="exact"/>
        <w:rPr>
          <w:sz w:val="20"/>
          <w:szCs w:val="20"/>
          <w:color w:val="auto"/>
        </w:rPr>
      </w:pPr>
    </w:p>
    <w:p>
      <w:pPr>
        <w:ind w:right="200" w:firstLine="441"/>
        <w:spacing w:after="0" w:line="279" w:lineRule="auto"/>
        <w:rPr>
          <w:sz w:val="20"/>
          <w:szCs w:val="20"/>
          <w:color w:val="auto"/>
        </w:rPr>
      </w:pPr>
      <w:r>
        <w:rPr>
          <w:rFonts w:ascii="Arial" w:cs="Arial" w:eastAsia="Arial" w:hAnsi="Arial"/>
          <w:sz w:val="17"/>
          <w:szCs w:val="17"/>
          <w:color w:val="auto"/>
        </w:rPr>
        <w:t>The Second Lien Facility and Second Lien Credit Agreement are more fully described in the Company’s Current Report on Form 8-K filed with the U.S. Securities and Exchange Commission on May 7, 2018, which descriptions are incorporated herein by reference. Such descriptions are subject to, and qualified in their entirety by, the full text of the Second Lien Credit Agreement, a copy of which was previously filed as Exhibit 10.2 to the Company’s Current Report on Form 8-K filed on May 7, 2018, which is incorporated herein by reference.</w:t>
      </w:r>
    </w:p>
    <w:p>
      <w:pPr>
        <w:spacing w:after="0" w:line="171" w:lineRule="exact"/>
        <w:rPr>
          <w:sz w:val="20"/>
          <w:szCs w:val="20"/>
          <w:color w:val="auto"/>
        </w:rPr>
      </w:pPr>
    </w:p>
    <w:p>
      <w:pPr>
        <w:ind w:right="500" w:firstLine="441"/>
        <w:spacing w:after="0" w:line="302" w:lineRule="auto"/>
        <w:rPr>
          <w:sz w:val="20"/>
          <w:szCs w:val="20"/>
          <w:color w:val="auto"/>
        </w:rPr>
      </w:pPr>
      <w:r>
        <w:rPr>
          <w:rFonts w:ascii="Arial" w:cs="Arial" w:eastAsia="Arial" w:hAnsi="Arial"/>
          <w:sz w:val="16"/>
          <w:szCs w:val="16"/>
          <w:color w:val="auto"/>
        </w:rPr>
        <w:t>In connection with the termination of the Second Lien Facility, the Company repaid a total of approximately $204.4 million, which included principal, interest and prepayment penalties. Effective upon receipt of such payment, the Second Lien Credit Agreement and other related loan documents were terminated and are of no further force or effect (except with respect to any obligations and provisions that survive the termination thereof) and all liens granted in connection with the Second Lien Credit Agreement and other related loan documents were released.</w:t>
      </w:r>
    </w:p>
    <w:p>
      <w:pPr>
        <w:spacing w:after="0" w:line="29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On September 18, 2018, the Company issued a press release announcing the closing of the Offering, exercise of the underwriters’ option to purchase additional shares, and the repayment of the Second Lien Facility and the termination of the Second Lien Credit Agreement. A copy of the press release is furnished as Exhibit 99.1 to this Current Report on Form 8-K.</w:t>
      </w:r>
    </w:p>
    <w:p>
      <w:pPr>
        <w:spacing w:after="0" w:line="181"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The information, including the press release, furnished under this Item 7.01 shall not be deemed “filed” for the purposes of Section 18 of the Securities Exchange Act of 1934, as amended (the “Exchange Act”), or otherwise subject to the liabilities of that section, and shall not be deemed incorporated by reference into any other filing by the Company under the Exchange Act or the Securities Act of 1933, as amended, except as otherwise expressly stated in such filing.</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040" w:type="dxa"/>
            <w:vAlign w:val="bottom"/>
            <w:gridSpan w:val="6"/>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w w:val="99"/>
              </w:rPr>
              <w:t>(d) Exhibits</w:t>
            </w:r>
          </w:p>
        </w:tc>
        <w:tc>
          <w:tcPr>
            <w:tcW w:w="8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66"/>
        </w:trPr>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Exhibit No.</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4"/>
          </w:tcPr>
          <w:p>
            <w:pPr>
              <w:ind w:left="1160"/>
              <w:spacing w:after="0"/>
              <w:rPr>
                <w:sz w:val="20"/>
                <w:szCs w:val="20"/>
                <w:color w:val="auto"/>
              </w:rPr>
            </w:pPr>
            <w:r>
              <w:rPr>
                <w:rFonts w:ascii="Arial" w:cs="Arial" w:eastAsia="Arial" w:hAnsi="Arial"/>
                <w:sz w:val="18"/>
                <w:szCs w:val="18"/>
                <w:b w:val="1"/>
                <w:bCs w:val="1"/>
                <w:color w:val="auto"/>
              </w:rPr>
              <w:t>Description</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200" w:type="dxa"/>
            <w:vAlign w:val="bottom"/>
            <w:gridSpan w:val="5"/>
          </w:tcPr>
          <w:p>
            <w:pPr>
              <w:spacing w:after="0"/>
              <w:rPr>
                <w:rFonts w:ascii="Arial" w:cs="Arial" w:eastAsia="Arial" w:hAnsi="Arial"/>
                <w:sz w:val="18"/>
                <w:szCs w:val="18"/>
                <w:color w:val="0000EE"/>
                <w:w w:val="92"/>
              </w:rPr>
            </w:pPr>
            <w:hyperlink r:id="rId19">
              <w:r>
                <w:rPr>
                  <w:rFonts w:ascii="Arial" w:cs="Arial" w:eastAsia="Arial" w:hAnsi="Arial"/>
                  <w:sz w:val="18"/>
                  <w:szCs w:val="18"/>
                  <w:color w:val="0000EE"/>
                  <w:w w:val="92"/>
                </w:rPr>
                <w:t>Second Lien Credit Agreement, dated May 7, 2018, by and among NN, Inc., the affiliated Guarantors party thereto, SunTrust</w:t>
              </w:r>
            </w:hyperlink>
          </w:p>
        </w:tc>
      </w:tr>
      <w:tr>
        <w:trPr>
          <w:trHeight w:val="19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7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19">
              <w:r>
                <w:rPr>
                  <w:rFonts w:ascii="Arial" w:cs="Arial" w:eastAsia="Arial" w:hAnsi="Arial"/>
                  <w:sz w:val="18"/>
                  <w:szCs w:val="18"/>
                  <w:color w:val="0000EE"/>
                  <w:w w:val="90"/>
                </w:rPr>
                <w:t>Bank, SunTrust Robinson Humphrey, Inc. and the Lenders party thereto (incorporated by reference to Exhibit 10.2 to NN,</w:t>
              </w:r>
            </w:hyperlink>
          </w:p>
        </w:tc>
        <w:tc>
          <w:tcPr>
            <w:tcW w:w="26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0" w:type="dxa"/>
            <w:vAlign w:val="bottom"/>
            <w:gridSpan w:val="5"/>
          </w:tcPr>
          <w:p>
            <w:pPr>
              <w:spacing w:after="0" w:line="196" w:lineRule="exact"/>
              <w:rPr>
                <w:rFonts w:ascii="Arial" w:cs="Arial" w:eastAsia="Arial" w:hAnsi="Arial"/>
                <w:sz w:val="18"/>
                <w:szCs w:val="18"/>
                <w:color w:val="0000EE"/>
              </w:rPr>
            </w:pPr>
            <w:hyperlink r:id="rId19">
              <w:r>
                <w:rPr>
                  <w:rFonts w:ascii="Arial" w:cs="Arial" w:eastAsia="Arial" w:hAnsi="Arial"/>
                  <w:sz w:val="18"/>
                  <w:szCs w:val="18"/>
                  <w:color w:val="0000EE"/>
                </w:rPr>
                <w:t>Inc.’s Current Report on Form 8-K filed on May 7, 2018).</w:t>
              </w:r>
            </w:hyperlink>
          </w:p>
        </w:tc>
      </w:tr>
      <w:tr>
        <w:trPr>
          <w:trHeight w:val="304"/>
        </w:trPr>
        <w:tc>
          <w:tcPr>
            <w:tcW w:w="900" w:type="dxa"/>
            <w:vAlign w:val="bottom"/>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160" w:type="dxa"/>
            <w:vAlign w:val="bottom"/>
            <w:tcBorders>
              <w:top w:val="single" w:sz="8" w:color="0000EE"/>
            </w:tcBorders>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September 18, 2018.</w:t>
              </w:r>
            </w:hyperlink>
          </w:p>
        </w:tc>
        <w:tc>
          <w:tcPr>
            <w:tcW w:w="5040" w:type="dxa"/>
            <w:vAlign w:val="bottom"/>
            <w:gridSpan w:val="3"/>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ectPr>
          <w:pgSz w:w="11900" w:h="16838" w:orient="portrait"/>
          <w:cols w:equalWidth="0" w:num="1">
            <w:col w:w="11040"/>
          </w:cols>
          <w:pgMar w:left="440" w:top="270" w:right="4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7120" w:type="dxa"/>
            <w:vAlign w:val="bottom"/>
            <w:gridSpan w:val="2"/>
          </w:tcPr>
          <w:p>
            <w:pPr>
              <w:ind w:left="2040"/>
              <w:spacing w:after="0"/>
              <w:rPr>
                <w:sz w:val="20"/>
                <w:szCs w:val="20"/>
                <w:color w:val="auto"/>
              </w:rPr>
            </w:pPr>
            <w:r>
              <w:rPr>
                <w:rFonts w:ascii="Arial" w:cs="Arial" w:eastAsia="Arial" w:hAnsi="Arial"/>
                <w:sz w:val="18"/>
                <w:szCs w:val="18"/>
                <w:b w:val="1"/>
                <w:bCs w:val="1"/>
                <w:color w:val="auto"/>
              </w:rPr>
              <w:t>NN, INC.</w:t>
            </w:r>
          </w:p>
        </w:tc>
      </w:tr>
      <w:tr>
        <w:trPr>
          <w:trHeight w:val="432"/>
        </w:trPr>
        <w:tc>
          <w:tcPr>
            <w:tcW w:w="3920" w:type="dxa"/>
            <w:vAlign w:val="bottom"/>
          </w:tcPr>
          <w:p>
            <w:pPr>
              <w:spacing w:after="0"/>
              <w:rPr>
                <w:sz w:val="20"/>
                <w:szCs w:val="20"/>
                <w:color w:val="auto"/>
              </w:rPr>
            </w:pPr>
            <w:r>
              <w:rPr>
                <w:rFonts w:ascii="Arial" w:cs="Arial" w:eastAsia="Arial" w:hAnsi="Arial"/>
                <w:sz w:val="18"/>
                <w:szCs w:val="18"/>
                <w:color w:val="auto"/>
              </w:rPr>
              <w:t>Date: September 18, 2018</w:t>
            </w:r>
          </w:p>
        </w:tc>
        <w:tc>
          <w:tcPr>
            <w:tcW w:w="7120" w:type="dxa"/>
            <w:vAlign w:val="bottom"/>
            <w:gridSpan w:val="2"/>
          </w:tcPr>
          <w:p>
            <w:pPr>
              <w:ind w:left="2040"/>
              <w:spacing w:after="0"/>
              <w:rPr>
                <w:sz w:val="20"/>
                <w:szCs w:val="20"/>
                <w:color w:val="auto"/>
              </w:rPr>
            </w:pPr>
            <w:r>
              <w:rPr>
                <w:rFonts w:ascii="Arial" w:cs="Arial" w:eastAsia="Arial" w:hAnsi="Arial"/>
                <w:sz w:val="18"/>
                <w:szCs w:val="18"/>
                <w:color w:val="auto"/>
              </w:rPr>
              <w:t>By:  /s/ Matthew S. Heiter</w:t>
            </w:r>
          </w:p>
        </w:tc>
      </w:tr>
      <w:tr>
        <w:trPr>
          <w:trHeight w:val="195"/>
        </w:trPr>
        <w:tc>
          <w:tcPr>
            <w:tcW w:w="39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80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Matthew S. Heiter</w:t>
            </w:r>
          </w:p>
        </w:tc>
      </w:tr>
      <w:tr>
        <w:trPr>
          <w:trHeight w:val="230"/>
        </w:trPr>
        <w:tc>
          <w:tcPr>
            <w:tcW w:w="39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800" w:type="dxa"/>
            <w:vAlign w:val="bottom"/>
          </w:tcPr>
          <w:p>
            <w:pPr>
              <w:ind w:left="100"/>
              <w:spacing w:after="0"/>
              <w:rPr>
                <w:sz w:val="20"/>
                <w:szCs w:val="20"/>
                <w:color w:val="auto"/>
              </w:rPr>
            </w:pPr>
            <w:r>
              <w:rPr>
                <w:rFonts w:ascii="Arial" w:cs="Arial" w:eastAsia="Arial" w:hAnsi="Arial"/>
                <w:sz w:val="18"/>
                <w:szCs w:val="18"/>
                <w:color w:val="auto"/>
              </w:rPr>
              <w:t>Senior Vice President, General Counsel</w:t>
            </w:r>
          </w:p>
        </w:tc>
      </w:tr>
    </w:tbl>
    <w:p>
      <w:pPr>
        <w:sectPr>
          <w:pgSz w:w="11900" w:h="16838" w:orient="portrait"/>
          <w:cols w:equalWidth="0" w:num="1">
            <w:col w:w="11040"/>
          </w:cols>
          <w:pgMar w:left="440" w:top="270"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3977640</wp:posOffset>
            </wp:positionH>
            <wp:positionV relativeFrom="paragraph">
              <wp:posOffset>172085</wp:posOffset>
            </wp:positionV>
            <wp:extent cx="1475105" cy="428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47510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3680" w:type="dxa"/>
            <w:vAlign w:val="bottom"/>
          </w:tcPr>
          <w:p>
            <w:pPr>
              <w:ind w:left="1140"/>
              <w:spacing w:after="0"/>
              <w:rPr>
                <w:sz w:val="20"/>
                <w:szCs w:val="20"/>
                <w:color w:val="auto"/>
              </w:rPr>
            </w:pPr>
            <w:r>
              <w:rPr>
                <w:rFonts w:ascii="Arial" w:cs="Arial" w:eastAsia="Arial" w:hAnsi="Arial"/>
                <w:sz w:val="18"/>
                <w:szCs w:val="18"/>
                <w:color w:val="auto"/>
              </w:rPr>
              <w:t>RE: NN, Inc.</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3680" w:type="dxa"/>
            <w:vAlign w:val="bottom"/>
          </w:tcPr>
          <w:p>
            <w:pPr>
              <w:ind w:left="1140"/>
              <w:spacing w:after="0"/>
              <w:rPr>
                <w:sz w:val="20"/>
                <w:szCs w:val="20"/>
                <w:color w:val="auto"/>
              </w:rPr>
            </w:pPr>
            <w:r>
              <w:rPr>
                <w:rFonts w:ascii="Arial" w:cs="Arial" w:eastAsia="Arial" w:hAnsi="Arial"/>
                <w:sz w:val="18"/>
                <w:szCs w:val="18"/>
                <w:color w:val="auto"/>
              </w:rPr>
              <w:t>6210 Ardrey Kell Road</w:t>
            </w:r>
          </w:p>
        </w:tc>
        <w:tc>
          <w:tcPr>
            <w:tcW w:w="0" w:type="dxa"/>
            <w:vAlign w:val="bottom"/>
          </w:tcPr>
          <w:p>
            <w:pPr>
              <w:spacing w:after="0"/>
              <w:rPr>
                <w:sz w:val="1"/>
                <w:szCs w:val="1"/>
                <w:color w:val="auto"/>
              </w:rPr>
            </w:pPr>
          </w:p>
        </w:tc>
      </w:tr>
      <w:tr>
        <w:trPr>
          <w:trHeight w:val="230"/>
        </w:trPr>
        <w:tc>
          <w:tcPr>
            <w:tcW w:w="4540" w:type="dxa"/>
            <w:vAlign w:val="bottom"/>
            <w:vMerge w:val="restart"/>
          </w:tcPr>
          <w:p>
            <w:pPr>
              <w:spacing w:after="0"/>
              <w:rPr>
                <w:sz w:val="20"/>
                <w:szCs w:val="20"/>
                <w:color w:val="auto"/>
              </w:rPr>
            </w:pPr>
            <w:r>
              <w:rPr>
                <w:rFonts w:ascii="Arial" w:cs="Arial" w:eastAsia="Arial" w:hAnsi="Arial"/>
                <w:sz w:val="18"/>
                <w:szCs w:val="18"/>
                <w:color w:val="auto"/>
              </w:rPr>
              <w:t>FOR FURTHER INFORMATION:</w:t>
            </w:r>
          </w:p>
        </w:tc>
        <w:tc>
          <w:tcPr>
            <w:tcW w:w="3680" w:type="dxa"/>
            <w:vAlign w:val="bottom"/>
          </w:tcPr>
          <w:p>
            <w:pPr>
              <w:ind w:left="1140"/>
              <w:spacing w:after="0"/>
              <w:rPr>
                <w:sz w:val="20"/>
                <w:szCs w:val="20"/>
                <w:color w:val="auto"/>
              </w:rPr>
            </w:pPr>
            <w:r>
              <w:rPr>
                <w:rFonts w:ascii="Arial" w:cs="Arial" w:eastAsia="Arial" w:hAnsi="Arial"/>
                <w:sz w:val="18"/>
                <w:szCs w:val="18"/>
                <w:color w:val="auto"/>
              </w:rPr>
              <w:t>Charlotte, NC 28277</w:t>
            </w:r>
          </w:p>
        </w:tc>
        <w:tc>
          <w:tcPr>
            <w:tcW w:w="0" w:type="dxa"/>
            <w:vAlign w:val="bottom"/>
          </w:tcPr>
          <w:p>
            <w:pPr>
              <w:spacing w:after="0"/>
              <w:rPr>
                <w:sz w:val="1"/>
                <w:szCs w:val="1"/>
                <w:color w:val="auto"/>
              </w:rPr>
            </w:pPr>
          </w:p>
        </w:tc>
      </w:tr>
      <w:tr>
        <w:trPr>
          <w:trHeight w:val="216"/>
        </w:trPr>
        <w:tc>
          <w:tcPr>
            <w:tcW w:w="4540" w:type="dxa"/>
            <w:vAlign w:val="bottom"/>
            <w:vMerge w:val="continue"/>
          </w:tcPr>
          <w:p>
            <w:pPr>
              <w:spacing w:after="0"/>
              <w:rPr>
                <w:sz w:val="18"/>
                <w:szCs w:val="18"/>
                <w:color w:val="auto"/>
              </w:rPr>
            </w:pP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4540" w:type="dxa"/>
            <w:vAlign w:val="bottom"/>
          </w:tcPr>
          <w:p>
            <w:pPr>
              <w:spacing w:after="0"/>
              <w:rPr>
                <w:sz w:val="20"/>
                <w:szCs w:val="20"/>
                <w:color w:val="auto"/>
              </w:rPr>
            </w:pPr>
            <w:r>
              <w:rPr>
                <w:rFonts w:ascii="Arial" w:cs="Arial" w:eastAsia="Arial" w:hAnsi="Arial"/>
                <w:sz w:val="18"/>
                <w:szCs w:val="18"/>
                <w:color w:val="auto"/>
              </w:rPr>
              <w:t>AT THE COMPANY</w:t>
            </w:r>
          </w:p>
        </w:tc>
        <w:tc>
          <w:tcPr>
            <w:tcW w:w="3680" w:type="dxa"/>
            <w:vAlign w:val="bottom"/>
          </w:tcPr>
          <w:p>
            <w:pPr>
              <w:ind w:left="1140"/>
              <w:spacing w:after="0"/>
              <w:rPr>
                <w:sz w:val="20"/>
                <w:szCs w:val="20"/>
                <w:color w:val="auto"/>
              </w:rPr>
            </w:pPr>
            <w:r>
              <w:rPr>
                <w:rFonts w:ascii="Arial" w:cs="Arial" w:eastAsia="Arial" w:hAnsi="Arial"/>
                <w:sz w:val="18"/>
                <w:szCs w:val="18"/>
                <w:color w:val="auto"/>
                <w:w w:val="95"/>
              </w:rPr>
              <w:t>AT ABERNATHY MACGREGOR</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Paul Taylor</w:t>
            </w:r>
          </w:p>
        </w:tc>
        <w:tc>
          <w:tcPr>
            <w:tcW w:w="3680" w:type="dxa"/>
            <w:vAlign w:val="bottom"/>
          </w:tcPr>
          <w:p>
            <w:pPr>
              <w:ind w:left="1140"/>
              <w:spacing w:after="0"/>
              <w:rPr>
                <w:sz w:val="20"/>
                <w:szCs w:val="20"/>
                <w:color w:val="auto"/>
              </w:rPr>
            </w:pPr>
            <w:r>
              <w:rPr>
                <w:rFonts w:ascii="Arial" w:cs="Arial" w:eastAsia="Arial" w:hAnsi="Arial"/>
                <w:sz w:val="18"/>
                <w:szCs w:val="18"/>
                <w:color w:val="auto"/>
              </w:rPr>
              <w:t>Claire Walsh</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Vice President Marketing &amp; Investor Relations</w:t>
            </w:r>
          </w:p>
        </w:tc>
        <w:tc>
          <w:tcPr>
            <w:tcW w:w="3680" w:type="dxa"/>
            <w:vAlign w:val="bottom"/>
          </w:tcPr>
          <w:p>
            <w:pPr>
              <w:ind w:left="1140"/>
              <w:spacing w:after="0"/>
              <w:rPr>
                <w:sz w:val="20"/>
                <w:szCs w:val="20"/>
                <w:color w:val="auto"/>
              </w:rPr>
            </w:pPr>
            <w:r>
              <w:rPr>
                <w:rFonts w:ascii="Arial" w:cs="Arial" w:eastAsia="Arial" w:hAnsi="Arial"/>
                <w:sz w:val="18"/>
                <w:szCs w:val="18"/>
                <w:color w:val="auto"/>
              </w:rPr>
              <w:t>(General info)</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(980) 264-4313</w:t>
            </w:r>
          </w:p>
        </w:tc>
        <w:tc>
          <w:tcPr>
            <w:tcW w:w="3680" w:type="dxa"/>
            <w:vAlign w:val="bottom"/>
          </w:tcPr>
          <w:p>
            <w:pPr>
              <w:ind w:left="1140"/>
              <w:spacing w:after="0"/>
              <w:rPr>
                <w:sz w:val="20"/>
                <w:szCs w:val="20"/>
                <w:color w:val="auto"/>
              </w:rPr>
            </w:pPr>
            <w:r>
              <w:rPr>
                <w:rFonts w:ascii="Arial" w:cs="Arial" w:eastAsia="Arial" w:hAnsi="Arial"/>
                <w:sz w:val="18"/>
                <w:szCs w:val="18"/>
                <w:color w:val="auto"/>
              </w:rPr>
              <w:t>212-371-5999</w:t>
            </w:r>
          </w:p>
        </w:tc>
        <w:tc>
          <w:tcPr>
            <w:tcW w:w="0" w:type="dxa"/>
            <w:vAlign w:val="bottom"/>
          </w:tcPr>
          <w:p>
            <w:pPr>
              <w:spacing w:after="0"/>
              <w:rPr>
                <w:sz w:val="1"/>
                <w:szCs w:val="1"/>
                <w:color w:val="auto"/>
              </w:rPr>
            </w:pPr>
          </w:p>
        </w:tc>
      </w:tr>
      <w:tr>
        <w:trPr>
          <w:trHeight w:val="526"/>
        </w:trPr>
        <w:tc>
          <w:tcPr>
            <w:tcW w:w="4540" w:type="dxa"/>
            <w:vAlign w:val="bottom"/>
          </w:tcPr>
          <w:p>
            <w:pPr>
              <w:spacing w:after="0"/>
              <w:rPr>
                <w:sz w:val="20"/>
                <w:szCs w:val="20"/>
                <w:color w:val="auto"/>
              </w:rPr>
            </w:pPr>
            <w:r>
              <w:rPr>
                <w:rFonts w:ascii="Arial" w:cs="Arial" w:eastAsia="Arial" w:hAnsi="Arial"/>
                <w:sz w:val="18"/>
                <w:szCs w:val="18"/>
                <w:b w:val="1"/>
                <w:bCs w:val="1"/>
                <w:color w:val="auto"/>
              </w:rPr>
              <w:t>FOR IMMEDIATE RELEASE</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September 18, 2018</w:t>
            </w: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tom.burwell@nninc.com</w:t>
            </w:r>
          </w:p>
        </w:tc>
        <w:tc>
          <w:tcPr>
            <w:tcW w:w="3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NN, INC. ANNOUNCES CLOSING OF PUBLIC OFFERING OF COMMON STOCK, EXERCISE OF OPTION TO PURCHASE ADDITIONAL SHARES AND REPAYMENT IN FULL OF SECOND LIEN FACILITY</w:t>
      </w:r>
    </w:p>
    <w:p>
      <w:pPr>
        <w:spacing w:after="0" w:line="176" w:lineRule="exact"/>
        <w:rPr>
          <w:sz w:val="20"/>
          <w:szCs w:val="20"/>
          <w:color w:val="auto"/>
        </w:rPr>
      </w:pPr>
    </w:p>
    <w:p>
      <w:pPr>
        <w:spacing w:after="0" w:line="292" w:lineRule="auto"/>
        <w:rPr>
          <w:sz w:val="20"/>
          <w:szCs w:val="20"/>
          <w:color w:val="auto"/>
        </w:rPr>
      </w:pPr>
      <w:r>
        <w:rPr>
          <w:rFonts w:ascii="Arial" w:cs="Arial" w:eastAsia="Arial" w:hAnsi="Arial"/>
          <w:sz w:val="16"/>
          <w:szCs w:val="16"/>
          <w:b w:val="1"/>
          <w:bCs w:val="1"/>
          <w:color w:val="auto"/>
        </w:rPr>
        <w:t xml:space="preserve">Charlotte, North Carolina, September 18, 2018 – </w:t>
      </w:r>
      <w:r>
        <w:rPr>
          <w:rFonts w:ascii="Arial" w:cs="Arial" w:eastAsia="Arial" w:hAnsi="Arial"/>
          <w:sz w:val="16"/>
          <w:szCs w:val="16"/>
          <w:color w:val="auto"/>
        </w:rPr>
        <w:t>NN, Inc., (Nasdaq: NNBR) (“NN” or “the Company”) a diversified industrial company, today</w:t>
      </w:r>
      <w:r>
        <w:rPr>
          <w:rFonts w:ascii="Arial" w:cs="Arial" w:eastAsia="Arial" w:hAnsi="Arial"/>
          <w:sz w:val="16"/>
          <w:szCs w:val="16"/>
          <w:b w:val="1"/>
          <w:bCs w:val="1"/>
          <w:color w:val="auto"/>
        </w:rPr>
        <w:t xml:space="preserve"> </w:t>
      </w:r>
      <w:r>
        <w:rPr>
          <w:rFonts w:ascii="Arial" w:cs="Arial" w:eastAsia="Arial" w:hAnsi="Arial"/>
          <w:sz w:val="16"/>
          <w:szCs w:val="16"/>
          <w:color w:val="auto"/>
        </w:rPr>
        <w:t>announced the closing of its previously disclosed public offering of common stock. The total number of shares of common stock sold was 14,375,000, composed of 12,500,000 shares of common stock initially offered and an additional 1,875,000 shares of common stock sold pursuant to the exercise of the underwriters’ option to purchase additional shares, in each case at the public offering price of $16.00 per share. The net proceeds to NN from the offering, after deducting underwriting discounts and commissions and estimated offering expenses, are approximately $216,925,000. The Company used the net proceeds from the offering to voluntarily repay, in full, the $200,000,000 second lien secured credit facility incurred in connection with its acquisition of Paragon Medical, Inc. The remaining proceeds of the offering will be used for general corporate purposes.</w:t>
      </w:r>
    </w:p>
    <w:p>
      <w:pPr>
        <w:spacing w:after="0" w:line="1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recent public offering of our common stock strengthened our balance sheet by significantly reducing our leverage and corresponding annual interest expense by approximately $21 million” said Richard Holder, NN’s President and Chief Executive Officer. “As a company, we continue to focus on organic growth and operational excellence while further delevering our balance sheet.”</w:t>
      </w:r>
    </w:p>
    <w:p>
      <w:pPr>
        <w:spacing w:after="0" w:line="18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J.P. Morgan Securities LLC acted as sole active book-running manager and as representative of the underwriters for the offering. Robert W. Baird &amp; Co. Incorporated, KeyBanc Capital Markets Inc. and SunTrust Robinson Humphrey, Inc. acted as joint book-running managers and Lake Street Capital Markets, LLC, Stephens Inc., William Blair &amp; Company, L.L.C., CJS Securities, Inc. and Regions Securities LLC acted as co-managers.</w:t>
      </w:r>
    </w:p>
    <w:p>
      <w:pPr>
        <w:spacing w:after="0" w:line="166"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The shares were offered pursuant to an effective shelf registration statement filed on Form S-3 (File No. 333-216737) with the U.S. Securities and Exchange Commission (the “SEC”). The final prospectus supplement for the offering, dated September 13, 2018, and the related base prospectus, dated April 19, 2017, are available on the SEC’s website at www.sec.gov or by contacting J.P. Morgan Securities LLC, Attention: Broadridge Financial Solutions, 1155 Long Island Avenue, Edgewood, NY 11717, telephone: 1-866-803-9204 or e-mail </w:t>
      </w:r>
      <w:r>
        <w:rPr>
          <w:rFonts w:ascii="Arial" w:cs="Arial" w:eastAsia="Arial" w:hAnsi="Arial"/>
          <w:sz w:val="16"/>
          <w:szCs w:val="16"/>
          <w:u w:val="single" w:color="auto"/>
          <w:color w:val="auto"/>
        </w:rPr>
        <w:t>prospectus-eq_fi@jpmchase.com</w:t>
      </w:r>
      <w:r>
        <w:rPr>
          <w:rFonts w:ascii="Arial" w:cs="Arial" w:eastAsia="Arial" w:hAnsi="Arial"/>
          <w:sz w:val="16"/>
          <w:szCs w:val="16"/>
          <w:color w:val="auto"/>
        </w:rPr>
        <w:t>.</w:t>
      </w:r>
    </w:p>
    <w:p>
      <w:pPr>
        <w:sectPr>
          <w:pgSz w:w="11900" w:h="16838" w:orient="portrait"/>
          <w:cols w:equalWidth="0" w:num="1">
            <w:col w:w="11020"/>
          </w:cols>
          <w:pgMar w:left="440" w:top="121" w:right="439" w:bottom="1440" w:gutter="0" w:footer="0" w:header="0"/>
        </w:sectPr>
      </w:pPr>
    </w:p>
    <w:bookmarkStart w:id="4" w:name="page5"/>
    <w:bookmarkEnd w:id="4"/>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press release shall not constitute an offer to sell or a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81"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51 facilities in North America, Western Europe, Eastern Europe, South America and China.</w:t>
      </w:r>
    </w:p>
    <w:p>
      <w:pPr>
        <w:spacing w:after="0" w:line="166"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 or the possibility that the Company will be unable to execute on the intended redeployment of proceeds from a divestiture, whether due to a lack of favorable investment opportunities or otherwise.</w:t>
      </w:r>
    </w:p>
    <w:p>
      <w:pPr>
        <w:spacing w:after="0" w:line="19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2017, and our other filings with the Securities and Exchange Commission including the final prospectus supplement. The Company cautions readers not to place undue reliance on any such forward-looking statements which speak only as of the date made. Except as required by law, we undertake no obligation to update or revise any forward-looking statements we make in our press releases, whether as a result of new information, future events or otherwise.</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jpeg"/><Relationship Id="rId22" Type="http://schemas.openxmlformats.org/officeDocument/2006/relationships/image" Target="media/image14.png"/><Relationship Id="rId19" Type="http://schemas.openxmlformats.org/officeDocument/2006/relationships/hyperlink" Target="http://www.sec.gov/Archives/edgar/data/918541/000119312518153752/d584161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2019-12-28T19:34:51Z</dcterms:created>
  <dcterms:modified xsi:type="dcterms:W3CDTF">2019-12-28T19:34:51Z</dcterms:modified>
</cp:coreProperties>
</file>