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6430" cy="430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3040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WALL JAMES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ind w:left="340" w:hanging="340"/>
        <w:spacing w:after="0"/>
        <w:tabs>
          <w:tab w:leader="none" w:pos="340" w:val="left"/>
        </w:tabs>
        <w:numPr>
          <w:ilvl w:val="0"/>
          <w:numId w:val="1"/>
        </w:numPr>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04/01/2023</w:t>
      </w:r>
    </w:p>
    <w:p>
      <w:pPr>
        <w:spacing w:after="0" w:line="20" w:lineRule="exact"/>
        <w:rPr>
          <w:sz w:val="24"/>
          <w:szCs w:val="24"/>
          <w:color w:val="auto"/>
        </w:rPr>
      </w:pPr>
      <w:r>
        <w:rPr>
          <w:sz w:val="24"/>
          <w:szCs w:val="24"/>
          <w:color w:val="auto"/>
        </w:rPr>
        <w:br w:type="column"/>
      </w:r>
    </w:p>
    <w:p>
      <w:pPr>
        <w:ind w:left="-3" w:right="700" w:firstLine="3"/>
        <w:spacing w:after="0" w:line="249"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7"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77"/>
        <w:spacing w:after="0"/>
        <w:rPr>
          <w:sz w:val="20"/>
          <w:szCs w:val="20"/>
          <w:color w:val="auto"/>
        </w:rPr>
      </w:pPr>
      <w:r>
        <w:rPr>
          <w:rFonts w:ascii="Times New Roman" w:cs="Times New Roman" w:eastAsia="Times New Roman" w:hAnsi="Times New Roman"/>
          <w:sz w:val="16"/>
          <w:szCs w:val="16"/>
          <w:color w:val="0000FF"/>
        </w:rPr>
        <w:t>SVP &amp; Chief Commercial Officer</w:t>
      </w:r>
    </w:p>
    <w:p>
      <w:pPr>
        <w:spacing w:after="0" w:line="308"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28277</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04/01/2023</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w w:val="99"/>
              </w:rPr>
              <w:t>92,679</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143,894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3"/>
                <w:szCs w:val="13"/>
                <w:color w:val="0000FF"/>
              </w:rPr>
              <w:t>04/01/2023</w:t>
            </w:r>
          </w:p>
        </w:tc>
        <w:tc>
          <w:tcPr>
            <w:tcW w:w="11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185,358</w:t>
            </w:r>
          </w:p>
        </w:tc>
        <w:tc>
          <w:tcPr>
            <w:tcW w:w="28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185,358</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185,358</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jc w:val="right"/>
              <w:ind w:right="14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in three equal annual installments beginning on April 1, 2024.</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of NN, Inc. (the "Issuer").</w:t>
      </w:r>
    </w:p>
    <w:p>
      <w:pPr>
        <w:spacing w:after="0" w:line="39" w:lineRule="exact"/>
        <w:rPr>
          <w:rFonts w:ascii="Times New Roman" w:cs="Times New Roman" w:eastAsia="Times New Roman" w:hAnsi="Times New Roman"/>
          <w:sz w:val="13"/>
          <w:szCs w:val="13"/>
          <w:color w:val="008000"/>
        </w:rPr>
      </w:pPr>
    </w:p>
    <w:p>
      <w:pPr>
        <w:ind w:left="40" w:right="180" w:hanging="1"/>
        <w:spacing w:after="0" w:line="236" w:lineRule="auto"/>
        <w:tabs>
          <w:tab w:leader="none" w:pos="16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rights will vest pursuant to the terms and subject to the conditions set forth in the Issuer's 2022 Omnibus Incentive Plan and the applicable Performance Share Unit Award Agreement based on the relative total shareholder return ("TSR") of the Issuer, as compared to the TSR of a custom S&amp;P "MicroCap" Capital Goods Index over the period beginning on January 1, 2023 and ending December 31, 2025. The performance rights granted represent the right to receive the target shares, and actual performance rights earned may be between 25% and 150% of the target shares.</w:t>
      </w:r>
    </w:p>
    <w:p>
      <w:pPr>
        <w:sectPr>
          <w:pgSz w:w="11900" w:h="16838" w:orient="portrait"/>
          <w:cols w:equalWidth="0" w:num="1">
            <w:col w:w="11080"/>
          </w:cols>
          <w:pgMar w:left="460" w:top="215" w:right="35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Richard F. Mattern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-3810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483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3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700" w:space="100"/>
            <w:col w:w="2280"/>
          </w:cols>
          <w:pgMar w:left="460" w:top="21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0589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2023-04-04T17:47:11Z</dcterms:created>
  <dcterms:modified xsi:type="dcterms:W3CDTF">2023-04-04T17:47:11Z</dcterms:modified>
</cp:coreProperties>
</file>