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44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44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Manzi John</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03/16/2016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55"/>
        <w:spacing w:after="0"/>
        <w:rPr>
          <w:sz w:val="20"/>
          <w:szCs w:val="20"/>
          <w:color w:val="auto"/>
        </w:rPr>
      </w:pPr>
      <w:r>
        <w:rPr>
          <w:rFonts w:ascii="Arial" w:cs="Arial" w:eastAsia="Arial" w:hAnsi="Arial"/>
          <w:sz w:val="17"/>
          <w:szCs w:val="17"/>
          <w:color w:val="0000FF"/>
        </w:rPr>
        <w:t>SVP/GM-Precision Eng. Products</w:t>
      </w:r>
    </w:p>
    <w:p>
      <w:pPr>
        <w:spacing w:after="0" w:line="333"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60" w:type="dxa"/>
            <w:vAlign w:val="bottom"/>
            <w:gridSpan w:val="9"/>
          </w:tcPr>
          <w:p>
            <w:pPr>
              <w:jc w:val="center"/>
              <w:ind w:right="72"/>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17"/>
                <w:szCs w:val="17"/>
                <w:color w:val="0000FF"/>
              </w:rPr>
              <w:t>TN</w:t>
            </w:r>
          </w:p>
        </w:tc>
        <w:tc>
          <w:tcPr>
            <w:tcW w:w="900" w:type="dxa"/>
            <w:vAlign w:val="bottom"/>
          </w:tcPr>
          <w:p>
            <w:pPr>
              <w:spacing w:after="0"/>
              <w:rPr>
                <w:sz w:val="10"/>
                <w:szCs w:val="10"/>
                <w:color w:val="auto"/>
              </w:rPr>
            </w:pPr>
          </w:p>
        </w:tc>
        <w:tc>
          <w:tcPr>
            <w:tcW w:w="1320" w:type="dxa"/>
            <w:vAlign w:val="bottom"/>
            <w:vMerge w:val="restart"/>
          </w:tcPr>
          <w:p>
            <w:pPr>
              <w:ind w:left="100"/>
              <w:spacing w:after="0"/>
              <w:rPr>
                <w:sz w:val="20"/>
                <w:szCs w:val="20"/>
                <w:color w:val="auto"/>
              </w:rPr>
            </w:pPr>
            <w:r>
              <w:rPr>
                <w:rFonts w:ascii="Arial" w:cs="Arial" w:eastAsia="Arial" w:hAnsi="Arial"/>
                <w:sz w:val="17"/>
                <w:szCs w:val="17"/>
                <w:color w:val="0000FF"/>
              </w:rPr>
              <w:t>37604</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960" w:type="dxa"/>
            <w:vAlign w:val="bottom"/>
            <w:tcBorders>
              <w:bottom w:val="single" w:sz="8" w:color="2C2C2C"/>
            </w:tcBorders>
            <w:gridSpan w:val="7"/>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88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60" w:type="dxa"/>
            <w:vAlign w:val="bottom"/>
            <w:gridSpan w:val="2"/>
          </w:tcPr>
          <w:p>
            <w:pPr>
              <w:ind w:left="88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jc w:val="right"/>
              <w:ind w:right="12"/>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03/16/2016</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w w:val="82"/>
              </w:rPr>
              <w:t>7,990</w:t>
            </w:r>
            <w:r>
              <w:rPr>
                <w:rFonts w:ascii="Arial" w:cs="Arial" w:eastAsia="Arial" w:hAnsi="Arial"/>
                <w:sz w:val="22"/>
                <w:szCs w:val="22"/>
                <w:color w:val="008000"/>
                <w:w w:val="82"/>
                <w:vertAlign w:val="superscript"/>
              </w:rPr>
              <w:t>(1)</w:t>
            </w:r>
          </w:p>
        </w:tc>
        <w:tc>
          <w:tcPr>
            <w:tcW w:w="64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7,990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4"/>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80" w:type="dxa"/>
            <w:vAlign w:val="bottom"/>
            <w:gridSpan w:val="12"/>
          </w:tcPr>
          <w:p>
            <w:pPr>
              <w:jc w:val="center"/>
              <w:ind w:left="5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60" w:type="dxa"/>
            <w:vAlign w:val="bottom"/>
          </w:tcPr>
          <w:p>
            <w:pPr>
              <w:ind w:left="340"/>
              <w:spacing w:after="0"/>
              <w:rPr>
                <w:sz w:val="20"/>
                <w:szCs w:val="20"/>
                <w:color w:val="auto"/>
              </w:rPr>
            </w:pPr>
            <w:r>
              <w:rPr>
                <w:rFonts w:ascii="Arial" w:cs="Arial" w:eastAsia="Arial" w:hAnsi="Arial"/>
                <w:sz w:val="11"/>
                <w:szCs w:val="11"/>
                <w:color w:val="008000"/>
              </w:rPr>
              <w:t>(2)</w:t>
            </w:r>
          </w:p>
        </w:tc>
        <w:tc>
          <w:tcPr>
            <w:tcW w:w="28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3"/>
                <w:szCs w:val="13"/>
                <w:color w:val="0000FF"/>
                <w:w w:val="98"/>
              </w:rPr>
              <w:t>03/16/2016</w:t>
            </w:r>
          </w:p>
        </w:tc>
        <w:tc>
          <w:tcPr>
            <w:tcW w:w="13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rPr>
              <w:t>7,990</w:t>
            </w:r>
          </w:p>
        </w:tc>
        <w:tc>
          <w:tcPr>
            <w:tcW w:w="340" w:type="dxa"/>
            <w:vAlign w:val="bottom"/>
          </w:tcPr>
          <w:p>
            <w:pPr>
              <w:spacing w:after="0"/>
              <w:rPr>
                <w:sz w:val="20"/>
                <w:szCs w:val="20"/>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660" w:type="dxa"/>
            <w:vAlign w:val="bottom"/>
          </w:tcPr>
          <w:p>
            <w:pPr>
              <w:ind w:left="240"/>
              <w:spacing w:after="0"/>
              <w:rPr>
                <w:sz w:val="20"/>
                <w:szCs w:val="20"/>
                <w:color w:val="auto"/>
              </w:rPr>
            </w:pPr>
            <w:r>
              <w:rPr>
                <w:rFonts w:ascii="Arial" w:cs="Arial" w:eastAsia="Arial" w:hAnsi="Arial"/>
                <w:sz w:val="11"/>
                <w:szCs w:val="11"/>
                <w:color w:val="008000"/>
              </w:rPr>
              <w:t>(3)</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7,990</w:t>
            </w:r>
          </w:p>
        </w:tc>
        <w:tc>
          <w:tcPr>
            <w:tcW w:w="60" w:type="dxa"/>
            <w:vAlign w:val="bottom"/>
          </w:tcPr>
          <w:p>
            <w:pPr>
              <w:spacing w:after="0"/>
              <w:rPr>
                <w:sz w:val="20"/>
                <w:szCs w:val="20"/>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7,990</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Rights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which vest in three equal annual installments beginning on March 16, 2017.</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1" w:lineRule="exact"/>
        <w:rPr>
          <w:rFonts w:ascii="Arial" w:cs="Arial" w:eastAsia="Arial" w:hAnsi="Arial"/>
          <w:sz w:val="13"/>
          <w:szCs w:val="13"/>
          <w:color w:val="008000"/>
        </w:rPr>
      </w:pPr>
    </w:p>
    <w:p>
      <w:pPr>
        <w:ind w:left="40" w:right="140" w:firstLine="7"/>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is based on the relative total shareholder return ("TSR") of the Issuer, as compared to the TSR of the S&amp;P SmallCap 600 Index over the period beginning on January 1, 2016 and ending December 31, 2018. The performance rights will vest on December 31, 2018 subject to the reporting person's continuous employment through December 31, 2018 and subject to certain conditions as set forth in the Issuer's 2011 Stock Incentive Plan. Performance rights granted represent the right to receive the target shares, and actual performance rights earned may be between 50% and 150% of the target shares. Performance rights that do not vest on December 31, 2018 expire automatically.</w:t>
      </w:r>
    </w:p>
    <w:p>
      <w:pPr>
        <w:spacing w:after="0" w:line="4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William C. Kelly, Jr. by</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03/18/2016</w:t>
            </w:r>
          </w:p>
        </w:tc>
        <w:tc>
          <w:tcPr>
            <w:tcW w:w="0" w:type="dxa"/>
            <w:vAlign w:val="bottom"/>
          </w:tcPr>
          <w:p>
            <w:pPr>
              <w:spacing w:after="0"/>
              <w:rPr>
                <w:sz w:val="1"/>
                <w:szCs w:val="1"/>
                <w:color w:val="auto"/>
              </w:rPr>
            </w:pPr>
          </w:p>
        </w:tc>
      </w:tr>
      <w:tr>
        <w:trPr>
          <w:trHeight w:val="87"/>
        </w:trPr>
        <w:tc>
          <w:tcPr>
            <w:tcW w:w="18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2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60" w:type="dxa"/>
            <w:vAlign w:val="bottom"/>
            <w:tcBorders>
              <w:top w:val="single" w:sz="8" w:color="auto"/>
            </w:tcBorders>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665"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2019-12-23T21:35:26Z</dcterms:created>
  <dcterms:modified xsi:type="dcterms:W3CDTF">2019-12-23T21:35:26Z</dcterms:modified>
</cp:coreProperties>
</file>