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75" w:lineRule="exact"/>
        <w:rPr>
          <w:sz w:val="24"/>
          <w:szCs w:val="24"/>
          <w:color w:val="auto"/>
        </w:rPr>
      </w:pPr>
    </w:p>
    <w:p>
      <w:pPr>
        <w:ind w:left="160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81" w:lineRule="exact"/>
        <w:rPr>
          <w:sz w:val="24"/>
          <w:szCs w:val="24"/>
          <w:color w:val="auto"/>
        </w:rPr>
      </w:pPr>
    </w:p>
    <w:p>
      <w:pPr>
        <w:spacing w:after="0"/>
        <w:rPr>
          <w:sz w:val="20"/>
          <w:szCs w:val="20"/>
          <w:color w:val="auto"/>
        </w:rPr>
      </w:pPr>
      <w:r>
        <w:rPr>
          <w:rFonts w:ascii="Arial" w:cs="Arial" w:eastAsia="Arial" w:hAnsi="Arial"/>
          <w:sz w:val="21"/>
          <w:szCs w:val="21"/>
          <w:color w:val="auto"/>
        </w:rPr>
        <w:t>Date of Report (Date of earliest event reported): February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179705</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ind w:left="1480"/>
              <w:spacing w:after="0"/>
              <w:rPr>
                <w:sz w:val="20"/>
                <w:szCs w:val="20"/>
                <w:color w:val="auto"/>
              </w:rPr>
            </w:pPr>
            <w:r>
              <w:rPr>
                <w:rFonts w:ascii="Arial" w:cs="Arial" w:eastAsia="Arial" w:hAnsi="Arial"/>
                <w:sz w:val="21"/>
                <w:szCs w:val="21"/>
                <w:b w:val="1"/>
                <w:bCs w:val="1"/>
                <w:color w:val="auto"/>
              </w:rPr>
              <w:t>Delaware</w:t>
            </w:r>
          </w:p>
        </w:tc>
        <w:tc>
          <w:tcPr>
            <w:tcW w:w="2040" w:type="dxa"/>
            <w:vAlign w:val="bottom"/>
          </w:tcPr>
          <w:p>
            <w:pPr>
              <w:jc w:val="center"/>
              <w:spacing w:after="0"/>
              <w:rPr>
                <w:sz w:val="20"/>
                <w:szCs w:val="20"/>
                <w:color w:val="auto"/>
              </w:rPr>
            </w:pPr>
            <w:r>
              <w:rPr>
                <w:rFonts w:ascii="Arial" w:cs="Arial" w:eastAsia="Arial" w:hAnsi="Arial"/>
                <w:sz w:val="21"/>
                <w:szCs w:val="21"/>
                <w:b w:val="1"/>
                <w:bCs w:val="1"/>
                <w:color w:val="auto"/>
                <w:w w:val="90"/>
              </w:rPr>
              <w:t>0-23486</w:t>
            </w:r>
          </w:p>
        </w:tc>
        <w:tc>
          <w:tcPr>
            <w:tcW w:w="1460" w:type="dxa"/>
            <w:vAlign w:val="bottom"/>
          </w:tcPr>
          <w:p>
            <w:pPr>
              <w:jc w:val="right"/>
              <w:ind w:right="148"/>
              <w:spacing w:after="0"/>
              <w:rPr>
                <w:sz w:val="20"/>
                <w:szCs w:val="20"/>
                <w:color w:val="auto"/>
              </w:rPr>
            </w:pPr>
            <w:r>
              <w:rPr>
                <w:rFonts w:ascii="Arial" w:cs="Arial" w:eastAsia="Arial" w:hAnsi="Arial"/>
                <w:sz w:val="21"/>
                <w:szCs w:val="21"/>
                <w:b w:val="1"/>
                <w:bCs w:val="1"/>
                <w:color w:val="auto"/>
              </w:rPr>
              <w:t>62-1096725</w:t>
            </w:r>
          </w:p>
        </w:tc>
        <w:tc>
          <w:tcPr>
            <w:tcW w:w="0" w:type="dxa"/>
            <w:vAlign w:val="bottom"/>
          </w:tcPr>
          <w:p>
            <w:pPr>
              <w:spacing w:after="0"/>
              <w:rPr>
                <w:sz w:val="1"/>
                <w:szCs w:val="1"/>
                <w:color w:val="auto"/>
              </w:rPr>
            </w:pPr>
          </w:p>
        </w:tc>
      </w:tr>
      <w:tr>
        <w:trPr>
          <w:trHeight w:val="206"/>
        </w:trPr>
        <w:tc>
          <w:tcPr>
            <w:tcW w:w="6220" w:type="dxa"/>
            <w:vAlign w:val="bottom"/>
          </w:tcPr>
          <w:p>
            <w:pPr>
              <w:ind w:left="1480"/>
              <w:spacing w:after="0"/>
              <w:rPr>
                <w:sz w:val="20"/>
                <w:szCs w:val="20"/>
                <w:color w:val="auto"/>
              </w:rPr>
            </w:pPr>
            <w:r>
              <w:rPr>
                <w:rFonts w:ascii="Arial" w:cs="Arial" w:eastAsia="Arial" w:hAnsi="Arial"/>
                <w:sz w:val="17"/>
                <w:szCs w:val="17"/>
                <w:color w:val="auto"/>
              </w:rPr>
              <w:t>(State or other jurisdiction</w:t>
            </w:r>
          </w:p>
        </w:tc>
        <w:tc>
          <w:tcPr>
            <w:tcW w:w="2040" w:type="dxa"/>
            <w:vAlign w:val="bottom"/>
          </w:tcPr>
          <w:p>
            <w:pPr>
              <w:ind w:left="640"/>
              <w:spacing w:after="0"/>
              <w:rPr>
                <w:sz w:val="20"/>
                <w:szCs w:val="20"/>
                <w:color w:val="auto"/>
              </w:rPr>
            </w:pPr>
            <w:r>
              <w:rPr>
                <w:rFonts w:ascii="Arial" w:cs="Arial" w:eastAsia="Arial" w:hAnsi="Arial"/>
                <w:sz w:val="17"/>
                <w:szCs w:val="17"/>
                <w:color w:val="auto"/>
              </w:rPr>
              <w:t>(Commission File</w:t>
            </w:r>
          </w:p>
        </w:tc>
        <w:tc>
          <w:tcPr>
            <w:tcW w:w="1460" w:type="dxa"/>
            <w:vAlign w:val="bottom"/>
          </w:tcPr>
          <w:p>
            <w:pPr>
              <w:ind w:left="180"/>
              <w:spacing w:after="0"/>
              <w:rPr>
                <w:sz w:val="20"/>
                <w:szCs w:val="20"/>
                <w:color w:val="auto"/>
              </w:rPr>
            </w:pPr>
            <w:r>
              <w:rPr>
                <w:rFonts w:ascii="Arial" w:cs="Arial" w:eastAsia="Arial" w:hAnsi="Arial"/>
                <w:sz w:val="17"/>
                <w:szCs w:val="17"/>
                <w:color w:val="auto"/>
              </w:rPr>
              <w:t>(IRS Employer</w:t>
            </w:r>
          </w:p>
        </w:tc>
        <w:tc>
          <w:tcPr>
            <w:tcW w:w="0" w:type="dxa"/>
            <w:vAlign w:val="bottom"/>
          </w:tcPr>
          <w:p>
            <w:pPr>
              <w:spacing w:after="0"/>
              <w:rPr>
                <w:sz w:val="1"/>
                <w:szCs w:val="1"/>
                <w:color w:val="auto"/>
              </w:rPr>
            </w:pPr>
          </w:p>
        </w:tc>
      </w:tr>
      <w:tr>
        <w:trPr>
          <w:trHeight w:val="217"/>
        </w:trPr>
        <w:tc>
          <w:tcPr>
            <w:tcW w:w="6220" w:type="dxa"/>
            <w:vAlign w:val="bottom"/>
          </w:tcPr>
          <w:p>
            <w:pPr>
              <w:ind w:left="1520"/>
              <w:spacing w:after="0"/>
              <w:rPr>
                <w:sz w:val="20"/>
                <w:szCs w:val="20"/>
                <w:color w:val="auto"/>
              </w:rPr>
            </w:pPr>
            <w:r>
              <w:rPr>
                <w:rFonts w:ascii="Arial" w:cs="Arial" w:eastAsia="Arial" w:hAnsi="Arial"/>
                <w:sz w:val="17"/>
                <w:szCs w:val="17"/>
                <w:color w:val="auto"/>
              </w:rPr>
              <w:t>of incorporation</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Number)</w:t>
            </w:r>
          </w:p>
        </w:tc>
        <w:tc>
          <w:tcPr>
            <w:tcW w:w="1460" w:type="dxa"/>
            <w:vAlign w:val="bottom"/>
          </w:tcPr>
          <w:p>
            <w:pPr>
              <w:ind w:left="180"/>
              <w:spacing w:after="0"/>
              <w:rPr>
                <w:sz w:val="20"/>
                <w:szCs w:val="20"/>
                <w:color w:val="auto"/>
              </w:rPr>
            </w:pPr>
            <w:r>
              <w:rPr>
                <w:rFonts w:ascii="Arial" w:cs="Arial" w:eastAsia="Arial" w:hAnsi="Arial"/>
                <w:sz w:val="17"/>
                <w:szCs w:val="17"/>
                <w:color w:val="auto"/>
                <w:w w:val="95"/>
              </w:rPr>
              <w:t>Identification No.)</w:t>
            </w:r>
          </w:p>
        </w:tc>
        <w:tc>
          <w:tcPr>
            <w:tcW w:w="0" w:type="dxa"/>
            <w:vAlign w:val="bottom"/>
          </w:tcPr>
          <w:p>
            <w:pPr>
              <w:spacing w:after="0"/>
              <w:rPr>
                <w:sz w:val="1"/>
                <w:szCs w:val="1"/>
                <w:color w:val="auto"/>
              </w:rPr>
            </w:pPr>
          </w:p>
        </w:tc>
      </w:tr>
      <w:tr>
        <w:trPr>
          <w:trHeight w:val="929"/>
        </w:trPr>
        <w:tc>
          <w:tcPr>
            <w:tcW w:w="6220" w:type="dxa"/>
            <w:vAlign w:val="bottom"/>
          </w:tcPr>
          <w:p>
            <w:pPr>
              <w:ind w:left="2920"/>
              <w:spacing w:after="0"/>
              <w:rPr>
                <w:sz w:val="20"/>
                <w:szCs w:val="20"/>
                <w:color w:val="auto"/>
              </w:rPr>
            </w:pPr>
            <w:r>
              <w:rPr>
                <w:rFonts w:ascii="Arial" w:cs="Arial" w:eastAsia="Arial" w:hAnsi="Arial"/>
                <w:sz w:val="21"/>
                <w:szCs w:val="21"/>
                <w:b w:val="1"/>
                <w:bCs w:val="1"/>
                <w:color w:val="auto"/>
              </w:rPr>
              <w:t>2000 Waters Edge Drive</w:t>
            </w:r>
          </w:p>
        </w:tc>
        <w:tc>
          <w:tcPr>
            <w:tcW w:w="2040" w:type="dxa"/>
            <w:vAlign w:val="bottom"/>
            <w:vMerge w:val="restart"/>
          </w:tcPr>
          <w:p>
            <w:pPr>
              <w:jc w:val="center"/>
              <w:ind w:right="7"/>
              <w:spacing w:after="0"/>
              <w:rPr>
                <w:sz w:val="20"/>
                <w:szCs w:val="20"/>
                <w:color w:val="auto"/>
              </w:rPr>
            </w:pPr>
            <w:r>
              <w:rPr>
                <w:rFonts w:ascii="Arial" w:cs="Arial" w:eastAsia="Arial" w:hAnsi="Arial"/>
                <w:sz w:val="21"/>
                <w:szCs w:val="21"/>
                <w:b w:val="1"/>
                <w:bCs w:val="1"/>
                <w:color w:val="auto"/>
                <w:w w:val="85"/>
              </w:rPr>
              <w:t>37604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220" w:type="dxa"/>
            <w:vAlign w:val="bottom"/>
            <w:vMerge w:val="restart"/>
          </w:tcPr>
          <w:p>
            <w:pPr>
              <w:ind w:left="2860"/>
              <w:spacing w:after="0"/>
              <w:rPr>
                <w:sz w:val="20"/>
                <w:szCs w:val="20"/>
                <w:color w:val="auto"/>
              </w:rPr>
            </w:pPr>
            <w:r>
              <w:rPr>
                <w:rFonts w:ascii="Arial" w:cs="Arial" w:eastAsia="Arial" w:hAnsi="Arial"/>
                <w:sz w:val="21"/>
                <w:szCs w:val="21"/>
                <w:b w:val="1"/>
                <w:bCs w:val="1"/>
                <w:color w:val="auto"/>
              </w:rPr>
              <w:t>Johnson City, Tennessee</w:t>
            </w:r>
          </w:p>
        </w:tc>
        <w:tc>
          <w:tcPr>
            <w:tcW w:w="204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622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6220" w:type="dxa"/>
            <w:vAlign w:val="bottom"/>
          </w:tcPr>
          <w:p>
            <w:pPr>
              <w:ind w:left="2900"/>
              <w:spacing w:after="0"/>
              <w:rPr>
                <w:sz w:val="20"/>
                <w:szCs w:val="20"/>
                <w:color w:val="auto"/>
              </w:rPr>
            </w:pPr>
            <w:r>
              <w:rPr>
                <w:rFonts w:ascii="Arial" w:cs="Arial" w:eastAsia="Arial" w:hAnsi="Arial"/>
                <w:sz w:val="17"/>
                <w:szCs w:val="17"/>
                <w:color w:val="auto"/>
              </w:rPr>
              <w:t>(Address of principal executive offices)</w:t>
            </w:r>
          </w:p>
        </w:tc>
        <w:tc>
          <w:tcPr>
            <w:tcW w:w="2040" w:type="dxa"/>
            <w:vAlign w:val="bottom"/>
          </w:tcPr>
          <w:p>
            <w:pPr>
              <w:ind w:left="580"/>
              <w:spacing w:after="0"/>
              <w:rPr>
                <w:sz w:val="20"/>
                <w:szCs w:val="20"/>
                <w:color w:val="auto"/>
              </w:rPr>
            </w:pPr>
            <w:r>
              <w:rPr>
                <w:rFonts w:ascii="Arial" w:cs="Arial" w:eastAsia="Arial" w:hAnsi="Arial"/>
                <w:sz w:val="17"/>
                <w:szCs w:val="17"/>
                <w:color w:val="auto"/>
              </w:rPr>
              <w:t>(Zip Code)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3"/>
        </w:trPr>
        <w:tc>
          <w:tcPr>
            <w:tcW w:w="6220" w:type="dxa"/>
            <w:vAlign w:val="bottom"/>
          </w:tcPr>
          <w:p>
            <w:pPr>
              <w:spacing w:after="0"/>
              <w:rPr>
                <w:sz w:val="20"/>
                <w:szCs w:val="20"/>
                <w:color w:val="auto"/>
              </w:rPr>
            </w:pPr>
            <w:r>
              <w:rPr>
                <w:rFonts w:ascii="Arial" w:cs="Arial" w:eastAsia="Arial" w:hAnsi="Arial"/>
                <w:sz w:val="21"/>
                <w:szCs w:val="21"/>
                <w:color w:val="auto"/>
                <w:w w:val="98"/>
              </w:rPr>
              <w:t xml:space="preserve">Registrant's telephone number, including area code: </w:t>
            </w:r>
            <w:r>
              <w:rPr>
                <w:rFonts w:ascii="Arial" w:cs="Arial" w:eastAsia="Arial" w:hAnsi="Arial"/>
                <w:sz w:val="21"/>
                <w:szCs w:val="21"/>
                <w:b w:val="1"/>
                <w:bCs w:val="1"/>
                <w:color w:val="auto"/>
                <w:w w:val="98"/>
              </w:rPr>
              <w:t>(423)743-9151</w:t>
            </w:r>
          </w:p>
        </w:tc>
        <w:tc>
          <w:tcPr>
            <w:tcW w:w="2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line="278"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215" w:lineRule="exact"/>
        <w:rPr>
          <w:sz w:val="24"/>
          <w:szCs w:val="24"/>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Written communications pursuant to Rule 425 under the Securities Act (17 CFR 230.425)</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Soliciting material pursuant to Rule 14a-12 under the Exchange Act (17 CFR 240.14a-12)</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14d-2(b) under the Exchange Act (17 CFR 240.14d-2(b))</w:t>
      </w:r>
    </w:p>
    <w:p>
      <w:pPr>
        <w:spacing w:after="0" w:line="274" w:lineRule="exact"/>
        <w:rPr>
          <w:rFonts w:ascii="Arial" w:cs="Arial" w:eastAsia="Arial" w:hAnsi="Arial"/>
          <w:sz w:val="21"/>
          <w:szCs w:val="21"/>
          <w:color w:val="auto"/>
        </w:rPr>
      </w:pPr>
    </w:p>
    <w:p>
      <w:pPr>
        <w:ind w:left="180" w:hanging="177"/>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759460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Conditions.</w:t>
      </w:r>
    </w:p>
    <w:p>
      <w:pPr>
        <w:spacing w:after="0" w:line="275"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Furnished as Exhibit 99.1 is a coyp of the earnings release of NN, Inc. reporting results for the year ended December 31, 2006, which was issued on February 28, 2007.</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following exhibit is furnished pursuant to Item 2.02, is not considered "filed" under the Securities Exchange Act of 1934, as amended, and shall not be incorporated by reference into any of hte previous of future filings of NN, Inc. under the Securities Act of 1933, as amended, or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80" w:type="dxa"/>
            <w:vAlign w:val="bottom"/>
            <w:gridSpan w:val="2"/>
          </w:tcPr>
          <w:p>
            <w:pPr>
              <w:spacing w:after="0"/>
              <w:rPr>
                <w:sz w:val="20"/>
                <w:szCs w:val="20"/>
                <w:color w:val="auto"/>
              </w:rPr>
            </w:pPr>
            <w:r>
              <w:rPr>
                <w:rFonts w:ascii="Arial" w:cs="Arial" w:eastAsia="Arial" w:hAnsi="Arial"/>
                <w:sz w:val="17"/>
                <w:szCs w:val="17"/>
                <w:color w:val="auto"/>
              </w:rPr>
              <w:t>Exhibits: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08"/>
        </w:trPr>
        <w:tc>
          <w:tcPr>
            <w:tcW w:w="1280" w:type="dxa"/>
            <w:vAlign w:val="bottom"/>
            <w:gridSpan w:val="2"/>
          </w:tcPr>
          <w:p>
            <w:pPr>
              <w:spacing w:after="0"/>
              <w:rPr>
                <w:sz w:val="20"/>
                <w:szCs w:val="20"/>
                <w:color w:val="auto"/>
              </w:rPr>
            </w:pPr>
            <w:r>
              <w:rPr>
                <w:rFonts w:ascii="Arial" w:cs="Arial" w:eastAsia="Arial" w:hAnsi="Arial"/>
                <w:sz w:val="17"/>
                <w:szCs w:val="17"/>
                <w:color w:val="auto"/>
              </w:rPr>
              <w:t>Exhibit Number</w:t>
            </w:r>
          </w:p>
        </w:tc>
        <w:tc>
          <w:tcPr>
            <w:tcW w:w="3800" w:type="dxa"/>
            <w:vAlign w:val="bottom"/>
            <w:gridSpan w:val="3"/>
          </w:tcPr>
          <w:p>
            <w:pPr>
              <w:ind w:left="180"/>
              <w:spacing w:after="0"/>
              <w:rPr>
                <w:sz w:val="20"/>
                <w:szCs w:val="20"/>
                <w:color w:val="auto"/>
              </w:rPr>
            </w:pPr>
            <w:r>
              <w:rPr>
                <w:rFonts w:ascii="Arial" w:cs="Arial" w:eastAsia="Arial" w:hAnsi="Arial"/>
                <w:sz w:val="17"/>
                <w:szCs w:val="17"/>
                <w:color w:val="auto"/>
              </w:rPr>
              <w:t>Description of Exhibit</w:t>
            </w:r>
          </w:p>
        </w:tc>
      </w:t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95"/>
        </w:trPr>
        <w:tc>
          <w:tcPr>
            <w:tcW w:w="1080" w:type="dxa"/>
            <w:vAlign w:val="bottom"/>
          </w:tcPr>
          <w:p>
            <w:pPr>
              <w:jc w:val="right"/>
              <w:ind w:right="655"/>
              <w:spacing w:after="0"/>
              <w:rPr>
                <w:sz w:val="20"/>
                <w:szCs w:val="20"/>
                <w:color w:val="auto"/>
              </w:rPr>
            </w:pPr>
            <w:r>
              <w:rPr>
                <w:rFonts w:ascii="Arial" w:cs="Arial" w:eastAsia="Arial" w:hAnsi="Arial"/>
                <w:sz w:val="17"/>
                <w:szCs w:val="17"/>
                <w:color w:val="auto"/>
                <w:w w:val="96"/>
              </w:rPr>
              <w:t>99.1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2"/>
          </w:tcPr>
          <w:p>
            <w:pPr>
              <w:ind w:left="100"/>
              <w:spacing w:after="0"/>
              <w:rPr>
                <w:sz w:val="20"/>
                <w:szCs w:val="20"/>
                <w:color w:val="auto"/>
              </w:rPr>
            </w:pPr>
            <w:r>
              <w:rPr>
                <w:rFonts w:ascii="Arial" w:cs="Arial" w:eastAsia="Arial" w:hAnsi="Arial"/>
                <w:sz w:val="17"/>
                <w:szCs w:val="17"/>
                <w:color w:val="auto"/>
                <w:w w:val="89"/>
              </w:rPr>
              <w:t>Press Release of NN, Inc. dated February 28,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75"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56"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Date: March 1, 2007</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78105</wp:posOffset>
            </wp:positionV>
            <wp:extent cx="2815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5590" cy="20955"/>
                    </a:xfrm>
                    <a:prstGeom prst="rect">
                      <a:avLst/>
                    </a:prstGeom>
                    <a:noFill/>
                  </pic:spPr>
                </pic:pic>
              </a:graphicData>
            </a:graphic>
          </wp:anchor>
        </w:drawing>
      </w:r>
    </w:p>
    <w:p>
      <w:pPr>
        <w:spacing w:after="0" w:line="22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420"/>
          </w:cols>
          <w:pgMar w:left="240" w:top="6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37" w:right="239" w:bottom="1440"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FINANCIAL</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AT THE COMPANY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Will Kelly</w:t>
      </w:r>
    </w:p>
    <w:p>
      <w:pPr>
        <w:spacing w:after="0" w:line="37" w:lineRule="exact"/>
        <w:rPr>
          <w:sz w:val="20"/>
          <w:szCs w:val="20"/>
          <w:color w:val="auto"/>
        </w:rPr>
      </w:pPr>
    </w:p>
    <w:p>
      <w:pPr>
        <w:ind w:left="60" w:right="1140"/>
        <w:spacing w:after="0" w:line="307" w:lineRule="auto"/>
        <w:rPr>
          <w:sz w:val="20"/>
          <w:szCs w:val="20"/>
          <w:color w:val="auto"/>
        </w:rPr>
      </w:pPr>
      <w:r>
        <w:rPr>
          <w:rFonts w:ascii="Arial" w:cs="Arial" w:eastAsia="Arial" w:hAnsi="Arial"/>
          <w:sz w:val="17"/>
          <w:szCs w:val="17"/>
          <w:color w:val="auto"/>
        </w:rPr>
        <w:t>Vice President and Chief Administrative Officer (423) 743-9151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2007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b w:val="1"/>
          <w:bCs w:val="1"/>
          <w:color w:val="auto"/>
        </w:rPr>
        <w:t>EXHIBIT 99.1</w:t>
      </w:r>
    </w:p>
    <w:p>
      <w:pPr>
        <w:spacing w:after="0" w:line="208"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auto"/>
        </w:rPr>
        <w:t>AT FINANCIAL RELATIONS</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BOARD</w:t>
      </w:r>
    </w:p>
    <w:p>
      <w:pPr>
        <w:spacing w:after="0" w:line="30" w:lineRule="exact"/>
        <w:rPr>
          <w:sz w:val="20"/>
          <w:szCs w:val="20"/>
          <w:color w:val="auto"/>
        </w:rPr>
      </w:pPr>
    </w:p>
    <w:p>
      <w:pPr>
        <w:ind w:left="300"/>
        <w:spacing w:after="0"/>
        <w:tabs>
          <w:tab w:leader="none" w:pos="3280" w:val="left"/>
        </w:tabs>
        <w:rPr>
          <w:sz w:val="20"/>
          <w:szCs w:val="20"/>
          <w:color w:val="auto"/>
        </w:rPr>
      </w:pPr>
      <w:r>
        <w:rPr>
          <w:rFonts w:ascii="Arial" w:cs="Arial" w:eastAsia="Arial" w:hAnsi="Arial"/>
          <w:sz w:val="17"/>
          <w:szCs w:val="17"/>
          <w:color w:val="auto"/>
        </w:rPr>
        <w:t>Marilynn Meek</w:t>
      </w:r>
      <w:r>
        <w:rPr>
          <w:sz w:val="20"/>
          <w:szCs w:val="20"/>
          <w:color w:val="auto"/>
        </w:rPr>
        <w:tab/>
      </w:r>
      <w:r>
        <w:rPr>
          <w:rFonts w:ascii="Arial" w:cs="Arial" w:eastAsia="Arial" w:hAnsi="Arial"/>
          <w:sz w:val="14"/>
          <w:szCs w:val="14"/>
          <w:color w:val="auto"/>
        </w:rPr>
        <w:t>Susan Garland</w:t>
      </w:r>
    </w:p>
    <w:p>
      <w:pPr>
        <w:spacing w:after="0" w:line="33" w:lineRule="exact"/>
        <w:rPr>
          <w:sz w:val="20"/>
          <w:szCs w:val="20"/>
          <w:color w:val="auto"/>
        </w:rPr>
      </w:pPr>
    </w:p>
    <w:p>
      <w:pPr>
        <w:ind w:left="300"/>
        <w:spacing w:after="0"/>
        <w:tabs>
          <w:tab w:leader="none" w:pos="3340" w:val="left"/>
        </w:tabs>
        <w:rPr>
          <w:sz w:val="20"/>
          <w:szCs w:val="20"/>
          <w:color w:val="auto"/>
        </w:rPr>
      </w:pPr>
      <w:r>
        <w:rPr>
          <w:rFonts w:ascii="Arial" w:cs="Arial" w:eastAsia="Arial" w:hAnsi="Arial"/>
          <w:sz w:val="17"/>
          <w:szCs w:val="17"/>
          <w:color w:val="auto"/>
        </w:rPr>
        <w:t>(General info)</w:t>
      </w:r>
      <w:r>
        <w:rPr>
          <w:sz w:val="20"/>
          <w:szCs w:val="20"/>
          <w:color w:val="auto"/>
        </w:rPr>
        <w:tab/>
      </w:r>
      <w:r>
        <w:rPr>
          <w:rFonts w:ascii="Arial" w:cs="Arial" w:eastAsia="Arial" w:hAnsi="Arial"/>
          <w:sz w:val="16"/>
          <w:szCs w:val="16"/>
          <w:color w:val="auto"/>
        </w:rPr>
        <w:t>(Analyst info)</w:t>
      </w:r>
    </w:p>
    <w:p>
      <w:pPr>
        <w:spacing w:after="0" w:line="37"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7"/>
          <w:szCs w:val="17"/>
          <w:color w:val="auto"/>
        </w:rPr>
        <w:t>(212) 827-3773</w:t>
      </w:r>
      <w:r>
        <w:rPr>
          <w:sz w:val="20"/>
          <w:szCs w:val="20"/>
          <w:color w:val="auto"/>
        </w:rPr>
        <w:tab/>
      </w:r>
      <w:r>
        <w:rPr>
          <w:rFonts w:ascii="Arial" w:cs="Arial" w:eastAsia="Arial" w:hAnsi="Arial"/>
          <w:sz w:val="15"/>
          <w:szCs w:val="15"/>
          <w:color w:val="auto"/>
        </w:rPr>
        <w:t>(212) 827-3775</w:t>
      </w:r>
    </w:p>
    <w:p>
      <w:pPr>
        <w:spacing w:after="0" w:line="1139" w:lineRule="exact"/>
        <w:rPr>
          <w:sz w:val="20"/>
          <w:szCs w:val="20"/>
          <w:color w:val="auto"/>
        </w:rPr>
      </w:pPr>
    </w:p>
    <w:p>
      <w:pPr>
        <w:sectPr>
          <w:pgSz w:w="11900" w:h="16838" w:orient="portrait"/>
          <w:cols w:equalWidth="0" w:num="2">
            <w:col w:w="4440" w:space="720"/>
            <w:col w:w="6260"/>
          </w:cols>
          <w:pgMar w:left="240" w:top="344"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 2006 FOURTH QUARTER AND FULL YEAR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PROVIDES GUIDANCE FOR 2007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EXCLUDING WHIRLAWAY, NN EARNS $15 MILLION IN NET INCOME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$0.87 PER SHARE FOR 2006, MEETS FULL YEAR GUIDANCE</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color w:val="auto"/>
        </w:rPr>
        <w:t xml:space="preserve">Johnson City, Tenn, February 28, 2007 </w:t>
      </w:r>
      <w:r>
        <w:rPr>
          <w:rFonts w:ascii="Arial" w:cs="Arial" w:eastAsia="Arial" w:hAnsi="Arial"/>
          <w:sz w:val="17"/>
          <w:szCs w:val="17"/>
          <w:color w:val="auto"/>
        </w:rPr>
        <w:t>- NN, Inc. (Nasdaq: NNBR) today reported its financial results for the fourth quarter and year ended December 31, 2006.</w:t>
      </w:r>
      <w:r>
        <w:rPr>
          <w:rFonts w:ascii="Arial" w:cs="Arial" w:eastAsia="Arial" w:hAnsi="Arial"/>
          <w:sz w:val="17"/>
          <w:szCs w:val="17"/>
          <w:b w:val="1"/>
          <w:bCs w:val="1"/>
          <w:color w:val="auto"/>
        </w:rPr>
        <w:t xml:space="preserve"> </w:t>
      </w:r>
      <w:r>
        <w:rPr>
          <w:rFonts w:ascii="Arial" w:cs="Arial" w:eastAsia="Arial" w:hAnsi="Arial"/>
          <w:sz w:val="17"/>
          <w:szCs w:val="17"/>
          <w:color w:val="auto"/>
        </w:rPr>
        <w:t>These results include for the first time the operations of Whirlaway Corporation, a precision metal component manufacturing operation, with locations in Ohio and Arizona, which was acquired on December 1, 2006. Pro-forma financial statements, which would include the full fourth quarter and full year results of Whirlaway are not included in this press release. These pro-forma financial statements will be included in the Company’s Annual Report on Form 10-K for the fiscal year ended December 31, 2006.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 of NN, Inc., Excluding the Results of Whirlaway</w:t>
      </w:r>
    </w:p>
    <w:p>
      <w:pPr>
        <w:spacing w:after="0" w:line="275"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Excluding the impact of the Whirlaway acquisition, net sales for the fourth quarter of 2006 were $81.2 million, up $5.3 million or 6.9% from $75.9 million for the same period of 2005. Net income for the fourth quarter totaled $3.7 million, or $0.21 per diluted share. This compares to net income of $5.1 million, or $0.30 per diluted share for the fourth quarter of 2005. Net sales for the full year 2006 were $325.6 million, up $4.2 million or 1.3% compared to $321.4 million for 2005. Net income for 2006 totaled $15.0 million, or $0.87 per diluted share, compared to $15.0 million, or $0.87 per diluted share for 2005.</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a percentage of net sales, cost of products sold was 78.1% in the fourth quarter of 2006 compared to 75.1% in the fourth quarter of 2005. For the full year 2006 and 2005, cost of products sold as a percentage of net sales was 77.7% and 77.4% respectively. The main factors for the increased costs in the fourth quarter of 2006, as compared to the same period in 2005, were operating inefficiencies at the Chinese and Slovakian facilities and volume reductions related to weak automotive demand.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color w:val="auto"/>
        </w:rPr>
        <w:t>Selling, general and administrative expenses for the fourth quarter of 2006 were 9.5% as a percentage of net sales as compared to 9.4% for the same period in 2005.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2006, selling, general and administrative expenses as a percentage of net sales were 9.1% as compared to 9.0% in 2005.</w:t>
      </w:r>
    </w:p>
    <w:p>
      <w:pPr>
        <w:spacing w:after="0" w:line="25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James H. Dorton, Vice President and Chief Financial Officer, commented, “We exceeded the revised full year guidance given on October 30, 2006 and ended the year with results within the range of our beginning year guidance. Revenue for the full year of 2006, not including the impact of the Whirlaway acquisition, was up $4.2 million, or 1.3% from the same period in 2005. Accounting for the increase was net price increases associated with material inflation of $7.8 million and positive currency translation of Euro-denominated sales of $1.6 million which were offset by volume and mix related decreases of $5.2 million.”</w:t>
      </w:r>
    </w:p>
    <w:p>
      <w:pPr>
        <w:spacing w:after="0" w:line="21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Mr. Dorton continued, “Excluding the funds borrowed for the acquisition of Whirlaway in December 2006, we paid down approximately $8.0 million in debt for the year. However, due to higher than expected working capital needs in the fourth quarter of this year, this was short of our debt reduction goal of $10.0 million for the year.”</w:t>
      </w:r>
    </w:p>
    <w:p>
      <w:pPr>
        <w:spacing w:after="0" w:line="228"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Mr. Dorton concluded, “During the fourth quarter of 2006, we purchased an additional 249,199 shares of our common stock pursuant to our previously announced stock repurchase plan. This plan was announced in March of this year and continues for 18 months thereafter and allows us to purchase up to $10.0 million of the Company’s common stock. The total amount we have purchased under this plan is 462,735 shares at a cost of $5.3 million.”</w:t>
      </w:r>
    </w:p>
    <w:p>
      <w:pPr>
        <w:spacing w:after="0" w:line="20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Roderick R. Baty, Chairman and Chief Executive Officer, commented, “Generally, our 2006 results were in-line with our original expectations. Sales growth with several of our bearing component customers was offset by down economic conditions driven by weak automotive demand in the U.S. and share loss to one of our largest customers. We were also able to offset start-up costs at our China and Slovakian facilities with excellent operating results in our other domestic and European facilities. Additionally, our Level 3 initiatives continue to produce impressive results which helped to offset negative economic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 of NN, Inc. Including Whirlaway Corporation for the Period Beginning December 1, 2006 and Ending December 31, 2006</w:t>
      </w:r>
    </w:p>
    <w:p>
      <w:pPr>
        <w:spacing w:after="0" w:line="27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 the period beginning December 1, 2006 and ending December 31, 2006, Whirlaway Corporation had net sales of $4.7 million and a net loss of $0.6 million. December sales at Whirlaway are historically impacted by seasonal factors. Additionally, 70% of the $0.6 million net loss for the month of December is attributed to the negative impact of purchase accounting adjustments and will not impact future quarterly results.</w:t>
      </w:r>
    </w:p>
    <w:p>
      <w:pPr>
        <w:spacing w:after="0" w:line="228"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Including Whirlaway Corporation for the period beginning December 1, 2006 and ending December 31, 2006, consolidated net sales for the fourth quarter of 2006 were $85.9 million, up $10.0 million or 13.2% from $75.9 million for the same period of 2005. Net income for the fourth quarter totaled $3.1 million, or $0.18 per diluted share. This compares to net income of $5.1 million or $0.30 per diluted share for the fourth quarter of 2005. Net sales for the full year 2006 were $330.3 million, up $8.9 million or 2.8% compared to $321.4 million for 2005. Net income for 2006 totaled $14.4 million, or $0.83 per diluted share, compared to $15.0 million or $0.87 per diluted share for 2005.</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6" w:name="page7"/>
    <w:bookmarkEnd w:id="6"/>
    <w:p>
      <w:pPr>
        <w:ind w:right="220"/>
        <w:spacing w:after="0" w:line="280" w:lineRule="auto"/>
        <w:rPr>
          <w:sz w:val="20"/>
          <w:szCs w:val="20"/>
          <w:color w:val="auto"/>
        </w:rPr>
      </w:pPr>
      <w:r>
        <w:rPr>
          <w:rFonts w:ascii="Arial" w:cs="Arial" w:eastAsia="Arial" w:hAnsi="Arial"/>
          <w:sz w:val="17"/>
          <w:szCs w:val="17"/>
          <w:color w:val="auto"/>
        </w:rPr>
        <w:t>As a percentage of net sales, cost of products sold was 79.3% in the fourth quarter of 2006 compared to 75.1% in the fourth quarter of 2005. For the full year 2006 and 2005, cost of goods sold as a percentage of net sales was 78.0% and 77.4%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Selling, general and administrative expenses for the fourth quarter of 2006 were 9.4% as a percentage of net sales as compared to 9.4% for the same period in 2005.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selling, general and administrative expenses as a percentage of net sales were 9.1% as compared to 9.0% in 2005.</w:t>
      </w:r>
    </w:p>
    <w:p>
      <w:pPr>
        <w:spacing w:after="0" w:line="258"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Mr. Baty continued, “We are enthusiastic regarding the acquisition of Whirlaway. We believe Whirlaway will be a solid cornerstone for our new precision metal platform and will provide us with excellent growth opportunities. Additionally, this acquisition and platform provides us with a diversification of products, manufacturing technology, end markets and customers, yet remains complementary with our core competencies and growth strategy. We expect Whirlaway to be accretive to 2007 earnings by $0.10 to $0.12 per diluted share.”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Anticipated 2007 Results</w:t>
      </w:r>
    </w:p>
    <w:p>
      <w:pPr>
        <w:spacing w:after="0" w:line="27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Mr. Baty continued, “For 2007, we continue to forecast relatively static economic conditions for our businesses. Our forecast for 2007 reflects estimated down North American automotive sales offset by anticipated improvements in the European automotive markets and continued strong industrial global demand. We have also included in our revenue guidance reductions from share loss from certain major customers who are re-sourcing a portion of their bearing component businesses. We are, however, anticipating strong industrial demand, which should result in some business growth, particularly in the precision metal platform.”</w:t>
      </w:r>
    </w:p>
    <w:p>
      <w:pPr>
        <w:spacing w:after="0" w:line="216"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“Our 2007 business plan anticipates full year sales to be approximately $400 million (up 23%) and full year earnings to be in the range of $0.98 to $1.04 per share, up 13% to 20% compared with 2006 results, and excluding the one month of December 2006 Whirlaway operations and certain acquisition adjustments. We are not including the potential positive effects of any potential new acquisitions in 2007 in our guidance.”</w:t>
      </w:r>
    </w:p>
    <w:p>
      <w:pPr>
        <w:spacing w:after="0" w:line="200" w:lineRule="exact"/>
        <w:rPr>
          <w:sz w:val="20"/>
          <w:szCs w:val="20"/>
          <w:color w:val="auto"/>
        </w:rPr>
      </w:pPr>
    </w:p>
    <w:p>
      <w:pPr>
        <w:spacing w:after="0" w:line="28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NN, Inc. manufactures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w:t>
      </w:r>
    </w:p>
    <w:p>
      <w:pPr>
        <w:spacing w:after="0" w:line="228"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2" w:lineRule="exact"/>
        <w:rPr>
          <w:sz w:val="20"/>
          <w:szCs w:val="20"/>
          <w:color w:val="auto"/>
        </w:rPr>
      </w:pPr>
    </w:p>
    <w:p>
      <w:pPr>
        <w:jc w:val="right"/>
        <w:ind w:right="2000"/>
        <w:spacing w:after="0"/>
        <w:tabs>
          <w:tab w:leader="none" w:pos="1540" w:val="left"/>
        </w:tabs>
        <w:rPr>
          <w:sz w:val="20"/>
          <w:szCs w:val="20"/>
          <w:color w:val="auto"/>
        </w:rPr>
      </w:pPr>
      <w:r>
        <w:rPr>
          <w:rFonts w:ascii="Arial" w:cs="Arial" w:eastAsia="Arial" w:hAnsi="Arial"/>
          <w:sz w:val="17"/>
          <w:szCs w:val="17"/>
          <w:b w:val="1"/>
          <w:bCs w:val="1"/>
          <w:color w:val="auto"/>
        </w:rPr>
        <w:t>&amp; #160;</w:t>
      </w:r>
      <w:r>
        <w:rPr>
          <w:sz w:val="20"/>
          <w:szCs w:val="20"/>
          <w:color w:val="auto"/>
        </w:rPr>
        <w:tab/>
      </w:r>
      <w:r>
        <w:rPr>
          <w:rFonts w:ascii="Arial" w:cs="Arial" w:eastAsia="Arial" w:hAnsi="Arial"/>
          <w:sz w:val="15"/>
          <w:szCs w:val="15"/>
          <w:b w:val="1"/>
          <w:bCs w:val="1"/>
          <w:color w:val="auto"/>
        </w:rPr>
        <w:t>Three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Twelve Months Ended</w:t>
      </w:r>
    </w:p>
    <w:p>
      <w:pPr>
        <w:sectPr>
          <w:pgSz w:w="11900" w:h="16838" w:orient="portrait"/>
          <w:cols w:equalWidth="0" w:num="1">
            <w:col w:w="11420"/>
          </w:cols>
          <w:pgMar w:left="240" w:top="353" w:right="239" w:bottom="1440" w:gutter="0" w:footer="0" w:header="0"/>
        </w:sectPr>
      </w:pPr>
    </w:p>
    <w:p>
      <w:pPr>
        <w:spacing w:after="0" w:line="201" w:lineRule="exact"/>
        <w:rPr>
          <w:sz w:val="20"/>
          <w:szCs w:val="20"/>
          <w:color w:val="auto"/>
        </w:rPr>
      </w:pPr>
    </w:p>
    <w:p>
      <w:pPr>
        <w:spacing w:after="0"/>
        <w:tabs>
          <w:tab w:leader="none" w:pos="300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5"/>
          <w:szCs w:val="15"/>
          <w:b w:val="1"/>
          <w:bCs w:val="1"/>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Net sales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Cost of products sold (exclusive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depreciation shown separately below)</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(Gain)Loss on disposal of assets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Restructuring and impairment costs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before provision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Pr>
          <w:p>
            <w:pPr>
              <w:jc w:val="right"/>
              <w:ind w:right="614"/>
              <w:spacing w:after="0"/>
              <w:rPr>
                <w:sz w:val="20"/>
                <w:szCs w:val="20"/>
                <w:color w:val="auto"/>
              </w:rPr>
            </w:pPr>
            <w:r>
              <w:rPr>
                <w:rFonts w:ascii="Arial" w:cs="Arial" w:eastAsia="Arial" w:hAnsi="Arial"/>
                <w:sz w:val="17"/>
                <w:szCs w:val="17"/>
                <w:b w:val="1"/>
                <w:bCs w:val="1"/>
                <w:color w:val="auto"/>
              </w:rPr>
              <w:t>60;</w:t>
            </w:r>
          </w:p>
        </w:tc>
        <w:tc>
          <w:tcPr>
            <w:tcW w:w="280" w:type="dxa"/>
            <w:vAlign w:val="bottom"/>
          </w:tcPr>
          <w:p>
            <w:pPr>
              <w:spacing w:after="0"/>
              <w:rPr>
                <w:sz w:val="19"/>
                <w:szCs w:val="19"/>
                <w:color w:val="auto"/>
              </w:rPr>
            </w:pPr>
          </w:p>
        </w:tc>
        <w:tc>
          <w:tcPr>
            <w:tcW w:w="1600" w:type="dxa"/>
            <w:vAlign w:val="bottom"/>
          </w:tcPr>
          <w:p>
            <w:pPr>
              <w:jc w:val="right"/>
              <w:ind w:right="14"/>
              <w:spacing w:after="0"/>
              <w:rPr>
                <w:sz w:val="20"/>
                <w:szCs w:val="20"/>
                <w:color w:val="auto"/>
              </w:rPr>
            </w:pPr>
            <w:r>
              <w:rPr>
                <w:rFonts w:ascii="Arial" w:cs="Arial" w:eastAsia="Arial" w:hAnsi="Arial"/>
                <w:sz w:val="17"/>
                <w:szCs w:val="17"/>
                <w:b w:val="1"/>
                <w:bCs w:val="1"/>
                <w:color w:val="auto"/>
              </w:rPr>
              <w:t>December</w:t>
            </w: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2006</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b w:val="1"/>
                <w:bCs w:val="1"/>
                <w:color w:val="auto"/>
              </w:rPr>
              <w:t>2005</w:t>
            </w:r>
          </w:p>
        </w:tc>
        <w:tc>
          <w:tcPr>
            <w:tcW w:w="132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2006</w:t>
            </w: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2005</w:t>
            </w:r>
          </w:p>
        </w:tc>
        <w:tc>
          <w:tcPr>
            <w:tcW w:w="0" w:type="dxa"/>
            <w:vAlign w:val="bottom"/>
          </w:tcPr>
          <w:p>
            <w:pPr>
              <w:spacing w:after="0"/>
              <w:rPr>
                <w:sz w:val="1"/>
                <w:szCs w:val="1"/>
                <w:color w:val="auto"/>
              </w:rPr>
            </w:pPr>
          </w:p>
        </w:tc>
      </w:tr>
      <w:tr>
        <w:trPr>
          <w:trHeight w:val="695"/>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$ 85,884</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$ 75,886</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$ 330,325</w:t>
            </w:r>
          </w:p>
        </w:tc>
        <w:tc>
          <w:tcPr>
            <w:tcW w:w="1300" w:type="dxa"/>
            <w:vAlign w:val="bottom"/>
          </w:tcPr>
          <w:p>
            <w:pPr>
              <w:jc w:val="right"/>
              <w:spacing w:after="0"/>
              <w:rPr>
                <w:sz w:val="20"/>
                <w:szCs w:val="20"/>
                <w:color w:val="auto"/>
              </w:rPr>
            </w:pPr>
            <w:r>
              <w:rPr>
                <w:rFonts w:ascii="Arial" w:cs="Arial" w:eastAsia="Arial" w:hAnsi="Arial"/>
                <w:sz w:val="17"/>
                <w:szCs w:val="17"/>
                <w:color w:val="auto"/>
              </w:rPr>
              <w:t>$ 321,387</w:t>
            </w:r>
          </w:p>
        </w:tc>
        <w:tc>
          <w:tcPr>
            <w:tcW w:w="0" w:type="dxa"/>
            <w:vAlign w:val="bottom"/>
          </w:tcPr>
          <w:p>
            <w:pPr>
              <w:spacing w:after="0"/>
              <w:rPr>
                <w:sz w:val="1"/>
                <w:szCs w:val="1"/>
                <w:color w:val="auto"/>
              </w:rPr>
            </w:pPr>
          </w:p>
        </w:tc>
      </w:tr>
      <w:tr>
        <w:trPr>
          <w:trHeight w:val="454"/>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68,106</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56,981</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257,703</w:t>
            </w:r>
          </w:p>
        </w:tc>
        <w:tc>
          <w:tcPr>
            <w:tcW w:w="1300" w:type="dxa"/>
            <w:vAlign w:val="bottom"/>
          </w:tcPr>
          <w:p>
            <w:pPr>
              <w:jc w:val="right"/>
              <w:spacing w:after="0"/>
              <w:rPr>
                <w:sz w:val="20"/>
                <w:szCs w:val="20"/>
                <w:color w:val="auto"/>
              </w:rPr>
            </w:pPr>
            <w:r>
              <w:rPr>
                <w:rFonts w:ascii="Arial" w:cs="Arial" w:eastAsia="Arial" w:hAnsi="Arial"/>
                <w:sz w:val="17"/>
                <w:szCs w:val="17"/>
                <w:color w:val="auto"/>
              </w:rPr>
              <w:t>248,828</w:t>
            </w:r>
          </w:p>
        </w:tc>
        <w:tc>
          <w:tcPr>
            <w:tcW w:w="0" w:type="dxa"/>
            <w:vAlign w:val="bottom"/>
          </w:tcPr>
          <w:p>
            <w:pPr>
              <w:spacing w:after="0"/>
              <w:rPr>
                <w:sz w:val="1"/>
                <w:szCs w:val="1"/>
                <w:color w:val="auto"/>
              </w:rPr>
            </w:pPr>
          </w:p>
        </w:tc>
      </w:tr>
      <w:tr>
        <w:trPr>
          <w:trHeight w:val="206"/>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8,086</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7,103</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30,008</w:t>
            </w:r>
          </w:p>
        </w:tc>
        <w:tc>
          <w:tcPr>
            <w:tcW w:w="1300" w:type="dxa"/>
            <w:vAlign w:val="bottom"/>
          </w:tcPr>
          <w:p>
            <w:pPr>
              <w:jc w:val="right"/>
              <w:spacing w:after="0"/>
              <w:rPr>
                <w:sz w:val="20"/>
                <w:szCs w:val="20"/>
                <w:color w:val="auto"/>
              </w:rPr>
            </w:pPr>
            <w:r>
              <w:rPr>
                <w:rFonts w:ascii="Arial" w:cs="Arial" w:eastAsia="Arial" w:hAnsi="Arial"/>
                <w:sz w:val="17"/>
                <w:szCs w:val="17"/>
                <w:color w:val="auto"/>
              </w:rPr>
              <w:t>29,073</w:t>
            </w:r>
          </w:p>
        </w:tc>
        <w:tc>
          <w:tcPr>
            <w:tcW w:w="0" w:type="dxa"/>
            <w:vAlign w:val="bottom"/>
          </w:tcPr>
          <w:p>
            <w:pPr>
              <w:spacing w:after="0"/>
              <w:rPr>
                <w:sz w:val="1"/>
                <w:szCs w:val="1"/>
                <w:color w:val="auto"/>
              </w:rPr>
            </w:pPr>
          </w:p>
        </w:tc>
      </w:tr>
      <w:tr>
        <w:trPr>
          <w:trHeight w:val="206"/>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4,713</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4,030</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17,492</w:t>
            </w:r>
          </w:p>
        </w:tc>
        <w:tc>
          <w:tcPr>
            <w:tcW w:w="1300" w:type="dxa"/>
            <w:vAlign w:val="bottom"/>
          </w:tcPr>
          <w:p>
            <w:pPr>
              <w:jc w:val="right"/>
              <w:spacing w:after="0"/>
              <w:rPr>
                <w:sz w:val="20"/>
                <w:szCs w:val="20"/>
                <w:color w:val="auto"/>
              </w:rPr>
            </w:pPr>
            <w:r>
              <w:rPr>
                <w:rFonts w:ascii="Arial" w:cs="Arial" w:eastAsia="Arial" w:hAnsi="Arial"/>
                <w:sz w:val="17"/>
                <w:szCs w:val="17"/>
                <w:color w:val="auto"/>
              </w:rPr>
              <w:t>16,331</w:t>
            </w:r>
          </w:p>
        </w:tc>
        <w:tc>
          <w:tcPr>
            <w:tcW w:w="0" w:type="dxa"/>
            <w:vAlign w:val="bottom"/>
          </w:tcPr>
          <w:p>
            <w:pPr>
              <w:spacing w:after="0"/>
              <w:rPr>
                <w:sz w:val="1"/>
                <w:szCs w:val="1"/>
                <w:color w:val="auto"/>
              </w:rPr>
            </w:pPr>
          </w:p>
        </w:tc>
      </w:tr>
      <w:tr>
        <w:trPr>
          <w:trHeight w:val="206"/>
        </w:trPr>
        <w:tc>
          <w:tcPr>
            <w:tcW w:w="1600" w:type="dxa"/>
            <w:vAlign w:val="bottom"/>
          </w:tcPr>
          <w:p>
            <w:pPr>
              <w:jc w:val="right"/>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7"/>
                <w:szCs w:val="17"/>
                <w:color w:val="auto"/>
              </w:rPr>
            </w:pP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(398)</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(705)</w:t>
            </w:r>
          </w:p>
        </w:tc>
        <w:tc>
          <w:tcPr>
            <w:tcW w:w="1300" w:type="dxa"/>
            <w:vAlign w:val="bottom"/>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7"/>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(65)</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(334)</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(65)</w:t>
            </w:r>
          </w:p>
        </w:tc>
        <w:tc>
          <w:tcPr>
            <w:tcW w:w="1300" w:type="dxa"/>
            <w:vAlign w:val="bottom"/>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6"/>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5,023</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8,504</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25,892</w:t>
            </w:r>
          </w:p>
        </w:tc>
        <w:tc>
          <w:tcPr>
            <w:tcW w:w="1300" w:type="dxa"/>
            <w:vAlign w:val="bottom"/>
          </w:tcPr>
          <w:p>
            <w:pPr>
              <w:jc w:val="right"/>
              <w:spacing w:after="0"/>
              <w:rPr>
                <w:sz w:val="20"/>
                <w:szCs w:val="20"/>
                <w:color w:val="auto"/>
              </w:rPr>
            </w:pPr>
            <w:r>
              <w:rPr>
                <w:rFonts w:ascii="Arial" w:cs="Arial" w:eastAsia="Arial" w:hAnsi="Arial"/>
                <w:sz w:val="17"/>
                <w:szCs w:val="17"/>
                <w:color w:val="auto"/>
              </w:rPr>
              <w:t>27,888</w:t>
            </w:r>
          </w:p>
        </w:tc>
        <w:tc>
          <w:tcPr>
            <w:tcW w:w="0" w:type="dxa"/>
            <w:vAlign w:val="bottom"/>
          </w:tcPr>
          <w:p>
            <w:pPr>
              <w:spacing w:after="0"/>
              <w:rPr>
                <w:sz w:val="1"/>
                <w:szCs w:val="1"/>
                <w:color w:val="auto"/>
              </w:rPr>
            </w:pPr>
          </w:p>
        </w:tc>
      </w:tr>
      <w:tr>
        <w:trPr>
          <w:trHeight w:val="428"/>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1,060</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802</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3,983</w:t>
            </w:r>
          </w:p>
        </w:tc>
        <w:tc>
          <w:tcPr>
            <w:tcW w:w="1300" w:type="dxa"/>
            <w:vAlign w:val="bottom"/>
          </w:tcPr>
          <w:p>
            <w:pPr>
              <w:jc w:val="right"/>
              <w:spacing w:after="0"/>
              <w:rPr>
                <w:sz w:val="20"/>
                <w:szCs w:val="20"/>
                <w:color w:val="auto"/>
              </w:rPr>
            </w:pPr>
            <w:r>
              <w:rPr>
                <w:rFonts w:ascii="Arial" w:cs="Arial" w:eastAsia="Arial" w:hAnsi="Arial"/>
                <w:sz w:val="17"/>
                <w:szCs w:val="17"/>
                <w:color w:val="auto"/>
              </w:rPr>
              <w:t>3,777</w:t>
            </w:r>
          </w:p>
        </w:tc>
        <w:tc>
          <w:tcPr>
            <w:tcW w:w="0" w:type="dxa"/>
            <w:vAlign w:val="bottom"/>
          </w:tcPr>
          <w:p>
            <w:pPr>
              <w:spacing w:after="0"/>
              <w:rPr>
                <w:sz w:val="1"/>
                <w:szCs w:val="1"/>
                <w:color w:val="auto"/>
              </w:rPr>
            </w:pPr>
          </w:p>
        </w:tc>
      </w:tr>
      <w:tr>
        <w:trPr>
          <w:trHeight w:val="217"/>
        </w:trPr>
        <w:tc>
          <w:tcPr>
            <w:tcW w:w="1880" w:type="dxa"/>
            <w:vAlign w:val="bottom"/>
            <w:gridSpan w:val="2"/>
          </w:tcPr>
          <w:p>
            <w:pPr>
              <w:jc w:val="right"/>
              <w:ind w:right="280"/>
              <w:spacing w:after="0"/>
              <w:rPr>
                <w:sz w:val="20"/>
                <w:szCs w:val="20"/>
                <w:color w:val="auto"/>
              </w:rPr>
            </w:pPr>
            <w:r>
              <w:rPr>
                <w:rFonts w:ascii="Arial" w:cs="Arial" w:eastAsia="Arial" w:hAnsi="Arial"/>
                <w:sz w:val="17"/>
                <w:szCs w:val="17"/>
                <w:color w:val="auto"/>
              </w:rPr>
              <w:t>(738)</w:t>
            </w:r>
          </w:p>
        </w:tc>
        <w:tc>
          <w:tcPr>
            <w:tcW w:w="1600" w:type="dxa"/>
            <w:vAlign w:val="bottom"/>
          </w:tcPr>
          <w:p>
            <w:pPr>
              <w:jc w:val="right"/>
              <w:ind w:right="354"/>
              <w:spacing w:after="0"/>
              <w:rPr>
                <w:sz w:val="20"/>
                <w:szCs w:val="20"/>
                <w:color w:val="auto"/>
              </w:rPr>
            </w:pPr>
            <w:r>
              <w:rPr>
                <w:rFonts w:ascii="Arial" w:cs="Arial" w:eastAsia="Arial" w:hAnsi="Arial"/>
                <w:sz w:val="17"/>
                <w:szCs w:val="17"/>
                <w:color w:val="auto"/>
              </w:rPr>
              <w:t>(368)</w:t>
            </w:r>
          </w:p>
        </w:tc>
        <w:tc>
          <w:tcPr>
            <w:tcW w:w="1320" w:type="dxa"/>
            <w:vAlign w:val="bottom"/>
          </w:tcPr>
          <w:p>
            <w:pPr>
              <w:jc w:val="right"/>
              <w:ind w:right="214"/>
              <w:spacing w:after="0"/>
              <w:rPr>
                <w:sz w:val="20"/>
                <w:szCs w:val="20"/>
                <w:color w:val="auto"/>
              </w:rPr>
            </w:pPr>
            <w:r>
              <w:rPr>
                <w:rFonts w:ascii="Arial" w:cs="Arial" w:eastAsia="Arial" w:hAnsi="Arial"/>
                <w:sz w:val="17"/>
                <w:szCs w:val="17"/>
                <w:color w:val="auto"/>
              </w:rPr>
              <w:t>(1,048)</w:t>
            </w:r>
          </w:p>
        </w:tc>
        <w:tc>
          <w:tcPr>
            <w:tcW w:w="1300" w:type="dxa"/>
            <w:vAlign w:val="bottom"/>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80" w:type="dxa"/>
            <w:vAlign w:val="bottom"/>
            <w:gridSpan w:val="2"/>
          </w:tcPr>
          <w:p>
            <w:pPr>
              <w:spacing w:after="0"/>
              <w:rPr>
                <w:sz w:val="21"/>
                <w:szCs w:val="21"/>
                <w:color w:val="auto"/>
              </w:rPr>
            </w:pPr>
          </w:p>
        </w:tc>
        <w:tc>
          <w:tcPr>
            <w:tcW w:w="1600" w:type="dxa"/>
            <w:vAlign w:val="bottom"/>
            <w:vMerge w:val="restart"/>
          </w:tcPr>
          <w:p>
            <w:pPr>
              <w:jc w:val="right"/>
              <w:ind w:right="354"/>
              <w:spacing w:after="0"/>
              <w:rPr>
                <w:sz w:val="20"/>
                <w:szCs w:val="20"/>
                <w:color w:val="auto"/>
              </w:rPr>
            </w:pPr>
            <w:r>
              <w:rPr>
                <w:rFonts w:ascii="Arial" w:cs="Arial" w:eastAsia="Arial" w:hAnsi="Arial"/>
                <w:sz w:val="17"/>
                <w:szCs w:val="17"/>
                <w:color w:val="auto"/>
              </w:rPr>
              <w:t>8,070</w:t>
            </w:r>
          </w:p>
        </w:tc>
        <w:tc>
          <w:tcPr>
            <w:tcW w:w="132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24,764</w:t>
            </w:r>
          </w:p>
        </w:tc>
        <w:tc>
          <w:tcPr>
            <w:tcW w:w="0" w:type="dxa"/>
            <w:vAlign w:val="bottom"/>
          </w:tcPr>
          <w:p>
            <w:pPr>
              <w:spacing w:after="0"/>
              <w:rPr>
                <w:sz w:val="1"/>
                <w:szCs w:val="1"/>
                <w:color w:val="auto"/>
              </w:rPr>
            </w:pPr>
          </w:p>
        </w:tc>
      </w:tr>
      <w:tr>
        <w:trPr>
          <w:trHeight w:val="244"/>
        </w:trPr>
        <w:tc>
          <w:tcPr>
            <w:tcW w:w="16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4,701</w:t>
            </w:r>
          </w:p>
        </w:tc>
        <w:tc>
          <w:tcPr>
            <w:tcW w:w="2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320" w:type="dxa"/>
            <w:vAlign w:val="bottom"/>
          </w:tcPr>
          <w:p>
            <w:pPr>
              <w:jc w:val="right"/>
              <w:ind w:right="274"/>
              <w:spacing w:after="0"/>
              <w:rPr>
                <w:sz w:val="20"/>
                <w:szCs w:val="20"/>
                <w:color w:val="auto"/>
              </w:rPr>
            </w:pPr>
            <w:r>
              <w:rPr>
                <w:rFonts w:ascii="Arial" w:cs="Arial" w:eastAsia="Arial" w:hAnsi="Arial"/>
                <w:sz w:val="17"/>
                <w:szCs w:val="17"/>
                <w:color w:val="auto"/>
              </w:rPr>
              <w:t>22,957</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-2194560</wp:posOffset>
            </wp:positionV>
            <wp:extent cx="7252970" cy="295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9527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-1604645</wp:posOffset>
            </wp:positionV>
            <wp:extent cx="7252970" cy="130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-1342390</wp:posOffset>
            </wp:positionV>
            <wp:extent cx="7252970" cy="130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-1055370</wp:posOffset>
            </wp:positionV>
            <wp:extent cx="7252970" cy="295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9527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-612775</wp:posOffset>
            </wp:positionV>
            <wp:extent cx="7252970"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-326390</wp:posOffset>
            </wp:positionV>
            <wp:extent cx="7252970" cy="172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1720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00" w:space="720"/>
            <w:col w:w="6100"/>
          </w:cols>
          <w:pgMar w:left="240" w:top="353"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204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7"/>
                <w:szCs w:val="17"/>
                <w:color w:val="auto"/>
              </w:rPr>
              <w:t>1,614</w:t>
            </w:r>
          </w:p>
        </w:tc>
        <w:tc>
          <w:tcPr>
            <w:tcW w:w="14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2,950</w:t>
            </w:r>
          </w:p>
        </w:tc>
        <w:tc>
          <w:tcPr>
            <w:tcW w:w="15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8,522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0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rPr>
              <w:t>$ 3,087</w:t>
            </w:r>
          </w:p>
        </w:tc>
        <w:tc>
          <w:tcPr>
            <w:tcW w:w="14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$ 5,120</w:t>
            </w:r>
          </w:p>
        </w:tc>
        <w:tc>
          <w:tcPr>
            <w:tcW w:w="15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$ 14,435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Diluted income per common share</w:t>
            </w:r>
          </w:p>
        </w:tc>
        <w:tc>
          <w:tcPr>
            <w:tcW w:w="20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rPr>
              <w:t>$ 0.18</w:t>
            </w:r>
          </w:p>
        </w:tc>
        <w:tc>
          <w:tcPr>
            <w:tcW w:w="14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$ 0.30</w:t>
            </w:r>
          </w:p>
        </w:tc>
        <w:tc>
          <w:tcPr>
            <w:tcW w:w="15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$ 0.83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$ 0.87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diluted shares</w:t>
            </w:r>
          </w:p>
        </w:tc>
        <w:tc>
          <w:tcPr>
            <w:tcW w:w="20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rPr>
              <w:t>17,141</w:t>
            </w:r>
          </w:p>
        </w:tc>
        <w:tc>
          <w:tcPr>
            <w:tcW w:w="14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17,347</w:t>
            </w:r>
          </w:p>
        </w:tc>
        <w:tc>
          <w:tcPr>
            <w:tcW w:w="15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17,351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40" w:type="dxa"/>
            <w:vAlign w:val="bottom"/>
          </w:tcPr>
          <w:p>
            <w:pPr>
              <w:jc w:val="right"/>
              <w:ind w:right="1537"/>
              <w:spacing w:after="0"/>
              <w:rPr>
                <w:sz w:val="20"/>
                <w:szCs w:val="20"/>
                <w:color w:val="auto"/>
              </w:rPr>
            </w:pPr>
            <w:r>
              <w:rPr>
                <w:rFonts w:ascii="Arial" w:cs="Arial" w:eastAsia="Arial" w:hAnsi="Arial"/>
                <w:sz w:val="14"/>
                <w:szCs w:val="14"/>
                <w:color w:val="auto"/>
              </w:rPr>
              <w:t>4</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type w:val="continuous"/>
        </w:sectPr>
      </w:pPr>
    </w:p>
    <w:bookmarkStart w:id="8" w:name="page9"/>
    <w:bookmarkEnd w:id="8"/>
    <w:p>
      <w:pPr>
        <w:ind w:left="540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540" w:type="dxa"/>
            <w:vAlign w:val="bottom"/>
            <w:gridSpan w:val="2"/>
          </w:tcPr>
          <w:p>
            <w:pPr>
              <w:ind w:left="420"/>
              <w:spacing w:after="0"/>
              <w:rPr>
                <w:sz w:val="20"/>
                <w:szCs w:val="20"/>
                <w:color w:val="auto"/>
              </w:rPr>
            </w:pPr>
            <w:r>
              <w:rPr>
                <w:rFonts w:ascii="Arial" w:cs="Arial" w:eastAsia="Arial" w:hAnsi="Arial"/>
                <w:sz w:val="17"/>
                <w:szCs w:val="17"/>
                <w:b w:val="1"/>
                <w:bCs w:val="1"/>
                <w:color w:val="auto"/>
              </w:rPr>
              <w:t>December 31,</w:t>
            </w:r>
          </w:p>
        </w:tc>
        <w:tc>
          <w:tcPr>
            <w:tcW w:w="17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3660" w:type="dxa"/>
            <w:vAlign w:val="bottom"/>
            <w:gridSpan w:val="2"/>
          </w:tcPr>
          <w:p>
            <w:pPr>
              <w:jc w:val="right"/>
              <w:ind w:right="694"/>
              <w:spacing w:after="0"/>
              <w:rPr>
                <w:sz w:val="20"/>
                <w:szCs w:val="20"/>
                <w:color w:val="auto"/>
              </w:rPr>
            </w:pPr>
            <w:r>
              <w:rPr>
                <w:rFonts w:ascii="Arial" w:cs="Arial" w:eastAsia="Arial" w:hAnsi="Arial"/>
                <w:sz w:val="17"/>
                <w:szCs w:val="17"/>
                <w:b w:val="1"/>
                <w:bCs w:val="1"/>
                <w:color w:val="auto"/>
              </w:rPr>
              <w:t>2006</w:t>
            </w:r>
          </w:p>
        </w:tc>
        <w:tc>
          <w:tcPr>
            <w:tcW w:w="1700" w:type="dxa"/>
            <w:vAlign w:val="bottom"/>
          </w:tcPr>
          <w:p>
            <w:pPr>
              <w:spacing w:after="0"/>
              <w:rPr>
                <w:sz w:val="21"/>
                <w:szCs w:val="21"/>
                <w:color w:val="auto"/>
              </w:rPr>
            </w:pPr>
          </w:p>
        </w:tc>
        <w:tc>
          <w:tcPr>
            <w:tcW w:w="1720" w:type="dxa"/>
            <w:vAlign w:val="bottom"/>
          </w:tcPr>
          <w:p>
            <w:pPr>
              <w:jc w:val="right"/>
              <w:ind w:right="594"/>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2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Current Assets:</w:t>
            </w: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820" w:type="dxa"/>
            <w:vAlign w:val="bottom"/>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$ 11,681</w:t>
            </w:r>
          </w:p>
        </w:tc>
        <w:tc>
          <w:tcPr>
            <w:tcW w:w="17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820" w:type="dxa"/>
            <w:vAlign w:val="bottom"/>
          </w:tcPr>
          <w:p>
            <w:pPr>
              <w:spacing w:after="0"/>
              <w:rPr>
                <w:sz w:val="18"/>
                <w:szCs w:val="18"/>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63,485</w:t>
            </w:r>
          </w:p>
        </w:tc>
        <w:tc>
          <w:tcPr>
            <w:tcW w:w="1720" w:type="dxa"/>
            <w:vAlign w:val="bottom"/>
          </w:tcPr>
          <w:p>
            <w:pPr>
              <w:jc w:val="right"/>
              <w:spacing w:after="0"/>
              <w:rPr>
                <w:sz w:val="20"/>
                <w:szCs w:val="20"/>
                <w:color w:val="auto"/>
              </w:rPr>
            </w:pPr>
            <w:r>
              <w:rPr>
                <w:rFonts w:ascii="Arial" w:cs="Arial" w:eastAsia="Arial" w:hAnsi="Arial"/>
                <w:sz w:val="17"/>
                <w:szCs w:val="17"/>
                <w:color w:val="auto"/>
              </w:rPr>
              <w:t>47,297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820" w:type="dxa"/>
            <w:vAlign w:val="bottom"/>
          </w:tcPr>
          <w:p>
            <w:pPr>
              <w:spacing w:after="0"/>
              <w:rPr>
                <w:sz w:val="21"/>
                <w:szCs w:val="21"/>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43,538</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Other current assets</w:t>
            </w:r>
          </w:p>
        </w:tc>
        <w:tc>
          <w:tcPr>
            <w:tcW w:w="18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7,113</w:t>
            </w:r>
          </w:p>
        </w:tc>
        <w:tc>
          <w:tcPr>
            <w:tcW w:w="17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820" w:type="dxa"/>
            <w:vAlign w:val="bottom"/>
          </w:tcPr>
          <w:p>
            <w:pPr>
              <w:spacing w:after="0"/>
              <w:rPr>
                <w:sz w:val="24"/>
                <w:szCs w:val="24"/>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125,817</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820" w:type="dxa"/>
            <w:vAlign w:val="bottom"/>
            <w:vMerge w:val="restart"/>
          </w:tcPr>
          <w:p>
            <w:pPr>
              <w:spacing w:after="0"/>
              <w:rPr>
                <w:sz w:val="20"/>
                <w:szCs w:val="20"/>
                <w:color w:val="auto"/>
              </w:rPr>
            </w:pPr>
          </w:p>
        </w:tc>
        <w:tc>
          <w:tcPr>
            <w:tcW w:w="1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820" w:type="dxa"/>
            <w:vAlign w:val="bottom"/>
            <w:vMerge w:val="continue"/>
          </w:tcPr>
          <w:p>
            <w:pPr>
              <w:spacing w:after="0"/>
              <w:rPr>
                <w:sz w:val="20"/>
                <w:szCs w:val="20"/>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156,447</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Goodwill and intangible assets, net</w:t>
            </w:r>
          </w:p>
        </w:tc>
        <w:tc>
          <w:tcPr>
            <w:tcW w:w="1820" w:type="dxa"/>
            <w:vAlign w:val="bottom"/>
          </w:tcPr>
          <w:p>
            <w:pPr>
              <w:spacing w:after="0"/>
              <w:rPr>
                <w:sz w:val="18"/>
                <w:szCs w:val="18"/>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56,278</w:t>
            </w:r>
          </w:p>
        </w:tc>
        <w:tc>
          <w:tcPr>
            <w:tcW w:w="1720" w:type="dxa"/>
            <w:vAlign w:val="bottom"/>
          </w:tcPr>
          <w:p>
            <w:pPr>
              <w:jc w:val="right"/>
              <w:spacing w:after="0"/>
              <w:rPr>
                <w:sz w:val="20"/>
                <w:szCs w:val="20"/>
                <w:color w:val="auto"/>
              </w:rPr>
            </w:pPr>
            <w:r>
              <w:rPr>
                <w:rFonts w:ascii="Arial" w:cs="Arial" w:eastAsia="Arial" w:hAnsi="Arial"/>
                <w:sz w:val="17"/>
                <w:szCs w:val="17"/>
                <w:color w:val="auto"/>
              </w:rPr>
              <w:t>41,648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2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17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3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5360" w:type="dxa"/>
            <w:vAlign w:val="bottom"/>
            <w:gridSpan w:val="3"/>
          </w:tcPr>
          <w:p>
            <w:pPr>
              <w:jc w:val="right"/>
              <w:ind w:right="1700"/>
              <w:spacing w:after="0"/>
              <w:rPr>
                <w:sz w:val="20"/>
                <w:szCs w:val="20"/>
                <w:color w:val="auto"/>
              </w:rPr>
            </w:pPr>
            <w:r>
              <w:rPr>
                <w:rFonts w:ascii="Arial" w:cs="Arial" w:eastAsia="Arial" w:hAnsi="Arial"/>
                <w:sz w:val="17"/>
                <w:szCs w:val="17"/>
                <w:color w:val="auto"/>
              </w:rPr>
              <w:t>$ 341,643</w:t>
            </w:r>
          </w:p>
        </w:tc>
        <w:tc>
          <w:tcPr>
            <w:tcW w:w="1740" w:type="dxa"/>
            <w:vAlign w:val="bottom"/>
            <w:gridSpan w:val="2"/>
          </w:tcPr>
          <w:p>
            <w:pPr>
              <w:jc w:val="right"/>
              <w:ind w:right="20"/>
              <w:spacing w:after="0"/>
              <w:rPr>
                <w:sz w:val="20"/>
                <w:szCs w:val="20"/>
                <w:color w:val="auto"/>
              </w:rPr>
            </w:pPr>
            <w:r>
              <w:rPr>
                <w:rFonts w:ascii="Arial" w:cs="Arial" w:eastAsia="Arial" w:hAnsi="Arial"/>
                <w:sz w:val="17"/>
                <w:szCs w:val="17"/>
                <w:color w:val="auto"/>
              </w:rPr>
              <w:t>$ 269,655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Accounts payable</w:t>
            </w:r>
          </w:p>
        </w:tc>
        <w:tc>
          <w:tcPr>
            <w:tcW w:w="1820" w:type="dxa"/>
            <w:vAlign w:val="bottom"/>
          </w:tcPr>
          <w:p>
            <w:pPr>
              <w:spacing w:after="0"/>
              <w:rPr>
                <w:sz w:val="18"/>
                <w:szCs w:val="18"/>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$ 52,576</w:t>
            </w:r>
          </w:p>
        </w:tc>
        <w:tc>
          <w:tcPr>
            <w:tcW w:w="1720" w:type="dxa"/>
            <w:vAlign w:val="bottom"/>
          </w:tcPr>
          <w:p>
            <w:pPr>
              <w:jc w:val="right"/>
              <w:spacing w:after="0"/>
              <w:rPr>
                <w:sz w:val="20"/>
                <w:szCs w:val="20"/>
                <w:color w:val="auto"/>
              </w:rPr>
            </w:pPr>
            <w:r>
              <w:rPr>
                <w:rFonts w:ascii="Arial" w:cs="Arial" w:eastAsia="Arial" w:hAnsi="Arial"/>
                <w:sz w:val="17"/>
                <w:szCs w:val="17"/>
                <w:color w:val="auto"/>
              </w:rPr>
              <w:t>$ 41,660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and wages</w:t>
            </w:r>
          </w:p>
        </w:tc>
        <w:tc>
          <w:tcPr>
            <w:tcW w:w="1820" w:type="dxa"/>
            <w:vAlign w:val="bottom"/>
          </w:tcPr>
          <w:p>
            <w:pPr>
              <w:spacing w:after="0"/>
              <w:rPr>
                <w:sz w:val="21"/>
                <w:szCs w:val="21"/>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13,533</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820" w:type="dxa"/>
            <w:vAlign w:val="bottom"/>
          </w:tcPr>
          <w:p>
            <w:pPr>
              <w:spacing w:after="0"/>
              <w:rPr>
                <w:sz w:val="18"/>
                <w:szCs w:val="18"/>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851</w:t>
            </w:r>
          </w:p>
        </w:tc>
        <w:tc>
          <w:tcPr>
            <w:tcW w:w="1720" w:type="dxa"/>
            <w:vAlign w:val="bottom"/>
          </w:tcPr>
          <w:p>
            <w:pPr>
              <w:jc w:val="right"/>
              <w:spacing w:after="0"/>
              <w:rPr>
                <w:sz w:val="20"/>
                <w:szCs w:val="20"/>
                <w:color w:val="auto"/>
              </w:rPr>
            </w:pPr>
            <w:r>
              <w:rPr>
                <w:rFonts w:ascii="Arial" w:cs="Arial" w:eastAsia="Arial" w:hAnsi="Arial"/>
                <w:sz w:val="17"/>
                <w:szCs w:val="17"/>
                <w:color w:val="auto"/>
              </w:rPr>
              <w:t>4,668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Short-term note payable</w:t>
            </w:r>
          </w:p>
        </w:tc>
        <w:tc>
          <w:tcPr>
            <w:tcW w:w="1820" w:type="dxa"/>
            <w:vAlign w:val="bottom"/>
          </w:tcPr>
          <w:p>
            <w:pPr>
              <w:spacing w:after="0"/>
              <w:rPr>
                <w:sz w:val="21"/>
                <w:szCs w:val="21"/>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21,305</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Other liabilities</w:t>
            </w:r>
          </w:p>
        </w:tc>
        <w:tc>
          <w:tcPr>
            <w:tcW w:w="18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8,051</w:t>
            </w:r>
          </w:p>
        </w:tc>
        <w:tc>
          <w:tcPr>
            <w:tcW w:w="17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820" w:type="dxa"/>
            <w:vAlign w:val="bottom"/>
          </w:tcPr>
          <w:p>
            <w:pPr>
              <w:spacing w:after="0"/>
              <w:rPr>
                <w:sz w:val="24"/>
                <w:szCs w:val="24"/>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96,316</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820" w:type="dxa"/>
            <w:vAlign w:val="bottom"/>
            <w:vMerge w:val="restart"/>
          </w:tcPr>
          <w:p>
            <w:pPr>
              <w:spacing w:after="0"/>
              <w:rPr>
                <w:sz w:val="20"/>
                <w:szCs w:val="20"/>
                <w:color w:val="auto"/>
              </w:rPr>
            </w:pPr>
          </w:p>
        </w:tc>
        <w:tc>
          <w:tcPr>
            <w:tcW w:w="1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20" w:type="dxa"/>
            <w:vAlign w:val="bottom"/>
            <w:vMerge w:val="continue"/>
          </w:tcPr>
          <w:p>
            <w:pPr>
              <w:spacing w:after="0"/>
              <w:rPr>
                <w:sz w:val="20"/>
                <w:szCs w:val="20"/>
                <w:color w:val="auto"/>
              </w:rPr>
            </w:pPr>
          </w:p>
        </w:tc>
        <w:tc>
          <w:tcPr>
            <w:tcW w:w="3540" w:type="dxa"/>
            <w:vAlign w:val="bottom"/>
            <w:gridSpan w:val="2"/>
            <w:shd w:val="clear" w:color="auto" w:fill="CCEEFF"/>
          </w:tcPr>
          <w:p>
            <w:pPr>
              <w:jc w:val="right"/>
              <w:ind w:right="1700"/>
              <w:spacing w:after="0"/>
              <w:rPr>
                <w:sz w:val="20"/>
                <w:szCs w:val="20"/>
                <w:color w:val="auto"/>
              </w:rPr>
            </w:pPr>
            <w:r>
              <w:rPr>
                <w:rFonts w:ascii="Arial" w:cs="Arial" w:eastAsia="Arial" w:hAnsi="Arial"/>
                <w:sz w:val="17"/>
                <w:szCs w:val="17"/>
                <w:color w:val="auto"/>
              </w:rPr>
              <w:t>15,150</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Long-term notes payable</w:t>
            </w:r>
          </w:p>
        </w:tc>
        <w:tc>
          <w:tcPr>
            <w:tcW w:w="18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80,711</w:t>
            </w:r>
          </w:p>
        </w:tc>
        <w:tc>
          <w:tcPr>
            <w:tcW w:w="17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82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16,297</w:t>
            </w:r>
          </w:p>
        </w:tc>
        <w:tc>
          <w:tcPr>
            <w:tcW w:w="17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34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5360" w:type="dxa"/>
            <w:vAlign w:val="bottom"/>
            <w:gridSpan w:val="3"/>
          </w:tcPr>
          <w:p>
            <w:pPr>
              <w:jc w:val="right"/>
              <w:ind w:right="1700"/>
              <w:spacing w:after="0"/>
              <w:rPr>
                <w:sz w:val="20"/>
                <w:szCs w:val="20"/>
                <w:color w:val="auto"/>
              </w:rPr>
            </w:pPr>
            <w:r>
              <w:rPr>
                <w:rFonts w:ascii="Arial" w:cs="Arial" w:eastAsia="Arial" w:hAnsi="Arial"/>
                <w:sz w:val="17"/>
                <w:szCs w:val="17"/>
                <w:color w:val="auto"/>
              </w:rPr>
              <w:t>208,474</w:t>
            </w:r>
          </w:p>
        </w:tc>
        <w:tc>
          <w:tcPr>
            <w:tcW w:w="1740" w:type="dxa"/>
            <w:vAlign w:val="bottom"/>
            <w:gridSpan w:val="2"/>
          </w:tcPr>
          <w:p>
            <w:pPr>
              <w:jc w:val="right"/>
              <w:ind w:right="20"/>
              <w:spacing w:after="0"/>
              <w:rPr>
                <w:sz w:val="20"/>
                <w:szCs w:val="20"/>
                <w:color w:val="auto"/>
              </w:rPr>
            </w:pPr>
            <w:r>
              <w:rPr>
                <w:rFonts w:ascii="Arial" w:cs="Arial" w:eastAsia="Arial" w:hAnsi="Arial"/>
                <w:sz w:val="17"/>
                <w:szCs w:val="17"/>
                <w:color w:val="auto"/>
              </w:rPr>
              <w:t>153,581</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4320" w:type="dxa"/>
            <w:vAlign w:val="bottom"/>
            <w:shd w:val="clear" w:color="auto" w:fill="CCEEFF"/>
          </w:tcPr>
          <w:p>
            <w:pPr>
              <w:spacing w:after="0"/>
              <w:rPr>
                <w:sz w:val="20"/>
                <w:szCs w:val="20"/>
                <w:color w:val="auto"/>
              </w:rPr>
            </w:pPr>
          </w:p>
        </w:tc>
        <w:tc>
          <w:tcPr>
            <w:tcW w:w="1820" w:type="dxa"/>
            <w:vAlign w:val="bottom"/>
            <w:vMerge w:val="restart"/>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820" w:type="dxa"/>
            <w:vAlign w:val="bottom"/>
            <w:vMerge w:val="continue"/>
          </w:tcPr>
          <w:p>
            <w:pPr>
              <w:spacing w:after="0"/>
              <w:rPr>
                <w:sz w:val="18"/>
                <w:szCs w:val="18"/>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133,169</w:t>
            </w:r>
          </w:p>
        </w:tc>
        <w:tc>
          <w:tcPr>
            <w:tcW w:w="1720" w:type="dxa"/>
            <w:vAlign w:val="bottom"/>
          </w:tcPr>
          <w:p>
            <w:pPr>
              <w:jc w:val="right"/>
              <w:spacing w:after="0"/>
              <w:rPr>
                <w:sz w:val="20"/>
                <w:szCs w:val="20"/>
                <w:color w:val="auto"/>
              </w:rPr>
            </w:pPr>
            <w:r>
              <w:rPr>
                <w:rFonts w:ascii="Arial" w:cs="Arial" w:eastAsia="Arial" w:hAnsi="Arial"/>
                <w:sz w:val="17"/>
                <w:szCs w:val="17"/>
                <w:color w:val="auto"/>
              </w:rPr>
              <w:t>116,074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820" w:type="dxa"/>
            <w:vAlign w:val="bottom"/>
            <w:vMerge w:val="restart"/>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820" w:type="dxa"/>
            <w:vAlign w:val="bottom"/>
            <w:vMerge w:val="continue"/>
          </w:tcPr>
          <w:p>
            <w:pPr>
              <w:spacing w:after="0"/>
              <w:rPr>
                <w:sz w:val="17"/>
                <w:szCs w:val="17"/>
                <w:color w:val="auto"/>
              </w:rPr>
            </w:pPr>
          </w:p>
        </w:tc>
        <w:tc>
          <w:tcPr>
            <w:tcW w:w="3540" w:type="dxa"/>
            <w:vAlign w:val="bottom"/>
            <w:gridSpan w:val="2"/>
          </w:tcPr>
          <w:p>
            <w:pPr>
              <w:jc w:val="right"/>
              <w:ind w:right="1700"/>
              <w:spacing w:after="0"/>
              <w:rPr>
                <w:sz w:val="20"/>
                <w:szCs w:val="20"/>
                <w:color w:val="auto"/>
              </w:rPr>
            </w:pPr>
            <w:r>
              <w:rPr>
                <w:rFonts w:ascii="Arial" w:cs="Arial" w:eastAsia="Arial" w:hAnsi="Arial"/>
                <w:sz w:val="17"/>
                <w:szCs w:val="17"/>
                <w:color w:val="auto"/>
              </w:rPr>
              <w:t>$ 341,643</w:t>
            </w:r>
          </w:p>
        </w:tc>
        <w:tc>
          <w:tcPr>
            <w:tcW w:w="1720" w:type="dxa"/>
            <w:vAlign w:val="bottom"/>
          </w:tcPr>
          <w:p>
            <w:pPr>
              <w:jc w:val="right"/>
              <w:spacing w:after="0"/>
              <w:rPr>
                <w:sz w:val="20"/>
                <w:szCs w:val="20"/>
                <w:color w:val="auto"/>
              </w:rPr>
            </w:pPr>
            <w:r>
              <w:rPr>
                <w:rFonts w:ascii="Arial" w:cs="Arial" w:eastAsia="Arial" w:hAnsi="Arial"/>
                <w:sz w:val="17"/>
                <w:szCs w:val="17"/>
                <w:color w:val="auto"/>
              </w:rPr>
              <w:t>$ 269,655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20" w:type="dxa"/>
            <w:vAlign w:val="bottom"/>
            <w:vMerge w:val="restart"/>
          </w:tcPr>
          <w:p>
            <w:pPr>
              <w:jc w:val="right"/>
              <w:ind w:right="238"/>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20" w:type="dxa"/>
            <w:vAlign w:val="bottom"/>
          </w:tcPr>
          <w:p>
            <w:pPr>
              <w:jc w:val="right"/>
              <w:ind w:right="338"/>
              <w:spacing w:after="0"/>
              <w:rPr>
                <w:sz w:val="20"/>
                <w:szCs w:val="20"/>
                <w:color w:val="auto"/>
              </w:rPr>
            </w:pPr>
            <w:r>
              <w:rPr>
                <w:rFonts w:ascii="Arial" w:cs="Arial" w:eastAsia="Arial" w:hAnsi="Arial"/>
                <w:sz w:val="14"/>
                <w:szCs w:val="14"/>
                <w:color w:val="auto"/>
              </w:rPr>
              <w:t>5</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9" w:right="239"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2019-12-14T03:08:19Z</dcterms:created>
  <dcterms:modified xsi:type="dcterms:W3CDTF">2019-12-14T03:08:19Z</dcterms:modified>
</cp:coreProperties>
</file>