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462915</wp:posOffset>
            </wp:positionV>
            <wp:extent cx="7063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488950</wp:posOffset>
            </wp:positionV>
            <wp:extent cx="7063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111760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138430</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7"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6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-3175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111760</wp:posOffset>
            </wp:positionV>
            <wp:extent cx="2597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172085</wp:posOffset>
            </wp:positionV>
            <wp:extent cx="394335"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tbl>
      <w:tblPr>
        <w:tblLayout w:type="fixed"/>
        <w:tblInd w:w="660" w:type="dxa"/>
        <w:tblCellMar>
          <w:top w:w="0" w:type="dxa"/>
          <w:left w:w="0" w:type="dxa"/>
          <w:bottom w:w="0" w:type="dxa"/>
          <w:right w:w="0" w:type="dxa"/>
        </w:tblCellMar>
      </w:tblPr>
      <w:tr>
        <w:trPr>
          <w:trHeight w:val="396"/>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74"/>
              <w:spacing w:after="0"/>
              <w:rPr>
                <w:sz w:val="20"/>
                <w:szCs w:val="20"/>
                <w:color w:val="auto"/>
              </w:rPr>
            </w:pPr>
            <w:r>
              <w:rPr>
                <w:rFonts w:ascii="Times New Roman" w:cs="Times New Roman" w:eastAsia="Times New Roman" w:hAnsi="Times New Roman"/>
                <w:sz w:val="32"/>
                <w:szCs w:val="32"/>
                <w:b w:val="1"/>
                <w:bCs w:val="1"/>
                <w:color w:val="auto"/>
              </w:rPr>
              <w:t>NN, Inc.</w:t>
            </w:r>
          </w:p>
        </w:tc>
        <w:tc>
          <w:tcPr>
            <w:tcW w:w="2920" w:type="dxa"/>
            <w:vAlign w:val="bottom"/>
          </w:tcPr>
          <w:p>
            <w:pPr>
              <w:spacing w:after="0"/>
              <w:rPr>
                <w:sz w:val="24"/>
                <w:szCs w:val="24"/>
                <w:color w:val="auto"/>
              </w:rPr>
            </w:pPr>
          </w:p>
        </w:tc>
      </w:tr>
      <w:tr>
        <w:trPr>
          <w:trHeight w:val="212"/>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2920" w:type="dxa"/>
            <w:vAlign w:val="bottom"/>
          </w:tcPr>
          <w:p>
            <w:pPr>
              <w:spacing w:after="0"/>
              <w:rPr>
                <w:sz w:val="18"/>
                <w:szCs w:val="18"/>
                <w:color w:val="auto"/>
              </w:rPr>
            </w:pPr>
          </w:p>
        </w:tc>
      </w:tr>
      <w:tr>
        <w:trPr>
          <w:trHeight w:val="168"/>
        </w:trPr>
        <w:tc>
          <w:tcPr>
            <w:tcW w:w="2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tcPr>
          <w:p>
            <w:pPr>
              <w:spacing w:after="0"/>
              <w:rPr>
                <w:sz w:val="14"/>
                <w:szCs w:val="14"/>
                <w:color w:val="auto"/>
              </w:rPr>
            </w:pPr>
          </w:p>
        </w:tc>
        <w:tc>
          <w:tcPr>
            <w:tcW w:w="2920" w:type="dxa"/>
            <w:vAlign w:val="bottom"/>
          </w:tcPr>
          <w:p>
            <w:pPr>
              <w:spacing w:after="0"/>
              <w:rPr>
                <w:sz w:val="14"/>
                <w:szCs w:val="14"/>
                <w:color w:val="auto"/>
              </w:rPr>
            </w:pPr>
          </w:p>
        </w:tc>
      </w:tr>
      <w:tr>
        <w:trPr>
          <w:trHeight w:val="325"/>
        </w:trPr>
        <w:tc>
          <w:tcPr>
            <w:tcW w:w="3060" w:type="dxa"/>
            <w:vAlign w:val="bottom"/>
            <w:gridSpan w:val="2"/>
          </w:tcPr>
          <w:p>
            <w:pPr>
              <w:jc w:val="center"/>
              <w:ind w:left="104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960" w:type="dxa"/>
            <w:vAlign w:val="bottom"/>
          </w:tcPr>
          <w:p>
            <w:pPr>
              <w:spacing w:after="0"/>
              <w:rPr>
                <w:sz w:val="24"/>
                <w:szCs w:val="24"/>
                <w:color w:val="auto"/>
              </w:rPr>
            </w:pPr>
          </w:p>
        </w:tc>
        <w:tc>
          <w:tcPr>
            <w:tcW w:w="2920" w:type="dxa"/>
            <w:vAlign w:val="bottom"/>
          </w:tcPr>
          <w:p>
            <w:pPr>
              <w:jc w:val="center"/>
              <w:ind w:right="1243"/>
              <w:spacing w:after="0"/>
              <w:rPr>
                <w:sz w:val="20"/>
                <w:szCs w:val="20"/>
                <w:color w:val="auto"/>
              </w:rPr>
            </w:pPr>
            <w:r>
              <w:rPr>
                <w:rFonts w:ascii="Times New Roman" w:cs="Times New Roman" w:eastAsia="Times New Roman" w:hAnsi="Times New Roman"/>
                <w:sz w:val="16"/>
                <w:szCs w:val="16"/>
                <w:b w:val="1"/>
                <w:bCs w:val="1"/>
                <w:color w:val="auto"/>
              </w:rPr>
              <w:t>62-1096725</w:t>
            </w:r>
          </w:p>
        </w:tc>
      </w:tr>
      <w:tr>
        <w:trPr>
          <w:trHeight w:val="168"/>
        </w:trPr>
        <w:tc>
          <w:tcPr>
            <w:tcW w:w="3060" w:type="dxa"/>
            <w:vAlign w:val="bottom"/>
            <w:gridSpan w:val="2"/>
          </w:tcPr>
          <w:p>
            <w:pPr>
              <w:jc w:val="center"/>
              <w:ind w:left="1043"/>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3960" w:type="dxa"/>
            <w:vAlign w:val="bottom"/>
          </w:tcPr>
          <w:p>
            <w:pPr>
              <w:spacing w:after="0"/>
              <w:rPr>
                <w:sz w:val="14"/>
                <w:szCs w:val="14"/>
                <w:color w:val="auto"/>
              </w:rPr>
            </w:pPr>
          </w:p>
        </w:tc>
        <w:tc>
          <w:tcPr>
            <w:tcW w:w="2920" w:type="dxa"/>
            <w:vAlign w:val="bottom"/>
          </w:tcPr>
          <w:p>
            <w:pPr>
              <w:jc w:val="center"/>
              <w:ind w:right="1243"/>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7020" w:type="dxa"/>
            <w:vAlign w:val="bottom"/>
            <w:gridSpan w:val="3"/>
          </w:tcPr>
          <w:p>
            <w:pPr>
              <w:jc w:val="center"/>
              <w:ind w:right="2734"/>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2920" w:type="dxa"/>
            <w:vAlign w:val="bottom"/>
          </w:tcPr>
          <w:p>
            <w:pPr>
              <w:jc w:val="center"/>
              <w:ind w:right="1243"/>
              <w:spacing w:after="0"/>
              <w:rPr>
                <w:sz w:val="20"/>
                <w:szCs w:val="20"/>
                <w:color w:val="auto"/>
              </w:rPr>
            </w:pPr>
            <w:r>
              <w:rPr>
                <w:rFonts w:ascii="Times New Roman" w:cs="Times New Roman" w:eastAsia="Times New Roman" w:hAnsi="Times New Roman"/>
                <w:sz w:val="16"/>
                <w:szCs w:val="16"/>
                <w:i w:val="1"/>
                <w:iCs w:val="1"/>
                <w:color w:val="auto"/>
              </w:rPr>
              <w:t>Identification Number)</w:t>
            </w:r>
          </w:p>
        </w:tc>
      </w:tr>
      <w:tr>
        <w:trPr>
          <w:trHeight w:val="285"/>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6210 Ardrey Kell Road</w:t>
            </w:r>
          </w:p>
        </w:tc>
        <w:tc>
          <w:tcPr>
            <w:tcW w:w="2920" w:type="dxa"/>
            <w:vAlign w:val="bottom"/>
          </w:tcPr>
          <w:p>
            <w:pPr>
              <w:spacing w:after="0"/>
              <w:rPr>
                <w:sz w:val="24"/>
                <w:szCs w:val="24"/>
                <w:color w:val="auto"/>
              </w:rPr>
            </w:pPr>
          </w:p>
        </w:tc>
      </w:tr>
      <w:tr>
        <w:trPr>
          <w:trHeight w:val="189"/>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Charlotte, North Carolina 28277</w:t>
            </w:r>
          </w:p>
        </w:tc>
        <w:tc>
          <w:tcPr>
            <w:tcW w:w="2920" w:type="dxa"/>
            <w:vAlign w:val="bottom"/>
          </w:tcPr>
          <w:p>
            <w:pPr>
              <w:spacing w:after="0"/>
              <w:rPr>
                <w:sz w:val="16"/>
                <w:szCs w:val="16"/>
                <w:color w:val="auto"/>
              </w:rPr>
            </w:pPr>
          </w:p>
        </w:tc>
      </w:tr>
      <w:tr>
        <w:trPr>
          <w:trHeight w:val="212"/>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jc w:val="center"/>
              <w:ind w:right="74"/>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tc>
        <w:tc>
          <w:tcPr>
            <w:tcW w:w="2920" w:type="dxa"/>
            <w:vAlign w:val="bottom"/>
          </w:tcPr>
          <w:p>
            <w:pPr>
              <w:spacing w:after="0"/>
              <w:rPr>
                <w:sz w:val="18"/>
                <w:szCs w:val="18"/>
                <w:color w:val="auto"/>
              </w:rPr>
            </w:pPr>
          </w:p>
        </w:tc>
      </w:tr>
      <w:tr>
        <w:trPr>
          <w:trHeight w:val="220"/>
        </w:trPr>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(980) 264-4300</w:t>
            </w:r>
          </w:p>
        </w:tc>
        <w:tc>
          <w:tcPr>
            <w:tcW w:w="2920" w:type="dxa"/>
            <w:vAlign w:val="bottom"/>
          </w:tcPr>
          <w:p>
            <w:pPr>
              <w:spacing w:after="0"/>
              <w:rPr>
                <w:sz w:val="19"/>
                <w:szCs w:val="19"/>
                <w:color w:val="auto"/>
              </w:rPr>
            </w:pPr>
          </w:p>
        </w:tc>
      </w:tr>
      <w:tr>
        <w:trPr>
          <w:trHeight w:val="212"/>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jc w:val="center"/>
              <w:ind w:right="114"/>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2920" w:type="dxa"/>
            <w:vAlign w:val="bottom"/>
          </w:tcPr>
          <w:p>
            <w:pPr>
              <w:spacing w:after="0"/>
              <w:rPr>
                <w:sz w:val="18"/>
                <w:szCs w:val="18"/>
                <w:color w:val="auto"/>
              </w:rPr>
            </w:pPr>
          </w:p>
        </w:tc>
      </w:tr>
      <w:tr>
        <w:trPr>
          <w:trHeight w:val="332"/>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920" w:type="dxa"/>
            <w:vAlign w:val="bottom"/>
          </w:tcPr>
          <w:p>
            <w:pPr>
              <w:spacing w:after="0"/>
              <w:rPr>
                <w:sz w:val="24"/>
                <w:szCs w:val="24"/>
                <w:color w:val="auto"/>
              </w:rPr>
            </w:pPr>
          </w:p>
        </w:tc>
      </w:tr>
      <w:tr>
        <w:trPr>
          <w:trHeight w:val="189"/>
        </w:trPr>
        <w:tc>
          <w:tcPr>
            <w:tcW w:w="30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i w:val="1"/>
                <w:iCs w:val="1"/>
                <w:color w:val="auto"/>
              </w:rPr>
              <w:t>Title of each class</w:t>
            </w:r>
          </w:p>
        </w:tc>
        <w:tc>
          <w:tcPr>
            <w:tcW w:w="3960" w:type="dxa"/>
            <w:vAlign w:val="bottom"/>
          </w:tcPr>
          <w:p>
            <w:pPr>
              <w:jc w:val="center"/>
              <w:ind w:right="14"/>
              <w:spacing w:after="0"/>
              <w:rPr>
                <w:sz w:val="20"/>
                <w:szCs w:val="20"/>
                <w:color w:val="auto"/>
              </w:rPr>
            </w:pPr>
            <w:r>
              <w:rPr>
                <w:rFonts w:ascii="Times New Roman" w:cs="Times New Roman" w:eastAsia="Times New Roman" w:hAnsi="Times New Roman"/>
                <w:sz w:val="14"/>
                <w:szCs w:val="14"/>
                <w:i w:val="1"/>
                <w:iCs w:val="1"/>
                <w:color w:val="auto"/>
              </w:rPr>
              <w:t>Trading symbol</w:t>
            </w:r>
          </w:p>
        </w:tc>
        <w:tc>
          <w:tcPr>
            <w:tcW w:w="2920" w:type="dxa"/>
            <w:vAlign w:val="bottom"/>
          </w:tcPr>
          <w:p>
            <w:pPr>
              <w:jc w:val="center"/>
              <w:ind w:left="303"/>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tc>
      </w:tr>
      <w:tr>
        <w:trPr>
          <w:trHeight w:val="190"/>
        </w:trPr>
        <w:tc>
          <w:tcPr>
            <w:tcW w:w="30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39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NNBR</w:t>
            </w:r>
          </w:p>
        </w:tc>
        <w:tc>
          <w:tcPr>
            <w:tcW w:w="2920" w:type="dxa"/>
            <w:vAlign w:val="bottom"/>
          </w:tcPr>
          <w:p>
            <w:pPr>
              <w:jc w:val="center"/>
              <w:ind w:left="303"/>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82" w:lineRule="exact"/>
        <w:rPr>
          <w:sz w:val="24"/>
          <w:szCs w:val="24"/>
          <w:color w:val="auto"/>
        </w:rPr>
      </w:pPr>
    </w:p>
    <w:p>
      <w:pPr>
        <w:ind w:right="20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8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20" w:type="dxa"/>
        <w:tblCellMar>
          <w:top w:w="0" w:type="dxa"/>
          <w:left w:w="0" w:type="dxa"/>
          <w:bottom w:w="0" w:type="dxa"/>
          <w:right w:w="0" w:type="dxa"/>
        </w:tblCellMar>
      </w:tblPr>
      <w:tr>
        <w:trPr>
          <w:trHeight w:val="239"/>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2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60"/>
              <w:spacing w:after="0"/>
              <w:rPr>
                <w:sz w:val="20"/>
                <w:szCs w:val="20"/>
                <w:color w:val="auto"/>
              </w:rPr>
            </w:pPr>
            <w:r>
              <w:rPr>
                <w:rFonts w:ascii="Times New Roman" w:cs="Times New Roman" w:eastAsia="Times New Roman" w:hAnsi="Times New Roman"/>
                <w:sz w:val="14"/>
                <w:szCs w:val="14"/>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2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9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4880" w:type="dxa"/>
            <w:vAlign w:val="bottom"/>
          </w:tcPr>
          <w:p>
            <w:pPr>
              <w:ind w:left="2760"/>
              <w:spacing w:after="0"/>
              <w:rPr>
                <w:sz w:val="20"/>
                <w:szCs w:val="20"/>
                <w:color w:val="auto"/>
              </w:rPr>
            </w:pPr>
            <w:r>
              <w:rPr>
                <w:rFonts w:ascii="Times New Roman" w:cs="Times New Roman" w:eastAsia="Times New Roman" w:hAnsi="Times New Roman"/>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4" w:lineRule="exact"/>
        <w:rPr>
          <w:sz w:val="24"/>
          <w:szCs w:val="24"/>
          <w:color w:val="auto"/>
        </w:rPr>
      </w:pPr>
    </w:p>
    <w:p>
      <w:pPr>
        <w:ind w:right="54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360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November 2, 2020, there were 42,730,069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735330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92710</wp:posOffset>
            </wp:positionV>
            <wp:extent cx="70637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118110</wp:posOffset>
            </wp:positionV>
            <wp:extent cx="7063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8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7"/>
        </w:trPr>
        <w:tc>
          <w:tcPr>
            <w:tcW w:w="1440" w:type="dxa"/>
            <w:vAlign w:val="bottom"/>
          </w:tcPr>
          <w:p>
            <w:pPr>
              <w:spacing w:after="0"/>
              <w:rPr>
                <w:sz w:val="24"/>
                <w:szCs w:val="24"/>
                <w:color w:val="auto"/>
              </w:rPr>
            </w:pPr>
          </w:p>
        </w:tc>
        <w:tc>
          <w:tcPr>
            <w:tcW w:w="858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NN, Inc.</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440" w:type="dxa"/>
            <w:vAlign w:val="bottom"/>
          </w:tcPr>
          <w:p>
            <w:pPr>
              <w:spacing w:after="0"/>
              <w:rPr>
                <w:sz w:val="20"/>
                <w:szCs w:val="20"/>
                <w:color w:val="auto"/>
              </w:rPr>
            </w:pPr>
          </w:p>
        </w:tc>
        <w:tc>
          <w:tcPr>
            <w:tcW w:w="858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0020" w:type="dxa"/>
            <w:vAlign w:val="bottom"/>
            <w:gridSpan w:val="2"/>
            <w:vMerge w:val="restart"/>
          </w:tcPr>
          <w:p>
            <w:pPr>
              <w:ind w:left="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PART I. FINANCIAL INFORMATION</w:t>
              </w:r>
            </w:hyperlink>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28"/>
        </w:trPr>
        <w:tc>
          <w:tcPr>
            <w:tcW w:w="10020" w:type="dxa"/>
            <w:vAlign w:val="bottom"/>
            <w:gridSpan w:val="2"/>
            <w:vMerge w:val="continue"/>
          </w:tcPr>
          <w:p>
            <w:pPr>
              <w:spacing w:after="0"/>
              <w:rPr>
                <w:sz w:val="19"/>
                <w:szCs w:val="19"/>
                <w:color w:val="auto"/>
              </w:rPr>
            </w:pPr>
          </w:p>
        </w:tc>
        <w:tc>
          <w:tcPr>
            <w:tcW w:w="1200" w:type="dxa"/>
            <w:vAlign w:val="bottom"/>
          </w:tcPr>
          <w:p>
            <w:pPr>
              <w:jc w:val="right"/>
              <w:spacing w:after="0"/>
              <w:rPr>
                <w:rFonts w:ascii="Times New Roman" w:cs="Times New Roman" w:eastAsia="Times New Roman" w:hAnsi="Times New Roman"/>
                <w:sz w:val="18"/>
                <w:szCs w:val="18"/>
                <w:color w:val="auto"/>
              </w:rPr>
            </w:pPr>
            <w:hyperlink w:anchor="page2">
              <w:r>
                <w:rPr>
                  <w:rFonts w:ascii="Times New Roman" w:cs="Times New Roman" w:eastAsia="Times New Roman" w:hAnsi="Times New Roman"/>
                  <w:sz w:val="18"/>
                  <w:szCs w:val="18"/>
                  <w:color w:val="auto"/>
                </w:rPr>
                <w:t>3</w:t>
              </w:r>
            </w:hyperlink>
          </w:p>
        </w:tc>
        <w:tc>
          <w:tcPr>
            <w:tcW w:w="0" w:type="dxa"/>
            <w:vAlign w:val="bottom"/>
          </w:tcPr>
          <w:p>
            <w:pPr>
              <w:spacing w:after="0"/>
              <w:rPr>
                <w:sz w:val="1"/>
                <w:szCs w:val="1"/>
                <w:color w:val="auto"/>
              </w:rPr>
            </w:pPr>
          </w:p>
        </w:tc>
      </w:tr>
      <w:tr>
        <w:trPr>
          <w:trHeight w:val="279"/>
        </w:trPr>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w:t>
            </w:r>
          </w:p>
        </w:tc>
        <w:tc>
          <w:tcPr>
            <w:tcW w:w="8580" w:type="dxa"/>
            <w:vAlign w:val="bottom"/>
          </w:tcPr>
          <w:p>
            <w:pPr>
              <w:ind w:left="14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Financial Statements</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c>
          <w:tcPr>
            <w:tcW w:w="0" w:type="dxa"/>
            <w:vAlign w:val="bottom"/>
          </w:tcPr>
          <w:p>
            <w:pPr>
              <w:spacing w:after="0"/>
              <w:rPr>
                <w:sz w:val="1"/>
                <w:szCs w:val="1"/>
                <w:color w:val="auto"/>
              </w:rPr>
            </w:pPr>
          </w:p>
        </w:tc>
      </w:tr>
      <w:tr>
        <w:trPr>
          <w:trHeight w:val="283"/>
        </w:trPr>
        <w:tc>
          <w:tcPr>
            <w:tcW w:w="1440" w:type="dxa"/>
            <w:vAlign w:val="bottom"/>
          </w:tcPr>
          <w:p>
            <w:pPr>
              <w:spacing w:after="0"/>
              <w:rPr>
                <w:sz w:val="24"/>
                <w:szCs w:val="24"/>
                <w:color w:val="auto"/>
              </w:rPr>
            </w:pPr>
          </w:p>
        </w:tc>
        <w:tc>
          <w:tcPr>
            <w:tcW w:w="8580" w:type="dxa"/>
            <w:vAlign w:val="bottom"/>
          </w:tcPr>
          <w:p>
            <w:pPr>
              <w:ind w:left="34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Condensed Consolidated Statements of Operations and Comprehensive Income (Loss) (Unaudited)</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c>
          <w:tcPr>
            <w:tcW w:w="0" w:type="dxa"/>
            <w:vAlign w:val="bottom"/>
          </w:tcPr>
          <w:p>
            <w:pPr>
              <w:spacing w:after="0"/>
              <w:rPr>
                <w:sz w:val="1"/>
                <w:szCs w:val="1"/>
                <w:color w:val="auto"/>
              </w:rPr>
            </w:pPr>
          </w:p>
        </w:tc>
      </w:tr>
      <w:tr>
        <w:trPr>
          <w:trHeight w:val="283"/>
        </w:trPr>
        <w:tc>
          <w:tcPr>
            <w:tcW w:w="1440" w:type="dxa"/>
            <w:vAlign w:val="bottom"/>
          </w:tcPr>
          <w:p>
            <w:pPr>
              <w:spacing w:after="0"/>
              <w:rPr>
                <w:sz w:val="24"/>
                <w:szCs w:val="24"/>
                <w:color w:val="auto"/>
              </w:rPr>
            </w:pPr>
          </w:p>
        </w:tc>
        <w:tc>
          <w:tcPr>
            <w:tcW w:w="8580" w:type="dxa"/>
            <w:vAlign w:val="bottom"/>
          </w:tcPr>
          <w:p>
            <w:pPr>
              <w:ind w:left="34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Condensed Consolidated Balance Sheets (Unaudited)</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4</w:t>
              </w:r>
            </w:hyperlink>
          </w:p>
        </w:tc>
        <w:tc>
          <w:tcPr>
            <w:tcW w:w="0" w:type="dxa"/>
            <w:vAlign w:val="bottom"/>
          </w:tcPr>
          <w:p>
            <w:pPr>
              <w:spacing w:after="0"/>
              <w:rPr>
                <w:sz w:val="1"/>
                <w:szCs w:val="1"/>
                <w:color w:val="auto"/>
              </w:rPr>
            </w:pPr>
          </w:p>
        </w:tc>
      </w:tr>
      <w:tr>
        <w:trPr>
          <w:trHeight w:val="283"/>
        </w:trPr>
        <w:tc>
          <w:tcPr>
            <w:tcW w:w="1440" w:type="dxa"/>
            <w:vAlign w:val="bottom"/>
          </w:tcPr>
          <w:p>
            <w:pPr>
              <w:spacing w:after="0"/>
              <w:rPr>
                <w:sz w:val="24"/>
                <w:szCs w:val="24"/>
                <w:color w:val="auto"/>
              </w:rPr>
            </w:pPr>
          </w:p>
        </w:tc>
        <w:tc>
          <w:tcPr>
            <w:tcW w:w="8580" w:type="dxa"/>
            <w:vAlign w:val="bottom"/>
          </w:tcPr>
          <w:p>
            <w:pPr>
              <w:ind w:left="34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Condensed Consolidated Statement of Changes in Stockholders’ Equity (Unaudited)</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5</w:t>
              </w:r>
            </w:hyperlink>
          </w:p>
        </w:tc>
        <w:tc>
          <w:tcPr>
            <w:tcW w:w="0" w:type="dxa"/>
            <w:vAlign w:val="bottom"/>
          </w:tcPr>
          <w:p>
            <w:pPr>
              <w:spacing w:after="0"/>
              <w:rPr>
                <w:sz w:val="1"/>
                <w:szCs w:val="1"/>
                <w:color w:val="auto"/>
              </w:rPr>
            </w:pPr>
          </w:p>
        </w:tc>
      </w:tr>
      <w:tr>
        <w:trPr>
          <w:trHeight w:val="284"/>
        </w:trPr>
        <w:tc>
          <w:tcPr>
            <w:tcW w:w="1440" w:type="dxa"/>
            <w:vAlign w:val="bottom"/>
          </w:tcPr>
          <w:p>
            <w:pPr>
              <w:spacing w:after="0"/>
              <w:rPr>
                <w:sz w:val="24"/>
                <w:szCs w:val="24"/>
                <w:color w:val="auto"/>
              </w:rPr>
            </w:pPr>
          </w:p>
        </w:tc>
        <w:tc>
          <w:tcPr>
            <w:tcW w:w="8580" w:type="dxa"/>
            <w:vAlign w:val="bottom"/>
          </w:tcPr>
          <w:p>
            <w:pPr>
              <w:ind w:left="34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Condensed Consolidated Statements of Cash Flows (Unaudited)</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7</w:t>
              </w:r>
            </w:hyperlink>
          </w:p>
        </w:tc>
        <w:tc>
          <w:tcPr>
            <w:tcW w:w="0" w:type="dxa"/>
            <w:vAlign w:val="bottom"/>
          </w:tcPr>
          <w:p>
            <w:pPr>
              <w:spacing w:after="0"/>
              <w:rPr>
                <w:sz w:val="1"/>
                <w:szCs w:val="1"/>
                <w:color w:val="auto"/>
              </w:rPr>
            </w:pPr>
          </w:p>
        </w:tc>
      </w:tr>
      <w:tr>
        <w:trPr>
          <w:trHeight w:val="283"/>
        </w:trPr>
        <w:tc>
          <w:tcPr>
            <w:tcW w:w="1440" w:type="dxa"/>
            <w:vAlign w:val="bottom"/>
          </w:tcPr>
          <w:p>
            <w:pPr>
              <w:spacing w:after="0"/>
              <w:rPr>
                <w:sz w:val="24"/>
                <w:szCs w:val="24"/>
                <w:color w:val="auto"/>
              </w:rPr>
            </w:pPr>
          </w:p>
        </w:tc>
        <w:tc>
          <w:tcPr>
            <w:tcW w:w="8580" w:type="dxa"/>
            <w:vAlign w:val="bottom"/>
          </w:tcPr>
          <w:p>
            <w:pPr>
              <w:ind w:left="34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Notes to Condensed Consolidated Financial Statements (Unaudited)</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8</w:t>
              </w:r>
            </w:hyperlink>
          </w:p>
        </w:tc>
        <w:tc>
          <w:tcPr>
            <w:tcW w:w="0" w:type="dxa"/>
            <w:vAlign w:val="bottom"/>
          </w:tcPr>
          <w:p>
            <w:pPr>
              <w:spacing w:after="0"/>
              <w:rPr>
                <w:sz w:val="1"/>
                <w:szCs w:val="1"/>
                <w:color w:val="auto"/>
              </w:rPr>
            </w:pPr>
          </w:p>
        </w:tc>
      </w:tr>
      <w:tr>
        <w:trPr>
          <w:trHeight w:val="283"/>
        </w:trPr>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8580" w:type="dxa"/>
            <w:vAlign w:val="bottom"/>
          </w:tcPr>
          <w:p>
            <w:pPr>
              <w:ind w:left="14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32</w:t>
              </w:r>
            </w:hyperlink>
          </w:p>
        </w:tc>
        <w:tc>
          <w:tcPr>
            <w:tcW w:w="0" w:type="dxa"/>
            <w:vAlign w:val="bottom"/>
          </w:tcPr>
          <w:p>
            <w:pPr>
              <w:spacing w:after="0"/>
              <w:rPr>
                <w:sz w:val="1"/>
                <w:szCs w:val="1"/>
                <w:color w:val="auto"/>
              </w:rPr>
            </w:pPr>
          </w:p>
        </w:tc>
      </w:tr>
      <w:tr>
        <w:trPr>
          <w:trHeight w:val="283"/>
        </w:trPr>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8580" w:type="dxa"/>
            <w:vAlign w:val="bottom"/>
          </w:tcPr>
          <w:p>
            <w:pPr>
              <w:ind w:left="140"/>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Quantitative and Qualitative Disclosures About Market Risk</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42</w:t>
              </w:r>
            </w:hyperlink>
          </w:p>
        </w:tc>
        <w:tc>
          <w:tcPr>
            <w:tcW w:w="0" w:type="dxa"/>
            <w:vAlign w:val="bottom"/>
          </w:tcPr>
          <w:p>
            <w:pPr>
              <w:spacing w:after="0"/>
              <w:rPr>
                <w:sz w:val="1"/>
                <w:szCs w:val="1"/>
                <w:color w:val="auto"/>
              </w:rPr>
            </w:pPr>
          </w:p>
        </w:tc>
      </w:tr>
      <w:tr>
        <w:trPr>
          <w:trHeight w:val="283"/>
        </w:trPr>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8580" w:type="dxa"/>
            <w:vAlign w:val="bottom"/>
          </w:tcPr>
          <w:p>
            <w:pPr>
              <w:ind w:left="140"/>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Controls and Procedures</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43</w:t>
              </w:r>
            </w:hyperlink>
          </w:p>
        </w:tc>
        <w:tc>
          <w:tcPr>
            <w:tcW w:w="0" w:type="dxa"/>
            <w:vAlign w:val="bottom"/>
          </w:tcPr>
          <w:p>
            <w:pPr>
              <w:spacing w:after="0"/>
              <w:rPr>
                <w:sz w:val="1"/>
                <w:szCs w:val="1"/>
                <w:color w:val="auto"/>
              </w:rPr>
            </w:pPr>
          </w:p>
        </w:tc>
      </w:tr>
      <w:tr>
        <w:trPr>
          <w:trHeight w:val="284"/>
        </w:trPr>
        <w:tc>
          <w:tcPr>
            <w:tcW w:w="1002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PART II. OTHER INFORMATION</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45</w:t>
              </w:r>
            </w:hyperlink>
          </w:p>
        </w:tc>
        <w:tc>
          <w:tcPr>
            <w:tcW w:w="0" w:type="dxa"/>
            <w:vAlign w:val="bottom"/>
          </w:tcPr>
          <w:p>
            <w:pPr>
              <w:spacing w:after="0"/>
              <w:rPr>
                <w:sz w:val="1"/>
                <w:szCs w:val="1"/>
                <w:color w:val="auto"/>
              </w:rPr>
            </w:pPr>
          </w:p>
        </w:tc>
      </w:tr>
      <w:tr>
        <w:trPr>
          <w:trHeight w:val="283"/>
        </w:trPr>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8580" w:type="dxa"/>
            <w:vAlign w:val="bottom"/>
          </w:tcPr>
          <w:p>
            <w:pPr>
              <w:ind w:left="140"/>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Legal Proceedings</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45">
              <w:r>
                <w:rPr>
                  <w:rFonts w:ascii="Times New Roman" w:cs="Times New Roman" w:eastAsia="Times New Roman" w:hAnsi="Times New Roman"/>
                  <w:sz w:val="18"/>
                  <w:szCs w:val="18"/>
                  <w:color w:val="auto"/>
                </w:rPr>
                <w:t>45</w:t>
              </w:r>
            </w:hyperlink>
          </w:p>
        </w:tc>
        <w:tc>
          <w:tcPr>
            <w:tcW w:w="0" w:type="dxa"/>
            <w:vAlign w:val="bottom"/>
          </w:tcPr>
          <w:p>
            <w:pPr>
              <w:spacing w:after="0"/>
              <w:rPr>
                <w:sz w:val="1"/>
                <w:szCs w:val="1"/>
                <w:color w:val="auto"/>
              </w:rPr>
            </w:pPr>
          </w:p>
        </w:tc>
      </w:tr>
      <w:tr>
        <w:trPr>
          <w:trHeight w:val="279"/>
        </w:trPr>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8580" w:type="dxa"/>
            <w:vAlign w:val="bottom"/>
          </w:tcPr>
          <w:p>
            <w:pPr>
              <w:ind w:left="14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Risk Factors</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46</w:t>
              </w:r>
            </w:hyperlink>
          </w:p>
        </w:tc>
        <w:tc>
          <w:tcPr>
            <w:tcW w:w="0" w:type="dxa"/>
            <w:vAlign w:val="bottom"/>
          </w:tcPr>
          <w:p>
            <w:pPr>
              <w:spacing w:after="0"/>
              <w:rPr>
                <w:sz w:val="1"/>
                <w:szCs w:val="1"/>
                <w:color w:val="auto"/>
              </w:rPr>
            </w:pPr>
          </w:p>
        </w:tc>
      </w:tr>
      <w:tr>
        <w:trPr>
          <w:trHeight w:val="229"/>
        </w:trPr>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8580" w:type="dxa"/>
            <w:vAlign w:val="bottom"/>
          </w:tcPr>
          <w:p>
            <w:pPr>
              <w:ind w:left="14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Unregistered Sales of Equity Securities and Use of Proceeds</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46</w:t>
              </w:r>
            </w:hyperlink>
          </w:p>
        </w:tc>
        <w:tc>
          <w:tcPr>
            <w:tcW w:w="0" w:type="dxa"/>
            <w:vAlign w:val="bottom"/>
          </w:tcPr>
          <w:p>
            <w:pPr>
              <w:spacing w:after="0"/>
              <w:rPr>
                <w:sz w:val="1"/>
                <w:szCs w:val="1"/>
                <w:color w:val="auto"/>
              </w:rPr>
            </w:pPr>
          </w:p>
        </w:tc>
      </w:tr>
      <w:tr>
        <w:trPr>
          <w:trHeight w:val="230"/>
        </w:trPr>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8580" w:type="dxa"/>
            <w:vAlign w:val="bottom"/>
          </w:tcPr>
          <w:p>
            <w:pPr>
              <w:ind w:left="14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Defaults upon Senior Securities</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46</w:t>
              </w:r>
            </w:hyperlink>
          </w:p>
        </w:tc>
        <w:tc>
          <w:tcPr>
            <w:tcW w:w="0" w:type="dxa"/>
            <w:vAlign w:val="bottom"/>
          </w:tcPr>
          <w:p>
            <w:pPr>
              <w:spacing w:after="0"/>
              <w:rPr>
                <w:sz w:val="1"/>
                <w:szCs w:val="1"/>
                <w:color w:val="auto"/>
              </w:rPr>
            </w:pPr>
          </w:p>
        </w:tc>
      </w:tr>
      <w:tr>
        <w:trPr>
          <w:trHeight w:val="229"/>
        </w:trPr>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8580" w:type="dxa"/>
            <w:vAlign w:val="bottom"/>
          </w:tcPr>
          <w:p>
            <w:pPr>
              <w:ind w:left="14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Mine Safety Disclosures</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46</w:t>
              </w:r>
            </w:hyperlink>
          </w:p>
        </w:tc>
        <w:tc>
          <w:tcPr>
            <w:tcW w:w="0" w:type="dxa"/>
            <w:vAlign w:val="bottom"/>
          </w:tcPr>
          <w:p>
            <w:pPr>
              <w:spacing w:after="0"/>
              <w:rPr>
                <w:sz w:val="1"/>
                <w:szCs w:val="1"/>
                <w:color w:val="auto"/>
              </w:rPr>
            </w:pPr>
          </w:p>
        </w:tc>
      </w:tr>
      <w:tr>
        <w:trPr>
          <w:trHeight w:val="229"/>
        </w:trPr>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5.</w:t>
            </w:r>
          </w:p>
        </w:tc>
        <w:tc>
          <w:tcPr>
            <w:tcW w:w="8580" w:type="dxa"/>
            <w:vAlign w:val="bottom"/>
          </w:tcPr>
          <w:p>
            <w:pPr>
              <w:ind w:left="14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Other Information</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46</w:t>
              </w:r>
            </w:hyperlink>
          </w:p>
        </w:tc>
        <w:tc>
          <w:tcPr>
            <w:tcW w:w="0" w:type="dxa"/>
            <w:vAlign w:val="bottom"/>
          </w:tcPr>
          <w:p>
            <w:pPr>
              <w:spacing w:after="0"/>
              <w:rPr>
                <w:sz w:val="1"/>
                <w:szCs w:val="1"/>
                <w:color w:val="auto"/>
              </w:rPr>
            </w:pPr>
          </w:p>
        </w:tc>
      </w:tr>
      <w:tr>
        <w:trPr>
          <w:trHeight w:val="230"/>
        </w:trPr>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8580" w:type="dxa"/>
            <w:vAlign w:val="bottom"/>
          </w:tcPr>
          <w:p>
            <w:pPr>
              <w:ind w:left="14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Exhibits</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47</w:t>
              </w:r>
            </w:hyperlink>
          </w:p>
        </w:tc>
        <w:tc>
          <w:tcPr>
            <w:tcW w:w="0" w:type="dxa"/>
            <w:vAlign w:val="bottom"/>
          </w:tcPr>
          <w:p>
            <w:pPr>
              <w:spacing w:after="0"/>
              <w:rPr>
                <w:sz w:val="1"/>
                <w:szCs w:val="1"/>
                <w:color w:val="auto"/>
              </w:rPr>
            </w:pPr>
          </w:p>
        </w:tc>
      </w:tr>
      <w:tr>
        <w:trPr>
          <w:trHeight w:val="234"/>
        </w:trPr>
        <w:tc>
          <w:tcPr>
            <w:tcW w:w="1440" w:type="dxa"/>
            <w:vAlign w:val="bottom"/>
          </w:tcPr>
          <w:p>
            <w:pPr>
              <w:ind w:left="20"/>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SIGNATURES</w:t>
              </w:r>
            </w:hyperlink>
          </w:p>
        </w:tc>
        <w:tc>
          <w:tcPr>
            <w:tcW w:w="8580" w:type="dxa"/>
            <w:vAlign w:val="bottom"/>
          </w:tcPr>
          <w:p>
            <w:pPr>
              <w:spacing w:after="0"/>
              <w:rPr>
                <w:sz w:val="20"/>
                <w:szCs w:val="20"/>
                <w:color w:val="auto"/>
              </w:rPr>
            </w:pPr>
          </w:p>
        </w:tc>
        <w:tc>
          <w:tcPr>
            <w:tcW w:w="1200" w:type="dxa"/>
            <w:vAlign w:val="bottom"/>
          </w:tcPr>
          <w:p>
            <w:pPr>
              <w:jc w:val="right"/>
              <w:spacing w:after="0"/>
              <w:rPr>
                <w:rFonts w:ascii="Times New Roman" w:cs="Times New Roman" w:eastAsia="Times New Roman" w:hAnsi="Times New Roman"/>
                <w:sz w:val="18"/>
                <w:szCs w:val="18"/>
                <w:color w:val="auto"/>
              </w:rPr>
            </w:pPr>
            <w:hyperlink w:anchor="page47">
              <w:r>
                <w:rPr>
                  <w:rFonts w:ascii="Times New Roman" w:cs="Times New Roman" w:eastAsia="Times New Roman" w:hAnsi="Times New Roman"/>
                  <w:sz w:val="18"/>
                  <w:szCs w:val="18"/>
                  <w:color w:val="auto"/>
                </w:rPr>
                <w:t>48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94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6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94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sales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113,761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120,459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308,506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378,838</w:t>
            </w:r>
          </w:p>
        </w:tc>
        <w:tc>
          <w:tcPr>
            <w:tcW w:w="0" w:type="dxa"/>
            <w:vAlign w:val="bottom"/>
          </w:tcPr>
          <w:p>
            <w:pPr>
              <w:spacing w:after="0"/>
              <w:rPr>
                <w:sz w:val="1"/>
                <w:szCs w:val="1"/>
                <w:color w:val="auto"/>
              </w:rPr>
            </w:pPr>
          </w:p>
        </w:tc>
      </w:tr>
      <w:tr>
        <w:trPr>
          <w:trHeight w:val="189"/>
        </w:trPr>
        <w:tc>
          <w:tcPr>
            <w:tcW w:w="6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Cost of sales (exclusive of depreciation and amortization shown separately below)</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96,654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300,666</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15,493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52,994</w:t>
            </w:r>
          </w:p>
        </w:tc>
        <w:tc>
          <w:tcPr>
            <w:tcW w:w="0" w:type="dxa"/>
            <w:vAlign w:val="bottom"/>
          </w:tcPr>
          <w:p>
            <w:pPr>
              <w:spacing w:after="0"/>
              <w:rPr>
                <w:sz w:val="1"/>
                <w:szCs w:val="1"/>
                <w:color w:val="auto"/>
              </w:rPr>
            </w:pPr>
          </w:p>
        </w:tc>
      </w:tr>
      <w:tr>
        <w:trPr>
          <w:trHeight w:val="189"/>
        </w:trPr>
        <w:tc>
          <w:tcPr>
            <w:tcW w:w="6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11,284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33,552</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Restructuring and integration expense, net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9"/>
        </w:trPr>
        <w:tc>
          <w:tcPr>
            <w:tcW w:w="6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Goodwill impairment</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92,942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operating expense (income), net</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4,138</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182"/>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(116,483)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(7,457)</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3,805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8,829</w:t>
            </w:r>
          </w:p>
        </w:tc>
        <w:tc>
          <w:tcPr>
            <w:tcW w:w="0" w:type="dxa"/>
            <w:vAlign w:val="bottom"/>
          </w:tcPr>
          <w:p>
            <w:pPr>
              <w:spacing w:after="0"/>
              <w:rPr>
                <w:sz w:val="1"/>
                <w:szCs w:val="1"/>
                <w:color w:val="auto"/>
              </w:rPr>
            </w:pPr>
          </w:p>
        </w:tc>
      </w:tr>
      <w:tr>
        <w:trPr>
          <w:trHeight w:val="189"/>
        </w:trPr>
        <w:tc>
          <w:tcPr>
            <w:tcW w:w="6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Loss on extinguishment of debt and write-off of debt issuance costs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expense (income), net</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0" w:type="dxa"/>
            <w:vAlign w:val="bottom"/>
          </w:tcPr>
          <w:p>
            <w:pPr>
              <w:spacing w:after="0"/>
              <w:rPr>
                <w:sz w:val="1"/>
                <w:szCs w:val="1"/>
                <w:color w:val="auto"/>
              </w:rPr>
            </w:pPr>
          </w:p>
        </w:tc>
      </w:tr>
      <w:tr>
        <w:trPr>
          <w:trHeight w:val="115"/>
        </w:trPr>
        <w:tc>
          <w:tcPr>
            <w:tcW w:w="682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Loss from continuing operations before benefit (provision) for income taxes and share of net income from joint</w:t>
            </w: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(8,211)</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(6,249)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(133,730)</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(17,457)</w:t>
            </w:r>
          </w:p>
        </w:tc>
        <w:tc>
          <w:tcPr>
            <w:tcW w:w="0" w:type="dxa"/>
            <w:vAlign w:val="bottom"/>
          </w:tcPr>
          <w:p>
            <w:pPr>
              <w:spacing w:after="0"/>
              <w:rPr>
                <w:sz w:val="1"/>
                <w:szCs w:val="1"/>
                <w:color w:val="auto"/>
              </w:rPr>
            </w:pPr>
          </w:p>
        </w:tc>
      </w:tr>
      <w:tr>
        <w:trPr>
          <w:trHeight w:val="189"/>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venture</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Benefit (provision) for income taxes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Share of net income from joint venture</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18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from continuing operations</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(124,003)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(20,806)</w:t>
            </w: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(loss) from discontinued operations, net of tax (Note 2)</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20,330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(123,966)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(11,850)</w:t>
            </w:r>
          </w:p>
        </w:tc>
        <w:tc>
          <w:tcPr>
            <w:tcW w:w="0" w:type="dxa"/>
            <w:vAlign w:val="bottom"/>
          </w:tcPr>
          <w:p>
            <w:pPr>
              <w:spacing w:after="0"/>
              <w:rPr>
                <w:sz w:val="1"/>
                <w:szCs w:val="1"/>
                <w:color w:val="auto"/>
              </w:rPr>
            </w:pPr>
          </w:p>
        </w:tc>
      </w:tr>
      <w:tr>
        <w:trPr>
          <w:trHeight w:val="18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(247,969)</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(32,656)</w:t>
            </w:r>
          </w:p>
        </w:tc>
        <w:tc>
          <w:tcPr>
            <w:tcW w:w="0" w:type="dxa"/>
            <w:vAlign w:val="bottom"/>
          </w:tcPr>
          <w:p>
            <w:pPr>
              <w:spacing w:after="0"/>
              <w:rPr>
                <w:sz w:val="1"/>
                <w:szCs w:val="1"/>
                <w:color w:val="auto"/>
              </w:rPr>
            </w:pPr>
          </w:p>
        </w:tc>
      </w:tr>
      <w:tr>
        <w:trPr>
          <w:trHeight w:val="169"/>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gain (loss)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(11,354)</w:t>
            </w:r>
          </w:p>
        </w:tc>
        <w:tc>
          <w:tcPr>
            <w:tcW w:w="0" w:type="dxa"/>
            <w:vAlign w:val="bottom"/>
          </w:tcPr>
          <w:p>
            <w:pPr>
              <w:spacing w:after="0"/>
              <w:rPr>
                <w:sz w:val="1"/>
                <w:szCs w:val="1"/>
                <w:color w:val="auto"/>
              </w:rPr>
            </w:pPr>
          </w:p>
        </w:tc>
      </w:tr>
      <w:tr>
        <w:trPr>
          <w:trHeight w:val="189"/>
        </w:trPr>
        <w:tc>
          <w:tcPr>
            <w:tcW w:w="6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rate swap:</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Change in fair value, net of tax</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(11,999)</w:t>
            </w: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Reclassification adjustment for losses included in net income (loss), net of tax</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8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(12,241)</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(23,115)</w:t>
            </w:r>
          </w:p>
        </w:tc>
        <w:tc>
          <w:tcPr>
            <w:tcW w:w="0" w:type="dxa"/>
            <w:vAlign w:val="bottom"/>
          </w:tcPr>
          <w:p>
            <w:pPr>
              <w:spacing w:after="0"/>
              <w:rPr>
                <w:sz w:val="1"/>
                <w:szCs w:val="1"/>
                <w:color w:val="auto"/>
              </w:rPr>
            </w:pPr>
          </w:p>
        </w:tc>
      </w:tr>
      <w:tr>
        <w:trPr>
          <w:trHeight w:val="182"/>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31,851</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(17,976)</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(260,210)</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(55,771)</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2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Basic net income (loss) per common share:</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(loss) from continuing operations per common share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(loss) from discontinued operations per common share</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0" w:type="dxa"/>
            <w:vAlign w:val="bottom"/>
          </w:tcPr>
          <w:p>
            <w:pPr>
              <w:spacing w:after="0"/>
              <w:rPr>
                <w:sz w:val="1"/>
                <w:szCs w:val="1"/>
                <w:color w:val="auto"/>
              </w:rPr>
            </w:pPr>
          </w:p>
        </w:tc>
      </w:tr>
      <w:tr>
        <w:trPr>
          <w:trHeight w:val="182"/>
        </w:trPr>
        <w:tc>
          <w:tcPr>
            <w:tcW w:w="6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 (loss) per common share</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42,038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42,170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42,013</w:t>
            </w:r>
          </w:p>
        </w:tc>
        <w:tc>
          <w:tcPr>
            <w:tcW w:w="0" w:type="dxa"/>
            <w:vAlign w:val="bottom"/>
          </w:tcPr>
          <w:p>
            <w:pPr>
              <w:spacing w:after="0"/>
              <w:rPr>
                <w:sz w:val="1"/>
                <w:szCs w:val="1"/>
                <w:color w:val="auto"/>
              </w:rPr>
            </w:pPr>
          </w:p>
        </w:tc>
      </w:tr>
      <w:tr>
        <w:trPr>
          <w:trHeight w:val="189"/>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Diluted net income (loss) per common share:</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(loss) from continuing operations per common share</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Income (loss) from discontinued operations per common share</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0" w:type="dxa"/>
            <w:vAlign w:val="bottom"/>
          </w:tcPr>
          <w:p>
            <w:pPr>
              <w:spacing w:after="0"/>
              <w:rPr>
                <w:sz w:val="1"/>
                <w:szCs w:val="1"/>
                <w:color w:val="auto"/>
              </w:rPr>
            </w:pPr>
          </w:p>
        </w:tc>
      </w:tr>
      <w:tr>
        <w:trPr>
          <w:trHeight w:val="208"/>
        </w:trPr>
        <w:tc>
          <w:tcPr>
            <w:tcW w:w="6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 (loss) per common share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42,202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42,038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42,170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42,013</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4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89"/>
        </w:trPr>
        <w:tc>
          <w:tcPr>
            <w:tcW w:w="86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56,131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17,911</w:t>
            </w:r>
          </w:p>
        </w:tc>
        <w:tc>
          <w:tcPr>
            <w:tcW w:w="0" w:type="dxa"/>
            <w:vAlign w:val="bottom"/>
          </w:tcPr>
          <w:p>
            <w:pPr>
              <w:spacing w:after="0"/>
              <w:rPr>
                <w:sz w:val="1"/>
                <w:szCs w:val="1"/>
                <w:color w:val="auto"/>
              </w:rPr>
            </w:pPr>
          </w:p>
        </w:tc>
      </w:tr>
      <w:tr>
        <w:trPr>
          <w:trHeight w:val="189"/>
        </w:trPr>
        <w:tc>
          <w:tcPr>
            <w:tcW w:w="8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87,411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83,240</w:t>
            </w:r>
          </w:p>
        </w:tc>
        <w:tc>
          <w:tcPr>
            <w:tcW w:w="0" w:type="dxa"/>
            <w:vAlign w:val="bottom"/>
          </w:tcPr>
          <w:p>
            <w:pPr>
              <w:spacing w:after="0"/>
              <w:rPr>
                <w:sz w:val="1"/>
                <w:szCs w:val="1"/>
                <w:color w:val="auto"/>
              </w:rPr>
            </w:pPr>
          </w:p>
        </w:tc>
      </w:tr>
      <w:tr>
        <w:trPr>
          <w:trHeight w:val="18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63,718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67,078</w:t>
            </w:r>
          </w:p>
        </w:tc>
        <w:tc>
          <w:tcPr>
            <w:tcW w:w="0" w:type="dxa"/>
            <w:vAlign w:val="bottom"/>
          </w:tcPr>
          <w:p>
            <w:pPr>
              <w:spacing w:after="0"/>
              <w:rPr>
                <w:sz w:val="1"/>
                <w:szCs w:val="1"/>
                <w:color w:val="auto"/>
              </w:rPr>
            </w:pPr>
          </w:p>
        </w:tc>
      </w:tr>
      <w:tr>
        <w:trPr>
          <w:trHeight w:val="189"/>
        </w:trPr>
        <w:tc>
          <w:tcPr>
            <w:tcW w:w="8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Income tax receivable</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5,973</w:t>
            </w:r>
          </w:p>
        </w:tc>
        <w:tc>
          <w:tcPr>
            <w:tcW w:w="0" w:type="dxa"/>
            <w:vAlign w:val="bottom"/>
          </w:tcPr>
          <w:p>
            <w:pPr>
              <w:spacing w:after="0"/>
              <w:rPr>
                <w:sz w:val="1"/>
                <w:szCs w:val="1"/>
                <w:color w:val="auto"/>
              </w:rPr>
            </w:pPr>
          </w:p>
        </w:tc>
      </w:tr>
      <w:tr>
        <w:trPr>
          <w:trHeight w:val="18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Current assets held for sale</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630,900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117,000</w:t>
            </w:r>
          </w:p>
        </w:tc>
        <w:tc>
          <w:tcPr>
            <w:tcW w:w="0" w:type="dxa"/>
            <w:vAlign w:val="bottom"/>
          </w:tcPr>
          <w:p>
            <w:pPr>
              <w:spacing w:after="0"/>
              <w:rPr>
                <w:sz w:val="1"/>
                <w:szCs w:val="1"/>
                <w:color w:val="auto"/>
              </w:rPr>
            </w:pPr>
          </w:p>
        </w:tc>
      </w:tr>
      <w:tr>
        <w:trPr>
          <w:trHeight w:val="189"/>
        </w:trPr>
        <w:tc>
          <w:tcPr>
            <w:tcW w:w="8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Other current assets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11,753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11,778</w:t>
            </w:r>
          </w:p>
        </w:tc>
        <w:tc>
          <w:tcPr>
            <w:tcW w:w="0" w:type="dxa"/>
            <w:vAlign w:val="bottom"/>
          </w:tcPr>
          <w:p>
            <w:pPr>
              <w:spacing w:after="0"/>
              <w:rPr>
                <w:sz w:val="1"/>
                <w:szCs w:val="1"/>
                <w:color w:val="auto"/>
              </w:rPr>
            </w:pPr>
          </w:p>
        </w:tc>
      </w:tr>
      <w:tr>
        <w:trPr>
          <w:trHeight w:val="183"/>
        </w:trPr>
        <w:tc>
          <w:tcPr>
            <w:tcW w:w="8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863,553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302,980</w:t>
            </w:r>
          </w:p>
        </w:tc>
        <w:tc>
          <w:tcPr>
            <w:tcW w:w="0" w:type="dxa"/>
            <w:vAlign w:val="bottom"/>
          </w:tcPr>
          <w:p>
            <w:pPr>
              <w:spacing w:after="0"/>
              <w:rPr>
                <w:sz w:val="1"/>
                <w:szCs w:val="1"/>
                <w:color w:val="auto"/>
              </w:rPr>
            </w:pPr>
          </w:p>
        </w:tc>
      </w:tr>
      <w:tr>
        <w:trPr>
          <w:trHeight w:val="189"/>
        </w:trPr>
        <w:tc>
          <w:tcPr>
            <w:tcW w:w="8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225,514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255,977</w:t>
            </w:r>
          </w:p>
        </w:tc>
        <w:tc>
          <w:tcPr>
            <w:tcW w:w="0" w:type="dxa"/>
            <w:vAlign w:val="bottom"/>
          </w:tcPr>
          <w:p>
            <w:pPr>
              <w:spacing w:after="0"/>
              <w:rPr>
                <w:sz w:val="1"/>
                <w:szCs w:val="1"/>
                <w:color w:val="auto"/>
              </w:rPr>
            </w:pPr>
          </w:p>
        </w:tc>
      </w:tr>
      <w:tr>
        <w:trPr>
          <w:trHeight w:val="189"/>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51,601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45,452</w:t>
            </w:r>
          </w:p>
        </w:tc>
        <w:tc>
          <w:tcPr>
            <w:tcW w:w="0" w:type="dxa"/>
            <w:vAlign w:val="bottom"/>
          </w:tcPr>
          <w:p>
            <w:pPr>
              <w:spacing w:after="0"/>
              <w:rPr>
                <w:sz w:val="1"/>
                <w:szCs w:val="1"/>
                <w:color w:val="auto"/>
              </w:rPr>
            </w:pPr>
          </w:p>
        </w:tc>
      </w:tr>
      <w:tr>
        <w:trPr>
          <w:trHeight w:val="189"/>
        </w:trPr>
        <w:tc>
          <w:tcPr>
            <w:tcW w:w="8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94,779</w:t>
            </w:r>
          </w:p>
        </w:tc>
        <w:tc>
          <w:tcPr>
            <w:tcW w:w="0" w:type="dxa"/>
            <w:vAlign w:val="bottom"/>
          </w:tcPr>
          <w:p>
            <w:pPr>
              <w:spacing w:after="0"/>
              <w:rPr>
                <w:sz w:val="1"/>
                <w:szCs w:val="1"/>
                <w:color w:val="auto"/>
              </w:rPr>
            </w:pPr>
          </w:p>
        </w:tc>
      </w:tr>
      <w:tr>
        <w:trPr>
          <w:trHeight w:val="189"/>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Intangible assets, net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106,652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117,413</w:t>
            </w:r>
          </w:p>
        </w:tc>
        <w:tc>
          <w:tcPr>
            <w:tcW w:w="0" w:type="dxa"/>
            <w:vAlign w:val="bottom"/>
          </w:tcPr>
          <w:p>
            <w:pPr>
              <w:spacing w:after="0"/>
              <w:rPr>
                <w:sz w:val="1"/>
                <w:szCs w:val="1"/>
                <w:color w:val="auto"/>
              </w:rPr>
            </w:pPr>
          </w:p>
        </w:tc>
      </w:tr>
      <w:tr>
        <w:trPr>
          <w:trHeight w:val="189"/>
        </w:trPr>
        <w:tc>
          <w:tcPr>
            <w:tcW w:w="8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 in joint venture</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21,755</w:t>
            </w:r>
          </w:p>
        </w:tc>
        <w:tc>
          <w:tcPr>
            <w:tcW w:w="0" w:type="dxa"/>
            <w:vAlign w:val="bottom"/>
          </w:tcPr>
          <w:p>
            <w:pPr>
              <w:spacing w:after="0"/>
              <w:rPr>
                <w:sz w:val="1"/>
                <w:szCs w:val="1"/>
                <w:color w:val="auto"/>
              </w:rPr>
            </w:pPr>
          </w:p>
        </w:tc>
      </w:tr>
      <w:tr>
        <w:trPr>
          <w:trHeight w:val="189"/>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tax assets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38,026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Non-current assets held for sale</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695,054</w:t>
            </w:r>
          </w:p>
        </w:tc>
        <w:tc>
          <w:tcPr>
            <w:tcW w:w="0" w:type="dxa"/>
            <w:vAlign w:val="bottom"/>
          </w:tcPr>
          <w:p>
            <w:pPr>
              <w:spacing w:after="0"/>
              <w:rPr>
                <w:sz w:val="1"/>
                <w:szCs w:val="1"/>
                <w:color w:val="auto"/>
              </w:rPr>
            </w:pPr>
          </w:p>
        </w:tc>
      </w:tr>
      <w:tr>
        <w:trPr>
          <w:trHeight w:val="189"/>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6,716</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8,574</w:t>
            </w:r>
          </w:p>
        </w:tc>
        <w:tc>
          <w:tcPr>
            <w:tcW w:w="0" w:type="dxa"/>
            <w:vAlign w:val="bottom"/>
          </w:tcPr>
          <w:p>
            <w:pPr>
              <w:spacing w:after="0"/>
              <w:rPr>
                <w:sz w:val="1"/>
                <w:szCs w:val="1"/>
                <w:color w:val="auto"/>
              </w:rPr>
            </w:pPr>
          </w:p>
        </w:tc>
      </w:tr>
      <w:tr>
        <w:trPr>
          <w:trHeight w:val="182"/>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1,316,209</w:t>
            </w:r>
          </w:p>
        </w:tc>
        <w:tc>
          <w:tcPr>
            <w:tcW w:w="120" w:type="dxa"/>
            <w:vAlign w:val="bottom"/>
          </w:tcPr>
          <w:p>
            <w:pPr>
              <w:spacing w:after="0"/>
              <w:rPr>
                <w:sz w:val="15"/>
                <w:szCs w:val="15"/>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1,541,984</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4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Liabilities, Preferred Stock, and Stockholders’ Equity</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42,890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40,973</w:t>
            </w:r>
          </w:p>
        </w:tc>
        <w:tc>
          <w:tcPr>
            <w:tcW w:w="0" w:type="dxa"/>
            <w:vAlign w:val="bottom"/>
          </w:tcPr>
          <w:p>
            <w:pPr>
              <w:spacing w:after="0"/>
              <w:rPr>
                <w:sz w:val="1"/>
                <w:szCs w:val="1"/>
                <w:color w:val="auto"/>
              </w:rPr>
            </w:pPr>
          </w:p>
        </w:tc>
      </w:tr>
      <w:tr>
        <w:trPr>
          <w:trHeight w:val="189"/>
        </w:trPr>
        <w:tc>
          <w:tcPr>
            <w:tcW w:w="8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Accrued salaries, wages and benefits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15,584</w:t>
            </w:r>
          </w:p>
        </w:tc>
        <w:tc>
          <w:tcPr>
            <w:tcW w:w="0" w:type="dxa"/>
            <w:vAlign w:val="bottom"/>
          </w:tcPr>
          <w:p>
            <w:pPr>
              <w:spacing w:after="0"/>
              <w:rPr>
                <w:sz w:val="1"/>
                <w:szCs w:val="1"/>
                <w:color w:val="auto"/>
              </w:rPr>
            </w:pPr>
          </w:p>
        </w:tc>
      </w:tr>
      <w:tr>
        <w:trPr>
          <w:trHeight w:val="18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tax payable</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0" w:type="dxa"/>
            <w:vAlign w:val="bottom"/>
          </w:tcPr>
          <w:p>
            <w:pPr>
              <w:spacing w:after="0"/>
              <w:rPr>
                <w:sz w:val="1"/>
                <w:szCs w:val="1"/>
                <w:color w:val="auto"/>
              </w:rPr>
            </w:pPr>
          </w:p>
        </w:tc>
      </w:tr>
      <w:tr>
        <w:trPr>
          <w:trHeight w:val="189"/>
        </w:trPr>
        <w:tc>
          <w:tcPr>
            <w:tcW w:w="8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713,350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19,106</w:t>
            </w:r>
          </w:p>
        </w:tc>
        <w:tc>
          <w:tcPr>
            <w:tcW w:w="0" w:type="dxa"/>
            <w:vAlign w:val="bottom"/>
          </w:tcPr>
          <w:p>
            <w:pPr>
              <w:spacing w:after="0"/>
              <w:rPr>
                <w:sz w:val="1"/>
                <w:szCs w:val="1"/>
                <w:color w:val="auto"/>
              </w:rPr>
            </w:pPr>
          </w:p>
        </w:tc>
      </w:tr>
      <w:tr>
        <w:trPr>
          <w:trHeight w:val="18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w:t>
            </w:r>
          </w:p>
        </w:tc>
        <w:tc>
          <w:tcPr>
            <w:tcW w:w="0" w:type="dxa"/>
            <w:vAlign w:val="bottom"/>
          </w:tcPr>
          <w:p>
            <w:pPr>
              <w:spacing w:after="0"/>
              <w:rPr>
                <w:sz w:val="1"/>
                <w:szCs w:val="1"/>
                <w:color w:val="auto"/>
              </w:rPr>
            </w:pPr>
          </w:p>
        </w:tc>
      </w:tr>
      <w:tr>
        <w:trPr>
          <w:trHeight w:val="189"/>
        </w:trPr>
        <w:tc>
          <w:tcPr>
            <w:tcW w:w="8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Current liabilities held for sale</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120,832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41,546</w:t>
            </w:r>
          </w:p>
        </w:tc>
        <w:tc>
          <w:tcPr>
            <w:tcW w:w="0" w:type="dxa"/>
            <w:vAlign w:val="bottom"/>
          </w:tcPr>
          <w:p>
            <w:pPr>
              <w:spacing w:after="0"/>
              <w:rPr>
                <w:sz w:val="1"/>
                <w:szCs w:val="1"/>
                <w:color w:val="auto"/>
              </w:rPr>
            </w:pPr>
          </w:p>
        </w:tc>
      </w:tr>
      <w:tr>
        <w:trPr>
          <w:trHeight w:val="18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25,113</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17,300</w:t>
            </w:r>
          </w:p>
        </w:tc>
        <w:tc>
          <w:tcPr>
            <w:tcW w:w="0" w:type="dxa"/>
            <w:vAlign w:val="bottom"/>
          </w:tcPr>
          <w:p>
            <w:pPr>
              <w:spacing w:after="0"/>
              <w:rPr>
                <w:sz w:val="1"/>
                <w:szCs w:val="1"/>
                <w:color w:val="auto"/>
              </w:rPr>
            </w:pPr>
          </w:p>
        </w:tc>
      </w:tr>
      <w:tr>
        <w:trPr>
          <w:trHeight w:val="182"/>
        </w:trPr>
        <w:tc>
          <w:tcPr>
            <w:tcW w:w="86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927,159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139,481</w:t>
            </w:r>
          </w:p>
        </w:tc>
        <w:tc>
          <w:tcPr>
            <w:tcW w:w="0" w:type="dxa"/>
            <w:vAlign w:val="bottom"/>
          </w:tcPr>
          <w:p>
            <w:pPr>
              <w:spacing w:after="0"/>
              <w:rPr>
                <w:sz w:val="1"/>
                <w:szCs w:val="1"/>
                <w:color w:val="auto"/>
              </w:rPr>
            </w:pPr>
          </w:p>
        </w:tc>
      </w:tr>
      <w:tr>
        <w:trPr>
          <w:trHeight w:val="189"/>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24,461</w:t>
            </w:r>
          </w:p>
        </w:tc>
        <w:tc>
          <w:tcPr>
            <w:tcW w:w="0" w:type="dxa"/>
            <w:vAlign w:val="bottom"/>
          </w:tcPr>
          <w:p>
            <w:pPr>
              <w:spacing w:after="0"/>
              <w:rPr>
                <w:sz w:val="1"/>
                <w:szCs w:val="1"/>
                <w:color w:val="auto"/>
              </w:rPr>
            </w:pPr>
          </w:p>
        </w:tc>
      </w:tr>
      <w:tr>
        <w:trPr>
          <w:trHeight w:val="189"/>
        </w:trPr>
        <w:tc>
          <w:tcPr>
            <w:tcW w:w="8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Non-current income tax payable</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0" w:type="dxa"/>
            <w:vAlign w:val="bottom"/>
          </w:tcPr>
          <w:p>
            <w:pPr>
              <w:spacing w:after="0"/>
              <w:rPr>
                <w:sz w:val="1"/>
                <w:szCs w:val="1"/>
                <w:color w:val="auto"/>
              </w:rPr>
            </w:pPr>
          </w:p>
        </w:tc>
      </w:tr>
      <w:tr>
        <w:trPr>
          <w:trHeight w:val="189"/>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117,482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757,250</w:t>
            </w:r>
          </w:p>
        </w:tc>
        <w:tc>
          <w:tcPr>
            <w:tcW w:w="0" w:type="dxa"/>
            <w:vAlign w:val="bottom"/>
          </w:tcPr>
          <w:p>
            <w:pPr>
              <w:spacing w:after="0"/>
              <w:rPr>
                <w:sz w:val="1"/>
                <w:szCs w:val="1"/>
                <w:color w:val="auto"/>
              </w:rPr>
            </w:pPr>
          </w:p>
        </w:tc>
      </w:tr>
      <w:tr>
        <w:trPr>
          <w:trHeight w:val="189"/>
        </w:trPr>
        <w:tc>
          <w:tcPr>
            <w:tcW w:w="8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56,111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48,575</w:t>
            </w:r>
          </w:p>
        </w:tc>
        <w:tc>
          <w:tcPr>
            <w:tcW w:w="0" w:type="dxa"/>
            <w:vAlign w:val="bottom"/>
          </w:tcPr>
          <w:p>
            <w:pPr>
              <w:spacing w:after="0"/>
              <w:rPr>
                <w:sz w:val="1"/>
                <w:szCs w:val="1"/>
                <w:color w:val="auto"/>
              </w:rPr>
            </w:pPr>
          </w:p>
        </w:tc>
      </w:tr>
      <w:tr>
        <w:trPr>
          <w:trHeight w:val="189"/>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Non-current liabilities held for sale</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84,199</w:t>
            </w:r>
          </w:p>
        </w:tc>
        <w:tc>
          <w:tcPr>
            <w:tcW w:w="0" w:type="dxa"/>
            <w:vAlign w:val="bottom"/>
          </w:tcPr>
          <w:p>
            <w:pPr>
              <w:spacing w:after="0"/>
              <w:rPr>
                <w:sz w:val="1"/>
                <w:szCs w:val="1"/>
                <w:color w:val="auto"/>
              </w:rPr>
            </w:pPr>
          </w:p>
        </w:tc>
      </w:tr>
      <w:tr>
        <w:trPr>
          <w:trHeight w:val="189"/>
        </w:trPr>
        <w:tc>
          <w:tcPr>
            <w:tcW w:w="8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25,137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40,457</w:t>
            </w:r>
          </w:p>
        </w:tc>
        <w:tc>
          <w:tcPr>
            <w:tcW w:w="0" w:type="dxa"/>
            <w:vAlign w:val="bottom"/>
          </w:tcPr>
          <w:p>
            <w:pPr>
              <w:spacing w:after="0"/>
              <w:rPr>
                <w:sz w:val="1"/>
                <w:szCs w:val="1"/>
                <w:color w:val="auto"/>
              </w:rPr>
            </w:pPr>
          </w:p>
        </w:tc>
      </w:tr>
      <w:tr>
        <w:trPr>
          <w:trHeight w:val="183"/>
        </w:trPr>
        <w:tc>
          <w:tcPr>
            <w:tcW w:w="8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1,128,016</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1,095,695</w:t>
            </w:r>
          </w:p>
        </w:tc>
        <w:tc>
          <w:tcPr>
            <w:tcW w:w="0" w:type="dxa"/>
            <w:vAlign w:val="bottom"/>
          </w:tcPr>
          <w:p>
            <w:pPr>
              <w:spacing w:after="0"/>
              <w:rPr>
                <w:sz w:val="1"/>
                <w:szCs w:val="1"/>
                <w:color w:val="auto"/>
              </w:rPr>
            </w:pPr>
          </w:p>
        </w:tc>
      </w:tr>
      <w:tr>
        <w:trPr>
          <w:trHeight w:val="169"/>
        </w:trPr>
        <w:tc>
          <w:tcPr>
            <w:tcW w:w="8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64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Series B convertible preferred stock - $0.01 par value per share, 100 shares authorized, 100 shares issued and outstanding at December 31,</w:t>
            </w:r>
          </w:p>
        </w:tc>
        <w:tc>
          <w:tcPr>
            <w:tcW w:w="1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101,846</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93,012</w:t>
            </w:r>
          </w:p>
        </w:tc>
        <w:tc>
          <w:tcPr>
            <w:tcW w:w="0" w:type="dxa"/>
            <w:vAlign w:val="bottom"/>
          </w:tcPr>
          <w:p>
            <w:pPr>
              <w:spacing w:after="0"/>
              <w:rPr>
                <w:sz w:val="1"/>
                <w:szCs w:val="1"/>
                <w:color w:val="auto"/>
              </w:rPr>
            </w:pPr>
          </w:p>
        </w:tc>
      </w:tr>
      <w:tr>
        <w:trPr>
          <w:trHeight w:val="18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2019, and September 30, 2020</w:t>
            </w: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64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4"/>
                <w:szCs w:val="14"/>
                <w:color w:val="auto"/>
              </w:rPr>
              <w:t>Common stock - $0.01 par value per share, 90,000 shares authorized, 42,313 and 42,739 shares issued and outstanding at December 31,</w:t>
            </w:r>
          </w:p>
        </w:tc>
        <w:tc>
          <w:tcPr>
            <w:tcW w:w="1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89"/>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2019, and September 30, 2020, respectively</w:t>
            </w: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495,967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501,615</w:t>
            </w:r>
          </w:p>
        </w:tc>
        <w:tc>
          <w:tcPr>
            <w:tcW w:w="0" w:type="dxa"/>
            <w:vAlign w:val="bottom"/>
          </w:tcPr>
          <w:p>
            <w:pPr>
              <w:spacing w:after="0"/>
              <w:rPr>
                <w:sz w:val="1"/>
                <w:szCs w:val="1"/>
                <w:color w:val="auto"/>
              </w:rPr>
            </w:pPr>
          </w:p>
        </w:tc>
      </w:tr>
      <w:tr>
        <w:trPr>
          <w:trHeight w:val="18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Warrants</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0" w:type="dxa"/>
            <w:vAlign w:val="bottom"/>
          </w:tcPr>
          <w:p>
            <w:pPr>
              <w:spacing w:after="0"/>
              <w:rPr>
                <w:sz w:val="1"/>
                <w:szCs w:val="1"/>
                <w:color w:val="auto"/>
              </w:rPr>
            </w:pPr>
          </w:p>
        </w:tc>
      </w:tr>
      <w:tr>
        <w:trPr>
          <w:trHeight w:val="189"/>
        </w:trPr>
        <w:tc>
          <w:tcPr>
            <w:tcW w:w="8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(353,252)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(105,283)</w:t>
            </w:r>
          </w:p>
        </w:tc>
        <w:tc>
          <w:tcPr>
            <w:tcW w:w="0" w:type="dxa"/>
            <w:vAlign w:val="bottom"/>
          </w:tcPr>
          <w:p>
            <w:pPr>
              <w:spacing w:after="0"/>
              <w:rPr>
                <w:sz w:val="1"/>
                <w:szCs w:val="1"/>
                <w:color w:val="auto"/>
              </w:rPr>
            </w:pPr>
          </w:p>
        </w:tc>
      </w:tr>
      <w:tr>
        <w:trPr>
          <w:trHeight w:val="18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(56,795)</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(44,554)</w:t>
            </w:r>
          </w:p>
        </w:tc>
        <w:tc>
          <w:tcPr>
            <w:tcW w:w="0" w:type="dxa"/>
            <w:vAlign w:val="bottom"/>
          </w:tcPr>
          <w:p>
            <w:pPr>
              <w:spacing w:after="0"/>
              <w:rPr>
                <w:sz w:val="1"/>
                <w:szCs w:val="1"/>
                <w:color w:val="auto"/>
              </w:rPr>
            </w:pPr>
          </w:p>
        </w:tc>
      </w:tr>
      <w:tr>
        <w:trPr>
          <w:trHeight w:val="182"/>
        </w:trPr>
        <w:tc>
          <w:tcPr>
            <w:tcW w:w="86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86,347</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353,277</w:t>
            </w:r>
          </w:p>
        </w:tc>
        <w:tc>
          <w:tcPr>
            <w:tcW w:w="0" w:type="dxa"/>
            <w:vAlign w:val="bottom"/>
          </w:tcPr>
          <w:p>
            <w:pPr>
              <w:spacing w:after="0"/>
              <w:rPr>
                <w:sz w:val="1"/>
                <w:szCs w:val="1"/>
                <w:color w:val="auto"/>
              </w:rPr>
            </w:pPr>
          </w:p>
        </w:tc>
      </w:tr>
      <w:tr>
        <w:trPr>
          <w:trHeight w:val="20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preferred stock,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1,316,209</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1,541,984</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 and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00" w:type="dxa"/>
            <w:vAlign w:val="bottom"/>
          </w:tcPr>
          <w:p>
            <w:pPr>
              <w:spacing w:after="0"/>
              <w:rPr>
                <w:sz w:val="16"/>
                <w:szCs w:val="16"/>
                <w:color w:val="auto"/>
              </w:rPr>
            </w:pPr>
          </w:p>
        </w:tc>
        <w:tc>
          <w:tcPr>
            <w:tcW w:w="154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1"/>
                <w:szCs w:val="11"/>
                <w:color w:val="auto"/>
              </w:rPr>
            </w:pPr>
          </w:p>
        </w:tc>
        <w:tc>
          <w:tcPr>
            <w:tcW w:w="6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Retained earnings</w:t>
            </w:r>
          </w:p>
        </w:tc>
        <w:tc>
          <w:tcPr>
            <w:tcW w:w="136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1"/>
                <w:szCs w:val="11"/>
                <w:color w:val="auto"/>
              </w:rPr>
            </w:pPr>
          </w:p>
        </w:tc>
        <w:tc>
          <w:tcPr>
            <w:tcW w:w="13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11"/>
                <w:szCs w:val="11"/>
                <w:color w:val="auto"/>
              </w:rPr>
            </w:pPr>
          </w:p>
        </w:tc>
        <w:tc>
          <w:tcPr>
            <w:tcW w:w="88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00" w:type="dxa"/>
            <w:vAlign w:val="bottom"/>
            <w:vMerge w:val="continue"/>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57,899</w:t>
            </w:r>
          </w:p>
        </w:tc>
        <w:tc>
          <w:tcPr>
            <w:tcW w:w="0" w:type="dxa"/>
            <w:vAlign w:val="bottom"/>
          </w:tcPr>
          <w:p>
            <w:pPr>
              <w:spacing w:after="0"/>
              <w:rPr>
                <w:sz w:val="1"/>
                <w:szCs w:val="1"/>
                <w:color w:val="auto"/>
              </w:rPr>
            </w:pPr>
          </w:p>
        </w:tc>
      </w:tr>
      <w:tr>
        <w:trPr>
          <w:trHeight w:val="230"/>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21,970</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0" w:type="dxa"/>
            <w:vAlign w:val="bottom"/>
          </w:tcPr>
          <w:p>
            <w:pPr>
              <w:spacing w:after="0"/>
              <w:rPr>
                <w:sz w:val="1"/>
                <w:szCs w:val="1"/>
                <w:color w:val="auto"/>
              </w:rPr>
            </w:pPr>
          </w:p>
        </w:tc>
      </w:tr>
      <w:tr>
        <w:trPr>
          <w:trHeight w:val="229"/>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shares forgiven for taxes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75"/>
        </w:trPr>
        <w:tc>
          <w:tcPr>
            <w:tcW w:w="35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Change in estimate of share-based award</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30"/>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vesting</w:t>
            </w: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Reclassification of warrants to liabilities</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 18)</w:t>
            </w: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Change in fair value of interest rate swap,</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of tax of $6</w:t>
            </w: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of interest rate swap</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settlement to net income, net of tax of</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$952</w:t>
            </w: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4500" w:type="dxa"/>
            <w:vAlign w:val="bottom"/>
          </w:tcPr>
          <w:p>
            <w:pPr>
              <w:spacing w:after="0"/>
              <w:rPr>
                <w:sz w:val="16"/>
                <w:szCs w:val="16"/>
                <w:color w:val="auto"/>
              </w:rPr>
            </w:pPr>
          </w:p>
        </w:tc>
        <w:tc>
          <w:tcPr>
            <w:tcW w:w="156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1"/>
                <w:szCs w:val="11"/>
                <w:color w:val="auto"/>
              </w:rPr>
            </w:pPr>
          </w:p>
        </w:tc>
        <w:tc>
          <w:tcPr>
            <w:tcW w:w="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36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Retained earnings</w:t>
            </w:r>
          </w:p>
        </w:tc>
        <w:tc>
          <w:tcPr>
            <w:tcW w:w="13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11"/>
                <w:szCs w:val="11"/>
                <w:color w:val="auto"/>
              </w:rPr>
            </w:pPr>
          </w:p>
        </w:tc>
        <w:tc>
          <w:tcPr>
            <w:tcW w:w="9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500" w:type="dxa"/>
            <w:vAlign w:val="bottom"/>
            <w:vMerge w:val="continue"/>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377,329</w:t>
            </w:r>
          </w:p>
        </w:tc>
        <w:tc>
          <w:tcPr>
            <w:tcW w:w="0" w:type="dxa"/>
            <w:vAlign w:val="bottom"/>
          </w:tcPr>
          <w:p>
            <w:pPr>
              <w:spacing w:after="0"/>
              <w:rPr>
                <w:sz w:val="1"/>
                <w:szCs w:val="1"/>
                <w:color w:val="auto"/>
              </w:rPr>
            </w:pPr>
          </w:p>
        </w:tc>
      </w:tr>
      <w:tr>
        <w:trPr>
          <w:trHeight w:val="230"/>
        </w:trPr>
        <w:tc>
          <w:tcPr>
            <w:tcW w:w="4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Dividends declared or accrued for common stock</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0" w:type="dxa"/>
            <w:vAlign w:val="bottom"/>
          </w:tcPr>
          <w:p>
            <w:pPr>
              <w:spacing w:after="0"/>
              <w:rPr>
                <w:sz w:val="1"/>
                <w:szCs w:val="1"/>
                <w:color w:val="auto"/>
              </w:rPr>
            </w:pPr>
          </w:p>
        </w:tc>
      </w:tr>
      <w:tr>
        <w:trPr>
          <w:trHeight w:val="230"/>
        </w:trPr>
        <w:tc>
          <w:tcPr>
            <w:tcW w:w="4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Shares issued for options exercised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30"/>
        </w:trPr>
        <w:tc>
          <w:tcPr>
            <w:tcW w:w="4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shares forgiven for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estimate of share-based award vesting</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176"/>
        </w:trPr>
        <w:tc>
          <w:tcPr>
            <w:tcW w:w="45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Change in fair value of interest rate swap, net of tax of</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0" w:type="dxa"/>
            <w:vAlign w:val="bottom"/>
          </w:tcPr>
          <w:p>
            <w:pPr>
              <w:spacing w:after="0"/>
              <w:rPr>
                <w:sz w:val="1"/>
                <w:szCs w:val="1"/>
                <w:color w:val="auto"/>
              </w:rPr>
            </w:pPr>
          </w:p>
        </w:tc>
      </w:tr>
      <w:tr>
        <w:trPr>
          <w:trHeight w:val="229"/>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$375</w:t>
            </w: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Reclassification of interest rate swap settlement to net</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net of tax of $68</w:t>
            </w: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0" w:type="dxa"/>
            <w:vAlign w:val="bottom"/>
          </w:tcPr>
          <w:p>
            <w:pPr>
              <w:spacing w:after="0"/>
              <w:rPr>
                <w:sz w:val="1"/>
                <w:szCs w:val="1"/>
                <w:color w:val="auto"/>
              </w:rPr>
            </w:pPr>
          </w:p>
        </w:tc>
      </w:tr>
      <w:tr>
        <w:trPr>
          <w:trHeight w:val="248"/>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2019</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356,302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00" w:type="dxa"/>
            <w:vAlign w:val="bottom"/>
          </w:tcPr>
          <w:p>
            <w:pPr>
              <w:spacing w:after="0"/>
              <w:rPr>
                <w:sz w:val="16"/>
                <w:szCs w:val="16"/>
                <w:color w:val="auto"/>
              </w:rPr>
            </w:pPr>
          </w:p>
        </w:tc>
        <w:tc>
          <w:tcPr>
            <w:tcW w:w="1500" w:type="dxa"/>
            <w:vAlign w:val="bottom"/>
            <w:tcBorders>
              <w:bottom w:val="single" w:sz="8" w:color="auto"/>
            </w:tcBorders>
            <w:gridSpan w:val="5"/>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Par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4"/>
          </w:tcPr>
          <w:p>
            <w:pPr>
              <w:jc w:val="right"/>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Retained earnings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tcPr>
          <w:p>
            <w:pPr>
              <w:jc w:val="right"/>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00" w:type="dxa"/>
            <w:vAlign w:val="bottom"/>
            <w:vMerge w:val="continue"/>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501,615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(105,283)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(44,554)</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353,277</w:t>
            </w:r>
          </w:p>
        </w:tc>
        <w:tc>
          <w:tcPr>
            <w:tcW w:w="0" w:type="dxa"/>
            <w:vAlign w:val="bottom"/>
          </w:tcPr>
          <w:p>
            <w:pPr>
              <w:spacing w:after="0"/>
              <w:rPr>
                <w:sz w:val="1"/>
                <w:szCs w:val="1"/>
                <w:color w:val="auto"/>
              </w:rPr>
            </w:pPr>
          </w:p>
        </w:tc>
      </w:tr>
      <w:tr>
        <w:trPr>
          <w:trHeight w:val="229"/>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9"/>
              </w:rPr>
              <w:t>(247,969)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(247,969)</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0" w:type="dxa"/>
            <w:vAlign w:val="bottom"/>
          </w:tcPr>
          <w:p>
            <w:pPr>
              <w:spacing w:after="0"/>
              <w:rPr>
                <w:sz w:val="1"/>
                <w:szCs w:val="1"/>
                <w:color w:val="auto"/>
              </w:rPr>
            </w:pPr>
          </w:p>
        </w:tc>
      </w:tr>
      <w:tr>
        <w:trPr>
          <w:trHeight w:val="230"/>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4,138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shares forgiven for taxes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76"/>
        </w:trPr>
        <w:tc>
          <w:tcPr>
            <w:tcW w:w="35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Change in estimate of share-based award</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(577)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9"/>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vesting</w:t>
            </w:r>
          </w:p>
        </w:tc>
        <w:tc>
          <w:tcPr>
            <w:tcW w:w="9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Reclassification of warrants to liabilities</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 18)</w:t>
            </w:r>
          </w:p>
        </w:tc>
        <w:tc>
          <w:tcPr>
            <w:tcW w:w="94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Change in fair value of interest rate swap,</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(12,443)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0" w:type="dxa"/>
            <w:vAlign w:val="bottom"/>
          </w:tcPr>
          <w:p>
            <w:pPr>
              <w:spacing w:after="0"/>
              <w:rPr>
                <w:sz w:val="1"/>
                <w:szCs w:val="1"/>
                <w:color w:val="auto"/>
              </w:rPr>
            </w:pPr>
          </w:p>
        </w:tc>
      </w:tr>
      <w:tr>
        <w:trPr>
          <w:trHeight w:val="229"/>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of tax of $3,764</w:t>
            </w:r>
          </w:p>
        </w:tc>
        <w:tc>
          <w:tcPr>
            <w:tcW w:w="9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of interest rate swap</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 to net loss, net of tax of $2,068</w:t>
            </w:r>
          </w:p>
        </w:tc>
        <w:tc>
          <w:tcPr>
            <w:tcW w:w="94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(6,636)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495,967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(353,252)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(56,795)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7"/>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30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Retained earnings</w:t>
            </w:r>
          </w:p>
        </w:tc>
        <w:tc>
          <w:tcPr>
            <w:tcW w:w="40" w:type="dxa"/>
            <w:vAlign w:val="bottom"/>
          </w:tcPr>
          <w:p>
            <w:pPr>
              <w:spacing w:after="0"/>
              <w:rPr>
                <w:sz w:val="11"/>
                <w:szCs w:val="11"/>
                <w:color w:val="auto"/>
              </w:rPr>
            </w:pPr>
          </w:p>
        </w:tc>
        <w:tc>
          <w:tcPr>
            <w:tcW w:w="1320" w:type="dxa"/>
            <w:vAlign w:val="bottom"/>
            <w:gridSpan w:val="4"/>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center"/>
              <w:ind w:left="196"/>
              <w:spacing w:after="0" w:line="135" w:lineRule="exact"/>
              <w:rPr>
                <w:sz w:val="20"/>
                <w:szCs w:val="20"/>
                <w:color w:val="auto"/>
              </w:rPr>
            </w:pPr>
            <w:r>
              <w:rPr>
                <w:rFonts w:ascii="Times New Roman" w:cs="Times New Roman" w:eastAsia="Times New Roman" w:hAnsi="Times New Roman"/>
                <w:sz w:val="14"/>
                <w:szCs w:val="14"/>
                <w:b w:val="1"/>
                <w:bCs w:val="1"/>
                <w:color w:val="auto"/>
              </w:rPr>
              <w:t>of</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0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2018</w:t>
            </w:r>
          </w:p>
        </w:tc>
        <w:tc>
          <w:tcPr>
            <w:tcW w:w="8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508,655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(31,314)</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419,271</w:t>
            </w:r>
          </w:p>
        </w:tc>
        <w:tc>
          <w:tcPr>
            <w:tcW w:w="0" w:type="dxa"/>
            <w:vAlign w:val="bottom"/>
          </w:tcPr>
          <w:p>
            <w:pPr>
              <w:spacing w:after="0"/>
              <w:rPr>
                <w:sz w:val="1"/>
                <w:szCs w:val="1"/>
                <w:color w:val="auto"/>
              </w:rPr>
            </w:pPr>
          </w:p>
        </w:tc>
      </w:tr>
      <w:tr>
        <w:trPr>
          <w:trHeight w:val="229"/>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(32,656)</w:t>
            </w:r>
          </w:p>
        </w:tc>
        <w:tc>
          <w:tcPr>
            <w:tcW w:w="0" w:type="dxa"/>
            <w:vAlign w:val="bottom"/>
          </w:tcPr>
          <w:p>
            <w:pPr>
              <w:spacing w:after="0"/>
              <w:rPr>
                <w:sz w:val="1"/>
                <w:szCs w:val="1"/>
                <w:color w:val="auto"/>
              </w:rPr>
            </w:pPr>
          </w:p>
        </w:tc>
      </w:tr>
      <w:tr>
        <w:trPr>
          <w:trHeight w:val="230"/>
        </w:trPr>
        <w:tc>
          <w:tcPr>
            <w:tcW w:w="44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declared or accrued for common stock</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0" w:type="dxa"/>
            <w:vAlign w:val="bottom"/>
          </w:tcPr>
          <w:p>
            <w:pPr>
              <w:spacing w:after="0"/>
              <w:rPr>
                <w:sz w:val="1"/>
                <w:szCs w:val="1"/>
                <w:color w:val="auto"/>
              </w:rPr>
            </w:pPr>
          </w:p>
        </w:tc>
      </w:tr>
      <w:tr>
        <w:trPr>
          <w:trHeight w:val="230"/>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for option exercises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231</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29"/>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shares forgiven for taxes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44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estimate of share-based award vesting</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175"/>
        </w:trPr>
        <w:tc>
          <w:tcPr>
            <w:tcW w:w="4440" w:type="dxa"/>
            <w:vAlign w:val="bottom"/>
            <w:gridSpan w:val="3"/>
          </w:tcPr>
          <w:p>
            <w:pPr>
              <w:ind w:left="360"/>
              <w:spacing w:after="0" w:line="176" w:lineRule="exact"/>
              <w:rPr>
                <w:sz w:val="20"/>
                <w:szCs w:val="20"/>
                <w:color w:val="auto"/>
              </w:rPr>
            </w:pPr>
            <w:r>
              <w:rPr>
                <w:rFonts w:ascii="Times New Roman" w:cs="Times New Roman" w:eastAsia="Times New Roman" w:hAnsi="Times New Roman"/>
                <w:sz w:val="18"/>
                <w:szCs w:val="18"/>
                <w:color w:val="auto"/>
              </w:rPr>
              <w:t>Change in fair value of interest rate swap, net of tax of</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(11,999)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(11,999)</w:t>
            </w:r>
          </w:p>
        </w:tc>
        <w:tc>
          <w:tcPr>
            <w:tcW w:w="0" w:type="dxa"/>
            <w:vAlign w:val="bottom"/>
          </w:tcPr>
          <w:p>
            <w:pPr>
              <w:spacing w:after="0"/>
              <w:rPr>
                <w:sz w:val="1"/>
                <w:szCs w:val="1"/>
                <w:color w:val="auto"/>
              </w:rPr>
            </w:pPr>
          </w:p>
        </w:tc>
      </w:tr>
      <w:tr>
        <w:trPr>
          <w:trHeight w:val="23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$3,472</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440" w:type="dxa"/>
            <w:vAlign w:val="bottom"/>
            <w:gridSpan w:val="3"/>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of interest rate swap settlement to net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net of tax of $68</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Adoption of new accounting standard</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2019</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42,297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501,506</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(91,198)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356,302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20" w:type="dxa"/>
            <w:vAlign w:val="bottom"/>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83"/>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6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9"/>
        </w:trPr>
        <w:tc>
          <w:tcPr>
            <w:tcW w:w="8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(247,969)</w:t>
            </w:r>
          </w:p>
        </w:tc>
        <w:tc>
          <w:tcPr>
            <w:tcW w:w="14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(32,656)</w:t>
            </w:r>
          </w:p>
        </w:tc>
      </w:tr>
      <w:tr>
        <w:trPr>
          <w:trHeight w:val="189"/>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9"/>
        </w:trPr>
        <w:tc>
          <w:tcPr>
            <w:tcW w:w="84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 of continuing operations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34,119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33,552</w:t>
            </w:r>
          </w:p>
        </w:tc>
      </w:tr>
      <w:tr>
        <w:trPr>
          <w:trHeight w:val="189"/>
        </w:trPr>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 of discontinued operations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35,731</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35,418</w:t>
            </w:r>
          </w:p>
        </w:tc>
      </w:tr>
      <w:tr>
        <w:trPr>
          <w:trHeight w:val="189"/>
        </w:trPr>
        <w:tc>
          <w:tcPr>
            <w:tcW w:w="84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4,981</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w:t>
            </w:r>
          </w:p>
        </w:tc>
      </w:tr>
      <w:tr>
        <w:trPr>
          <w:trHeight w:val="189"/>
        </w:trPr>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Goodwill impairment of continuing operations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92,942</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4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Goodwill impairment of discontinued operations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146,757</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Loss on extinguishment of debt and write-off of debt issuance costs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2,699</w:t>
            </w:r>
          </w:p>
        </w:tc>
      </w:tr>
      <w:tr>
        <w:trPr>
          <w:trHeight w:val="189"/>
        </w:trPr>
        <w:tc>
          <w:tcPr>
            <w:tcW w:w="84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Share of net income from joint venture, net of cash dividends received</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r>
      <w:tr>
        <w:trPr>
          <w:trHeight w:val="189"/>
        </w:trPr>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Compensation expense from issuance of share-based awards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w:t>
            </w:r>
          </w:p>
        </w:tc>
      </w:tr>
      <w:tr>
        <w:trPr>
          <w:trHeight w:val="189"/>
        </w:trPr>
        <w:tc>
          <w:tcPr>
            <w:tcW w:w="84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income taxes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(61,889)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(11,024)</w:t>
            </w:r>
          </w:p>
        </w:tc>
      </w:tr>
      <w:tr>
        <w:trPr>
          <w:trHeight w:val="189"/>
        </w:trPr>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w:t>
            </w:r>
          </w:p>
        </w:tc>
      </w:tr>
      <w:tr>
        <w:trPr>
          <w:trHeight w:val="189"/>
        </w:trPr>
        <w:tc>
          <w:tcPr>
            <w:tcW w:w="84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8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4,894</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(9,929)</w:t>
            </w:r>
          </w:p>
        </w:tc>
      </w:tr>
      <w:tr>
        <w:trPr>
          <w:trHeight w:val="189"/>
        </w:trPr>
        <w:tc>
          <w:tcPr>
            <w:tcW w:w="84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Inventories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(4,825)</w:t>
            </w:r>
          </w:p>
        </w:tc>
      </w:tr>
      <w:tr>
        <w:trPr>
          <w:trHeight w:val="189"/>
        </w:trPr>
        <w:tc>
          <w:tcPr>
            <w:tcW w:w="8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r>
      <w:tr>
        <w:trPr>
          <w:trHeight w:val="189"/>
        </w:trPr>
        <w:tc>
          <w:tcPr>
            <w:tcW w:w="84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Income taxes receivable and payable, net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(10,753)</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w:t>
            </w:r>
          </w:p>
        </w:tc>
      </w:tr>
      <w:tr>
        <w:trPr>
          <w:trHeight w:val="189"/>
        </w:trPr>
        <w:tc>
          <w:tcPr>
            <w:tcW w:w="8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16,295</w:t>
            </w:r>
          </w:p>
        </w:tc>
        <w:tc>
          <w:tcPr>
            <w:tcW w:w="14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11,871</w:t>
            </w:r>
          </w:p>
        </w:tc>
      </w:tr>
      <w:tr>
        <w:trPr>
          <w:trHeight w:val="182"/>
        </w:trPr>
        <w:tc>
          <w:tcPr>
            <w:tcW w:w="842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19,344</w:t>
            </w:r>
          </w:p>
        </w:tc>
        <w:tc>
          <w:tcPr>
            <w:tcW w:w="1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33,607</w:t>
            </w:r>
          </w:p>
        </w:tc>
      </w:tr>
      <w:tr>
        <w:trPr>
          <w:trHeight w:val="16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9"/>
        </w:trPr>
        <w:tc>
          <w:tcPr>
            <w:tcW w:w="8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of property, plant and equipment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(20,518)</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(40,720)</w:t>
            </w:r>
          </w:p>
        </w:tc>
      </w:tr>
      <w:tr>
        <w:trPr>
          <w:trHeight w:val="189"/>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liquidation of short-term investment</w:t>
            </w:r>
          </w:p>
        </w:tc>
        <w:tc>
          <w:tcPr>
            <w:tcW w:w="3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r>
      <w:tr>
        <w:trPr>
          <w:trHeight w:val="189"/>
        </w:trPr>
        <w:tc>
          <w:tcPr>
            <w:tcW w:w="8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3,153</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w:t>
            </w:r>
          </w:p>
        </w:tc>
      </w:tr>
      <w:tr>
        <w:trPr>
          <w:trHeight w:val="189"/>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r>
      <w:tr>
        <w:trPr>
          <w:trHeight w:val="182"/>
        </w:trPr>
        <w:tc>
          <w:tcPr>
            <w:tcW w:w="842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(17,365)</w:t>
            </w:r>
          </w:p>
        </w:tc>
        <w:tc>
          <w:tcPr>
            <w:tcW w:w="14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(30,997)</w:t>
            </w:r>
          </w:p>
        </w:tc>
      </w:tr>
      <w:tr>
        <w:trPr>
          <w:trHeight w:val="16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9"/>
        </w:trPr>
        <w:tc>
          <w:tcPr>
            <w:tcW w:w="8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 debt issuance costs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w:t>
            </w:r>
          </w:p>
        </w:tc>
      </w:tr>
      <w:tr>
        <w:trPr>
          <w:trHeight w:val="189"/>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paid</w:t>
            </w:r>
          </w:p>
        </w:tc>
        <w:tc>
          <w:tcPr>
            <w:tcW w:w="3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(8,879)</w:t>
            </w:r>
          </w:p>
        </w:tc>
      </w:tr>
      <w:tr>
        <w:trPr>
          <w:trHeight w:val="189"/>
        </w:trPr>
        <w:tc>
          <w:tcPr>
            <w:tcW w:w="8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long-term debt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64,716</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52,144</w:t>
            </w:r>
          </w:p>
        </w:tc>
      </w:tr>
      <w:tr>
        <w:trPr>
          <w:trHeight w:val="189"/>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(17,123)</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(26,634)</w:t>
            </w:r>
          </w:p>
        </w:tc>
      </w:tr>
      <w:tr>
        <w:trPr>
          <w:trHeight w:val="189"/>
        </w:trPr>
        <w:tc>
          <w:tcPr>
            <w:tcW w:w="8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(repayments of) short-term debt, net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(6,086)</w:t>
            </w:r>
          </w:p>
        </w:tc>
      </w:tr>
      <w:tr>
        <w:trPr>
          <w:trHeight w:val="189"/>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14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w:t>
            </w:r>
          </w:p>
        </w:tc>
      </w:tr>
      <w:tr>
        <w:trPr>
          <w:trHeight w:val="182"/>
        </w:trPr>
        <w:tc>
          <w:tcPr>
            <w:tcW w:w="842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43,941</w:t>
            </w:r>
          </w:p>
        </w:tc>
        <w:tc>
          <w:tcPr>
            <w:tcW w:w="1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6,893</w:t>
            </w:r>
          </w:p>
        </w:tc>
      </w:tr>
      <w:tr>
        <w:trPr>
          <w:trHeight w:val="183"/>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Effect of exchange rate changes on cash flows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(5,506)</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w:t>
            </w:r>
          </w:p>
        </w:tc>
      </w:tr>
      <w:tr>
        <w:trPr>
          <w:trHeight w:val="189"/>
        </w:trPr>
        <w:tc>
          <w:tcPr>
            <w:tcW w:w="8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40,414</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6,421</w:t>
            </w:r>
          </w:p>
        </w:tc>
      </w:tr>
      <w:tr>
        <w:trPr>
          <w:trHeight w:val="189"/>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 at beginning of period (1)</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31,703</w:t>
            </w:r>
          </w:p>
        </w:tc>
        <w:tc>
          <w:tcPr>
            <w:tcW w:w="14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17,988</w:t>
            </w:r>
          </w:p>
        </w:tc>
      </w:tr>
      <w:tr>
        <w:trPr>
          <w:trHeight w:val="182"/>
        </w:trPr>
        <w:tc>
          <w:tcPr>
            <w:tcW w:w="8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and cash equivalents at end of period (1)</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72,117</w:t>
            </w:r>
          </w:p>
        </w:tc>
        <w:tc>
          <w:tcPr>
            <w:tcW w:w="14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24,409</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5" w:lineRule="exact"/>
        <w:rPr>
          <w:sz w:val="20"/>
          <w:szCs w:val="20"/>
          <w:color w:val="auto"/>
        </w:rPr>
      </w:pPr>
    </w:p>
    <w:p>
      <w:pPr>
        <w:ind w:left="900" w:right="20" w:hanging="244"/>
        <w:spacing w:after="0" w:line="282" w:lineRule="auto"/>
        <w:tabs>
          <w:tab w:leader="none" w:pos="86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include $16.0 million, $13.8 million, $13.2 million, and $10.2 million of cash and cash equivalents that were included in current assets held for sale as of September 30, 2020, December 31, 2019, September 30, 2019, and December 31, 2018, respectively.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Business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NN, Inc. is a global diversified industrial company that combines advanced engineering and production capabilities with in-depth materials science expertise to design and manufacture high-precision components and assemblies primarily for the aerospace and defense, electrical, automotive, medical, and general industrial markets. As used in this Quarterly Report on Form 10-Q (this “Quarterly Report”), the terms “NN,” the “Company,” “we,” “our,” or “us” refer to NN, Inc., and its subsidiaries.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Going Concern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have not been audited, except that the Condensed Consolidated Balance Sheet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was derived from the audited consolidated financial statements included in our Annual Report on Form 10-K for the year ended</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December 31, 2019 (the “2019 Annual Report”), which we filed with the U.S. Securities and Exchange Commission (the “SEC”) on March 16, 2020. Historical periods presented reflect reclassifications for discontinued operations (see Note 2). Historical periods also reflect revisions that we disclosed in our 2019 Annual Report (see Note 3). In management’s opinion, the accompanying unaudited condensed consolidated financial statements reflect all adjustments necessary to fairly state our results of operations for the three and nine months ended September 30, 2020 and 2019; financial position as of September 30, 2020, and December 31, 2019; and cash flows for the nine months ended September 30, 2020 and 2019, on a basis consistent with our audited consolidated financial statements other than the adoption of new accounting standards (see </w:t>
      </w:r>
      <w:r>
        <w:rPr>
          <w:rFonts w:ascii="Times New Roman" w:cs="Times New Roman" w:eastAsia="Times New Roman" w:hAnsi="Times New Roman"/>
          <w:sz w:val="18"/>
          <w:szCs w:val="18"/>
          <w:i w:val="1"/>
          <w:iCs w:val="1"/>
          <w:color w:val="auto"/>
        </w:rPr>
        <w:t>Accounting Standards Recently Adopted</w:t>
      </w:r>
      <w:r>
        <w:rPr>
          <w:rFonts w:ascii="Times New Roman" w:cs="Times New Roman" w:eastAsia="Times New Roman" w:hAnsi="Times New Roman"/>
          <w:sz w:val="18"/>
          <w:szCs w:val="18"/>
          <w:color w:val="auto"/>
        </w:rPr>
        <w:t xml:space="preserve"> section below). These adjustments are of a normal recurring nature and are, in the opinion of management, necessary to state fairly the Company’s financial position and operating results for the interim periods.</w:t>
      </w:r>
    </w:p>
    <w:p>
      <w:pPr>
        <w:spacing w:after="0" w:line="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consolidated financial statements prepared in accordance with accounting principles generally accepted in the United States (“U.S. GAAP”) have been condensed or omitted from the interim financial statements presented in this Quarterly Report. These unaudited condensed consolidated financial statements should be read in conjunction with our audited consolidated financial statements and accompanying notes included in the 2019 Annual Report. The results for the three and nine months ended September 30, 2020, are not necessarily indicative of results for the year ending December 31, 2020, or any other future periods.</w:t>
      </w:r>
    </w:p>
    <w:p>
      <w:pPr>
        <w:spacing w:after="0" w:line="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Except for per share data or as otherwise indicated, all U.S. dollar amounts presented in the tables in these Notes to Condensed Consolidated Financial Statements are in thousands.</w:t>
      </w:r>
    </w:p>
    <w:p>
      <w:pPr>
        <w:spacing w:after="0" w:line="5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November 2019, we initiated a strategic review to evaluate a broad range of operational, financial, and strategic options to reduce leverage and enhance shareholder value, and we retained external advisors to assist in this effort. The strategic options we have evaluated included further cost savings and cash generation initiatives, more efficient capital deployment, changes to our debt and equity structure to improve financial flexibility and liquidity, and the sale of part or all of NN, among others.</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discussed in our 2019 Annual Report, on December 11, 2019, we issued Series B Convertible Preferred Stock (“Preferred Stock”) for net proceeds of $95.7 million and used a portion of the proceeds to repay amounts due at that time on our Senior Secured Revolver. In December 2019, we amended our Credit Agreement which, in turn, extended the due date of our Senior Secured Revolver to July 20, 2022, reduced the total capacity under the Senior Secured Revolver to $75.0 million, and extended the due date of our Incremental Term Loan to October 19, 2022, matching the date of our longer-dated Senior Secured Term Loan. Additionally, as part of this amendment, our debt covenants were amended to establish more restrictive leverage ratios that also become more restrictive over time. Our Consolidated Net Leverage Ratio (the “financial leverage ratio”) covenant is required to be complied with on a quarterly basis at the end of each of our quarterly reporting periods. Our financial leverage ratio covenant is based upon our consolidated net indebtedness at each quarter end and our trailing twelve-month Adjusted EBITDA as defined in our Credit Agreement.</w:t>
      </w:r>
    </w:p>
    <w:p>
      <w:pPr>
        <w:spacing w:after="0" w:line="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July 2020, we amended our Credit Agreement to waive compliance with the financial leverage ratio covenant for the second and third quarters of 2020. During this period, we are required to maintain minimum liquidity levels, provide certain financial and other information, and take certain other action as specified in the amendment. Failure to maintain the required minimum liquidity levels or satisfy other requirements set forth in the amendment would allow the revolving credit lenders, the Senior Secured Term loan lenders, and the Incremental Term Loan lenders to cause amounts outstanding under our credit facility to become immediately due and payable and would have a material, adverse impact on our financial position.</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August 2020, we entered into an agreement to sell our Life Sciences business (see Note 2). The sale closed on October 6, 2020, at which time we received cash proceeds of $757.2 million. We immediately prepaid $700.0 million in the aggregate on the Senior Secured Term Loan and the Incremental Term Loan. We also paid in full the outstanding balance on the Senior Secured Revolver. In August 2020, we amended our Credit Agreement to obtain the lenders’ consent to the sale of the Life Sciences business, subject to certain terms and conditions.</w:t>
      </w:r>
    </w:p>
    <w:p>
      <w:pPr>
        <w:spacing w:after="0" w:line="7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2014-15,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205-40), </w:t>
      </w:r>
      <w:r>
        <w:rPr>
          <w:rFonts w:ascii="Times New Roman" w:cs="Times New Roman" w:eastAsia="Times New Roman" w:hAnsi="Times New Roman"/>
          <w:sz w:val="18"/>
          <w:szCs w:val="18"/>
          <w:color w:val="auto"/>
        </w:rPr>
        <w:t>we have evaluated whether there are conditions and events, considered in the aggregate, that raise substantial doubt about our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as a going concern within one year after the date that the Condensed Consolidated Financial Statements are issued. We rely on cash flow generated from operations and available borrowings under our Senior Secured Revolver to fund our working capital and other operating and investing needs. Our ability to borrow under the Senior Secured Revolver is based on our continued compliance with the minimum liquidity requirements and, for periods beginning in the fourth quarter of 2020, the financial leverage ratio covenant, as defined, which became more restrictive upon the occurrence of a qualified sale transaction, which occurred on October 6, 2020.</w:t>
      </w:r>
    </w:p>
    <w:p>
      <w:pPr>
        <w:spacing w:after="0" w:line="7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full extent of the effect of the coronavirus (“COVID-19”) pandemic on our customers, our supply chain and our business cannot be reasonably assessed at this time although we expect our full year 2020 results of operations to be adversely affected. We have developed a plan to mitigate the impact of COVID-19, which includes the implementation of a series of specific and identified cost reductions in both our corporate and business groups, in addition to actions already taken, including further reducing our direct and indirect labor costs and benefits. The impact of COVID-19 on our operating results will depend on future developments, which are highly uncertain and cannot be predicted, including governmental and business reactions to the pandemic. We have made appropriate accounting estimates based on the facts and circumstances available as of the reporting date. If there are differences between these estimates and actual results, our consolidated financial statements may be materially affected.</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Based on available borrowing capacity of the Senior Secured Revolver, the reduction in debt service costs as a result of the debt prepayment with net proceeds from the sale of the Life Sciences business in October 2020, and cash flows expected to be generated from operations and investing activities, we anticipate that our cash and cash equivalents are sufficient to support our operations and meet our obligations, and that we will be able to maintain compliance with the existing financial leverage ratio covenant for the next twelve months from issuance of these financial statements.</w:t>
      </w:r>
    </w:p>
    <w:p>
      <w:pPr>
        <w:spacing w:after="0" w:line="7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Accordingly, we believe that the conditions that raised substantial doubt about our ability to continue as a going concern as disclosed in our Quarterly Report for the period ended June 30, 2020, have been resolved.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Recently Adopted</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In June 2016, the Financial Accounting Standards Board (the “FASB”) issued ASU 2016-13,</w:t>
      </w:r>
      <w:r>
        <w:rPr>
          <w:rFonts w:ascii="Times New Roman" w:cs="Times New Roman" w:eastAsia="Times New Roman" w:hAnsi="Times New Roman"/>
          <w:sz w:val="18"/>
          <w:szCs w:val="18"/>
          <w:i w:val="1"/>
          <w:iCs w:val="1"/>
          <w:color w:val="auto"/>
        </w:rPr>
        <w:t xml:space="preserve"> Financial Instruments-Credit Losses (Topic 326): Measurement of Credit Losses on Financial Instruments </w:t>
      </w:r>
      <w:r>
        <w:rPr>
          <w:rFonts w:ascii="Times New Roman" w:cs="Times New Roman" w:eastAsia="Times New Roman" w:hAnsi="Times New Roman"/>
          <w:sz w:val="18"/>
          <w:szCs w:val="18"/>
          <w:color w:val="auto"/>
        </w:rPr>
        <w:t>(“ASU 2016-13”), which modifies the measurement of expected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losses on certain financial instruments and the timing of when such losses are recorded. In November 2019, the SEC issued Staff Accounting Bulletin (“SAB”) No. 119, codified in ASC Topic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which provides guidance on accounting of credit losses. We adopted ASU 2016-13 on January 1, 2020, using the modified retrospective transition method which resulted in no material adjustment to our financial statements as of January 1, 2020.</w:t>
      </w:r>
    </w:p>
    <w:p>
      <w:pPr>
        <w:spacing w:after="0" w:line="7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Fair Value Disclosures. </w:t>
      </w:r>
      <w:r>
        <w:rPr>
          <w:rFonts w:ascii="Times New Roman" w:cs="Times New Roman" w:eastAsia="Times New Roman" w:hAnsi="Times New Roman"/>
          <w:sz w:val="18"/>
          <w:szCs w:val="18"/>
          <w:color w:val="auto"/>
        </w:rPr>
        <w:t>In August 2018, the FASB issued ASU 2018-13,</w:t>
      </w:r>
      <w:r>
        <w:rPr>
          <w:rFonts w:ascii="Times New Roman" w:cs="Times New Roman" w:eastAsia="Times New Roman" w:hAnsi="Times New Roman"/>
          <w:sz w:val="18"/>
          <w:szCs w:val="18"/>
          <w:i w:val="1"/>
          <w:iCs w:val="1"/>
          <w:color w:val="auto"/>
        </w:rPr>
        <w:t xml:space="preserve"> Fair Value Measurement (Topic 820): Disclosure Framework - Changes to the Disclosure Requirements for Fair Value Measurement </w:t>
      </w:r>
      <w:r>
        <w:rPr>
          <w:rFonts w:ascii="Times New Roman" w:cs="Times New Roman" w:eastAsia="Times New Roman" w:hAnsi="Times New Roman"/>
          <w:sz w:val="18"/>
          <w:szCs w:val="18"/>
          <w:color w:val="auto"/>
        </w:rPr>
        <w:t>(“ASU 2018-13”)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modifies fair value disclosure requirements. The new guidance streamlines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of Level 3 fair value measurements. The modified disclosures were effective for us beginning in the first quarter of 2020. ASU 2018-13 changes disclosures only and does not impact our financial condition, results of operations, or cash flows.</w:t>
      </w:r>
    </w:p>
    <w:p>
      <w:pPr>
        <w:spacing w:after="0" w:line="7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Internal-Use Software. </w:t>
      </w:r>
      <w:r>
        <w:rPr>
          <w:rFonts w:ascii="Times New Roman" w:cs="Times New Roman" w:eastAsia="Times New Roman" w:hAnsi="Times New Roman"/>
          <w:sz w:val="18"/>
          <w:szCs w:val="18"/>
          <w:color w:val="auto"/>
        </w:rPr>
        <w:t>In August 2018, the FASB issued ASU 2018-15,</w:t>
      </w:r>
      <w:r>
        <w:rPr>
          <w:rFonts w:ascii="Times New Roman" w:cs="Times New Roman" w:eastAsia="Times New Roman" w:hAnsi="Times New Roman"/>
          <w:sz w:val="18"/>
          <w:szCs w:val="18"/>
          <w:i w:val="1"/>
          <w:iCs w:val="1"/>
          <w:color w:val="auto"/>
        </w:rPr>
        <w:t xml:space="preserve"> Intangibles - Goodwill and Other - Internal-Use Software: Customer’s Accounting for Implementation Costs Incurred in a Cloud Computing Arrangement That Is a Service Contract (a consensus of the FASB Emerging Issues Task Force) </w:t>
      </w:r>
      <w:r>
        <w:rPr>
          <w:rFonts w:ascii="Times New Roman" w:cs="Times New Roman" w:eastAsia="Times New Roman" w:hAnsi="Times New Roman"/>
          <w:sz w:val="18"/>
          <w:szCs w:val="18"/>
          <w:color w:val="auto"/>
        </w:rPr>
        <w:t>(“ASU 2018-15”)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provides guidance on a customer’s accounting for implementation, set-up, and other upfront costs incurred in a cloud computing arrangement that is hosted by the vendor. Under the new guidance, customers apply the same criteria for capitalizing implementation costs as they would for an arrangement that has a software license. We adopted ASU 2018-15 as of January 1, 2020, prospectively. We have had no such costs after the adoption date, and we do not expect the new guidance to have a material impact on our financial statements.</w:t>
      </w:r>
    </w:p>
    <w:p>
      <w:pPr>
        <w:spacing w:after="0" w:line="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Reference Rate Reform. </w:t>
      </w:r>
      <w:r>
        <w:rPr>
          <w:rFonts w:ascii="Times New Roman" w:cs="Times New Roman" w:eastAsia="Times New Roman" w:hAnsi="Times New Roman"/>
          <w:sz w:val="18"/>
          <w:szCs w:val="18"/>
          <w:color w:val="auto"/>
        </w:rPr>
        <w:t>In March 2020, the FASB issued ASU 2020-04,</w:t>
      </w:r>
      <w:r>
        <w:rPr>
          <w:rFonts w:ascii="Times New Roman" w:cs="Times New Roman" w:eastAsia="Times New Roman" w:hAnsi="Times New Roman"/>
          <w:sz w:val="18"/>
          <w:szCs w:val="18"/>
          <w:i w:val="1"/>
          <w:iCs w:val="1"/>
          <w:color w:val="auto"/>
        </w:rPr>
        <w:t xml:space="preserve"> Reference Rate Reform (Topic 848), Facilitation of the Effects of Reference Rate Reform on Financial Reporting, </w:t>
      </w:r>
      <w:r>
        <w:rPr>
          <w:rFonts w:ascii="Times New Roman" w:cs="Times New Roman" w:eastAsia="Times New Roman" w:hAnsi="Times New Roman"/>
          <w:sz w:val="18"/>
          <w:szCs w:val="18"/>
          <w:color w:val="auto"/>
        </w:rPr>
        <w:t>which provides temporary optional expedients and exceptions for applying U.S. GAAP to contracts, hedging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transactions that reference the London Interbank Offered Rate (“LIBOR”) or another reference rate expected to be discontinued because of reference rate reform. Among other things, for all types of hedging relationships, the guidance allows an entity to change the reference rate and other critical terms related</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 reference rate reform without having to remeasure the value or reassess a previous accounting determination. The amendments in this guidance should be applied on a prospective basis and, for companies with a fiscal year ending December 31, are effective from January 1, 2020, through December 31, 2022. We adopted this guidance effective January 1, 2020. When the transition occurs, we expect to apply this expedient to new transactions that reference LIBOR or another reference rate that is discontinued, through December 31, 2022. The adoption of this ASU is not expected to have a material impact on our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December 2019, the FASB issued ASU 2019-12,</w:t>
      </w:r>
      <w:r>
        <w:rPr>
          <w:rFonts w:ascii="Times New Roman" w:cs="Times New Roman" w:eastAsia="Times New Roman" w:hAnsi="Times New Roman"/>
          <w:sz w:val="18"/>
          <w:szCs w:val="18"/>
          <w:i w:val="1"/>
          <w:iCs w:val="1"/>
          <w:color w:val="auto"/>
        </w:rPr>
        <w:t xml:space="preserve"> Income Taxes (Topic 740) - Simplifying the Accounting for Income Taxes, </w:t>
      </w:r>
      <w:r>
        <w:rPr>
          <w:rFonts w:ascii="Times New Roman" w:cs="Times New Roman" w:eastAsia="Times New Roman" w:hAnsi="Times New Roman"/>
          <w:sz w:val="18"/>
          <w:szCs w:val="18"/>
          <w:color w:val="auto"/>
        </w:rPr>
        <w:t>(“ASU 2019-12”) as part of its initiative to reduce complexity in accounting standards. ASU 2019-12 removes certain exceptions and provides simplification to specific tax items to improve consistent application. This standard is effective for fiscal years beginning after December 15, 2020, and interim periods within those fiscal years. Early adoption is permitted, including adoption in any interim period for which financial statements have not yet been issued. Adoption methods vary based on the specific items impacted. We are currently evaluating the impact on our financial statements and related disclosures.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Accounting for Convertible Instruments and Contracts in an Entity’s Own Equity,</w:t>
      </w:r>
      <w:r>
        <w:rPr>
          <w:rFonts w:ascii="Times New Roman" w:cs="Times New Roman" w:eastAsia="Times New Roman" w:hAnsi="Times New Roman"/>
          <w:sz w:val="18"/>
          <w:szCs w:val="18"/>
          <w:color w:val="auto"/>
        </w:rPr>
        <w:t xml:space="preserve"> (“ASU 2020-06”) which simplifies the accounting for certain financial instruments with characteristics of liabilities and equity. Specifically, ASU 2020-06 simplifies accounting for convertible instruments by removing major separation models required under current U.S. GAAP. In addition, ASU 2020-06 removes certain settlement conditions that are required for equity contracts to qualify for the derivative scope exception, which will permit more equity contracts to qualify for the exception. Further, for the diluted earnings-per-share calculation, the new guidance requires entities to use the if-converted method for all convertible instruments and generally requires entities to include the effect of share settlement for instruments that may be settled in cash or shares, among other things. ASU 2020-06 is effective for fiscal years beginning after December 15, 2021, and interim periods within those fiscal years. Early adoption is permitted for fiscal years beginning after December 15, 2020, and interim periods within those fiscal years. Either the full or modified retrospective adoption method is allowed. We are currently evaluating the impact on our financial statements and related disclosures.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August 2020, we entered into a Stock Purchase Agreement (the “SPA”) with affiliates of American Securities LLC for the sale of our Life Sciences business for an aggregate purchase price of up to $825 million, which includes a $755 million cash base purchase price and a potential earnout payment of up to $70 million. The cash base purchase price was subject to certain adjustments and was payable at the closing of the transaction, which occurred on October 6, 2020. See Note 19 for more information about the closing of the transaction. The earnout payment is subject to the performance of the Life Sciences business during the year ending December 31, 2022, measured by Adjusted EBITDA targets, as defined by the SPA. The Life Sciences business includes facilities that are engaged in the production of a variety of components, assemblies, and instruments, such as surgical knives, bioresorbable implants, surgical staples, cases and trays, orthopaedic implants and tools, laparoscopic devices, and drug delivery devices for the orthopaedics and medical/surgical end markets. The sale of the Life Sciences business furthers management’s strategy to improve liquidity and creates the financial flexibility to pursue key growth areas in the Mobile Solutions and Power Solutions segments.</w:t>
      </w:r>
    </w:p>
    <w:p>
      <w:pPr>
        <w:spacing w:after="0" w:line="7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205-20, </w:t>
      </w:r>
      <w:r>
        <w:rPr>
          <w:rFonts w:ascii="Times New Roman" w:cs="Times New Roman" w:eastAsia="Times New Roman" w:hAnsi="Times New Roman"/>
          <w:sz w:val="18"/>
          <w:szCs w:val="18"/>
          <w:i w:val="1"/>
          <w:iCs w:val="1"/>
          <w:color w:val="auto"/>
        </w:rPr>
        <w:t>Presentation of Financial Statements - Discontinued Operations,</w:t>
      </w:r>
      <w:r>
        <w:rPr>
          <w:rFonts w:ascii="Times New Roman" w:cs="Times New Roman" w:eastAsia="Times New Roman" w:hAnsi="Times New Roman"/>
          <w:sz w:val="18"/>
          <w:szCs w:val="18"/>
          <w:color w:val="auto"/>
        </w:rPr>
        <w:t xml:space="preserve"> the operating results of the Life Sciences business are classified as discontinued operations. The presentation of discontinued operations includes revenues and expenses of the discontinued operations and will also include any gain on the disposition of the business, all net of tax, as one line item on the Condensed Consolidated Statements of Operations and Comprehensive Income (Loss). The Condensed Consolidated Statements of Operations and Comprehensive Income (Loss) for all periods presented have been revised to reflect this presentation. Accordingly, the results of the Life Sciences business have been excluded from continuing operations and segment results for all periods presented in the condensed consolidated financial statements and the accompanying notes unless otherwise stated. The Condensed Consolidated Statements of Cash Flows include cash flows of the Life Sciences business in each line item unless otherwise stated.</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of the discontinued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Pr>
          <w:p>
            <w:pPr>
              <w:spacing w:after="0"/>
              <w:rPr>
                <w:sz w:val="16"/>
                <w:szCs w:val="16"/>
                <w:color w:val="auto"/>
              </w:rPr>
            </w:pPr>
          </w:p>
        </w:tc>
        <w:tc>
          <w:tcPr>
            <w:tcW w:w="24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22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63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68,525</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93,438</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223,944</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269,981</w:t>
            </w:r>
          </w:p>
        </w:tc>
      </w:tr>
      <w:tr>
        <w:trPr>
          <w:trHeight w:val="189"/>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(exclusive of depreciation and amortization shown separately below)</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50,444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64,420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158,538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186,694</w:t>
            </w:r>
          </w:p>
        </w:tc>
      </w:tr>
      <w:tr>
        <w:trPr>
          <w:trHeight w:val="18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6,164</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20,189</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25,917</w:t>
            </w:r>
          </w:p>
        </w:tc>
      </w:tr>
      <w:tr>
        <w:trPr>
          <w:trHeight w:val="189"/>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35,731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35,418</w:t>
            </w:r>
          </w:p>
        </w:tc>
      </w:tr>
      <w:tr>
        <w:trPr>
          <w:trHeight w:val="18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impairment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146,757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operating expense (income), net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18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(137,291)</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22,066</w:t>
            </w:r>
          </w:p>
        </w:tc>
      </w:tr>
      <w:tr>
        <w:trPr>
          <w:trHeight w:val="189"/>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37,857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33,663</w:t>
            </w:r>
          </w:p>
        </w:tc>
      </w:tr>
      <w:tr>
        <w:trPr>
          <w:trHeight w:val="18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 and write-off of debt issuance costs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w:t>
            </w:r>
          </w:p>
        </w:tc>
      </w:tr>
      <w:tr>
        <w:trPr>
          <w:trHeight w:val="18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discontinued operations before costs of disposal and benefit for income taxes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(13,539)</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(176,211)</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(14,009)</w:t>
            </w:r>
          </w:p>
        </w:tc>
      </w:tr>
      <w:tr>
        <w:trPr>
          <w:trHeight w:val="18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Benefit for income taxes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39,954</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59,598</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2,159</w:t>
            </w:r>
          </w:p>
        </w:tc>
      </w:tr>
      <w:tr>
        <w:trPr>
          <w:trHeight w:val="18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discontinued operations before costs of disposal</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26,415</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(116,613)</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(11,850)</w:t>
            </w:r>
          </w:p>
        </w:tc>
      </w:tr>
      <w:tr>
        <w:trPr>
          <w:trHeight w:val="189"/>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of disposal of discontinued operations (1)</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for income taxes on disposal costs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discontinued operations, net of tax</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20,330</w:t>
            </w:r>
          </w:p>
        </w:tc>
        <w:tc>
          <w:tcPr>
            <w:tcW w:w="2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(123,966)</w:t>
            </w:r>
          </w:p>
        </w:tc>
        <w:tc>
          <w:tcPr>
            <w:tcW w:w="2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(11,850)</w:t>
            </w:r>
          </w:p>
        </w:tc>
      </w:tr>
      <w:tr>
        <w:trPr>
          <w:trHeight w:val="21"/>
        </w:trPr>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900" w:right="100" w:hanging="244"/>
        <w:spacing w:after="0" w:line="282" w:lineRule="auto"/>
        <w:tabs>
          <w:tab w:leader="none" w:pos="9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legal, accounting, and other incremental direct costs related to the sale of the Life Sciences business that were incurred prior to the closing of the sale.</w:t>
      </w:r>
    </w:p>
    <w:p>
      <w:pPr>
        <w:spacing w:after="0" w:line="18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Our credit facility required us to use proceeds from the sale of the Life Sciences business to prepay a portion of our existing debt. We paid $700 million in the aggregate on our term loans as described in Note 10. The prepayment was applied to debt in accordance with the prepayment provisions of the credit</w:t>
      </w:r>
    </w:p>
    <w:p>
      <w:pPr>
        <w:ind w:right="80"/>
        <w:spacing w:after="0" w:line="243" w:lineRule="auto"/>
        <w:rPr>
          <w:sz w:val="20"/>
          <w:szCs w:val="20"/>
          <w:color w:val="auto"/>
        </w:rPr>
      </w:pPr>
      <w:r>
        <w:rPr>
          <w:rFonts w:ascii="Times New Roman" w:cs="Times New Roman" w:eastAsia="Times New Roman" w:hAnsi="Times New Roman"/>
          <w:sz w:val="18"/>
          <w:szCs w:val="18"/>
          <w:color w:val="auto"/>
        </w:rPr>
        <w:t>agreement immediately after the transaction closed on October 6, 2020. Average quarterly interest rates were multiplied by the required prepayment amounts to calculate interest expense to be reclassified to discontinued operations for all periods presented. Write-offs of credit facility debt issuance costs were allocated to discontinued operations by multiplying the ratio of the required prepayment amounts as a percentage of total outstanding principal by the total write-off charges in each period. Write-offs of credit facility debt issuance costs that have been allocated to discontinued operations are presented in the “Loss on extinguishment of debt and write-off of debt issuance costs” line the table above. The following table summarizes the amount of interest expense related to the credit facility that has been reclassified to discontinued operations.</w:t>
      </w:r>
    </w:p>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6"/>
          </w:tcPr>
          <w:p>
            <w:pPr>
              <w:ind w:left="20"/>
              <w:spacing w:after="0" w:line="187" w:lineRule="exact"/>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8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4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31,490</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 and other</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 of discontinued operations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12,248</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37,857</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amounts of major classes of assets and liabilities of discontinued operations for each of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0" w:type="dxa"/>
            <w:vAlign w:val="bottom"/>
          </w:tcPr>
          <w:p>
            <w:pPr>
              <w:spacing w:after="0"/>
              <w:rPr>
                <w:sz w:val="16"/>
                <w:szCs w:val="16"/>
                <w:color w:val="auto"/>
              </w:rPr>
            </w:pPr>
          </w:p>
        </w:tc>
        <w:tc>
          <w:tcPr>
            <w:tcW w:w="14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8"/>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15,986</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13,792</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48,318</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51,644</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w:t>
            </w:r>
          </w:p>
        </w:tc>
      </w:tr>
      <w:tr>
        <w:trPr>
          <w:trHeight w:val="22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106,139</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117,000</w:t>
            </w: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118,536</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20,044</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197,353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344,316</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188,584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211,847</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524,761</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695,054</w:t>
            </w: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held for sale (1)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630,900</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812,054</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7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16,367</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7,627</w:t>
            </w:r>
          </w:p>
        </w:tc>
      </w:tr>
      <w:tr>
        <w:trPr>
          <w:trHeight w:val="22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36,019</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41,546</w:t>
            </w: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61,338</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18,405</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w:t>
            </w:r>
          </w:p>
        </w:tc>
      </w:tr>
      <w:tr>
        <w:trPr>
          <w:trHeight w:val="22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84,813</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84,199</w:t>
            </w: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held for sale (1)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120,832</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125,745</w:t>
            </w:r>
          </w:p>
        </w:tc>
      </w:tr>
      <w:tr>
        <w:trPr>
          <w:trHeight w:val="20"/>
        </w:trPr>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900" w:hanging="244"/>
        <w:spacing w:after="0" w:line="282" w:lineRule="auto"/>
        <w:tabs>
          <w:tab w:leader="none" w:pos="9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2020, all assets and liabilities held for sale are classified as current on the Condensed Consolidated Balance Sheet because they were expected to be sold within twelve months.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significant noncash items and cash paid for capital expenditures of discontinued operations for each period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35,731</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35,418</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16,358</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 (1)</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Includes new leases, renewals, and modifications.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Prior Periods' Financial Statement Revisions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disclosed in our 2019 Annual Report, we identified various misstatements in our previously issued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and for the years ended December 31, 2018 and 2017, as well as the interim periods in 2018 and the first three quarters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These misstatements primarily related to (i) intentional misstatements in the accounting for inventory at one of our smaller foreign subsidiaries and</w:t>
      </w:r>
    </w:p>
    <w:p>
      <w:pPr>
        <w:spacing w:after="0" w:line="9" w:lineRule="exact"/>
        <w:rPr>
          <w:sz w:val="20"/>
          <w:szCs w:val="20"/>
          <w:color w:val="auto"/>
        </w:rPr>
      </w:pPr>
    </w:p>
    <w:p>
      <w:pPr>
        <w:ind w:right="120" w:firstLine="8"/>
        <w:spacing w:after="0" w:line="253" w:lineRule="auto"/>
        <w:tabs>
          <w:tab w:leader="none" w:pos="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tax accounting associated with the 2018 impairment of our joint venture. We assessed the materiality of the misstatements on prior periods’ financial statements in accordance with SEC Staff Accounting Bulletin (“SAB”) Topic 1.M, </w:t>
      </w:r>
      <w:r>
        <w:rPr>
          <w:rFonts w:ascii="Times New Roman" w:cs="Times New Roman" w:eastAsia="Times New Roman" w:hAnsi="Times New Roman"/>
          <w:sz w:val="18"/>
          <w:szCs w:val="18"/>
          <w:i w:val="1"/>
          <w:iCs w:val="1"/>
          <w:color w:val="auto"/>
        </w:rPr>
        <w:t>Materiality</w:t>
      </w:r>
      <w:r>
        <w:rPr>
          <w:rFonts w:ascii="Times New Roman" w:cs="Times New Roman" w:eastAsia="Times New Roman" w:hAnsi="Times New Roman"/>
          <w:sz w:val="18"/>
          <w:szCs w:val="18"/>
          <w:color w:val="auto"/>
        </w:rPr>
        <w:t xml:space="preserve">, codified in Accounting Standards Codification (“ASC”) Topic 250, </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(“ASC 250”) and concluded that the misstatements were not material to the prior annual or interim periods. However, we revised our previously issued 2018 and 2017 annual consolidated financial statements to correct for these misstatements. In connection with such revision, we also corrected for other immaterial misstatements.</w:t>
      </w:r>
    </w:p>
    <w:p>
      <w:pPr>
        <w:spacing w:after="0" w:line="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this Quarterly Report, we have revised the accompanying Condensed Consolidated Statements of Operations and Comprehensive Income (Loss), Changes in Stockholders’ Equity, and Cash Flows for the three and nine months ended September 30, 2019, and the related notes to revise for those misstatements that impacted such period.</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effect of the correction of the misstatements and the resulting revision on the Condensed Consolidated Statements of Operations and Comprehensive Income (Loss) as well as the effect of recasting the prior periods for the Life Sciences discontinued operations (see Note 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As Originally</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Discontinued</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Pr>
          <w:p>
            <w:pPr>
              <w:spacing w:after="0"/>
              <w:rPr>
                <w:sz w:val="11"/>
                <w:szCs w:val="11"/>
                <w:color w:val="auto"/>
              </w:rPr>
            </w:pPr>
          </w:p>
        </w:tc>
        <w:tc>
          <w:tcPr>
            <w:tcW w:w="9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 (exclusive of depreciation and amortization)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160,816</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(64,420)</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96,654</w:t>
            </w:r>
          </w:p>
        </w:tc>
        <w:tc>
          <w:tcPr>
            <w:tcW w:w="0" w:type="dxa"/>
            <w:vAlign w:val="bottom"/>
          </w:tcPr>
          <w:p>
            <w:pPr>
              <w:spacing w:after="0"/>
              <w:rPr>
                <w:sz w:val="1"/>
                <w:szCs w:val="1"/>
                <w:color w:val="auto"/>
              </w:rPr>
            </w:pPr>
          </w:p>
        </w:tc>
      </w:tr>
      <w:tr>
        <w:trPr>
          <w:trHeight w:val="189"/>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(provision) benefit for income taxes and share of net income from joint venture</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(6,249)</w:t>
            </w:r>
          </w:p>
        </w:tc>
        <w:tc>
          <w:tcPr>
            <w:tcW w:w="0" w:type="dxa"/>
            <w:vAlign w:val="bottom"/>
          </w:tcPr>
          <w:p>
            <w:pPr>
              <w:spacing w:after="0"/>
              <w:rPr>
                <w:sz w:val="1"/>
                <w:szCs w:val="1"/>
                <w:color w:val="auto"/>
              </w:rPr>
            </w:pPr>
          </w:p>
        </w:tc>
      </w:tr>
      <w:tr>
        <w:trPr>
          <w:trHeight w:val="189"/>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(4,836)</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(5,855)</w:t>
            </w:r>
          </w:p>
        </w:tc>
        <w:tc>
          <w:tcPr>
            <w:tcW w:w="0" w:type="dxa"/>
            <w:vAlign w:val="bottom"/>
          </w:tcPr>
          <w:p>
            <w:pPr>
              <w:spacing w:after="0"/>
              <w:rPr>
                <w:sz w:val="1"/>
                <w:szCs w:val="1"/>
                <w:color w:val="auto"/>
              </w:rPr>
            </w:pPr>
          </w:p>
        </w:tc>
      </w:tr>
      <w:tr>
        <w:trPr>
          <w:trHeight w:val="189"/>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loss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(11,178)</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(17,976)</w:t>
            </w:r>
          </w:p>
        </w:tc>
        <w:tc>
          <w:tcPr>
            <w:tcW w:w="0" w:type="dxa"/>
            <w:vAlign w:val="bottom"/>
          </w:tcPr>
          <w:p>
            <w:pPr>
              <w:spacing w:after="0"/>
              <w:rPr>
                <w:sz w:val="1"/>
                <w:szCs w:val="1"/>
                <w:color w:val="auto"/>
              </w:rPr>
            </w:pPr>
          </w:p>
        </w:tc>
      </w:tr>
      <w:tr>
        <w:trPr>
          <w:trHeight w:val="189"/>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loss from continuing operations per common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4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net loss per common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0" w:type="dxa"/>
            <w:vAlign w:val="bottom"/>
          </w:tcPr>
          <w:p>
            <w:pPr>
              <w:spacing w:after="0"/>
              <w:rPr>
                <w:sz w:val="1"/>
                <w:szCs w:val="1"/>
                <w:color w:val="auto"/>
              </w:rPr>
            </w:pPr>
          </w:p>
        </w:tc>
      </w:tr>
      <w:tr>
        <w:trPr>
          <w:trHeight w:val="189"/>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loss from continuing operations per common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4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net loss per common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0" w:type="dxa"/>
            <w:vAlign w:val="bottom"/>
          </w:tcPr>
          <w:p>
            <w:pPr>
              <w:spacing w:after="0"/>
              <w:rPr>
                <w:sz w:val="1"/>
                <w:szCs w:val="1"/>
                <w:color w:val="auto"/>
              </w:rPr>
            </w:pPr>
          </w:p>
        </w:tc>
      </w:tr>
      <w:tr>
        <w:trPr>
          <w:trHeight w:val="670"/>
        </w:trPr>
        <w:tc>
          <w:tcPr>
            <w:tcW w:w="6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As Originally</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Discontinued</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Pr>
          <w:p>
            <w:pPr>
              <w:spacing w:after="0"/>
              <w:rPr>
                <w:sz w:val="11"/>
                <w:szCs w:val="11"/>
                <w:color w:val="auto"/>
              </w:rPr>
            </w:pPr>
          </w:p>
        </w:tc>
        <w:tc>
          <w:tcPr>
            <w:tcW w:w="9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 (exclusive of depreciation and amortization)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485,598</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(186,694)</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300,666</w:t>
            </w:r>
          </w:p>
        </w:tc>
        <w:tc>
          <w:tcPr>
            <w:tcW w:w="0" w:type="dxa"/>
            <w:vAlign w:val="bottom"/>
          </w:tcPr>
          <w:p>
            <w:pPr>
              <w:spacing w:after="0"/>
              <w:rPr>
                <w:sz w:val="1"/>
                <w:szCs w:val="1"/>
                <w:color w:val="auto"/>
              </w:rPr>
            </w:pPr>
          </w:p>
        </w:tc>
      </w:tr>
      <w:tr>
        <w:trPr>
          <w:trHeight w:val="189"/>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(7,457)</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provision for income taxes and share of net income from joint venture</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(17,457)</w:t>
            </w:r>
          </w:p>
        </w:tc>
        <w:tc>
          <w:tcPr>
            <w:tcW w:w="0" w:type="dxa"/>
            <w:vAlign w:val="bottom"/>
          </w:tcPr>
          <w:p>
            <w:pPr>
              <w:spacing w:after="0"/>
              <w:rPr>
                <w:sz w:val="1"/>
                <w:szCs w:val="1"/>
                <w:color w:val="auto"/>
              </w:rPr>
            </w:pPr>
          </w:p>
        </w:tc>
      </w:tr>
      <w:tr>
        <w:trPr>
          <w:trHeight w:val="189"/>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(20,806)</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(30,894)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(32,656)</w:t>
            </w:r>
          </w:p>
        </w:tc>
        <w:tc>
          <w:tcPr>
            <w:tcW w:w="0" w:type="dxa"/>
            <w:vAlign w:val="bottom"/>
          </w:tcPr>
          <w:p>
            <w:pPr>
              <w:spacing w:after="0"/>
              <w:rPr>
                <w:sz w:val="1"/>
                <w:szCs w:val="1"/>
                <w:color w:val="auto"/>
              </w:rPr>
            </w:pPr>
          </w:p>
        </w:tc>
      </w:tr>
      <w:tr>
        <w:trPr>
          <w:trHeight w:val="189"/>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loss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(11,354)</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(54,275)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(55,771)</w:t>
            </w:r>
          </w:p>
        </w:tc>
        <w:tc>
          <w:tcPr>
            <w:tcW w:w="0" w:type="dxa"/>
            <w:vAlign w:val="bottom"/>
          </w:tcPr>
          <w:p>
            <w:pPr>
              <w:spacing w:after="0"/>
              <w:rPr>
                <w:sz w:val="1"/>
                <w:szCs w:val="1"/>
                <w:color w:val="auto"/>
              </w:rPr>
            </w:pPr>
          </w:p>
        </w:tc>
      </w:tr>
      <w:tr>
        <w:trPr>
          <w:trHeight w:val="189"/>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loss from continuing operations per common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4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net loss per common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0" w:type="dxa"/>
            <w:vAlign w:val="bottom"/>
          </w:tcPr>
          <w:p>
            <w:pPr>
              <w:spacing w:after="0"/>
              <w:rPr>
                <w:sz w:val="1"/>
                <w:szCs w:val="1"/>
                <w:color w:val="auto"/>
              </w:rPr>
            </w:pPr>
          </w:p>
        </w:tc>
      </w:tr>
      <w:tr>
        <w:trPr>
          <w:trHeight w:val="189"/>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loss from continuing operations per common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4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net loss per common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of the correction of the misstatements on the Condensed Consolidated Statements of Changes in Stockholders’ Equity.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Originally Reported</w:t>
            </w:r>
          </w:p>
        </w:tc>
        <w:tc>
          <w:tcPr>
            <w:tcW w:w="30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20" w:type="dxa"/>
            <w:vAlign w:val="bottom"/>
          </w:tcPr>
          <w:p>
            <w:pPr>
              <w:spacing w:after="0"/>
              <w:rPr>
                <w:sz w:val="16"/>
                <w:szCs w:val="16"/>
                <w:color w:val="auto"/>
              </w:rPr>
            </w:pPr>
          </w:p>
        </w:tc>
        <w:tc>
          <w:tcPr>
            <w:tcW w:w="14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As Revised</w:t>
            </w:r>
          </w:p>
        </w:tc>
      </w:tr>
      <w:tr>
        <w:trPr>
          <w:trHeight w:val="174"/>
        </w:trPr>
        <w:tc>
          <w:tcPr>
            <w:tcW w:w="56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 September 30, 2019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513,268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501,506</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(91,198)</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(54,429)</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356,302</w:t>
            </w:r>
          </w:p>
        </w:tc>
      </w:tr>
      <w:tr>
        <w:trPr>
          <w:trHeight w:val="270"/>
        </w:trPr>
        <w:tc>
          <w:tcPr>
            <w:tcW w:w="5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189"/>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and for the nine months ended September 30, 2019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513,268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501,506</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(32,656)</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(91,198)</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(54,429)</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356,302</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 of the correction of the misstatements on the Condensed Consolidated Statements of Cash Flows.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gridSpan w:val="6"/>
          </w:tcPr>
          <w:p>
            <w:pPr>
              <w:jc w:val="center"/>
              <w:ind w:left="1137"/>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1360" w:type="dxa"/>
            <w:vAlign w:val="bottom"/>
            <w:tcBorders>
              <w:bottom w:val="single" w:sz="8" w:color="auto"/>
            </w:tcBorders>
          </w:tcPr>
          <w:p>
            <w:pPr>
              <w:spacing w:after="0"/>
              <w:rPr>
                <w:sz w:val="16"/>
                <w:szCs w:val="16"/>
                <w:color w:val="auto"/>
              </w:rPr>
            </w:pPr>
          </w:p>
        </w:tc>
      </w:tr>
      <w:tr>
        <w:trPr>
          <w:trHeight w:val="188"/>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Originally Reported</w:t>
            </w:r>
          </w:p>
        </w:tc>
        <w:tc>
          <w:tcPr>
            <w:tcW w:w="300" w:type="dxa"/>
            <w:vAlign w:val="bottom"/>
          </w:tcPr>
          <w:p>
            <w:pPr>
              <w:spacing w:after="0"/>
              <w:rPr>
                <w:sz w:val="16"/>
                <w:szCs w:val="16"/>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00" w:type="dxa"/>
            <w:vAlign w:val="bottom"/>
          </w:tcPr>
          <w:p>
            <w:pPr>
              <w:spacing w:after="0"/>
              <w:rPr>
                <w:sz w:val="16"/>
                <w:szCs w:val="16"/>
                <w:color w:val="auto"/>
              </w:rPr>
            </w:pPr>
          </w:p>
        </w:tc>
        <w:tc>
          <w:tcPr>
            <w:tcW w:w="13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As Revised</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(32,656)</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r>
      <w:tr>
        <w:trPr>
          <w:trHeight w:val="234"/>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11,871</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Segment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has historically been aggregated into the following three reportable segments:</w:t>
      </w:r>
    </w:p>
    <w:p>
      <w:pPr>
        <w:spacing w:after="0" w:line="11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Solutions, which is focused on growth in the general industrial and automotive end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Solutions, which is focused on growth in the electrical and aerospace and defense end markets;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Sciences, which is focused on growth in the medical end market, primarily in the orthopaedics and medical/surgical end markets and was sold on October 6, 2020.</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divisions have historically been considered our three operating segments as each engages in business activities for which it earns revenues and incurs expenses, discrete financial information is available for each, and this is the level at which the chief operating decision maker reviews discrete financial information for purposes of allocating resources and assessing performance. See Note 2 and Note 19 for information regarding the sale of the Life Sciences business on October 6, 2020. The results of the Life Sciences business are classified as discontinued operations for all periods in the condensed consolidated financial statements and accompanying notes unless otherwise stated. Accordingly, results of the Life Sciences business are not included in the tabular presentation below.</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results of continuing operations by reportable segment.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20" w:type="dxa"/>
            <w:vAlign w:val="bottom"/>
          </w:tcPr>
          <w:p>
            <w:pPr>
              <w:spacing w:after="0"/>
              <w:rPr>
                <w:sz w:val="13"/>
                <w:szCs w:val="13"/>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40" w:type="dxa"/>
            <w:vAlign w:val="bottom"/>
          </w:tcPr>
          <w:p>
            <w:pPr>
              <w:spacing w:after="0"/>
              <w:rPr>
                <w:sz w:val="13"/>
                <w:szCs w:val="13"/>
                <w:color w:val="auto"/>
              </w:rPr>
            </w:pPr>
          </w:p>
        </w:tc>
        <w:tc>
          <w:tcPr>
            <w:tcW w:w="11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4"/>
                <w:szCs w:val="14"/>
                <w:b w:val="1"/>
                <w:bCs w:val="1"/>
                <w:color w:val="auto"/>
              </w:rPr>
              <w:t>and</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6"/>
                <w:szCs w:val="16"/>
                <w:color w:val="auto"/>
              </w:rPr>
            </w:pPr>
          </w:p>
        </w:tc>
        <w:tc>
          <w:tcPr>
            <w:tcW w:w="11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560" w:type="dxa"/>
            <w:vAlign w:val="bottom"/>
            <w:tcBorders>
              <w:top w:val="single" w:sz="8" w:color="CCEEFF"/>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270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0" w:type="dxa"/>
            <w:vAlign w:val="bottom"/>
            <w:tcBorders>
              <w:top w:val="single" w:sz="8" w:color="auto"/>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1180" w:type="dxa"/>
            <w:vAlign w:val="bottom"/>
            <w:tcBorders>
              <w:top w:val="single" w:sz="8" w:color="auto"/>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 and share of net income from joint venture</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CCEEFF"/>
            </w:tcBorders>
            <w:shd w:val="clear" w:color="auto" w:fill="CCEEFF"/>
          </w:tcPr>
          <w:p>
            <w:pPr>
              <w:spacing w:after="0"/>
              <w:rPr>
                <w:sz w:val="11"/>
                <w:szCs w:val="11"/>
                <w:color w:val="auto"/>
              </w:rPr>
            </w:pPr>
          </w:p>
        </w:tc>
        <w:tc>
          <w:tcPr>
            <w:tcW w:w="2560" w:type="dxa"/>
            <w:vAlign w:val="bottom"/>
            <w:tcBorders>
              <w:bottom w:val="single" w:sz="8" w:color="auto"/>
            </w:tcBorders>
            <w:gridSpan w:val="2"/>
            <w:shd w:val="clear" w:color="auto" w:fill="CCEEFF"/>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Three Months Ended September 30, 2019</w:t>
            </w:r>
          </w:p>
        </w:tc>
        <w:tc>
          <w:tcPr>
            <w:tcW w:w="2700" w:type="dxa"/>
            <w:vAlign w:val="bottom"/>
            <w:tcBorders>
              <w:bottom w:val="single" w:sz="8" w:color="CCEEFF"/>
            </w:tcBorders>
            <w:gridSpan w:val="2"/>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 and share of net income from joint venture</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20" w:type="dxa"/>
            <w:vAlign w:val="bottom"/>
          </w:tcPr>
          <w:p>
            <w:pPr>
              <w:spacing w:after="0" w:line="20" w:lineRule="exact"/>
              <w:rPr>
                <w:sz w:val="1"/>
                <w:szCs w:val="1"/>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40" w:type="dxa"/>
            <w:vAlign w:val="bottom"/>
          </w:tcPr>
          <w:p>
            <w:pPr>
              <w:spacing w:after="0" w:line="20" w:lineRule="exact"/>
              <w:rPr>
                <w:sz w:val="1"/>
                <w:szCs w:val="1"/>
                <w:color w:val="auto"/>
              </w:rPr>
            </w:pPr>
          </w:p>
        </w:tc>
        <w:tc>
          <w:tcPr>
            <w:tcW w:w="118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4"/>
                <w:szCs w:val="14"/>
                <w:b w:val="1"/>
                <w:bCs w:val="1"/>
                <w:color w:val="auto"/>
              </w:rPr>
              <w:t>and</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6"/>
                <w:szCs w:val="16"/>
                <w:color w:val="auto"/>
              </w:rPr>
            </w:pPr>
          </w:p>
        </w:tc>
        <w:tc>
          <w:tcPr>
            <w:tcW w:w="11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48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27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1180" w:type="dxa"/>
            <w:vAlign w:val="bottom"/>
            <w:tcBorders>
              <w:top w:val="single" w:sz="8" w:color="auto"/>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127,307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(29,371)</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 and share of net income from joint venture</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48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2780" w:type="dxa"/>
            <w:vAlign w:val="bottom"/>
            <w:tcBorders>
              <w:bottom w:val="single" w:sz="8" w:color="CCEEFF"/>
            </w:tcBorders>
            <w:gridSpan w:val="3"/>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148,480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(30,432)</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 and share of net income from joint venture</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Includes elimination of intersegment transactions occurring during the ordinary course of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total assets by reportable segment as of September 30, 2020, and December 31, 2019.</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254"/>
              <w:spacing w:after="0"/>
              <w:rPr>
                <w:sz w:val="20"/>
                <w:szCs w:val="20"/>
                <w:color w:val="auto"/>
              </w:rPr>
            </w:pPr>
            <w:r>
              <w:rPr>
                <w:rFonts w:ascii="Times New Roman" w:cs="Times New Roman" w:eastAsia="Times New Roman" w:hAnsi="Times New Roman"/>
                <w:sz w:val="14"/>
                <w:szCs w:val="14"/>
                <w:b w:val="1"/>
                <w:bCs w:val="1"/>
                <w:color w:val="auto"/>
              </w:rPr>
              <w:t>Total Assets</w:t>
            </w:r>
          </w:p>
        </w:tc>
      </w:tr>
      <w:tr>
        <w:trPr>
          <w:trHeight w:val="188"/>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Mobile Solutions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369,939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373,256</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Solutions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310,545</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Consolidations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746,364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858,183</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1,316,209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1,541,984</w:t>
            </w: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of September 30, 2020, and December 31, 2019, one customer represented 12% and 10%, respectively, of consolidated accounts receivable from continuing operations. Amounts due from this customer are primarily related to Mobile Solutions.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comprised of the following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6"/>
                <w:szCs w:val="16"/>
                <w:color w:val="auto"/>
              </w:rPr>
            </w:pPr>
          </w:p>
        </w:tc>
        <w:tc>
          <w:tcPr>
            <w:tcW w:w="152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8"/>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Goodwill</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7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changes in the carrying amount of goodwill.</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impact and other</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(92,942)</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2020</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2019, all goodwill related to the Power Solutions reportable segment, and no goodwill was recorded in the Mobile Solutions reportable segment.</w:t>
      </w:r>
    </w:p>
    <w:p>
      <w:pPr>
        <w:spacing w:after="0" w:line="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goodwill impairment analysis required significant judgments to calculate the fair value for the Power Solutions reporting unit, including estimation of future cash flows, which is dependent on internal forecasts, estimation of the long-term growth rate for each operating segment, and determination of weighted average cost of capital. Our forecasts used in the goodwill impairment analysis reflected our expectations of declines in sales resulting from COVID-19. Significant assumptions and estimates are involved in the application of the discounted cash flow model to forecast operating cash flows, including market growth and market share, sales volumes and prices, costs to produce, discount rate, and estimated capital needs. Management considers historical experience and all available information at the time the fair values of its reporting units are estimated. Assumptions in estimating future cash flows are subject to a high degree of judgment and complexity. The carrying value of the Power Solutions reporting unit exceeded the estimated fair value as of the March 31, 2020, analysis. As a result of our analysis, we recorded an impairment loss on goodwill of $92.9 million to the “Goodwill impairment” line on the Condensed Consolidated Statements of Operations and Comprehensive Income (Loss). As of September 30, 2020, there is no remaining goodwill balance.</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changes in the carrying amount of intangible assets, net, by reportable segment.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300" w:type="dxa"/>
            <w:vAlign w:val="bottom"/>
          </w:tcPr>
          <w:p>
            <w:pPr>
              <w:spacing w:after="0"/>
              <w:rPr>
                <w:sz w:val="13"/>
                <w:szCs w:val="13"/>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360" w:type="dxa"/>
            <w:vAlign w:val="bottom"/>
          </w:tcPr>
          <w:p>
            <w:pPr>
              <w:spacing w:after="0"/>
              <w:rPr>
                <w:sz w:val="13"/>
                <w:szCs w:val="13"/>
                <w:color w:val="auto"/>
              </w:rPr>
            </w:pPr>
          </w:p>
        </w:tc>
        <w:tc>
          <w:tcPr>
            <w:tcW w:w="12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32,416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84,997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117,413</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8"/>
              </w:rPr>
              <w:t>(8,245)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(10,761)</w:t>
            </w:r>
          </w:p>
        </w:tc>
        <w:tc>
          <w:tcPr>
            <w:tcW w:w="0" w:type="dxa"/>
            <w:vAlign w:val="bottom"/>
          </w:tcPr>
          <w:p>
            <w:pPr>
              <w:spacing w:after="0"/>
              <w:rPr>
                <w:sz w:val="1"/>
                <w:szCs w:val="1"/>
                <w:color w:val="auto"/>
              </w:rPr>
            </w:pPr>
          </w:p>
        </w:tc>
      </w:tr>
      <w:tr>
        <w:trPr>
          <w:trHeight w:val="243"/>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29,900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76,752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106,652</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Intangible assets are tested for impairment when changes in circumstances indicate the carrying value of those assets may not be recoverable. As of March 31, 2020, the goodwill impairment testing trigger caused us to test intangible assets in all of our reportable segments for impairment as well, and based on our analysis no impairment charge was deemed necessary.</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Investment in Joint Venture</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own a 49% investment in Wuxi Weifu Autocam Precision Machinery Company, Ltd. (the “JV”), a joint venture located in Wuxi, China. The JV is jointly controlled and managed, and we account for it under the equity method.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932"/>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changes in our investment in the JV.</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21"/>
        </w:trPr>
        <w:tc>
          <w:tcPr>
            <w:tcW w:w="9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21,755</w:t>
            </w: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earnings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2020</w:t>
            </w: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24,147</w:t>
            </w:r>
          </w:p>
        </w:tc>
      </w:tr>
      <w:tr>
        <w:trPr>
          <w:trHeight w:val="21"/>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fourth quarter of 2018, as a result of changing market conditions, the fair value of the JV was assessed, and we recorded an impairment of $16.6 million against our investment in the JV. The fair value assessment was significantly affected by changes in our assessment of future growth rates. During the first quarter of 2020, the goodwill impairment testing trigger caused us to test the JV for impairment as well. Based on our analysis, no impairment charge was deemed necessary. It is reasonably possible that material deviation of future performance from the estimates used in the March 31, 2020, impairment test could result in additional impairment to our investment in the JV in subsequent periods.</w:t>
      </w:r>
    </w:p>
    <w:p>
      <w:pPr>
        <w:spacing w:after="0" w:line="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recognized sales to the JV of less than $0.1 million and $0.1 million during the three and nine months ended September 30, 2020, respectively, and less than $0.1 million and $0.1 million during the three and nine months ended September 30, 2019, respectively.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enacted. Among other provisions, the CARES Act allows for the carryback of certain tax losses and favorably impacts the deductibility of interest expense and depreciation. The CARES Act had a material impact on our financial statements and has been accounted for in the benefit/provision for income taxes for the nine months ended September 30, 2020.</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effective tax rate for continuing operations was 106.1% and 5.9% for the three and nine months ended September 30, 2020, respectively, and 18.2% and (21.2)% for the three and nine months ended September 30, 2019, respectively. The 2020 year-to-date effective tax rate for continuing operations differs from the U.S. federal statutory tax rate of 21% primarily due to the impact of the impairment of nondeductible goodwill which is treated as a permanent difference. The year-to-date effective tax rate was also impacted by the CARES Act, the anticipated withholding taxes which would be due upon repatriation of the unremitted earnings of foreign subsidiaries, and the impact of losses in jurisdictions where it is more likely than not that a tax benefit will not be realized. The effective tax rate for the three months ended September 30, 2020, was primarily impacted by the effect of the impairment of nondeductible goodwill on the estimated annual effective tax rate and a change in the estimated impact of the CARES Act.</w:t>
      </w:r>
    </w:p>
    <w:p>
      <w:pPr>
        <w:spacing w:after="0" w:line="8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2019 effective tax rate differs from the U.S. federal statutory tax rate of 21% principally due to a discrete tax charge of $6.0 million related to final tax regulations published by the Department of the Treasury and Internal Revenue Service on February 4, 2019. The effective tax rate for the three months ended September 30, 2019, was primarily impacted by changes in the full year forecast book income (loss) within each jurisdiction in which we operate.</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2020, we realized a tax benefit in discontinued operations related to estimated tax in excess of book outside basis in a subsidiary held for sale. The related deferred tax asset is not included in current assets held for sale given it will be retained and settled by NN, Inc.</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Debt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Collectively, our credit facility is comprised of a term loan with a face amount of $545.0 million, maturing on October 19, 2022 (the “Senior Secured Term Loan”); a term loan with a face amount of $300.0 million, maturing on October 19, 2022 (the “Incremental Term Loan”); and a revolving line of credit with a face amount of $75.0 million, maturing on July 20, 2022 (the “Senior Secured Revolver”). The credit facility is collateralized by all of our assets.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debt balances as of September 30, 2020, and December 31,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8"/>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526,313</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Term Loan</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257,111</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Revolver</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lines of credit and other loans (1)</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9,579</w:t>
            </w:r>
          </w:p>
        </w:tc>
      </w:tr>
      <w:tr>
        <w:trPr>
          <w:trHeight w:val="223"/>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principal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793,003</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Less-current maturities of long-term debt (2)</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713,350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19,106</w:t>
            </w:r>
          </w:p>
        </w:tc>
      </w:tr>
      <w:tr>
        <w:trPr>
          <w:trHeight w:val="223"/>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Principal, net of current portion</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773,897</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Less-unamortized debt issuance costs (3)</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16,647</w:t>
            </w:r>
          </w:p>
        </w:tc>
      </w:tr>
      <w:tr>
        <w:trPr>
          <w:trHeight w:val="248"/>
        </w:trPr>
        <w:tc>
          <w:tcPr>
            <w:tcW w:w="7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757,250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900" w:right="200" w:hanging="244"/>
        <w:spacing w:after="0" w:line="281" w:lineRule="auto"/>
        <w:tabs>
          <w:tab w:leader="none" w:pos="9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$1.0 million and $0.2 million of equipment loans directly attributable to the Life Sciences business which have been reclassified to liabilities held for sale as of September 30, 2020, and December 31, 2019, respectively.</w:t>
      </w:r>
    </w:p>
    <w:p>
      <w:pPr>
        <w:spacing w:after="0" w:line="1" w:lineRule="exact"/>
        <w:rPr>
          <w:rFonts w:ascii="Times New Roman" w:cs="Times New Roman" w:eastAsia="Times New Roman" w:hAnsi="Times New Roman"/>
          <w:sz w:val="18"/>
          <w:szCs w:val="18"/>
          <w:color w:val="auto"/>
        </w:rPr>
      </w:pPr>
    </w:p>
    <w:p>
      <w:pPr>
        <w:ind w:left="900" w:hanging="244"/>
        <w:spacing w:after="0" w:line="258" w:lineRule="auto"/>
        <w:tabs>
          <w:tab w:leader="none" w:pos="9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2020, includes $474.3 million of Senior Secured Term Loan principal and $225.7 million of Incremental Term Loan principal that is classified as current because of management’s expectation that proceeds from the liquidation of assets held for sale will be required to retire the obligation within twelve months as required by the credit agreement (see Note 2). Also includes $9.0 million of outstanding borrowings on the Senior Secured Revolver as of September 30, 2020, which represents the excess over the $50.0 million available capacity that will be in effect twelve months after the balance sheet date.</w:t>
      </w:r>
    </w:p>
    <w:p>
      <w:pPr>
        <w:spacing w:after="0" w:line="21" w:lineRule="exact"/>
        <w:rPr>
          <w:rFonts w:ascii="Times New Roman" w:cs="Times New Roman" w:eastAsia="Times New Roman" w:hAnsi="Times New Roman"/>
          <w:sz w:val="18"/>
          <w:szCs w:val="18"/>
          <w:color w:val="auto"/>
        </w:rPr>
      </w:pPr>
    </w:p>
    <w:p>
      <w:pPr>
        <w:ind w:left="900" w:right="420" w:hanging="244"/>
        <w:spacing w:after="0" w:line="282" w:lineRule="auto"/>
        <w:tabs>
          <w:tab w:leader="none" w:pos="9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this amount, costs of $2.1 million and $3.0 million related to the Senior Secured Revolver are recorded in other non-current assets as of September 30, 2020, and December 31, 2019, respectively.</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capitalized interest costs of less than $0.1 million and $0.3 million in the three months ended September 30, 2020 and 2019, respectively, and $0.2 million and $1.2 million in the nine months ended September 30, 2020 and 2019, respectively, related to construction in progress.</w:t>
      </w:r>
    </w:p>
    <w:p>
      <w:pPr>
        <w:spacing w:after="0" w:line="5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August 2020, we entered into an agreement to sell our Life Sciences business (see Note 2). The sale closed on October 6, 2020, at which time we received cash proceeds of $757.2 million. We immediately prepaid $700.0 million in the aggregate on the Senior Secured Term Loan and the Incremental Term Loan. We also paid in full the outstanding balance on the Senior Secured Revolver. The prepayment was applied to debt in accordance with the prepayment provisions of the credit agreement immediately after the transaction closed on October 6, 2020. See Note 2 for a description of the methodology for allocating debt-related costs in historical periods to discontinued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w:t>
      </w:r>
    </w:p>
    <w:p>
      <w:pPr>
        <w:spacing w:after="0" w:line="1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Outstanding borrowings under the Senior Secured Term Loan bear interest at one-month LIBOR (subject to a 0.75% floor) plus an applicable margin of 5.75%. At September 30, 2020, the Senior Secured Term Loan bore interest at 6.50%.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Incremental Term Loan</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Outstanding borrowings under the Incremental Term Loan bear interest at one-month LIBOR plus an applicable margin of 5.75%. At September 30, 2020, the Incremental Term Loan bore interest of 5.90%.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Revolver</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Outstanding borrowings under the Senior Secured Revolver bear interest on a variable rate structure at either 1) one-month LIBOR plus an applicable margin of 4.00% or 2) the prime lending rate plus an applicable margin of 3.00%. At September 30, 2020, the weighted average interest rate on outstanding borrowings under the Senior Secured Revolver was 4.11%. We pay a commitment fee of 0.50% for unused capacity under the Senior Secured Revolver.</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had $59.0 million outstanding under the Senior Secured Revolver at September 30, 2020. Total capacity under the Senior Secured Revolver was $75.0 million as of September 30, 2020, with $1.4 million available for future borrowings after reductions for outstanding letters of credit and outstanding borrowings as of September 30, 2020.</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Amendments</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July 2020, we amended our Credit Agreement to waive compliance with the financial leverage ratio covenant for the second and third quarters of 2020. During this period, we are required to maintain minimum liquidity levels, provide certain financial</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and other information, and take certain other action as specified in the amendment. Failure to maintain the required minimum liquidity levels or satisfy other requirements set forth in the amendment would allow the revolving credit lenders, the Senior Secured Term loan lenders, and the Incremental Term Loan lenders to cause amounts outstanding under our credit facility to become immediately due and payable and would have a material, adverse impact on our financial position.</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August 2020, we amended our Credit Agreement to obtain the lenders’ consent to the sale of the Life Sciences business, subject to certain terms and conditions. The amendment required a minimum of $675.0 million in cash proceeds from the sale. All cash proceeds, less certain allowable costs, were required by the amendment to be used to prepay the Senior Secured Term Loan and the Incremental Term Loan. The amendment also required a minimum $15.0 million payment on the Senior Secured Revolver and reduced total capacity to $60.0 million immediately after the sale of the Life Sciences business. The capacity will decrease to $50.0 million on June 30, 2021. The amendment requires cash in excess of $35.0 million on the last day of each month to be used to pay down the Senior Secured Revolver. Liquidity thresholds were amended so that the threshold decreases commensurate with any principal payment on the Senior Secured Revolver.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requirements under our credit facility as of September 30, 2020.</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capitalized a total of $0.4 million in new debt issuance costs related to the July 2020 and August 2020 amendments. Costs related to the Senior Secured Term Loan and the Incremental Term Loan are recorded as a direct reduction to the carrying amount of the associated long-term debt. Costs related to the Senior Secured Revolver are recorded in other non-current assets. Additionally, $1.5 million of unamortized debt issuance costs were written off in the nine months ended September 30, 2020, in connection with the July 2020 and August 2020 amendments. See Note 2 for a description of the methodology for allocating amortization and write-offs of debt issuance costs in historical periods to discontinued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February 2019, we entered into a $700.0 million amortizing notional amount fixed-rate interest rate swap agreement to manage the interest rate risk associated with our long-term variable-rate debt until 2022. The fixed-rate interest rate swap agreement calls for us to receive interest monthly at a variable rate equal to one-month LIBOR and to pay interest monthly at a fixed rate of 2.4575%. Refer to Note 18 for further discussion of the interest rate swap agreement.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supplemental cash flow information related to leases of continuing operations.</w:t>
      </w:r>
    </w:p>
    <w:p>
      <w:pPr>
        <w:spacing w:after="0" w:line="238" w:lineRule="exact"/>
        <w:rPr>
          <w:sz w:val="20"/>
          <w:szCs w:val="20"/>
          <w:color w:val="auto"/>
        </w:rPr>
      </w:pPr>
    </w:p>
    <w:p>
      <w:pPr>
        <w:jc w:val="center"/>
        <w:ind w:left="92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2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26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9"/>
        </w:trPr>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9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w:t>
            </w:r>
          </w:p>
        </w:tc>
      </w:tr>
      <w:tr>
        <w:trPr>
          <w:trHeight w:val="230"/>
        </w:trPr>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w:t>
            </w:r>
          </w:p>
        </w:tc>
      </w:tr>
      <w:tr>
        <w:trPr>
          <w:trHeight w:val="234"/>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 (1)</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Includes new leases, renewals, and modifications.</w:t>
      </w:r>
    </w:p>
    <w:p>
      <w:pPr>
        <w:spacing w:after="0" w:line="27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disclosed in our 2019 Annual Report, we had an operating lease commitment that had not yet commenced. In March 2020, the operating lease for the manufacturing facility commenced and requires us to pay a total of approximately $27.5 million base rent payments over the lease term of 15 years. We began making rent payments in the third quarter of 2020.</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March 2020, we amended the lease of our corporate headquarters building to exit over half of the previously leased space and reduce annual base rent payments by approximately $1.3 million over the remaining lease term which ends in 2030. The amendment was accounted for as a lease modification, and the remeasurement of the lease resulted in an $8.1 million decrease in the operating lease right-of-use (“ROU”) asset, a $10.5 million decrease in the noncurrent portion of the operating lease liability, and a $0.6 million decrease in the current portion of the operating lease liability. The $3.0 million difference between the change in the operating lease ROU asset and the operating lease liabilities was recognized in “Other operating expense (income), net,” on the Condensed Consolidated Statements of Operations and Comprehensive Income (Loss). In connection with the discontinued use of the previously leased space, we also recognized a $4.4 million termination charge and a $2.9</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impairment charge on the associated leasehold improvements, all of which were also recognized in “Other operating expense (income), net.”</w:t>
      </w:r>
    </w:p>
    <w:p>
      <w:pPr>
        <w:spacing w:after="0" w:line="11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During the second quarter of 2020 and as part of our overall plan to improve liquidity during the COVID-19 pandemic, we negotiated with certain lessors to defer rent payments on leased buildings. In total, $0.5 million of operating lease payments for continuing operations are being deferred over a period ranging from April 2020 to December 2020 and will be repaid over a period ranging from June 2020 through December 2022. The deferral of rent payments did not result in a substantial change in total lease payments over the individual lease terms. We have elected to apply lease accounting relief announced by the FASB in April 2020 and have treated these lease concessions as if they existed in the original contracts rather than applying lease modification accounting. The net impact on cash flows from operating activities on the Condensed Consolidated Statements of Cash Flows for the nine months ended September 30, 2020, was $0.6 million in cash savings which includes $0.4 million related to continuing operations.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 ICMS Tax Matter</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Prior to the acquisition of Autocam Corporation in 2014 (“Autocam”),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In May 2020, we received an unfavorable decision in one of the lawsuits, and as a result have recorded a liability to the Brazilian tax authorities and a receivable from the former shareholders of Autocam for the same amount.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$5.0 million, inclusive of interest and penalties.</w:t>
      </w:r>
    </w:p>
    <w:p>
      <w:pPr>
        <w:spacing w:after="0" w:line="8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 Accordingly, we don’t expect to incur a loss related to this matter even in the event of an unfavorable decision and, therefore, have not accrued an amount for the remaining matters as of September 30, 2020.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Offering Matter</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November 1, 2019, Erie County Employees’ Retirement System, on behalf of a purported class of plaintiffs, filed a complaint in the Supreme Court of the State of New York, County of New York, against the Company, certain of the Company’s current and former officers and directors, and each of the underwriters involved in the Company’s public offering and sale of 14.4 million shares of its common stock pursuant to a preliminary prospectus supplement, dated September 10, 2018, a final prospectus supplement, dated September 13, 2018, and a base prospectus, dated April 19, 2017, relating to the Company’s effective shelf registration statement on Form S-3 (File No. 333-216737) (the “Offering”), which complaint was amended on January 24, 2020. The complaint alleges violations of Sections 11, 12(a)(2), and 15 of the Securities Act of 1933 in connection with the Offering. The plaintiffs seek to represent a class of stockholders who purchased shares of the Company’s common stock in the Offering. The complaint seeks unspecified monetary damages and other relief. The Company believes the complaint and allegations to be without merit and intends to vigorously defend itself against these actions. The Company is unable at this time to determine whether the outcome of the litigation would have a material impact on the Company’s financial position, results of operations, or cash flows.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Matters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October 26, 2020, Corre Opportunities Qualified Master Fund, LP, and Corre Horizon Fund, LP, filed a complaint in the Chancery Court of the State of Delaware against the Company. The complaint alleges that the Company’s sale of its Life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Sciences business without obtaining the prior consent of the plaintiffs was a breach of the terms of the Series B Preferred Stock. The complaint seeks unspecified monetary damages and other relief. The Company believes the complaint and allegations to be without merit and intends to vigorously defend itself against these actions. The Company is unable at this time to determine whether the outcome of the litigation would have a material impact on the Company’s financial position, results of operations, or cash flows.</w:t>
      </w:r>
    </w:p>
    <w:p>
      <w:pPr>
        <w:spacing w:after="0" w:line="7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Preferred Stock and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Convertible Preferred Stock</w:t>
      </w:r>
    </w:p>
    <w:p>
      <w:pPr>
        <w:spacing w:after="0" w:line="1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Preferred Stock has a liquidation preference of $1,000 per share; is redeemable at our option in cash (or, under certain circumstances, in stock), subject to the applicable redemption premium; is convertible into a variable number of common shares on certain terms and conditions on or after March 31, 2023; and is subject to certain other rights and obligations.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Preferred Stock shares earn cumulative dividends at a rate of 10.625% per year, payable quarterly in arrears if declared, and accrue whether or not earned or declared. If a Preferred Stock dividend is declared by the Board of Directors, then it will be paid in cash. Additionally, holders of Preferred Stock participate in any dividends paid on shares of our common stock on an as-converted basis at a fixed conversion rate. Our common stockholders approved a proposal at our 2020 annual stockholder meeting to issue common stock in excess of thresholds established by certain Nasdaq stock market rules upon the exercise of warrants or the conversion or redemption of Preferred Stock.</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Preferred Stock is classified as mezzanine equity, between liabilities and stockholders’ equity, because certain features of the Preferred Stock could require redemption of some or all Preferred Stock upon events that are considered not solely within our control, including a leverage ratio threshold and the passage of time. For initial recognition in 2019, the Preferred Stock was recognized at a discounted value, net of issuance costs and allocation to warrants and bifurcated embedded derivatives. The aggregate discount is amortized as a deemed dividend through December 31, 2023, which is the date the holders have a non-contingent conversion option into a variable number of common shares equal to the liquidation preference plus accrued and unpaid dividends. Deemed dividends adjust retained earnings (or in the absence of retained earnings, additional paid-in capital).</w:t>
      </w:r>
    </w:p>
    <w:p>
      <w:pPr>
        <w:spacing w:after="0" w:line="7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September 30, 2020, the carrying value of the Preferred Stock shares was $101.8 million which included $9.1 million of accumulated unpaid and deemed dividends. The following table presents the change in the Preferred Stock carrying value during the nine months ended September 30, 2020.</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-136525</wp:posOffset>
            </wp:positionV>
            <wp:extent cx="711517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Accrual of in-kind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Amortization and other</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Ending balance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326"/>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30" w:lineRule="exact"/>
        <w:rPr>
          <w:sz w:val="20"/>
          <w:szCs w:val="20"/>
          <w:color w:val="auto"/>
        </w:rPr>
      </w:pPr>
    </w:p>
    <w:p>
      <w:pPr>
        <w:ind w:left="1306" w:hanging="1306"/>
        <w:spacing w:after="0"/>
        <w:tabs>
          <w:tab w:leader="none" w:pos="13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93,012</w:t>
      </w:r>
    </w:p>
    <w:p>
      <w:pPr>
        <w:spacing w:after="0" w:line="27" w:lineRule="exact"/>
        <w:rPr>
          <w:rFonts w:ascii="Times New Roman" w:cs="Times New Roman" w:eastAsia="Times New Roman" w:hAnsi="Times New Roman"/>
          <w:sz w:val="18"/>
          <w:szCs w:val="18"/>
          <w:color w:val="auto"/>
        </w:rPr>
      </w:pPr>
    </w:p>
    <w:p>
      <w:pPr>
        <w:ind w:left="138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8,230</w:t>
      </w:r>
    </w:p>
    <w:p>
      <w:pPr>
        <w:spacing w:after="0" w:line="22" w:lineRule="exact"/>
        <w:rPr>
          <w:rFonts w:ascii="Times New Roman" w:cs="Times New Roman" w:eastAsia="Times New Roman" w:hAnsi="Times New Roman"/>
          <w:sz w:val="18"/>
          <w:szCs w:val="18"/>
          <w:color w:val="auto"/>
        </w:rPr>
      </w:pPr>
    </w:p>
    <w:p>
      <w:pPr>
        <w:ind w:left="152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2001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1" w:lineRule="exact"/>
        <w:rPr>
          <w:sz w:val="20"/>
          <w:szCs w:val="20"/>
          <w:color w:val="auto"/>
        </w:rPr>
      </w:pPr>
    </w:p>
    <w:p>
      <w:pPr>
        <w:ind w:left="1206" w:hanging="1206"/>
        <w:spacing w:after="0"/>
        <w:tabs>
          <w:tab w:leader="none" w:pos="12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2001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200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634" w:space="720"/>
            <w:col w:w="1846"/>
          </w:cols>
          <w:pgMar w:left="320" w:top="121" w:right="379" w:bottom="1440" w:gutter="0" w:footer="0" w:header="0"/>
          <w:type w:val="continuous"/>
        </w:sect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Share Purchase Rights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April 15, 2020, our Board of Directors authorized and declared a dividend of one preferred share purchase right for each outstanding share of common stock to shareholders of record on April 27, 2020. The rights will become exercisable if a person or group becomes the beneficial owner of 15% or more of our outstanding common stock (including in the form of synthetic ownership through derivative positions). In the event that the rights become exercisable due to the triggering ownership threshold being crossed, each right will entitle its holder to purchase one thousandth of a share of Series C Junior Participating Preferred Stock for $31.50 per share. Rights held by the triggering person or entity will become void and will not be exercisable. The Board of Directors may, rather than permitting the exercise of the rights, exchange each right (other than rights held by the triggering person or entity) for one share of common stock per right, subject to adjustment. The Board of Directors will, prior to the rights becoming exercisable, in general be entitled to redeem the rights for $0.001 per right. The rights expire on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Revenue from Contracts with Customers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00" w:type="dxa"/>
            <w:vAlign w:val="bottom"/>
          </w:tcPr>
          <w:p>
            <w:pPr>
              <w:spacing w:after="0"/>
              <w:rPr>
                <w:sz w:val="11"/>
                <w:szCs w:val="11"/>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Sales</w:t>
            </w:r>
          </w:p>
        </w:tc>
        <w:tc>
          <w:tcPr>
            <w:tcW w:w="360" w:type="dxa"/>
            <w:vAlign w:val="bottom"/>
          </w:tcPr>
          <w:p>
            <w:pPr>
              <w:spacing w:after="0"/>
              <w:rPr>
                <w:sz w:val="11"/>
                <w:szCs w:val="11"/>
                <w:color w:val="auto"/>
              </w:rPr>
            </w:pP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Puerto Rico</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72,390</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14,365</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3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0" w:type="dxa"/>
            <w:vAlign w:val="bottom"/>
          </w:tcPr>
          <w:p>
            <w:pPr>
              <w:spacing w:after="0"/>
              <w:rPr>
                <w:sz w:val="1"/>
                <w:szCs w:val="1"/>
                <w:color w:val="auto"/>
              </w:rPr>
            </w:pPr>
          </w:p>
        </w:tc>
      </w:tr>
      <w:tr>
        <w:trPr>
          <w:trHeight w:val="22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113,761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00" w:type="dxa"/>
            <w:vAlign w:val="bottom"/>
          </w:tcPr>
          <w:p>
            <w:pPr>
              <w:spacing w:after="0"/>
              <w:rPr>
                <w:sz w:val="11"/>
                <w:szCs w:val="11"/>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Sales</w:t>
            </w:r>
          </w:p>
        </w:tc>
        <w:tc>
          <w:tcPr>
            <w:tcW w:w="360" w:type="dxa"/>
            <w:vAlign w:val="bottom"/>
          </w:tcPr>
          <w:p>
            <w:pPr>
              <w:spacing w:after="0"/>
              <w:rPr>
                <w:sz w:val="11"/>
                <w:szCs w:val="11"/>
                <w:color w:val="auto"/>
              </w:rPr>
            </w:pP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Puerto Rico</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(42)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78,855</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0" w:type="dxa"/>
            <w:vAlign w:val="bottom"/>
          </w:tcPr>
          <w:p>
            <w:pPr>
              <w:spacing w:after="0"/>
              <w:rPr>
                <w:sz w:val="1"/>
                <w:szCs w:val="1"/>
                <w:color w:val="auto"/>
              </w:rPr>
            </w:pPr>
          </w:p>
        </w:tc>
      </w:tr>
      <w:tr>
        <w:trPr>
          <w:trHeight w:val="22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73,071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w w:val="99"/>
              </w:rPr>
              <w:t>(42)</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120,459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00" w:type="dxa"/>
            <w:vAlign w:val="bottom"/>
          </w:tcPr>
          <w:p>
            <w:pPr>
              <w:spacing w:after="0"/>
              <w:rPr>
                <w:sz w:val="11"/>
                <w:szCs w:val="11"/>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Sales</w:t>
            </w:r>
          </w:p>
        </w:tc>
        <w:tc>
          <w:tcPr>
            <w:tcW w:w="360" w:type="dxa"/>
            <w:vAlign w:val="bottom"/>
          </w:tcPr>
          <w:p>
            <w:pPr>
              <w:spacing w:after="0"/>
              <w:rPr>
                <w:sz w:val="11"/>
                <w:szCs w:val="11"/>
                <w:color w:val="auto"/>
              </w:rPr>
            </w:pP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Puerto Rico</w:t>
            </w: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(93)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198,844</w:t>
            </w:r>
          </w:p>
        </w:tc>
        <w:tc>
          <w:tcPr>
            <w:tcW w:w="0" w:type="dxa"/>
            <w:vAlign w:val="bottom"/>
          </w:tcPr>
          <w:p>
            <w:pPr>
              <w:spacing w:after="0"/>
              <w:rPr>
                <w:sz w:val="1"/>
                <w:szCs w:val="1"/>
                <w:color w:val="auto"/>
              </w:rPr>
            </w:pPr>
          </w:p>
        </w:tc>
      </w:tr>
      <w:tr>
        <w:trPr>
          <w:trHeight w:val="23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35,192</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18,261</w:t>
            </w:r>
          </w:p>
        </w:tc>
        <w:tc>
          <w:tcPr>
            <w:tcW w:w="0" w:type="dxa"/>
            <w:vAlign w:val="bottom"/>
          </w:tcPr>
          <w:p>
            <w:pPr>
              <w:spacing w:after="0"/>
              <w:rPr>
                <w:sz w:val="1"/>
                <w:szCs w:val="1"/>
                <w:color w:val="auto"/>
              </w:rPr>
            </w:pPr>
          </w:p>
        </w:tc>
      </w:tr>
      <w:tr>
        <w:trPr>
          <w:trHeight w:val="23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21,247</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3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26,848</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127,307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w w:val="99"/>
              </w:rPr>
              <w:t>(93)</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308,506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20" w:type="dxa"/>
            <w:vAlign w:val="bottom"/>
          </w:tcPr>
          <w:p>
            <w:pPr>
              <w:spacing w:after="0"/>
              <w:rPr>
                <w:sz w:val="11"/>
                <w:szCs w:val="11"/>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Sales</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Puerto Rico</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249,329</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32,886</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27,653</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25,920</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33,624</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230,590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148,480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378,838</w:t>
            </w:r>
          </w:p>
        </w:tc>
        <w:tc>
          <w:tcPr>
            <w:tcW w:w="0" w:type="dxa"/>
            <w:vAlign w:val="bottom"/>
          </w:tcPr>
          <w:p>
            <w:pPr>
              <w:spacing w:after="0"/>
              <w:rPr>
                <w:sz w:val="1"/>
                <w:szCs w:val="1"/>
                <w:color w:val="auto"/>
              </w:rPr>
            </w:pPr>
          </w:p>
        </w:tc>
      </w:tr>
      <w:tr>
        <w:trPr>
          <w:trHeight w:val="21"/>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Deferred Revenue</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liabilities from contracts with customers.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89"/>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January 1, 2020</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3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Revenue recognized during the nine months ended September 30, 2020, from amounts included in deferred revenue at the beginning of the period for performance obligations satisfied or partially satisfied during the period, was $0.3 million. Deferred revenue is reported in the “Other current liabilities” line on the Condensed Consolidated Balance Sheets.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required to disclose the aggregate amount of transaction price that is allocated to performance obligations that have not yet been satisfied as of September 30, 2020, unless our contracts meet one of the practical expedients. Our contracts met the practical expedient for a performance obligation that is part of a contract that has an original expected duration of one year or less.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Concentration</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recognized sales from a single customer of $12.2 million, or 10% of consolidated net sales, during the three months ended September 30, 2019. We recognized sales from this customer of $39.0 million, or 10% of consolidated net sales, during the nine months ended September 30, 2019. Revenues from this customer are in our Mobile Solutions segment and were less than 10% of consolidated net sales, during the nine months ended September 30, 2020.</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Share-Based Compensation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Share-based compensation cost is recognized in the “Selling, general and administrative expense” line in the Condensed Consolidated Statements of Operations and Comprehensive Income (Loss) except for $(0.2) million and $0.1 million, attributable to discontinued operations for the three months ended September 30, 2020 and 2019, respectively, and $0.2 million and $0.3 million attributable to discontinued operations for the nine months ended September</w:t>
      </w:r>
    </w:p>
    <w:p>
      <w:pPr>
        <w:spacing w:after="0"/>
        <w:rPr>
          <w:sz w:val="20"/>
          <w:szCs w:val="20"/>
          <w:color w:val="auto"/>
        </w:rPr>
      </w:pPr>
      <w:r>
        <w:rPr>
          <w:rFonts w:ascii="Times New Roman" w:cs="Times New Roman" w:eastAsia="Times New Roman" w:hAnsi="Times New Roman"/>
          <w:sz w:val="18"/>
          <w:szCs w:val="18"/>
          <w:color w:val="auto"/>
        </w:rPr>
        <w:t>30, 2020 and 2019, respectively. The following table lists the components of share-based compensation expense by type of award.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89"/>
        </w:trPr>
        <w:tc>
          <w:tcPr>
            <w:tcW w:w="48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48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900" w:type="dxa"/>
            <w:vAlign w:val="bottom"/>
          </w:tcPr>
          <w:p>
            <w:pPr>
              <w:spacing w:after="0"/>
              <w:rPr>
                <w:sz w:val="19"/>
                <w:szCs w:val="19"/>
                <w:color w:val="auto"/>
              </w:rPr>
            </w:pPr>
          </w:p>
        </w:tc>
        <w:tc>
          <w:tcPr>
            <w:tcW w:w="60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estimate of share-based award vesting</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75"/>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48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2020, we granted options to purchase 158,700 shares to certain key employees. The weighted average grant date fair value of the options granted during the nine months ended September 30, 2020, was $4.76 per share. The fair value of our options cannot be determined by market value because they are not traded in an open market. Accordingly, we utilized the Black Scholes financial pricing model to estimate the fair value.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weighted average assumptions relevant to determining the fair value of stock options granted in 2020.</w:t>
            </w:r>
          </w:p>
        </w:tc>
        <w:tc>
          <w:tcPr>
            <w:tcW w:w="1160" w:type="dxa"/>
            <w:vAlign w:val="bottom"/>
          </w:tcPr>
          <w:p>
            <w:pPr>
              <w:spacing w:after="0"/>
              <w:rPr>
                <w:sz w:val="20"/>
                <w:szCs w:val="20"/>
                <w:color w:val="auto"/>
              </w:rPr>
            </w:pPr>
          </w:p>
        </w:tc>
      </w:tr>
      <w:tr>
        <w:trPr>
          <w:trHeight w:val="121"/>
        </w:trPr>
        <w:tc>
          <w:tcPr>
            <w:tcW w:w="1008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230"/>
        </w:trPr>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years</w:t>
            </w:r>
          </w:p>
        </w:tc>
      </w:tr>
      <w:tr>
        <w:trPr>
          <w:trHeight w:val="229"/>
        </w:trPr>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29"/>
        </w:trPr>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52.80 %</w:t>
            </w:r>
          </w:p>
        </w:tc>
      </w:tr>
    </w:tbl>
    <w:p>
      <w:pPr>
        <w:spacing w:after="0" w:line="191"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color w:val="auto"/>
        </w:rPr>
        <w:t xml:space="preserve">The expected term is derived from using the simplified method of determining stock option terms as described under SAB Topic 14,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simplified method was used because sufficient historical stock option exercise experience was not available, primarily due to the transformation of the management structure over the past several years.</w:t>
      </w:r>
    </w:p>
    <w:p>
      <w:pPr>
        <w:spacing w:after="0" w:line="6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average risk-free interest rate is derived from the United States Department of Treasury published interest rates of daily yield curves for the same time period as the expected term.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dividend yield reflects no expected annual dividends over the expected term because we discontinued dividends in 2019.</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expected volatility rate is derived from our actual common stock historical volatility over the same time period as the expected term. The volatility rate is derived by a mathematical formula utilizing daily closing price data.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stock option activity for the nine months ended September 30, 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center"/>
              <w:ind w:right="179"/>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15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1"/>
                <w:szCs w:val="11"/>
                <w:color w:val="auto"/>
              </w:rPr>
            </w:pPr>
          </w:p>
        </w:tc>
        <w:tc>
          <w:tcPr>
            <w:tcW w:w="1180" w:type="dxa"/>
            <w:vAlign w:val="bottom"/>
            <w:vMerge w:val="restart"/>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60" w:type="dxa"/>
            <w:vAlign w:val="bottom"/>
          </w:tcPr>
          <w:p>
            <w:pPr>
              <w:spacing w:after="0"/>
              <w:rPr>
                <w:sz w:val="11"/>
                <w:szCs w:val="11"/>
                <w:color w:val="auto"/>
              </w:rPr>
            </w:pPr>
          </w:p>
        </w:tc>
        <w:tc>
          <w:tcPr>
            <w:tcW w:w="1200" w:type="dxa"/>
            <w:vAlign w:val="bottom"/>
          </w:tcPr>
          <w:p>
            <w:pPr>
              <w:jc w:val="center"/>
              <w:ind w:right="159"/>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center"/>
              <w:ind w:right="159"/>
              <w:spacing w:after="0" w:line="135"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1"/>
                <w:szCs w:val="11"/>
                <w:color w:val="auto"/>
              </w:rPr>
            </w:pPr>
          </w:p>
        </w:tc>
        <w:tc>
          <w:tcPr>
            <w:tcW w:w="15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1"/>
                <w:szCs w:val="11"/>
                <w:color w:val="auto"/>
              </w:rPr>
            </w:pPr>
          </w:p>
        </w:tc>
        <w:tc>
          <w:tcPr>
            <w:tcW w:w="1180" w:type="dxa"/>
            <w:vAlign w:val="bottom"/>
          </w:tcPr>
          <w:p>
            <w:pPr>
              <w:jc w:val="center"/>
              <w:ind w:right="181"/>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40" w:type="dxa"/>
            <w:vAlign w:val="bottom"/>
          </w:tcPr>
          <w:p>
            <w:pPr>
              <w:spacing w:after="0"/>
              <w:rPr>
                <w:sz w:val="16"/>
                <w:szCs w:val="16"/>
                <w:color w:val="auto"/>
              </w:rPr>
            </w:pPr>
          </w:p>
        </w:tc>
        <w:tc>
          <w:tcPr>
            <w:tcW w:w="118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2020</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5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15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19"/>
                <w:szCs w:val="19"/>
                <w:color w:val="auto"/>
              </w:rPr>
            </w:pPr>
          </w:p>
        </w:tc>
        <w:tc>
          <w:tcPr>
            <w:tcW w:w="15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5.5 years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2020</w:t>
            </w:r>
          </w:p>
        </w:tc>
        <w:tc>
          <w:tcPr>
            <w:tcW w:w="15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3.8 years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27" w:lineRule="exact"/>
        <w:rPr>
          <w:sz w:val="20"/>
          <w:szCs w:val="20"/>
          <w:color w:val="auto"/>
        </w:rPr>
      </w:pPr>
    </w:p>
    <w:p>
      <w:pPr>
        <w:ind w:left="660" w:right="40" w:hanging="328"/>
        <w:spacing w:after="0" w:line="282"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the sum of intrinsic values for each exercisable individual option grant. The intrinsic value is the amount by which the closing market price of our stock at September 30, 2020, was greater than the exercise price of any individual option grant.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17"/>
          <w:szCs w:val="17"/>
          <w:color w:val="auto"/>
        </w:rPr>
        <w:t>During the nine months ended September 30, 2020, we granted 460,255 shares of restricted stock to non-executive directors, officers and certain other key employees. The shares of restricted stock granted during the nine months ended September 30, 2020, vest pro-rata generally over three years for employees and over one year for non-executive directors and certain key employees. We determined the fair value of the shares awarded by using the closing price of our common stock as of the date of grant. The weighted average grant date value of restricted stock granted in the nine months ended September 30, 2020, was $9.35 per share. Total grant-date fair value of restricted stock that vested in the nine months ended September 30, 2020, was $1.2 million.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status of unvested restricted stock awards as of September 30, 2020, and changes during the nine months then ended.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219"/>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199"/>
              <w:spacing w:after="0" w:line="13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199"/>
              <w:spacing w:after="0" w:line="135"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30, 2020</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PSUs granted in 2020 were made pursuant to the NN, Inc. 2019 Omnibus Incentive Plan and a Performance Share Unit Agreement (the “2019 Omnibus Agreement”). Some PSUs are based on total shareholder return (“TSR Awards”), and other PSUs are based on return on invested capital (“ROIC Awards”).</w:t>
      </w:r>
    </w:p>
    <w:p>
      <w:pPr>
        <w:spacing w:after="0" w:line="7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TSR Awards vest, if at all, upon our achieving a specified relative total shareholder return, which will be measured against the total shareholder return of the S&amp;P SmallCap 600 Index during specified performance periods as defined in the 2019 Omnibus Agreement. The ROIC Awards vest, if at all, upon our achieving a specified average return on invested capital during the performance periods. Each performance period generally begins on January 1 of the year of grant and ends 36 months later on December 31.</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recognize compensation expense over the performance period in which the performance and market conditions are measured. If the PSUs do not vest at the end of the performance periods, then the PSUs will expire automatically. Upon vesting, the PSUs will be settled by the issuance of shares of our common stock, subject to the award recipient’s continued employment. The actual number of shares of common stock to be issued to each award recipient at the end of the performance periods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periods.</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 respect to the TSR Awards, a participant will earn 50% of the target number of PSUs for “Threshold Performance,” 100% of the target number of PSUs for “Target Performance,” and 150% of the target number of PSUs for “Maximum Performance.” With respect to the ROIC Awards, a participant will earn 35% of the target number of PSUs for “Threshold Performance,” 100% of the target number of PSUs for “Target Performance,” and 150% of the target number of PSUs for “Maximum Performance.” For performance levels falling between the values shown below, the percentages will be determined by interpolation.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goals with respect to TSR Awards and ROIC Awards granted in 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TSR Awards:</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Threshold Performance</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gridSpan w:val="3"/>
            <w:vMerge w:val="continue"/>
          </w:tcPr>
          <w:p>
            <w:pPr>
              <w:spacing w:after="0"/>
              <w:rPr>
                <w:sz w:val="12"/>
                <w:szCs w:val="12"/>
                <w:color w:val="auto"/>
              </w:rPr>
            </w:pPr>
          </w:p>
        </w:tc>
        <w:tc>
          <w:tcPr>
            <w:tcW w:w="2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(50% of Shares)</w:t>
            </w:r>
          </w:p>
        </w:tc>
        <w:tc>
          <w:tcPr>
            <w:tcW w:w="22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(100% of Shares)</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(150% of Shares)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grants</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35th Percentile</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50th Percentile</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75th Percentile</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ROIC Awards:</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Threshold Performance</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gridSpan w:val="3"/>
            <w:vMerge w:val="continue"/>
          </w:tcPr>
          <w:p>
            <w:pPr>
              <w:spacing w:after="0"/>
              <w:rPr>
                <w:sz w:val="12"/>
                <w:szCs w:val="12"/>
                <w:color w:val="auto"/>
              </w:rPr>
            </w:pPr>
          </w:p>
        </w:tc>
        <w:tc>
          <w:tcPr>
            <w:tcW w:w="2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(35% of Shares)</w:t>
            </w:r>
          </w:p>
        </w:tc>
        <w:tc>
          <w:tcPr>
            <w:tcW w:w="22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(100% of Shares)</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(150% of Shares)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grants</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5.1%</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We estimate the grant date fair value of TSR Awards using the Monte Carlo simulation model, as the total shareholder return metric is considered a market condition under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grant date fair value of ROIC Awards is based on the closing price of a share of our common stock on the date of grant.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number of PSUs granted and the grant date fair value in the period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3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TSR Awards</w:t>
            </w:r>
          </w:p>
        </w:tc>
        <w:tc>
          <w:tcPr>
            <w:tcW w:w="1300" w:type="dxa"/>
            <w:vAlign w:val="bottom"/>
          </w:tcPr>
          <w:p>
            <w:pPr>
              <w:spacing w:after="0"/>
              <w:rPr>
                <w:sz w:val="16"/>
                <w:szCs w:val="16"/>
                <w:color w:val="auto"/>
              </w:rPr>
            </w:pPr>
          </w:p>
        </w:tc>
        <w:tc>
          <w:tcPr>
            <w:tcW w:w="2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ROIC Awards</w:t>
            </w: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Borders>
              <w:top w:val="single" w:sz="8" w:color="auto"/>
            </w:tcBorders>
            <w:vMerge w:val="restart"/>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8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1"/>
                <w:szCs w:val="11"/>
                <w:color w:val="auto"/>
              </w:rPr>
            </w:pPr>
          </w:p>
        </w:tc>
        <w:tc>
          <w:tcPr>
            <w:tcW w:w="1300" w:type="dxa"/>
            <w:vAlign w:val="bottom"/>
            <w:tcBorders>
              <w:top w:val="single" w:sz="8" w:color="auto"/>
            </w:tcBorders>
            <w:vMerge w:val="restart"/>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35"/>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Award Year</w:t>
            </w:r>
          </w:p>
        </w:tc>
        <w:tc>
          <w:tcPr>
            <w:tcW w:w="13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20" w:type="dxa"/>
            <w:vAlign w:val="bottom"/>
            <w:gridSpan w:val="2"/>
            <w:vMerge w:val="continue"/>
          </w:tcPr>
          <w:p>
            <w:pPr>
              <w:spacing w:after="0"/>
              <w:rPr>
                <w:sz w:val="16"/>
                <w:szCs w:val="16"/>
                <w:color w:val="auto"/>
              </w:rPr>
            </w:pPr>
          </w:p>
        </w:tc>
        <w:tc>
          <w:tcPr>
            <w:tcW w:w="130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0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ind w:left="242"/>
              <w:spacing w:after="0"/>
              <w:rPr>
                <w:sz w:val="20"/>
                <w:szCs w:val="20"/>
                <w:color w:val="auto"/>
              </w:rPr>
            </w:pPr>
            <w:r>
              <w:rPr>
                <w:rFonts w:ascii="Times New Roman" w:cs="Times New Roman" w:eastAsia="Times New Roman" w:hAnsi="Times New Roman"/>
                <w:sz w:val="18"/>
                <w:szCs w:val="18"/>
                <w:color w:val="auto"/>
                <w:w w:val="96"/>
              </w:rPr>
              <w:t>139</w:t>
            </w: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ind w:left="282"/>
              <w:spacing w:after="0"/>
              <w:rPr>
                <w:sz w:val="20"/>
                <w:szCs w:val="20"/>
                <w:color w:val="auto"/>
              </w:rPr>
            </w:pPr>
            <w:r>
              <w:rPr>
                <w:rFonts w:ascii="Times New Roman" w:cs="Times New Roman" w:eastAsia="Times New Roman" w:hAnsi="Times New Roman"/>
                <w:sz w:val="18"/>
                <w:szCs w:val="18"/>
                <w:color w:val="auto"/>
                <w:w w:val="96"/>
              </w:rPr>
              <w:t>157</w:t>
            </w:r>
          </w:p>
        </w:tc>
        <w:tc>
          <w:tcPr>
            <w:tcW w:w="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recognize expense for ROIC Awards based on the probable outcome of the associated performance condition. We generally recognize an expense for ROIC Awards based on the Target Performance threshold of 100% because, at the date of grant, the Target Performance is the probable level of performance achievement.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status of unvested PSUs as of September 30, 2020, and changes during the nine months then ended.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16"/>
                <w:szCs w:val="16"/>
                <w:color w:val="auto"/>
              </w:rPr>
            </w:pPr>
          </w:p>
        </w:tc>
        <w:tc>
          <w:tcPr>
            <w:tcW w:w="3500" w:type="dxa"/>
            <w:vAlign w:val="bottom"/>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Nonvested TSR Awards</w:t>
            </w:r>
          </w:p>
        </w:tc>
        <w:tc>
          <w:tcPr>
            <w:tcW w:w="336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Nonvested ROIC Awards</w:t>
            </w: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280" w:type="dxa"/>
            <w:vAlign w:val="bottom"/>
            <w:vMerge w:val="restart"/>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620" w:type="dxa"/>
            <w:vAlign w:val="bottom"/>
            <w:vMerge w:val="restart"/>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2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2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2020</w:t>
            </w:r>
          </w:p>
        </w:tc>
        <w:tc>
          <w:tcPr>
            <w:tcW w:w="12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2020</w:t>
            </w:r>
          </w:p>
        </w:tc>
        <w:tc>
          <w:tcPr>
            <w:tcW w:w="12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185</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income (“AOCI”).</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14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taxes (1)</w:t>
            </w:r>
          </w:p>
        </w:tc>
        <w:tc>
          <w:tcPr>
            <w:tcW w:w="300" w:type="dxa"/>
            <w:vAlign w:val="bottom"/>
          </w:tcPr>
          <w:p>
            <w:pPr>
              <w:spacing w:after="0"/>
              <w:rPr>
                <w:sz w:val="13"/>
                <w:szCs w:val="13"/>
                <w:color w:val="auto"/>
              </w:rPr>
            </w:pP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(56,795)</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(54,429)</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14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taxes (1)</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(44,554)</w:t>
            </w:r>
          </w:p>
        </w:tc>
        <w:tc>
          <w:tcPr>
            <w:tcW w:w="0" w:type="dxa"/>
            <w:vAlign w:val="bottom"/>
          </w:tcPr>
          <w:p>
            <w:pPr>
              <w:spacing w:after="0"/>
              <w:rPr>
                <w:sz w:val="1"/>
                <w:szCs w:val="1"/>
                <w:color w:val="auto"/>
              </w:rPr>
            </w:pPr>
          </w:p>
        </w:tc>
      </w:tr>
      <w:tr>
        <w:trPr>
          <w:trHeight w:val="223"/>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(12,241)</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(31,314)</w:t>
            </w:r>
          </w:p>
        </w:tc>
        <w:tc>
          <w:tcPr>
            <w:tcW w:w="0" w:type="dxa"/>
            <w:vAlign w:val="bottom"/>
          </w:tcPr>
          <w:p>
            <w:pPr>
              <w:spacing w:after="0"/>
              <w:rPr>
                <w:sz w:val="1"/>
                <w:szCs w:val="1"/>
                <w:color w:val="auto"/>
              </w:rPr>
            </w:pPr>
          </w:p>
        </w:tc>
      </w:tr>
      <w:tr>
        <w:trPr>
          <w:trHeight w:val="223"/>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(23,353)</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(23,115)</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(54,429)</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 Income tax effect of changes in interest rate swap.</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 Represents settlements on the interest rate swap.</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Net Income (Loss) Per Common Share</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 company that has participating securities (for example, our Preferred Stock) is required to utilize the two-class method for calculating earnings per share (“EPS”) unless the treasury stock method results in lower EPS. The two-class method is an allocation of earnings between the holders of common stock and a company’s participating securities. Basic EPS is calculated by dividing income or loss attributable to common stockholders by the weighted average number of shares of common stock outstanding. To calculate diluted EPS, basic EPS is further adjusted to include the effect of potentially dilutive stock options, warrants, and Preferred Stock.</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income (loss) per common share.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8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6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(20,806)</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 Preferred Stock cumulative dividends and deemed dividends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624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Numerator for basic and diluted income (loss) from continuing operations per</w:t>
            </w: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(133,136)</w:t>
            </w: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(20,806)</w:t>
            </w:r>
          </w:p>
        </w:tc>
        <w:tc>
          <w:tcPr>
            <w:tcW w:w="0" w:type="dxa"/>
            <w:vAlign w:val="bottom"/>
          </w:tcPr>
          <w:p>
            <w:pPr>
              <w:spacing w:after="0"/>
              <w:rPr>
                <w:sz w:val="1"/>
                <w:szCs w:val="1"/>
                <w:color w:val="auto"/>
              </w:rPr>
            </w:pPr>
          </w:p>
        </w:tc>
      </w:tr>
      <w:tr>
        <w:trPr>
          <w:trHeight w:val="229"/>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share (1)</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discontinued operations, net of tax (Note 2)</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0" w:type="dxa"/>
            <w:vAlign w:val="bottom"/>
          </w:tcPr>
          <w:p>
            <w:pPr>
              <w:spacing w:after="0"/>
              <w:rPr>
                <w:sz w:val="1"/>
                <w:szCs w:val="1"/>
                <w:color w:val="auto"/>
              </w:rPr>
            </w:pPr>
          </w:p>
        </w:tc>
      </w:tr>
      <w:tr>
        <w:trPr>
          <w:trHeight w:val="223"/>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Numerator for basic and diluted undistributed net loss per common share (1)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(257,102)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(32,656)</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42,013</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common share net loss: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income (loss) from continuing operations per common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Basic income (loss) from discontinued operations per common share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 income (loss) from continuing operations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vMerge w:val="continue"/>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7"/>
                <w:szCs w:val="17"/>
                <w:color w:val="auto"/>
              </w:rPr>
            </w:pPr>
          </w:p>
        </w:tc>
        <w:tc>
          <w:tcPr>
            <w:tcW w:w="420" w:type="dxa"/>
            <w:vAlign w:val="bottom"/>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7"/>
                <w:szCs w:val="17"/>
                <w:color w:val="auto"/>
              </w:rPr>
            </w:pPr>
          </w:p>
        </w:tc>
        <w:tc>
          <w:tcPr>
            <w:tcW w:w="420" w:type="dxa"/>
            <w:vAlign w:val="bottom"/>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income (loss) from discontinued operations per common share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23"/>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Preferred Stock does not participate in losses.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potentially dilutive securities that were excluded from the calculation of diluted net income (loss) per common share because they had an anti-dilutive effect.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220" w:type="dxa"/>
            <w:vAlign w:val="bottom"/>
            <w:gridSpan w:val="4"/>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5740" w:type="dxa"/>
            <w:vAlign w:val="bottom"/>
          </w:tcPr>
          <w:p>
            <w:pPr>
              <w:spacing w:after="0"/>
              <w:rPr>
                <w:sz w:val="16"/>
                <w:szCs w:val="16"/>
                <w:color w:val="auto"/>
              </w:rPr>
            </w:pPr>
          </w:p>
        </w:tc>
        <w:tc>
          <w:tcPr>
            <w:tcW w:w="1800" w:type="dxa"/>
            <w:vAlign w:val="bottom"/>
            <w:tcBorders>
              <w:bottom w:val="single" w:sz="8" w:color="auto"/>
            </w:tcBorders>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7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3"/>
        </w:trPr>
        <w:tc>
          <w:tcPr>
            <w:tcW w:w="57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as-converted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23,573</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0"/>
        </w:trPr>
        <w:tc>
          <w:tcPr>
            <w:tcW w:w="5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elected to allocate undistributed income to participating securities based on year-to-date results. As there was no undistributed income for the nine months ended September 30, 2020, no such allocation was necessary. In addition, given the undistributed loss from continuing operations in the three and nine months ended September 30, 2020 and 2019, all options and warrants are considered anti-dilutive and were excluded from the calculation of diluted net income (loss) per share. Stock options excluded from the calculations of diluted net income (loss) per share had a per share exercise price ranging from $7.93 to $25.16 for the three months ended September 30, 2020, and $7.93 to $25.16 for three months ended September 30, 2019. Stock options excluded from the calculations of diluted net income (loss) per share had a per share exercise price ranging from $7.93 to $25.16 for the nine months ended September 30, 2020, and $8.54 to $25.16 for nine months ended September 30, 2019. Warrants excluded from the calculation of diluted net income (loss) per share for the three and nine months ended September 30, 2020, had a per share exercise price of $12.00. Preferred Stock excluded from the calculation of diluted net income (loss) per share for the three and nine months ended September 30, 2020, was calculated on an as-converted basis. Holders of Preferred Stock will have the right to convert up to 25% of their Preferred Stock into common shares per quarter after December 31, 2023, at a conversion price that equals a 30-day volume weighted average price per common share. Under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certain conditions, holders of Preferred Stock may elect to convert their Preferred Stock into common shares at an earlier date after March 31, 2023, at a conversion price that equals 90% of the volume weighted average market price per common share. The potentially dilutive Preferred Stock in the preceding table presents the more dilutive result of these conversion prices as if the Preferred Stock were converted on September 30, 2020.</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Fair Value Measurements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2019 Annual Report.</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financial instruments that are subject to fair value disclosure consist of cash and cash equivalents, accounts receivable, accounts payable, derivatives, and long-term debt. As of September 30, 2020, the carrying values of these financial instruments approximated fair value.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features were bifurcated and accounted for separately from the Preferred Stock. The following features are recorded as derivatives.</w:t>
      </w:r>
    </w:p>
    <w:p>
      <w:pPr>
        <w:spacing w:after="0" w:line="115" w:lineRule="exact"/>
        <w:rPr>
          <w:sz w:val="20"/>
          <w:szCs w:val="20"/>
          <w:color w:val="auto"/>
        </w:rPr>
      </w:pPr>
    </w:p>
    <w:p>
      <w:pPr>
        <w:jc w:val="both"/>
        <w:ind w:left="660" w:right="20" w:hanging="328"/>
        <w:spacing w:after="0" w:line="267"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Leverage ratio put feature. </w:t>
      </w:r>
      <w:r>
        <w:rPr>
          <w:rFonts w:ascii="Times New Roman" w:cs="Times New Roman" w:eastAsia="Times New Roman" w:hAnsi="Times New Roman"/>
          <w:sz w:val="18"/>
          <w:szCs w:val="18"/>
          <w:color w:val="auto"/>
        </w:rPr>
        <w:t>The Preferred Stock includes a redemption option based on a leverage ratio threshold that provides the preferred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to convert the Preferred Stock to a variable number of shares of common stock at a discount to the then fair value of our common stock. The conversion feature is considered a redemption right at a premium which is not clearly and closely related to the debt host.</w:t>
      </w:r>
    </w:p>
    <w:p>
      <w:pPr>
        <w:spacing w:after="0" w:line="65" w:lineRule="exact"/>
        <w:rPr>
          <w:rFonts w:ascii="Times New Roman" w:cs="Times New Roman" w:eastAsia="Times New Roman" w:hAnsi="Times New Roman"/>
          <w:sz w:val="18"/>
          <w:szCs w:val="18"/>
          <w:i w:val="1"/>
          <w:iCs w:val="1"/>
          <w:color w:val="auto"/>
        </w:rPr>
      </w:pPr>
    </w:p>
    <w:p>
      <w:pPr>
        <w:ind w:left="660" w:hanging="328"/>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Contingent dividends. </w:t>
      </w:r>
      <w:r>
        <w:rPr>
          <w:rFonts w:ascii="Times New Roman" w:cs="Times New Roman" w:eastAsia="Times New Roman" w:hAnsi="Times New Roman"/>
          <w:sz w:val="18"/>
          <w:szCs w:val="18"/>
          <w:color w:val="auto"/>
        </w:rPr>
        <w:t>The feature that allowed for the dividend rate to increase to 11.625% in 2020 if shareholder approval was not obtained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clearly and closely related to the debt host. Our common stockholders approved a proposal at our 2020 annual stockholder meeting to issue common stock in excess of thresholds established by certain Nasdaq stock market rules upon the exercise of warrants or the conversion or redemption of Preferred Stock. Because the annual stockholder meeting has already occurred, the contingent dividends feature no longer exists as of September 30, 2020.</w:t>
      </w:r>
    </w:p>
    <w:p>
      <w:pPr>
        <w:spacing w:after="0" w:line="75" w:lineRule="exact"/>
        <w:rPr>
          <w:rFonts w:ascii="Times New Roman" w:cs="Times New Roman" w:eastAsia="Times New Roman" w:hAnsi="Times New Roman"/>
          <w:sz w:val="18"/>
          <w:szCs w:val="18"/>
          <w:color w:val="auto"/>
        </w:rPr>
      </w:pPr>
    </w:p>
    <w:p>
      <w:pPr>
        <w:jc w:val="both"/>
        <w:ind w:left="660" w:right="160" w:hanging="328"/>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withholding. </w:t>
      </w:r>
      <w:r>
        <w:rPr>
          <w:rFonts w:ascii="Times New Roman" w:cs="Times New Roman" w:eastAsia="Times New Roman" w:hAnsi="Times New Roman"/>
          <w:sz w:val="18"/>
          <w:szCs w:val="18"/>
          <w:color w:val="auto"/>
        </w:rPr>
        <w:t>The Preferred Stock bears a feature that could require us to make an effective distribution to purchasers which is indexed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tax rate of the purchasers. This distribution would be partially offset by an adjustment to the redemption price and/or conversion rate. The dividends withholding feature is not clearly and closely related to the debt host.</w:t>
      </w:r>
    </w:p>
    <w:p>
      <w:pPr>
        <w:spacing w:after="0" w:line="65" w:lineRule="exact"/>
        <w:rPr>
          <w:rFonts w:ascii="Times New Roman" w:cs="Times New Roman" w:eastAsia="Times New Roman" w:hAnsi="Times New Roman"/>
          <w:sz w:val="18"/>
          <w:szCs w:val="18"/>
          <w:color w:val="auto"/>
        </w:rPr>
      </w:pPr>
    </w:p>
    <w:p>
      <w:pPr>
        <w:ind w:left="660" w:right="340" w:hanging="328"/>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The warrants issued with the Preferred Stock are exercisable, in full or in part, at any time prior to the seventh anniversary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at an exercise price of $12.00 per share, subject to customary anti-dilution adjustments in the event of future below market issuances, stock splits, stock dividends, combinations or similar events.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liabilities measured at fair value for the Preferred Stock derivative above as of September 30, 2020, and December 31,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gridSpan w:val="7"/>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Fair Value Measurements as of September 30, 2020</w:t>
            </w:r>
          </w:p>
        </w:tc>
        <w:tc>
          <w:tcPr>
            <w:tcW w:w="0" w:type="dxa"/>
            <w:vAlign w:val="bottom"/>
          </w:tcPr>
          <w:p>
            <w:pPr>
              <w:spacing w:after="0"/>
              <w:rPr>
                <w:sz w:val="1"/>
                <w:szCs w:val="1"/>
                <w:color w:val="auto"/>
              </w:rPr>
            </w:pPr>
          </w:p>
        </w:tc>
      </w:tr>
      <w:tr>
        <w:trPr>
          <w:trHeight w:val="133"/>
        </w:trPr>
        <w:tc>
          <w:tcPr>
            <w:tcW w:w="5980" w:type="dxa"/>
            <w:vAlign w:val="bottom"/>
          </w:tcPr>
          <w:p>
            <w:pPr>
              <w:spacing w:after="0"/>
              <w:rPr>
                <w:sz w:val="11"/>
                <w:szCs w:val="11"/>
                <w:color w:val="auto"/>
              </w:rPr>
            </w:pPr>
          </w:p>
        </w:tc>
        <w:tc>
          <w:tcPr>
            <w:tcW w:w="1620" w:type="dxa"/>
            <w:vAlign w:val="bottom"/>
            <w:gridSpan w:val="3"/>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11"/>
                <w:szCs w:val="11"/>
                <w:color w:val="auto"/>
              </w:rPr>
            </w:pPr>
          </w:p>
        </w:tc>
        <w:tc>
          <w:tcPr>
            <w:tcW w:w="150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1"/>
                <w:szCs w:val="11"/>
                <w:color w:val="auto"/>
              </w:rPr>
            </w:pPr>
          </w:p>
        </w:tc>
        <w:tc>
          <w:tcPr>
            <w:tcW w:w="1420" w:type="dxa"/>
            <w:vAlign w:val="bottom"/>
          </w:tcPr>
          <w:p>
            <w:pPr>
              <w:jc w:val="center"/>
              <w:ind w:right="39"/>
              <w:spacing w:after="0" w:line="134"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0" w:type="dxa"/>
            <w:vAlign w:val="bottom"/>
          </w:tcPr>
          <w:p>
            <w:pPr>
              <w:spacing w:after="0"/>
              <w:rPr>
                <w:sz w:val="11"/>
                <w:szCs w:val="11"/>
                <w:color w:val="auto"/>
              </w:rPr>
            </w:pPr>
          </w:p>
        </w:tc>
        <w:tc>
          <w:tcPr>
            <w:tcW w:w="15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1"/>
                <w:szCs w:val="11"/>
                <w:color w:val="auto"/>
              </w:rPr>
            </w:pPr>
          </w:p>
        </w:tc>
        <w:tc>
          <w:tcPr>
            <w:tcW w:w="1420" w:type="dxa"/>
            <w:vAlign w:val="bottom"/>
          </w:tcPr>
          <w:p>
            <w:pPr>
              <w:jc w:val="center"/>
              <w:ind w:right="59"/>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5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14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other current liabilities</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gridSpan w:val="7"/>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2019</w:t>
            </w:r>
          </w:p>
        </w:tc>
        <w:tc>
          <w:tcPr>
            <w:tcW w:w="0" w:type="dxa"/>
            <w:vAlign w:val="bottom"/>
          </w:tcPr>
          <w:p>
            <w:pPr>
              <w:spacing w:after="0"/>
              <w:rPr>
                <w:sz w:val="1"/>
                <w:szCs w:val="1"/>
                <w:color w:val="auto"/>
              </w:rPr>
            </w:pPr>
          </w:p>
        </w:tc>
      </w:tr>
      <w:tr>
        <w:trPr>
          <w:trHeight w:val="133"/>
        </w:trPr>
        <w:tc>
          <w:tcPr>
            <w:tcW w:w="5980" w:type="dxa"/>
            <w:vAlign w:val="bottom"/>
          </w:tcPr>
          <w:p>
            <w:pPr>
              <w:spacing w:after="0"/>
              <w:rPr>
                <w:sz w:val="11"/>
                <w:szCs w:val="11"/>
                <w:color w:val="auto"/>
              </w:rPr>
            </w:pPr>
          </w:p>
        </w:tc>
        <w:tc>
          <w:tcPr>
            <w:tcW w:w="1620" w:type="dxa"/>
            <w:vAlign w:val="bottom"/>
            <w:gridSpan w:val="3"/>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11"/>
                <w:szCs w:val="11"/>
                <w:color w:val="auto"/>
              </w:rPr>
            </w:pPr>
          </w:p>
        </w:tc>
        <w:tc>
          <w:tcPr>
            <w:tcW w:w="150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1"/>
                <w:szCs w:val="11"/>
                <w:color w:val="auto"/>
              </w:rPr>
            </w:pPr>
          </w:p>
        </w:tc>
        <w:tc>
          <w:tcPr>
            <w:tcW w:w="1420" w:type="dxa"/>
            <w:vAlign w:val="bottom"/>
          </w:tcPr>
          <w:p>
            <w:pPr>
              <w:jc w:val="center"/>
              <w:ind w:right="39"/>
              <w:spacing w:after="0" w:line="134"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0" w:type="dxa"/>
            <w:vAlign w:val="bottom"/>
          </w:tcPr>
          <w:p>
            <w:pPr>
              <w:spacing w:after="0"/>
              <w:rPr>
                <w:sz w:val="11"/>
                <w:szCs w:val="11"/>
                <w:color w:val="auto"/>
              </w:rPr>
            </w:pPr>
          </w:p>
        </w:tc>
        <w:tc>
          <w:tcPr>
            <w:tcW w:w="15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1"/>
                <w:szCs w:val="11"/>
                <w:color w:val="auto"/>
              </w:rPr>
            </w:pPr>
          </w:p>
        </w:tc>
        <w:tc>
          <w:tcPr>
            <w:tcW w:w="1420" w:type="dxa"/>
            <w:vAlign w:val="bottom"/>
          </w:tcPr>
          <w:p>
            <w:pPr>
              <w:jc w:val="center"/>
              <w:ind w:right="59"/>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5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14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other current liabilities</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the Preferred Stock derivative during the nine months ended September 30,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9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(1)</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(2)</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2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580" w:right="300" w:hanging="248"/>
        <w:spacing w:after="0" w:line="282" w:lineRule="auto"/>
        <w:tabs>
          <w:tab w:leader="none" w:pos="5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are recognized in the “Other expense (income), net” line in the Condensed Consolidated Statements of Operations and Comprehensive Income (Loss). All of the change in fair value relates to the derivative liability held at September 30, 2020.</w:t>
      </w:r>
    </w:p>
    <w:p>
      <w:pPr>
        <w:spacing w:after="0" w:line="53" w:lineRule="exact"/>
        <w:rPr>
          <w:rFonts w:ascii="Times New Roman" w:cs="Times New Roman" w:eastAsia="Times New Roman" w:hAnsi="Times New Roman"/>
          <w:sz w:val="18"/>
          <w:szCs w:val="18"/>
          <w:color w:val="auto"/>
        </w:rPr>
      </w:pPr>
    </w:p>
    <w:p>
      <w:pPr>
        <w:jc w:val="both"/>
        <w:ind w:left="580" w:right="160" w:hanging="248"/>
        <w:spacing w:after="0" w:line="312" w:lineRule="auto"/>
        <w:tabs>
          <w:tab w:leader="none" w:pos="592"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2020, we determined that certain anti-dilution provisions of the warrants require liability accounting; therefore, we reclassified the $1.1 million value of the warrants recorded in Stockholders’ Equity as of December 31, 2019, to a liability during the nine months ended September 30, 2020.</w:t>
      </w:r>
    </w:p>
    <w:p>
      <w:pPr>
        <w:spacing w:after="0" w:line="1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fair value of the leverage ratio put feature, the dividends withholding feature, and the contingent dividends feature utilizes unobservable inputs based on the best information available to determine the probability of the preferred stock remaining outstanding for future periods. These inputs include probability assessments of how long the Preferred Stock will remain outstanding, whether the leverage ratio threshold will be exceeded, and, as of December 31, 2019, whether approval would be obtained from common stockholders for issuance of common stock upon exercise of the warrants and conversion or redemption of the Preferred Stock. Inputs also include the percentage of Preferred Stock held by non-U.S. resident holders and the applicable tax withholding rates for those holders. The probability of the Preferred Stock remaining in future periods ranged from 50% to 2% as of September 30, 2020, and from 97% to 2% as of December 31, 2019. The leverage ratio put feature also utilizes unobservable inputs to determine the probability of the leverage ratio put being exercisable as of March 31, 2023, which ranged from 20% to 1% as of September 30, 2020, and December 31, 2019. These probabilities are determined based on management’s assessment of facts and circumstances at each reporting date. An increase in these probabilities would result in an increase in the derivative liability fair value. Given the Preferred Stock value changes by period as a result of dividends and redemption premiums, weighted average values for these assumptions are not meaningful.</w:t>
      </w:r>
    </w:p>
    <w:p>
      <w:pPr>
        <w:spacing w:after="0" w:line="8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fair value of the warrants feature is determined using a valuation model, which utilizes unobservable inputs to determine the probability that the warrants will remain outstanding for future periods. The probabilities ranged from 80% to 5% and resulted in a weighted average term of 2.35 years as of September 30, 2020. An increase in these probabilities would result in an increase in the derivative liability fair value. As of December 31, 2019, the warrants were classified in equity and valued using a term of 1.25 years.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manage our exposure to fluctuations in interest rates using a mix of fixed and variable rate debt. We have a $700.0 million fixed-rate interest rate swap agreement that changes the LIBOR-based portion of the interest rate on a portion of our variable rate debt to a fixed rate of 2.4575% (the “interest rate swap”) through October 19, 2022. The notional amount of the interest rate swap will decrease over time as presented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5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Notional Amount</w:t>
            </w:r>
          </w:p>
        </w:tc>
      </w:tr>
      <w:tr>
        <w:trPr>
          <w:trHeight w:val="228"/>
        </w:trPr>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12, 2019 - December 30, 2020</w:t>
            </w:r>
          </w:p>
        </w:tc>
        <w:tc>
          <w:tcPr>
            <w:tcW w:w="5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2020</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December 30, 2021</w:t>
            </w:r>
          </w:p>
        </w:tc>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466,667</w:t>
            </w:r>
          </w:p>
        </w:tc>
      </w:tr>
      <w:tr>
        <w:trPr>
          <w:trHeight w:val="229"/>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October 19, 2022</w:t>
            </w:r>
          </w:p>
        </w:tc>
        <w:tc>
          <w:tcPr>
            <w:tcW w:w="5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233,333</w:t>
            </w:r>
          </w:p>
        </w:tc>
      </w:tr>
      <w:tr>
        <w:trPr>
          <w:trHeight w:val="864"/>
        </w:trPr>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160" w:type="dxa"/>
            <w:vAlign w:val="bottom"/>
          </w:tcPr>
          <w:p>
            <w:pPr>
              <w:jc w:val="right"/>
              <w:ind w:right="361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objective of the interest rate swap is to eliminate the variability of cash flows in interest payments on the first $700.0 million of variable rate debt attributable to changes in benchmark one-month LIBOR interest rates. The hedged risk is the interest rate risk exposure to changes in interest payments, attributable to changes in benchmark one-month LIBOR interest rates over the interest rate swap term. If one-month LIBOR is greater than the minimum percentage under the Senior Secured Term Loan, the changes in cash flows of the interest rate swap are expected to exactly offset changes in cash flows of the variable rate debt. The interest rate swap was designated as a cash flow hedge at inception.</w:t>
      </w:r>
    </w:p>
    <w:p>
      <w:pPr>
        <w:spacing w:after="0" w:line="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September 30, 2020, we reported a cumulative $15.0 million loss, net of tax, in accumulated other comprehensive income related to the interest rate swap.</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liabilities measured at fair value on a recurring basis for the interest rate swap as of September 30, 2020, and December 31, 2019.</w:t>
      </w:r>
    </w:p>
    <w:p>
      <w:pPr>
        <w:spacing w:after="0" w:line="182"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4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September 30, 2020</w:t>
            </w:r>
          </w:p>
        </w:tc>
        <w:tc>
          <w:tcPr>
            <w:tcW w:w="0" w:type="dxa"/>
            <w:vAlign w:val="bottom"/>
          </w:tcPr>
          <w:p>
            <w:pPr>
              <w:spacing w:after="0"/>
              <w:rPr>
                <w:sz w:val="1"/>
                <w:szCs w:val="1"/>
                <w:color w:val="auto"/>
              </w:rPr>
            </w:pPr>
          </w:p>
        </w:tc>
      </w:tr>
      <w:tr>
        <w:trPr>
          <w:trHeight w:val="133"/>
        </w:trPr>
        <w:tc>
          <w:tcPr>
            <w:tcW w:w="5860" w:type="dxa"/>
            <w:vAlign w:val="bottom"/>
          </w:tcPr>
          <w:p>
            <w:pPr>
              <w:spacing w:after="0"/>
              <w:rPr>
                <w:sz w:val="11"/>
                <w:szCs w:val="11"/>
                <w:color w:val="auto"/>
              </w:rPr>
            </w:pPr>
          </w:p>
        </w:tc>
        <w:tc>
          <w:tcPr>
            <w:tcW w:w="1680" w:type="dxa"/>
            <w:vAlign w:val="bottom"/>
          </w:tcPr>
          <w:p>
            <w:pPr>
              <w:jc w:val="center"/>
              <w:ind w:right="68"/>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70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6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56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80" w:type="dxa"/>
            <w:vAlign w:val="bottom"/>
          </w:tcPr>
          <w:p>
            <w:pPr>
              <w:jc w:val="center"/>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56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7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5860" w:type="dxa"/>
            <w:vAlign w:val="bottom"/>
            <w:vMerge w:val="continue"/>
          </w:tcPr>
          <w:p>
            <w:pPr>
              <w:spacing w:after="0"/>
              <w:rPr>
                <w:sz w:val="16"/>
                <w:szCs w:val="16"/>
                <w:color w:val="auto"/>
              </w:rPr>
            </w:pPr>
          </w:p>
        </w:tc>
        <w:tc>
          <w:tcPr>
            <w:tcW w:w="16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23"/>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other current liabilities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00" w:type="dxa"/>
            <w:vAlign w:val="bottom"/>
          </w:tcPr>
          <w:p>
            <w:pPr>
              <w:spacing w:after="0"/>
              <w:rPr>
                <w:sz w:val="19"/>
                <w:szCs w:val="19"/>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5"/>
        </w:trPr>
        <w:tc>
          <w:tcPr>
            <w:tcW w:w="5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7"/>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2019</w:t>
            </w:r>
          </w:p>
        </w:tc>
        <w:tc>
          <w:tcPr>
            <w:tcW w:w="0" w:type="dxa"/>
            <w:vAlign w:val="bottom"/>
          </w:tcPr>
          <w:p>
            <w:pPr>
              <w:spacing w:after="0"/>
              <w:rPr>
                <w:sz w:val="1"/>
                <w:szCs w:val="1"/>
                <w:color w:val="auto"/>
              </w:rPr>
            </w:pPr>
          </w:p>
        </w:tc>
      </w:tr>
      <w:tr>
        <w:trPr>
          <w:trHeight w:val="133"/>
        </w:trPr>
        <w:tc>
          <w:tcPr>
            <w:tcW w:w="5880" w:type="dxa"/>
            <w:vAlign w:val="bottom"/>
          </w:tcPr>
          <w:p>
            <w:pPr>
              <w:spacing w:after="0"/>
              <w:rPr>
                <w:sz w:val="11"/>
                <w:szCs w:val="11"/>
                <w:color w:val="auto"/>
              </w:rPr>
            </w:pPr>
          </w:p>
        </w:tc>
        <w:tc>
          <w:tcPr>
            <w:tcW w:w="1680" w:type="dxa"/>
            <w:vAlign w:val="bottom"/>
            <w:gridSpan w:val="3"/>
          </w:tcPr>
          <w:p>
            <w:pPr>
              <w:jc w:val="center"/>
              <w:ind w:right="140"/>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40" w:type="dxa"/>
            <w:vAlign w:val="bottom"/>
          </w:tcPr>
          <w:p>
            <w:pPr>
              <w:spacing w:after="0"/>
              <w:rPr>
                <w:sz w:val="11"/>
                <w:szCs w:val="11"/>
                <w:color w:val="auto"/>
              </w:rPr>
            </w:pPr>
          </w:p>
        </w:tc>
        <w:tc>
          <w:tcPr>
            <w:tcW w:w="154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1"/>
                <w:szCs w:val="11"/>
                <w:color w:val="auto"/>
              </w:rPr>
            </w:pPr>
          </w:p>
        </w:tc>
        <w:tc>
          <w:tcPr>
            <w:tcW w:w="1460" w:type="dxa"/>
            <w:vAlign w:val="bottom"/>
          </w:tcPr>
          <w:p>
            <w:pPr>
              <w:jc w:val="center"/>
              <w:ind w:right="56"/>
              <w:spacing w:after="0" w:line="134"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1"/>
                <w:szCs w:val="11"/>
                <w:color w:val="auto"/>
              </w:rPr>
            </w:pPr>
          </w:p>
        </w:tc>
        <w:tc>
          <w:tcPr>
            <w:tcW w:w="15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4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1"/>
                <w:szCs w:val="11"/>
                <w:color w:val="auto"/>
              </w:rPr>
            </w:pPr>
          </w:p>
        </w:tc>
        <w:tc>
          <w:tcPr>
            <w:tcW w:w="1460" w:type="dxa"/>
            <w:vAlign w:val="bottom"/>
          </w:tcPr>
          <w:p>
            <w:pPr>
              <w:jc w:val="center"/>
              <w:ind w:right="56"/>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5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4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other current liabilities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00" w:type="dxa"/>
            <w:vAlign w:val="bottom"/>
          </w:tcPr>
          <w:p>
            <w:pPr>
              <w:spacing w:after="0"/>
              <w:rPr>
                <w:sz w:val="19"/>
                <w:szCs w:val="19"/>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inputs for determining fair value of the interest rate swap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Counterparty to this derivative contract is a highly rated financial institution which we believe carries only a minimal risk of nonperformance.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Rate Debt</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fair value of our outstanding fixed-rate debt included in the “International lines of credit and other loans” line item within Note 10 to these Notes to Condensed Consolidated Financial Statements was $12.8 million and $9.6 million as of September 30, 2020, and December 31, 2019, respectively. These fair values represent Level 2 under the three-tier hierarchy described above. The carrying value of this fixed-rate debt was $12.8 million and $9.6 million as of September 30, 2020 and December 31, 2019, respectively.</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Divestiture of Life Sciences Business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sale of our Life Sciences business closed on October 6, 2020. We received cash proceeds at closing of $757.2 million. The purchase price is subject to customary post-closing adjustments and is expected to be finalized in the first quarter of 2021. We prepaid $700.0 million in the aggregate on the Senior Secured Term Loan and the Incremental Term Loan immediately following the sale. We also paid in full the outstanding balance on the Senior Secured Revolver. We expect to recognize a gain on sale of greater than $100 million, net of income taxes, in the fourth quarter of 2020. Under the terms of a transition services agreement, we are providing certain support services for up to 180 days from the closing date of the sale.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Revolver</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6, 2020, the total borrowing capacity of the Senior Secured Revolver was reduced to $60.0 million from $75.0 million, and we repaid the entire principal balance outstanding.</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Discontinuation of Hedge Accounting</w:t>
      </w:r>
    </w:p>
    <w:p>
      <w:pPr>
        <w:spacing w:after="0" w:line="1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connection with the prepayment of debt on October 6, 2020, with proceeds from the sale of our Life Sciences business, the outstanding balance of our variable rate debt fell below the $700.0 million notional amount of the interest rate swap contract. After the prepayment, a portion of the hedged interest payments were no longer probable of occurring, and the hedging relationship on this portion was no longer highly effective. Therefore, part of the interest rate swap no longer qualified for hedge accounting after the debt prepayment. After the discontinuation of hedge accounting, changes in the fair value of this portion of the swap will be recognized in earnings rather than in accumulated other comprehensive income. During the fourth quarter of 2020, the accumulated loss in accumulated other comprehensive income related to the hedged interest payments that are no longer probable of occurring will be reclassified to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NN, Inc. is a global diversified industrial company that combines advanced engineering and production capabilities with in-depth materials science expertise to design and manufacture high-precision components and assemblies primarily for the aerospace and defense, electrical, automotive, medical, and general industrial markets. As used in this Quarterly Report, the terms “NN,” the “Company,” “we,” “our,” or “us” refer to NN, Inc. and its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This Quarterly Report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the COVID-19 pandemic on the Company’s financial condition, business operations and liquidity;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the level of our indebtedness; the restrictions contained in our debt agreements; our ability to obtain financing at favorable rates, if at all, and to refinance existing debt as it matures; unanticipated difficulties integrating acquisitions; new laws and governmental regulations;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such risk factors and cautionary statements, please see the sections titled “Item 1A. Risk Factors” in the 2019 Annual Report and this Quarterly Report.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That May Influence Results of Operations</w:t>
      </w:r>
    </w:p>
    <w:p>
      <w:pPr>
        <w:spacing w:after="0" w:line="1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paragraphs describe factors that have influenced results of operations for the nine months ended September 30, 2020, that management believes are important to provide an understanding of the business and results of operations, or that may influence operations in the future.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Global COVID-19 Pandemic</w:t>
      </w:r>
    </w:p>
    <w:p>
      <w:pPr>
        <w:spacing w:after="0" w:line="27"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In December 2019, a novel strain of coronavirus (“COVID-19”) began to impact the population of China, where several of our manufacturing facilities are located. In late January and early February 2020, in an effort to contain the spread of the virus and maintain the well-being of our employees and in accordance with governmental requirements, we temporarily closed our production facilities in China. On March 11, 2020, the World Health Organization characterized the outbreak of COVID-19 as a global pandemic and recommended containment and mitigation measures. Consistent with actions taken by governmental</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 xml:space="preserve">authorities and in response to reduced customer demand, in late March 2020, we idled manufacturing operations in certain regions around the world, other than China, where manufacturing operations began to resume in March. We have experienced supplier and customer disruption, which has affected our results of operations and cash flows this year. </w:t>
      </w:r>
      <w:r>
        <w:rPr>
          <w:rFonts w:ascii="Times New Roman" w:cs="Times New Roman" w:eastAsia="Times New Roman" w:hAnsi="Times New Roman"/>
          <w:sz w:val="18"/>
          <w:szCs w:val="18"/>
          <w:color w:val="212529"/>
        </w:rPr>
        <w:t>In Europe and North America, sales began declining in the second half of March as the pandemic led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customer plant closures. In June 2020, the National Bureau of Economic Research officially declared that the United States economy has fallen into a recession. The situation grew more challenging in the second and third quarters, as customer closures have affected much of our operations and may continue for an unknown period of time. </w:t>
      </w:r>
      <w:r>
        <w:rPr>
          <w:rFonts w:ascii="Times New Roman" w:cs="Times New Roman" w:eastAsia="Times New Roman" w:hAnsi="Times New Roman"/>
          <w:sz w:val="18"/>
          <w:szCs w:val="18"/>
          <w:color w:val="000000"/>
        </w:rPr>
        <w:t>Although much of the United States and the global economies have reopened, the COVID-19 pandemic is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intensifying in many parts of the United States and the world, and many public health experts anticipate a COVID-19 surge in the coming weeks and months of fall and winter. Reinstatement of directives and mandates requiring businesses to again curtail or cease normal operations remains a possibility, just as some jurisdictions rolled back reopening plans in the summer of 2020. Further, the continuing uncertainty as to whether the federal government will address the resulting fiscal condition in both the near and long-term with measures such as additional fiscal stimulus, as well as other geopolitical issues relating to the global economic slowdown, has increased domestic and global instability. Thus, the spread of COVID-19 and the responses thereto have created a disruption in the manufacturing, delivery and overall supply chain of automobile manufacturers and suppliers. Global vehicle production has decreased significantly, and some vehicle manufacturers have completely shut down manufacturing operations in some countries and regions, including the United States and Europe. The rapid development and fluidity of the situation precludes any prediction as to the ultimate impact COVID-19 will have on our business, financial condition, results of operation and cash flows, which will depend largely on future developments directly or indirectly relating to the duration and scope of the COVID-19 outbreak.</w:t>
      </w:r>
    </w:p>
    <w:p>
      <w:pPr>
        <w:spacing w:after="0" w:line="7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12529"/>
        </w:rPr>
        <w:t>We have undertaken a number of permanent and temporary actions to manage the evolving situation, including the continuation of previously announced cost savings initiatives.</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212529"/>
        </w:rPr>
        <w:t>Initiatives announced in 2019:</w:t>
      </w:r>
    </w:p>
    <w:p>
      <w:pPr>
        <w:spacing w:after="0" w:line="29"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Streamlining facilities and reducing overall selling, general and administrative costs;</w:t>
      </w:r>
    </w:p>
    <w:p>
      <w:pPr>
        <w:spacing w:after="0" w:line="9" w:lineRule="exact"/>
        <w:rPr>
          <w:rFonts w:ascii="Times New Roman" w:cs="Times New Roman" w:eastAsia="Times New Roman" w:hAnsi="Times New Roman"/>
          <w:sz w:val="18"/>
          <w:szCs w:val="18"/>
          <w:color w:val="212529"/>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Eliminated the quarterly dividend;</w:t>
      </w:r>
    </w:p>
    <w:p>
      <w:pPr>
        <w:spacing w:after="0" w:line="9" w:lineRule="exact"/>
        <w:rPr>
          <w:rFonts w:ascii="Times New Roman" w:cs="Times New Roman" w:eastAsia="Times New Roman" w:hAnsi="Times New Roman"/>
          <w:sz w:val="18"/>
          <w:szCs w:val="18"/>
          <w:color w:val="212529"/>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Reduced capital expenditures;</w:t>
      </w:r>
    </w:p>
    <w:p>
      <w:pPr>
        <w:spacing w:after="0" w:line="9" w:lineRule="exact"/>
        <w:rPr>
          <w:rFonts w:ascii="Times New Roman" w:cs="Times New Roman" w:eastAsia="Times New Roman" w:hAnsi="Times New Roman"/>
          <w:sz w:val="18"/>
          <w:szCs w:val="18"/>
          <w:color w:val="212529"/>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Issued $100 million of Preferred Stock and used net proceeds for debt repayment; and</w:t>
      </w:r>
    </w:p>
    <w:p>
      <w:pPr>
        <w:spacing w:after="0" w:line="9" w:lineRule="exact"/>
        <w:rPr>
          <w:rFonts w:ascii="Times New Roman" w:cs="Times New Roman" w:eastAsia="Times New Roman" w:hAnsi="Times New Roman"/>
          <w:sz w:val="18"/>
          <w:szCs w:val="18"/>
          <w:color w:val="212529"/>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Refinanced senior credit facilities to extend maturities and provide additional liquidity.</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212529"/>
        </w:rPr>
        <w:t>Additional actions taken in 2020 in response to the economic effects of the pandemic:</w:t>
      </w:r>
    </w:p>
    <w:p>
      <w:pPr>
        <w:spacing w:after="0" w:line="29" w:lineRule="exact"/>
        <w:rPr>
          <w:sz w:val="20"/>
          <w:szCs w:val="20"/>
          <w:color w:val="auto"/>
        </w:rPr>
      </w:pPr>
    </w:p>
    <w:p>
      <w:pPr>
        <w:ind w:left="1300" w:right="280" w:hanging="320"/>
        <w:spacing w:after="0" w:line="250" w:lineRule="auto"/>
        <w:tabs>
          <w:tab w:leader="none" w:pos="1295" w:val="left"/>
        </w:tabs>
        <w:numPr>
          <w:ilvl w:val="0"/>
          <w:numId w:val="15"/>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 xml:space="preserve">In March 2020, we drew down $60 million </w:t>
      </w:r>
      <w:r>
        <w:rPr>
          <w:rFonts w:ascii="Times New Roman" w:cs="Times New Roman" w:eastAsia="Times New Roman" w:hAnsi="Times New Roman"/>
          <w:sz w:val="18"/>
          <w:szCs w:val="18"/>
          <w:color w:val="000000"/>
        </w:rPr>
        <w:t>in cash under our Senior Secured Revolver to strengthen our near-term cash position. This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debt was repaid immediately following the sale of the Life Sciences business in October 2020.</w:t>
      </w:r>
    </w:p>
    <w:p>
      <w:pPr>
        <w:ind w:left="1300" w:right="60" w:hanging="320"/>
        <w:spacing w:after="0" w:line="250"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April 2020, executives reduced their base salaries by 20% to 25%, non-executive employee salaries were reduced by 5% to 15%. These salary reductions were repaid in October 2020, and salaries were reinstated to their original levels.</w:t>
      </w: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401(k) employer match was suspended.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board members suspended their cash compensation.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merit increases and bonus payouts were deferred, and the gainsharing plan for 2020 has been suspended.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was significantly reduced beginning in the first quarter.</w:t>
      </w:r>
    </w:p>
    <w:p>
      <w:pPr>
        <w:spacing w:after="0" w:line="9" w:lineRule="exact"/>
        <w:rPr>
          <w:rFonts w:ascii="Times New Roman" w:cs="Times New Roman" w:eastAsia="Times New Roman" w:hAnsi="Times New Roman"/>
          <w:sz w:val="18"/>
          <w:szCs w:val="18"/>
          <w:color w:val="auto"/>
        </w:rPr>
      </w:pPr>
    </w:p>
    <w:p>
      <w:pPr>
        <w:ind w:left="1300" w:right="100" w:hanging="320"/>
        <w:spacing w:after="0" w:line="250"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government orders and reduced demand, we adjusted production and work week hours, reduced or suspended non-critical discretionary spending, and furloughed personnel, many of whom are eligible to participate in government supported programs.</w:t>
      </w: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levels and collection of receivables are being closely monitored.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rent deferral arrangements with landlords of several of our leased facilities.</w:t>
      </w:r>
    </w:p>
    <w:p>
      <w:pPr>
        <w:spacing w:after="0" w:line="9" w:lineRule="exact"/>
        <w:rPr>
          <w:rFonts w:ascii="Times New Roman" w:cs="Times New Roman" w:eastAsia="Times New Roman" w:hAnsi="Times New Roman"/>
          <w:sz w:val="18"/>
          <w:szCs w:val="18"/>
          <w:color w:val="auto"/>
        </w:rPr>
      </w:pPr>
    </w:p>
    <w:p>
      <w:pPr>
        <w:ind w:left="1300" w:right="300" w:hanging="320"/>
        <w:spacing w:after="0" w:line="250"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allowed by the CARES Act, we deferred payments of the employer share of U. S. payroll taxes and intend to defer the payment of remaining obligations through the end of 2020 and will begin making payments in 2021 through 2022.</w:t>
      </w:r>
    </w:p>
    <w:p>
      <w:pPr>
        <w:ind w:left="1300" w:right="80" w:hanging="320"/>
        <w:spacing w:after="0" w:line="250"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2020, we amended our Credit Agreement to waive compliance with the financial leverage ratio covenant for the second and third quarters of 2020.</w:t>
      </w:r>
    </w:p>
    <w:p>
      <w:pPr>
        <w:ind w:left="1300" w:right="160" w:hanging="320"/>
        <w:spacing w:after="0" w:line="250"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taking advantage of other provisions of the CARES Act that could result in reduced income tax obligation and a positive impact on cash.</w:t>
      </w: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pursuing other opportunities to delay payment of fixed costs.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focus on further general cost reduction actions.</w:t>
      </w:r>
    </w:p>
    <w:p>
      <w:pPr>
        <w:spacing w:after="0" w:line="9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212529"/>
        </w:rPr>
        <w:t>While managing decreased demand in many regions across the globe, we have begun to restart and ramp up our businesses. We are coordinating with our customers and suppliers to make the necessary preparations. We are focused on the safety of our employees, customers and suppliers when re-starting. We have developed and implemented processes to ensure a safe environment for our employees and any visitors to our facilities, including providing personal protective equipment to our</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212529"/>
        </w:rPr>
        <w:t>employees, establishing social distancing protocols and temperature checks. These processes include recommendations based on guidelines from the Centers for Disease Control and Prevention and the World Health Organization as well as from our recent ramp-up in China. The health and safety of our employees remains our top priority.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Operations</w:t>
      </w:r>
    </w:p>
    <w:p>
      <w:pPr>
        <w:spacing w:after="0" w:line="1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August 2020, we entered into a Stock Purchase Agreement (the “SPA”) with affiliates of American Securities LLC for the sale of our Life Sciences business for an aggregate purchase price of up to $825 million, which includes a $755 million cash base purchase price and a potential earnout payment of up to $70 million. The cash base purchase price was subject to certain adjustments and was payable at the closing of the transaction, which occurred on October 6, 2020. We received cash proceeds at closing of $757.2 million. The purchase price is subject to customary post-closing adjustments and is expected to be finalized in the first quarter of 2021. The earnout payment is subject to the performance of the Life Sciences business during the year ending December 31, 2022, measured by Adjusted EBITDA targets, as defined by the SPA. The Life Sciences business includes facilities that are engaged in the production of a variety of components, assemblies, and instruments, such as surgical knives, bioresorbable implants, surgical staples, cases and trays, orthopaedic implants and tools, laparoscopic devices, and drug delivery devices for the orthopaedics and medical/surgical end markets. The sale of the Life Sciences business furthers management’s strategy to improve liquidity and creates the financial flexibility to pursue key growth areas in the Mobile Solutions and Power Solutions segments.</w:t>
      </w:r>
    </w:p>
    <w:p>
      <w:pPr>
        <w:spacing w:after="0" w:line="8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205-20, </w:t>
      </w:r>
      <w:r>
        <w:rPr>
          <w:rFonts w:ascii="Times New Roman" w:cs="Times New Roman" w:eastAsia="Times New Roman" w:hAnsi="Times New Roman"/>
          <w:sz w:val="18"/>
          <w:szCs w:val="18"/>
          <w:i w:val="1"/>
          <w:iCs w:val="1"/>
          <w:color w:val="auto"/>
        </w:rPr>
        <w:t>Presentation of Financial Statements - Discontinued Operations,</w:t>
      </w:r>
      <w:r>
        <w:rPr>
          <w:rFonts w:ascii="Times New Roman" w:cs="Times New Roman" w:eastAsia="Times New Roman" w:hAnsi="Times New Roman"/>
          <w:sz w:val="18"/>
          <w:szCs w:val="18"/>
          <w:color w:val="auto"/>
        </w:rPr>
        <w:t xml:space="preserve"> the operating results of the Life Sciences business are classified as discontinued operations. The presentation of discontinued operations includes revenues and expenses of the discontinued operations and will also include any gain on the disposition of the business, all net of tax, as one line item on the Condensed Consolidated Statements of Operations and Comprehensive Income (Loss). The Condensed Consolidated Statements of Operations and Comprehensive Income (Loss) for all periods presented have been revised to reflect this presentation. Accordingly, the results of the Life Sciences business have been excluded from continuing operations and segment results for all periods presented in the condensed consolidated financial statements and the accompanying notes unless otherwise stated. The Condensed Consolidated Statements of Cash Flows include cash flows of the Life Sciences business in each line item unless otherwise stated.</w:t>
      </w:r>
    </w:p>
    <w:p>
      <w:pPr>
        <w:spacing w:after="0" w:line="77"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7"/>
          <w:szCs w:val="17"/>
          <w:color w:val="auto"/>
        </w:rPr>
        <w:t>Our credit facility required us to use proceeds from the sale of the Life Sciences business to prepay a portion of our existing debt. We paid $700 million in the aggregate on our term loans immediately following the sale. The prepayment was applied to debt in accordance with the prepayment provisions of the</w:t>
      </w:r>
    </w:p>
    <w:p>
      <w:pPr>
        <w:spacing w:after="0" w:line="261" w:lineRule="auto"/>
        <w:rPr>
          <w:sz w:val="20"/>
          <w:szCs w:val="20"/>
          <w:color w:val="auto"/>
        </w:rPr>
      </w:pPr>
      <w:r>
        <w:rPr>
          <w:rFonts w:ascii="Times New Roman" w:cs="Times New Roman" w:eastAsia="Times New Roman" w:hAnsi="Times New Roman"/>
          <w:sz w:val="18"/>
          <w:szCs w:val="18"/>
          <w:color w:val="auto"/>
        </w:rPr>
        <w:t>credit agreement immediately after the transaction closed on October 6, 2020. We also paid in full the outstanding balance on the Senior Secured Revolver. Average quarterly interest rates were multiplied by the required prepayment amounts to calculate interest expense to be reclassified to discontinued operations for all periods presented. Write-offs of credit facility debt issuance costs were allocated to discontinued operations by multiplying the ratio of the required prepayment amounts as a percentage of total outstanding principal by the total write-off charges in each period.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Impairment</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goodwill impairment analysis required significant judgments to calculate the fair value for the Power Solutions reporting unit, including estimation of future cash flows, which is dependent on internal forecasts, estimation of the long-term growth rate for each operating segment, and determination of weighted average cost of capital. Our forecasts used in the goodwill impairment analysis reflected our expectations of declines in sales resulting from COVID-19. Significant assumptions and estimates are involved in the application of the discounted cash flow model to forecast operating cash flows, including market growth and market share, sales volumes and prices, costs to produce, discount rate, and estimated capital needs. Management considers historical experience and all available information at the time the fair values of its reporting units are estimated. Assumptions in estimating future cash flows are subject to a high degree of judgment and complexity. The carrying value of the Power Solutions reporting unit exceeded the estimated fair value as of the March 31, 2020, analysis. As a result of our analysis, we recorded an impairment loss on goodwill of $92.9 million to the “Goodwill impairment” line on the Condensed Consolidated Statements of Operations and Comprehensive Income (Loss).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Prior Periods’ Financial Statement Revision</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212529"/>
        </w:rPr>
        <w:t xml:space="preserve">Certain prior period amounts have been revised to reflect the impact of corrections of misstatements and to correct the timing of previously recorded out-of-period adjustments. Refer to Note 3 in the </w:t>
      </w:r>
      <w:r>
        <w:rPr>
          <w:rFonts w:ascii="Times New Roman" w:cs="Times New Roman" w:eastAsia="Times New Roman" w:hAnsi="Times New Roman"/>
          <w:sz w:val="18"/>
          <w:szCs w:val="18"/>
          <w:color w:val="000000"/>
        </w:rPr>
        <w:t>Notes to Condensed Consolidated Financial Statements</w:t>
      </w:r>
      <w:r>
        <w:rPr>
          <w:rFonts w:ascii="Times New Roman" w:cs="Times New Roman" w:eastAsia="Times New Roman" w:hAnsi="Times New Roman"/>
          <w:sz w:val="18"/>
          <w:szCs w:val="18"/>
          <w:color w:val="212529"/>
        </w:rPr>
        <w:t xml:space="preserve"> for more information.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Sales Concentration</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recognized sales from a single customer of $12.2 million, or 10% of consolidated net sales, during the three months ended September 30, 2019. We recognized sales from this customer of $39.0 million, or 10% of consolidated net sales, during the nine months ended September 30, 2019. Revenues from this customer are in our Mobile Solutions segment and were less than 10% of consolidated net sales, during the nine months ended September 30,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2020, compared to the Three Months Ended September 30, 2019</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Organic decline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i w:val="1"/>
                <w:i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(4,308)</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(2,390)</w:t>
            </w:r>
          </w:p>
        </w:tc>
        <w:tc>
          <w:tcPr>
            <w:tcW w:w="0" w:type="dxa"/>
            <w:vAlign w:val="bottom"/>
          </w:tcPr>
          <w:p>
            <w:pPr>
              <w:spacing w:after="0"/>
              <w:rPr>
                <w:sz w:val="1"/>
                <w:szCs w:val="1"/>
                <w:color w:val="auto"/>
              </w:rPr>
            </w:pPr>
          </w:p>
        </w:tc>
      </w:tr>
      <w:tr>
        <w:trPr>
          <w:trHeight w:val="175"/>
        </w:trPr>
        <w:tc>
          <w:tcPr>
            <w:tcW w:w="61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90,076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96,654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below)</w:t>
            </w: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1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from continuing operations before benefit for income taxes and share of net</w:t>
            </w: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joint venture</w:t>
            </w: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4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21,349</w:t>
            </w:r>
          </w:p>
        </w:tc>
        <w:tc>
          <w:tcPr>
            <w:tcW w:w="4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27,825</w:t>
            </w:r>
          </w:p>
        </w:tc>
        <w:tc>
          <w:tcPr>
            <w:tcW w:w="4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by $6.7 million, or 6%, during the three months ended September 30, 2020, compared to the three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2019, primarily due to a decrease in organic volume of $4.3 million, as a result of decreased demand due to the COVID-19 pandemic and unfavorable foreign exchange effects of $2.4 million.</w:t>
      </w:r>
    </w:p>
    <w:p>
      <w:pPr>
        <w:spacing w:after="0" w:line="65"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decreased by $6.6 million, or 7%, during the three months ended September 30, 2020,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primarily due to variable costs associated with the above-referenced sales volume decline and variable and fixed cost reduction initiatives that were implemented.</w:t>
      </w:r>
    </w:p>
    <w:p>
      <w:pPr>
        <w:spacing w:after="0" w:line="6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decreased by $1.7 million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compared to the three months ended September 30, 2019, primarily due to cost reduction initiatives that drove decreases in personnel costs and travel costs.</w:t>
      </w:r>
    </w:p>
    <w:p>
      <w:pPr>
        <w:spacing w:after="0" w:line="65"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Income, Net. </w:t>
      </w:r>
      <w:r>
        <w:rPr>
          <w:rFonts w:ascii="Times New Roman" w:cs="Times New Roman" w:eastAsia="Times New Roman" w:hAnsi="Times New Roman"/>
          <w:sz w:val="18"/>
          <w:szCs w:val="18"/>
          <w:color w:val="auto"/>
        </w:rPr>
        <w:t>Other operating income, net, changed unfavorably by $1.1 million primarily due to a one-time $1.4 million 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received during the three months ended September 30, 2019.</w:t>
      </w:r>
    </w:p>
    <w:p>
      <w:pPr>
        <w:spacing w:after="0" w:line="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by $3.1 million during the three months ended September 30, 2020,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primarily due to an increase in settlements on the interest rate swap and an increase in the interest rate margin over one-month LIBOR on the Senior Secured Term Loan and the Incremental Term Loan as a result of amendments executed in 2019. These increases were partially offset by a reduction in one-month LIBOR. Interest on our Senior Secured Revolver decreased due to lower one-month LIBOR in 2020 and due to a lower available capacity after the December 2019 amendment to the credit agreement.</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Borders>
              <w:bottom w:val="single" w:sz="8" w:color="auto"/>
            </w:tcBorders>
          </w:tcPr>
          <w:p>
            <w:pPr>
              <w:spacing w:after="0"/>
              <w:rPr>
                <w:sz w:val="16"/>
                <w:szCs w:val="16"/>
                <w:color w:val="auto"/>
              </w:rPr>
            </w:pPr>
          </w:p>
        </w:tc>
      </w:tr>
      <w:tr>
        <w:trPr>
          <w:trHeight w:val="188"/>
        </w:trPr>
        <w:tc>
          <w:tcPr>
            <w:tcW w:w="78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settlements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w:t>
            </w:r>
          </w:p>
        </w:tc>
      </w:tr>
      <w:tr>
        <w:trPr>
          <w:trHeight w:val="21"/>
        </w:trPr>
        <w:tc>
          <w:tcPr>
            <w:tcW w:w="7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both"/>
        <w:ind w:right="6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Other expense (income), net, changed favorably by $0.9 million during the three months ended September 30,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September 30, 2019, primarily due to more favorable foreign exchange effects associated with intercompany borrowings compared to the prior year.</w:t>
      </w:r>
    </w:p>
    <w:p>
      <w:pPr>
        <w:spacing w:after="0" w:line="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Benefit For Income Taxes. </w:t>
      </w:r>
      <w:r>
        <w:rPr>
          <w:rFonts w:ascii="Times New Roman" w:cs="Times New Roman" w:eastAsia="Times New Roman" w:hAnsi="Times New Roman"/>
          <w:sz w:val="18"/>
          <w:szCs w:val="18"/>
          <w:color w:val="auto"/>
        </w:rPr>
        <w:t>Our effective tax rate was 106.1% for the three months ended September 30, 2020, compared to 18.2%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2019. The difference in rates is primarily due to the impact of the impairment of nondeductible goodwill in 2020 and and a change in the estimated impact of the CARES Act. Note 9 in the Notes to Condensed Consolidated Financial Statements describes the components of income taxes for each period presented.</w:t>
      </w:r>
    </w:p>
    <w:p>
      <w:pPr>
        <w:spacing w:after="0" w:line="72" w:lineRule="exact"/>
        <w:rPr>
          <w:sz w:val="20"/>
          <w:szCs w:val="20"/>
          <w:color w:val="auto"/>
        </w:rPr>
      </w:pPr>
    </w:p>
    <w:p>
      <w:pPr>
        <w:jc w:val="both"/>
        <w:ind w:right="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 of Net Income from Joint Venture. </w:t>
      </w:r>
      <w:r>
        <w:rPr>
          <w:rFonts w:ascii="Times New Roman" w:cs="Times New Roman" w:eastAsia="Times New Roman" w:hAnsi="Times New Roman"/>
          <w:sz w:val="18"/>
          <w:szCs w:val="18"/>
          <w:color w:val="auto"/>
        </w:rPr>
        <w:t>Our share of net income from the joint venture increased during the three months ended September 30,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September 30, 2019, primarily due to improved profits resulting from higher sales volumes, expanding variable margins as a result of successful process improvement initiatives and improved product mix, and fixed cost reduction 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60" w:type="dxa"/>
            <w:vAlign w:val="bottom"/>
            <w:tcBorders>
              <w:bottom w:val="single" w:sz="8" w:color="auto"/>
            </w:tcBorders>
          </w:tcPr>
          <w:p>
            <w:pPr>
              <w:spacing w:after="0"/>
              <w:rPr>
                <w:sz w:val="16"/>
                <w:szCs w:val="16"/>
                <w:color w:val="auto"/>
              </w:rPr>
            </w:pPr>
          </w:p>
        </w:tc>
      </w:tr>
      <w:tr>
        <w:trPr>
          <w:trHeight w:val="187"/>
        </w:trPr>
        <w:tc>
          <w:tcPr>
            <w:tcW w:w="5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tcBorders>
              <w:bottom w:val="single" w:sz="8" w:color="auto"/>
            </w:tcBorders>
          </w:tcPr>
          <w:p>
            <w:pPr>
              <w:spacing w:after="0"/>
              <w:rPr>
                <w:sz w:val="16"/>
                <w:szCs w:val="16"/>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(2,700)</w:t>
            </w:r>
          </w:p>
        </w:tc>
        <w:tc>
          <w:tcPr>
            <w:tcW w:w="860" w:type="dxa"/>
            <w:vAlign w:val="bottom"/>
            <w:shd w:val="clear" w:color="auto" w:fill="CCEEFF"/>
          </w:tcPr>
          <w:p>
            <w:pPr>
              <w:spacing w:after="0"/>
              <w:rPr>
                <w:sz w:val="19"/>
                <w:szCs w:val="19"/>
                <w:color w:val="auto"/>
              </w:rPr>
            </w:pPr>
          </w:p>
        </w:tc>
      </w:tr>
      <w:tr>
        <w:trPr>
          <w:trHeight w:val="230"/>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Organic decline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jc w:val="right"/>
              <w:ind w:right="395"/>
              <w:spacing w:after="0"/>
              <w:rPr>
                <w:sz w:val="20"/>
                <w:szCs w:val="20"/>
                <w:color w:val="auto"/>
              </w:rPr>
            </w:pPr>
            <w:r>
              <w:rPr>
                <w:rFonts w:ascii="Times New Roman" w:cs="Times New Roman" w:eastAsia="Times New Roman" w:hAnsi="Times New Roman"/>
                <w:sz w:val="18"/>
                <w:szCs w:val="18"/>
                <w:i w:val="1"/>
                <w:i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(602)</w:t>
            </w:r>
          </w:p>
        </w:tc>
      </w:tr>
      <w:tr>
        <w:trPr>
          <w:trHeight w:val="230"/>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(2,098)</w:t>
            </w: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1,530</w:t>
            </w:r>
          </w:p>
        </w:tc>
        <w:tc>
          <w:tcPr>
            <w:tcW w:w="860" w:type="dxa"/>
            <w:vAlign w:val="bottom"/>
          </w:tcPr>
          <w:p>
            <w:pPr>
              <w:spacing w:after="0"/>
              <w:rPr>
                <w:sz w:val="20"/>
                <w:szCs w:val="20"/>
                <w:color w:val="auto"/>
              </w:rPr>
            </w:pPr>
          </w:p>
        </w:tc>
      </w:tr>
    </w:tbl>
    <w:p>
      <w:pPr>
        <w:spacing w:after="0" w:line="247"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Net sales decreased by $2.7 million during the three months ended September 30, 2020, compared to the three months ended September 30, 2019, primarily due to unfavorable foreign exchange effects and lower demand within global automotive markets resulting from the COVID-19 pandemic.</w:t>
      </w:r>
    </w:p>
    <w:p>
      <w:pPr>
        <w:spacing w:after="0" w:line="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Income from operations increased by $1.5 million compared to the same period in the prior year as new product launches that began in the prior year begin to mature and become more profitable. Additionally, certain of the fixed cost reduction actions initiated in the first half of 2020 in response to the decline in sales volume caused by the COVID-19 pandemic remained in place during the three months ended September 30, 2020. These favorable impacts were partially offset by the prior year impact of a one-time $1.4 million favorable litigation settlement.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20" w:type="dxa"/>
            <w:vAlign w:val="bottom"/>
            <w:tcBorders>
              <w:bottom w:val="single" w:sz="8" w:color="auto"/>
            </w:tcBorders>
          </w:tcPr>
          <w:p>
            <w:pPr>
              <w:spacing w:after="0"/>
              <w:rPr>
                <w:sz w:val="16"/>
                <w:szCs w:val="16"/>
                <w:color w:val="auto"/>
              </w:rPr>
            </w:pPr>
          </w:p>
        </w:tc>
      </w:tr>
      <w:tr>
        <w:trPr>
          <w:trHeight w:val="188"/>
        </w:trPr>
        <w:tc>
          <w:tcPr>
            <w:tcW w:w="5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20" w:type="dxa"/>
            <w:vAlign w:val="bottom"/>
            <w:tcBorders>
              <w:bottom w:val="single" w:sz="8" w:color="auto"/>
            </w:tcBorders>
          </w:tcPr>
          <w:p>
            <w:pPr>
              <w:spacing w:after="0"/>
              <w:rPr>
                <w:sz w:val="16"/>
                <w:szCs w:val="16"/>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(4,015)</w:t>
            </w:r>
          </w:p>
        </w:tc>
        <w:tc>
          <w:tcPr>
            <w:tcW w:w="820" w:type="dxa"/>
            <w:vAlign w:val="bottom"/>
            <w:shd w:val="clear" w:color="auto" w:fill="CCEEFF"/>
          </w:tcPr>
          <w:p>
            <w:pPr>
              <w:spacing w:after="0"/>
              <w:rPr>
                <w:sz w:val="19"/>
                <w:szCs w:val="19"/>
                <w:color w:val="auto"/>
              </w:rPr>
            </w:pPr>
          </w:p>
        </w:tc>
      </w:tr>
      <w:tr>
        <w:trPr>
          <w:trHeight w:val="23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Organic decline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ind w:right="435"/>
              <w:spacing w:after="0"/>
              <w:rPr>
                <w:sz w:val="20"/>
                <w:szCs w:val="20"/>
                <w:color w:val="auto"/>
              </w:rPr>
            </w:pPr>
            <w:r>
              <w:rPr>
                <w:rFonts w:ascii="Times New Roman" w:cs="Times New Roman" w:eastAsia="Times New Roman" w:hAnsi="Times New Roman"/>
                <w:sz w:val="18"/>
                <w:szCs w:val="18"/>
                <w:i w:val="1"/>
                <w:i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(3,723)</w:t>
            </w:r>
          </w:p>
        </w:tc>
      </w:tr>
      <w:tr>
        <w:trPr>
          <w:trHeight w:val="229"/>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(292)</w:t>
            </w: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(2,208)</w:t>
            </w:r>
          </w:p>
        </w:tc>
        <w:tc>
          <w:tcPr>
            <w:tcW w:w="820" w:type="dxa"/>
            <w:vAlign w:val="bottom"/>
          </w:tcPr>
          <w:p>
            <w:pPr>
              <w:spacing w:after="0"/>
              <w:rPr>
                <w:sz w:val="20"/>
                <w:szCs w:val="20"/>
                <w:color w:val="auto"/>
              </w:rPr>
            </w:pPr>
          </w:p>
        </w:tc>
      </w:tr>
    </w:tbl>
    <w:p>
      <w:pPr>
        <w:spacing w:after="0" w:line="24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Net sales decreased by $4.0 million during the three months ended September 30, 2020, compared to the three months ended September 30, 2019, primarily due to lower demand in the electrical products, automotive, and oil and gas end markets resulting from the COVID-19 pandemic.</w:t>
      </w:r>
    </w:p>
    <w:p>
      <w:pPr>
        <w:spacing w:after="0" w:line="5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Income from operations decreased by $2.2 million compared to the same period in the prior year primarily due to lost variable margin on the above-referenced sales volume decline. Commodity prices on precious metals, particularly gold and silver,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dramatically increased during the current period, driving up materials costs and decreasing profitability of certain products. These unfavorable impacts were partially offset by fixed cost reduction actions taken in response to the decline in sales volume.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2020, compared to the Nine Months Ended September 30,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(70,332)</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Organic decline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(65,466)</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(4,866)</w:t>
            </w:r>
          </w:p>
        </w:tc>
        <w:tc>
          <w:tcPr>
            <w:tcW w:w="0" w:type="dxa"/>
            <w:vAlign w:val="bottom"/>
          </w:tcPr>
          <w:p>
            <w:pPr>
              <w:spacing w:after="0"/>
              <w:rPr>
                <w:sz w:val="1"/>
                <w:szCs w:val="1"/>
                <w:color w:val="auto"/>
              </w:rPr>
            </w:pPr>
          </w:p>
        </w:tc>
      </w:tr>
      <w:tr>
        <w:trPr>
          <w:trHeight w:val="176"/>
        </w:trPr>
        <w:tc>
          <w:tcPr>
            <w:tcW w:w="51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Cost of sales (exclusive of depreciation and amortization shown</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249,612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300,666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(51,054)</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separately below)</w:t>
            </w: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integration expense, net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92,942</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(109,026)</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Loss on extinguishment of debt and write-off of debt issuance</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costs</w:t>
            </w: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1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from continuing operations before benefit (provision) for</w:t>
            </w:r>
          </w:p>
        </w:tc>
        <w:tc>
          <w:tcPr>
            <w:tcW w:w="3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(133,730)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(17,457)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(116,273)</w:t>
            </w: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and share of net income from joint venture</w:t>
            </w: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5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(103,197)</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(112,116)</w:t>
            </w:r>
          </w:p>
        </w:tc>
        <w:tc>
          <w:tcPr>
            <w:tcW w:w="5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(215,313)</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by $70.3 million, or 19%, during the nine months ended September 30, 2020, compared to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2019, primarily due to a decrease in organic volume of $65.5 million, as a result of decreased demand due to the COVID-19 pandemic and unfavorable foreign exchange effects of $4.9 million.</w:t>
      </w:r>
    </w:p>
    <w:p>
      <w:pPr>
        <w:spacing w:after="0" w:line="65"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decreased by $51.1 million, or 17%, during the nine months ended September 30, 2020, compared to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primarily due to variable costs associated with the above-referenced sales volume decline and variable and fixed cost reduction initiatives that were implemented.</w:t>
      </w:r>
    </w:p>
    <w:p>
      <w:pPr>
        <w:spacing w:after="0" w:line="65"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decreased by $8.8 million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compared to the nine months ended September 30, 2019, primarily due to cost reduction initiatives that drove decreases in personnel costs and travel costs.</w:t>
      </w:r>
    </w:p>
    <w:p>
      <w:pPr>
        <w:spacing w:after="0" w:line="65"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The increase in goodwill impairment in the nine months ended September 30, 2020, was the result of a goodwill impairment charge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Power Solutions. See Note 6 in the Notes to Condensed Consolidated Financial Statements for more information on the impairment charge.</w:t>
      </w:r>
    </w:p>
    <w:p>
      <w:pPr>
        <w:spacing w:after="0" w:line="5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 (Income), Net. </w:t>
      </w:r>
      <w:r>
        <w:rPr>
          <w:rFonts w:ascii="Times New Roman" w:cs="Times New Roman" w:eastAsia="Times New Roman" w:hAnsi="Times New Roman"/>
          <w:sz w:val="18"/>
          <w:szCs w:val="18"/>
          <w:color w:val="auto"/>
        </w:rPr>
        <w:t>Other operating expense (income), net, changed unfavorably by $5.0 million primarily due to charges and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asset disposals and elimination of a portion of our lease obligation as a result of our decision to vacate a portion of our corporate headquarters building. These charges were partially offset by a $0.8 million gain on the sale of a building in Fairfield, Ohio, in the nine months ended September 30, 2020.</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by $8.2 million during the nine months ended September 30, 2020, compared to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primarily due to an increase in settlements on the interest rate swap and an increase in the interest rate margin over one-month LIBOR on the Senior Secured Term Loan and the Incremental Term Loan as a result of amendments executed in 2019. These increases were partially offset by a reduction in one-month LIBOR. Interest on our Senior Secured Revolver decreased due to a low outstanding principal balance throughout most of the first quarter of 2020 after using proceeds from the Preferred Stock offering to repay the balance in December 2019.</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r>
      <w:tr>
        <w:trPr>
          <w:trHeight w:val="188"/>
        </w:trPr>
        <w:tc>
          <w:tcPr>
            <w:tcW w:w="78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settlements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2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17,036</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8,829</w:t>
            </w:r>
          </w:p>
        </w:tc>
      </w:tr>
      <w:tr>
        <w:trPr>
          <w:trHeight w:val="21"/>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changed favorably by $0.8 million during the nine months ended September 30, 2020, compared to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2019, primarily due to more favorable foreign exchange effects associated with intercompany borrowings compared to the prior year.</w:t>
      </w:r>
    </w:p>
    <w:p>
      <w:pPr>
        <w:spacing w:after="0" w:line="6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Benefit (Provision) For Income Taxes. </w:t>
      </w:r>
      <w:r>
        <w:rPr>
          <w:rFonts w:ascii="Times New Roman" w:cs="Times New Roman" w:eastAsia="Times New Roman" w:hAnsi="Times New Roman"/>
          <w:sz w:val="18"/>
          <w:szCs w:val="18"/>
          <w:color w:val="auto"/>
        </w:rPr>
        <w:t>Our effective tax rate was 5.9% for the nine months ended September 30, 2020, compared to (21.2)%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2019. The difference in rates is primarily due to the impact of the impairment of nondeductible goodwill in 2020, the CARES Act, anticipated withholding taxes which would be due upon repatriation of the unremitted earnings of foreign subsidiaries, and the impact of losses in jurisdictions where it is more likely than not that a tax benefit will not be realized. Note 9 in the Notes to Condensed Consolidated Financial Statements describes the components of income taxes for each period presented.</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 of Net Income from Joint Venture. </w:t>
      </w:r>
      <w:r>
        <w:rPr>
          <w:rFonts w:ascii="Times New Roman" w:cs="Times New Roman" w:eastAsia="Times New Roman" w:hAnsi="Times New Roman"/>
          <w:sz w:val="18"/>
          <w:szCs w:val="18"/>
          <w:color w:val="auto"/>
        </w:rPr>
        <w:t>Share of net income from the JV increased during the nine months ended September 30, 2020,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2019, primarily due to improved profits from expanding variable margins as a result of successful process improvement initiatives and improved product mix, and fixed cost reduction actions. These favorable impacts were partially offset by the shutdown of manufacturing operations in China during the first quarter of 2020 due to the COVID-19 pandemic.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Borders>
              <w:bottom w:val="single" w:sz="8" w:color="auto"/>
            </w:tcBorders>
          </w:tcPr>
          <w:p>
            <w:pPr>
              <w:spacing w:after="0"/>
              <w:rPr>
                <w:sz w:val="16"/>
                <w:szCs w:val="16"/>
                <w:color w:val="auto"/>
              </w:rPr>
            </w:pPr>
          </w:p>
        </w:tc>
      </w:tr>
      <w:tr>
        <w:trPr>
          <w:trHeight w:val="188"/>
        </w:trPr>
        <w:tc>
          <w:tcPr>
            <w:tcW w:w="5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00" w:type="dxa"/>
            <w:vAlign w:val="bottom"/>
            <w:tcBorders>
              <w:bottom w:val="single" w:sz="8" w:color="auto"/>
            </w:tcBorders>
          </w:tcPr>
          <w:p>
            <w:pPr>
              <w:spacing w:after="0"/>
              <w:rPr>
                <w:sz w:val="16"/>
                <w:szCs w:val="16"/>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(49,298)</w:t>
            </w:r>
          </w:p>
        </w:tc>
        <w:tc>
          <w:tcPr>
            <w:tcW w:w="900" w:type="dxa"/>
            <w:vAlign w:val="bottom"/>
            <w:shd w:val="clear" w:color="auto" w:fill="CCEEFF"/>
          </w:tcPr>
          <w:p>
            <w:pPr>
              <w:spacing w:after="0"/>
              <w:rPr>
                <w:sz w:val="19"/>
                <w:szCs w:val="19"/>
                <w:color w:val="auto"/>
              </w:rPr>
            </w:pPr>
          </w:p>
        </w:tc>
      </w:tr>
      <w:tr>
        <w:trPr>
          <w:trHeight w:val="230"/>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Organic decline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ind w:right="355"/>
              <w:spacing w:after="0"/>
              <w:rPr>
                <w:sz w:val="20"/>
                <w:szCs w:val="20"/>
                <w:color w:val="auto"/>
              </w:rPr>
            </w:pPr>
            <w:r>
              <w:rPr>
                <w:rFonts w:ascii="Times New Roman" w:cs="Times New Roman" w:eastAsia="Times New Roman" w:hAnsi="Times New Roman"/>
                <w:sz w:val="18"/>
                <w:szCs w:val="18"/>
                <w:i w:val="1"/>
                <w:i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(44,027)</w:t>
            </w:r>
          </w:p>
        </w:tc>
      </w:tr>
      <w:tr>
        <w:trPr>
          <w:trHeight w:val="230"/>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(5,271)</w:t>
            </w: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(9,493)</w:t>
            </w:r>
          </w:p>
        </w:tc>
        <w:tc>
          <w:tcPr>
            <w:tcW w:w="900" w:type="dxa"/>
            <w:vAlign w:val="bottom"/>
          </w:tcPr>
          <w:p>
            <w:pPr>
              <w:spacing w:after="0"/>
              <w:rPr>
                <w:sz w:val="20"/>
                <w:szCs w:val="20"/>
                <w:color w:val="auto"/>
              </w:rPr>
            </w:pPr>
          </w:p>
        </w:tc>
      </w:tr>
    </w:tbl>
    <w:p>
      <w:pPr>
        <w:spacing w:after="0" w:line="1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sales decreased by $49.3 million during the nine months ended September 30, 2020, compared to the nine months ended September 30, 2019, primarily due to lower demand within global automotive markets resulting from the COVID-19 pandemic, price reductions, the impact of reduced demand for components associated with programs nearing the end of life, and unfavorable foreign exchange effects.</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Income from operations decreased by $9.5 million compared to the same period in the prior year due to lost variable margin on the above-referenced sales volume decline, partially offset by fixed cost reduction actions taken in response to the decline in sales volume. Additionally, the nine months ended September 30, 2019, were impacted by a $1.4 million one-time favorable litigation settlement.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88"/>
        </w:trPr>
        <w:tc>
          <w:tcPr>
            <w:tcW w:w="5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127,307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(21,173)</w:t>
            </w:r>
          </w:p>
        </w:tc>
        <w:tc>
          <w:tcPr>
            <w:tcW w:w="860" w:type="dxa"/>
            <w:vAlign w:val="bottom"/>
            <w:shd w:val="clear" w:color="auto" w:fill="CCEEFF"/>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Organic decline</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ind w:right="394"/>
              <w:spacing w:after="0"/>
              <w:rPr>
                <w:sz w:val="20"/>
                <w:szCs w:val="20"/>
                <w:color w:val="auto"/>
              </w:rPr>
            </w:pPr>
            <w:r>
              <w:rPr>
                <w:rFonts w:ascii="Times New Roman" w:cs="Times New Roman" w:eastAsia="Times New Roman" w:hAnsi="Times New Roman"/>
                <w:sz w:val="18"/>
                <w:szCs w:val="18"/>
                <w:i w:val="1"/>
                <w:i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(21,578)</w:t>
            </w:r>
          </w:p>
        </w:tc>
        <w:tc>
          <w:tcPr>
            <w:tcW w:w="320" w:type="dxa"/>
            <w:vAlign w:val="bottom"/>
          </w:tcPr>
          <w:p>
            <w:pPr>
              <w:spacing w:after="0"/>
              <w:rPr>
                <w:sz w:val="19"/>
                <w:szCs w:val="19"/>
                <w:color w:val="auto"/>
              </w:rPr>
            </w:pPr>
          </w:p>
        </w:tc>
      </w:tr>
      <w:tr>
        <w:trPr>
          <w:trHeight w:val="230"/>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405</w:t>
            </w:r>
          </w:p>
        </w:tc>
        <w:tc>
          <w:tcPr>
            <w:tcW w:w="320" w:type="dxa"/>
            <w:vAlign w:val="bottom"/>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(92,942)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(92,942)</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(87,737)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(100,594)</w:t>
            </w:r>
          </w:p>
        </w:tc>
        <w:tc>
          <w:tcPr>
            <w:tcW w:w="860" w:type="dxa"/>
            <w:vAlign w:val="bottom"/>
            <w:shd w:val="clear" w:color="auto" w:fill="CCEEFF"/>
          </w:tcPr>
          <w:p>
            <w:pPr>
              <w:spacing w:after="0"/>
              <w:rPr>
                <w:sz w:val="19"/>
                <w:szCs w:val="19"/>
                <w:color w:val="auto"/>
              </w:rPr>
            </w:pPr>
          </w:p>
        </w:tc>
        <w:tc>
          <w:tcPr>
            <w:tcW w:w="320" w:type="dxa"/>
            <w:vAlign w:val="bottom"/>
          </w:tcPr>
          <w:p>
            <w:pPr>
              <w:spacing w:after="0"/>
              <w:rPr>
                <w:sz w:val="19"/>
                <w:szCs w:val="19"/>
                <w:color w:val="auto"/>
              </w:rPr>
            </w:pPr>
          </w:p>
        </w:tc>
      </w:tr>
      <w:tr>
        <w:trPr>
          <w:trHeight w:val="864"/>
        </w:trPr>
        <w:tc>
          <w:tcPr>
            <w:tcW w:w="5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sales decreased by $21.2 million during the nine months ended September 30, 2020, compared to the nine months ended September 30, 2019, primarily due to lower demand in the electrical products, automotive, and oil and gas end markets resulting from the COVID-19 pandemic.</w:t>
      </w:r>
    </w:p>
    <w:p>
      <w:pPr>
        <w:spacing w:after="0" w:line="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Income from operations decreased by $100.6 million compared to the same period in the prior year primarily due to a goodwill impairment loss of $92.9 million recognized in the first quarter of 2020, lost variable margin on the above-referenced sales volume decline, and increased precious metals commodity prices. These unfavorable impacts were partially offset by fixed cost reduction actions taken in response to the decline in sales volume.</w:t>
      </w:r>
    </w:p>
    <w:p>
      <w:pPr>
        <w:spacing w:after="0" w:line="172" w:lineRule="exact"/>
        <w:rPr>
          <w:sz w:val="20"/>
          <w:szCs w:val="20"/>
          <w:color w:val="auto"/>
        </w:rPr>
      </w:pPr>
    </w:p>
    <w:p>
      <w:pPr>
        <w:ind w:right="50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Changes in Financial Condition from December 31, 2019, to September 30, 2020 </w:t>
      </w:r>
      <w:r>
        <w:rPr>
          <w:rFonts w:ascii="Times New Roman" w:cs="Times New Roman" w:eastAsia="Times New Roman" w:hAnsi="Times New Roman"/>
          <w:sz w:val="18"/>
          <w:szCs w:val="18"/>
          <w:i w:val="1"/>
          <w:iCs w:val="1"/>
          <w:color w:val="auto"/>
        </w:rPr>
        <w:t>Overview</w:t>
      </w:r>
    </w:p>
    <w:p>
      <w:pPr>
        <w:ind w:right="140"/>
        <w:spacing w:after="0" w:line="258" w:lineRule="auto"/>
        <w:rPr>
          <w:sz w:val="20"/>
          <w:szCs w:val="20"/>
          <w:color w:val="auto"/>
        </w:rPr>
      </w:pPr>
      <w:r>
        <w:rPr>
          <w:rFonts w:ascii="Times New Roman" w:cs="Times New Roman" w:eastAsia="Times New Roman" w:hAnsi="Times New Roman"/>
          <w:sz w:val="18"/>
          <w:szCs w:val="18"/>
          <w:color w:val="auto"/>
        </w:rPr>
        <w:t>From December 31, 2019, to September 30, 2020, total assets decreased by $225.8 million primarily due to the $92.9 million impairment of Power Solutions goodwill in the first quarter of 2020 and an additional $146.8 million impairment of Life Sciences goodwill in the first quarter of 2020, which is included in discontinued operations. Normal depreciation and amortization of fixed assets and intangible assets also contributed to the decrease. These decreases were partially offset by cash reserves from the drawdown of $59.0 million on our Senior Secured Revolver during the nine months ended September 30, 2020.</w:t>
      </w:r>
    </w:p>
    <w:p>
      <w:pPr>
        <w:spacing w:after="0" w:line="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From December 31, 2019, to September 30, 2020, total liabilities increased by $32.3 million, primarily due to the drawdown on our Senior Secured Revolver.</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Working capital of continuing operations, which consists of cash, accounts receivable, inventories, income taxes receivable, and other current assets offset by accounts payable, accrued personnel costs, income taxes payable, current maturities of long-term debt, current portion of lease liabilities, and other current liabilities, was $(573.7) million as of September 30, 2020, compared to $88.0 million as of December 31, 2019. The decrease in working capital was primarily due to an increase in the current portion of long-term debt that was reasonably expected to be paid with proceeds from the sale of the Life Sciences business as required by the credit agreement. This decrease was partially offset by the increase in cash resulting from the drawdown on our Senior Secured Revolver.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jc w:val="both"/>
        <w:ind w:right="540"/>
        <w:spacing w:after="0" w:line="282" w:lineRule="auto"/>
        <w:rPr>
          <w:sz w:val="20"/>
          <w:szCs w:val="20"/>
          <w:color w:val="auto"/>
        </w:rPr>
      </w:pPr>
      <w:r>
        <w:rPr>
          <w:rFonts w:ascii="Times New Roman" w:cs="Times New Roman" w:eastAsia="Times New Roman" w:hAnsi="Times New Roman"/>
          <w:sz w:val="18"/>
          <w:szCs w:val="18"/>
          <w:color w:val="auto"/>
        </w:rPr>
        <w:t>Cash provided by operations was $19.3 million for the nine months ended September 30, 2020, compared with cash provided by operations of $33.6 million for the nine months ended September 30, 2019. The difference was primarily due to a decrease in sales volumes and higher interest expense.</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$17.4 million for the nine months ended September 30, 2020, compared with cash used in investing activities of $31.0 million for the nine months ended September 30, 2019. The decrease was primarily due to lower capital expenditures in 2020 as part of our cash savings initiatives. Cash received from the liquidation of the short-term investment during 2019 partially offset the decrease in capital expenditures year over year.</w:t>
      </w:r>
    </w:p>
    <w:p>
      <w:pPr>
        <w:spacing w:after="0" w:line="68"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was $43.9 million for the nine months ended September 30, 2020, compared with cash provided by financing activities of $6.9 million for the nine months ended September 30, 2019. The difference was primarily due to higher net borrowings under our credit facility during the nine months ended September 30, 2020.</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Analysis</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goodwill impairment analysis required significant judgments to calculate the fair value for the Power Solutions reporting unit, including estimation of future cash flows, which is dependent on internal forecasts, estimation of the long-term growth rate for each operating segment, and determination of weighted average cost of capital. Our forecasts used in the goodwill impairment analysis reflected our expectations of declines in sales resulting from COVID-19. Significant assumptions and estimates are involved in the application of the discounted cash flow model to forecast operating cash flows, including market growth and market share, sales volumes and prices, costs to produce, discount rate, and estimated capital needs. Management considers historical experience and all available information at the time the fair values of its reporting units are estimated. Assumptions in estimating future cash flows are subject to a high degree of judgment and complexity. The carrying value of the Power Solutions reporting unit exceeded the estimated fair value as of the March 31, 2020, analysis. As a result of our analysis, we recorded an impairment loss on goodwill of $92.9 million to the “Goodwill impairment” line on the Condensed Consolidated Statements of Operations and Comprehensive Income (Loss).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On October 21, 2019, we announced expense reduction and cash savings initiatives to help the Company continue to pay down its debt and support greater growth by reinvesting in its businesses. The expense reduction and cash saving initiatives include streamlining facilities and reducing overall selling, general and administrative costs; elimination of quarterly dividend payments; and a reduction in capital expenditures from 2019 spending levels as the Company returns to a more normalized level of capital spending after several years of higher investment. As described in the “Results of Operations, </w:t>
      </w:r>
      <w:r>
        <w:rPr>
          <w:rFonts w:ascii="Times New Roman" w:cs="Times New Roman" w:eastAsia="Times New Roman" w:hAnsi="Times New Roman"/>
          <w:sz w:val="18"/>
          <w:szCs w:val="18"/>
          <w:i w:val="1"/>
          <w:iCs w:val="1"/>
          <w:color w:val="auto"/>
        </w:rPr>
        <w:t>Factors That May Influence Results of Operations</w:t>
      </w:r>
      <w:r>
        <w:rPr>
          <w:rFonts w:ascii="Times New Roman" w:cs="Times New Roman" w:eastAsia="Times New Roman" w:hAnsi="Times New Roman"/>
          <w:sz w:val="18"/>
          <w:szCs w:val="18"/>
          <w:color w:val="auto"/>
        </w:rPr>
        <w:t>” section of Management’s Discussion and Analysis of Financial Condition and Results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we have taken additional actions </w:t>
      </w:r>
      <w:r>
        <w:rPr>
          <w:rFonts w:ascii="Times New Roman" w:cs="Times New Roman" w:eastAsia="Times New Roman" w:hAnsi="Times New Roman"/>
          <w:sz w:val="18"/>
          <w:szCs w:val="18"/>
          <w:color w:val="212529"/>
        </w:rPr>
        <w:t>in response to the economic effects of the global pandemic and in order to enhance our liquidity position during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difficult period.</w:t>
      </w:r>
    </w:p>
    <w:p>
      <w:pPr>
        <w:spacing w:after="0" w:line="8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November 2019, we initiated a strategic review to evaluate a broad range of operational, financial, and strategic options to reduce leverage and enhance shareholder value, and we retained external advisors to assist in this effort. The strategic options we have evaluated included further cost savings and cash generation initiatives, more efficient capital deployment, changes to our debt and equity structure to improve financial flexibility and liquidity, and the sale of part or all of NN, among others.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December 11, 2019, we issued Preferred Stock for net proceeds of $95.7 million and used a portion of the proceeds to repay amounts due at that time on our Senior Secured Revolver. In December 2019, we amended our Credit Agreement which, in turn, extended the due date of our Senior Secured Revolver to July 20, 2022, reduced the total capacity under the Senior Secured Revolver to $75.0 million, and extended the due date of our Incremental Term Loan to October 19, 2022, matching the date of our longer-dated Senior Secured Term Loan. Additionally, as part of this amendment, our debt covenants were amended to establish more restrictive leverage ratios that also become more restrictive over time. Our financial leverage ratio covenant is required to be complied with on a quarterly basis at the end of each of our quarterly reporting periods. Our financial leverage ratio covenant is based upon our consolidated net indebtedness at each quarter end and our trailing twelve-month Adjusted EBITDA as defined in our Credit Agreement.</w:t>
      </w:r>
    </w:p>
    <w:p>
      <w:pPr>
        <w:spacing w:after="0" w:line="8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July 2020, we amended our Credit Agreement to waive compliance with the financial leverage ratio covenant for the second and third quarters of 2020. During this period, we are required to maintain minimum liquidity levels, provide certain financial and other information, and take certain other action as specified in the amendment. Failure to maintain the required minimum liquidity levels or satisfy other requirements set forth in the amendment would allow the revolving credit lenders, the Senior Secured Term loan lenders, and the Incremental Term Loan lenders to cause amounts outstanding under our credit facility to become immediately due and payable and would have a material, adverse impact on our financial position.</w:t>
      </w:r>
    </w:p>
    <w:p>
      <w:pPr>
        <w:spacing w:after="0" w:line="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August 2020, we entered into an agreement to sell our Life Sciences business (see Note 2). The sale closed on October 6, 2020, at which time we received cash proceeds of $757.2 million. We immediately prepaid $700.0 million in the aggregate on the Senior Secured Term Loan and the Incremental Term Loan. We also paid in full the outstanding balance on the Senior Secured Revolver.</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rely on cash flow generated from operations and available borrowings under our Senior Secured Revolver to fund our working capital and other operating and investing needs. Our ability to borrow under the Senior Secured Revolver is based on our continued compliance with the minimum liquidity requirements and, for periods beginning in the fourth quarter of 2020, the financial leverage ratio covenant, as defined, which became more restrictive upon the occurrence of a qualified sale transaction, which occurred on October 6, 2020.</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Based on available borrowing capacity of the Senior Secured Revolver, the reduction in debt service costs as a result of the debt prepayment with net proceeds from the sale of the Life Sciences business in October 2020, and cash flows expected to be generated from operations and investing activities, we anticipate that our cash and cash equivalents are sufficient to support our operations and meet our obligations, and that we will be able to maintain compliance with the existing financial leverage ratio covenant for the next twelve months from issuance of these financial statements.</w:t>
      </w:r>
    </w:p>
    <w:p>
      <w:pPr>
        <w:spacing w:after="0" w:line="7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Accordingly, we believe that the conditions that raised substantial doubt about our ability to continue as a going concern as disclosed in our Quarterly Report for the period ended June 30, 2020, have been resolved.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February 8, 2019, we entered into a $700.0 million fixed-rate interest rate swap agreement that changed the LIBOR-based portion of the interest rate on a portion of our variable rate debt to a fixed rate of 2.4575%. The term of the interest rate swap is from the effective date of February 12, 2019, through the termination date of October 19, 2022, with a declining notional amount over the term of the interest rate swap. In connection with the prepayment of debt on October 6, 2020, with proceeds from the sale of our Life Sciences business, the outstanding balance of our variable rate debt fell below the $700.0 million notional amount of the interest rate swap contract. After the prepayment, a portion of the hedged interest payments were no longer probable of occurring, and the hedging relationship on this portion was no longer highly effective. Therefore, part of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rate swap no longer qualified for hedge accounting after the debt prepayment. After the discontinuation of hedge accounting, changes in the fair value of this portion of the swap will be recognized in earnings rather than in accumulated other comprehensive income. During the fourth quarter of 2020, the accumulated loss in accumulated other comprehensive income related to the hedged interest payments that are no longer probable of occurring will be reclassified to earnings. Refer to Note 18 in the Notes to Condensed Consolidated Financial Statements for further discussion about the interest rate swap.</w:t>
      </w:r>
    </w:p>
    <w:p>
      <w:pPr>
        <w:spacing w:after="0" w:line="7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arrangements with customers typically provide that payments are due within 30 to 60 days following the date of shipment. We invoice and receive payment from many of our customers in various other currencies. Additionally, we are party to various third party and intercompany loans, payables, and receivables denominated in currencies other than the U.S. dollar. As a result of these sales, loans, payables, and receivables, we are exposed to foreign exchange transaction and translation risk. Various strategies to manage this risk are available to management, including producing and selling in local currencies and hedging programs. As of September 30, 2020, no currency derivatives were in place. In addition, a strengthening of the U.S. dollar against foreign currencies could impair our ability to compete with international competitors for foreign as well as domestic sales.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Aggregate principal amounts outstanding under our Senior Secured Term Loan, Incremental Term Loan, and Senior Secured Revolver as of September 30, 2020, were $829.4 million, without regard to unamortized debt issuance costs. Of this amount, $700.0 million was hedged with the interest rate swap. As of September 30, 2020, we had unused borrowing capacity of $1.4 million under the Senior Secured Revolver, subject to certain limitations. This amount of borrowing capacity is net of $14.6 million of outstanding letters of credit at September 30, 2020, which are considered as usage of the Senior Secured Revolver. On October 6, 2020, we used proceeds from the sale of the Life Sciences business to prepay $700.0 million in the aggregate on the Senior Secured Term Loan and the Incremental Term Loan. We also paid in full the outstanding balance on the Senior Secured Revolver.</w:t>
      </w:r>
    </w:p>
    <w:p>
      <w:pPr>
        <w:spacing w:after="0" w:line="7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Collectively, our Senior Secured Term Loan, Incremental Term Loan, and Senior Secured Revolver comprise our credit facility. Total capacity under the Senior Secured Revolver was $75.0 million as of September 30, 2020. The Senior Secured Revolver matures on July 20, 2022. In August 2020, we amended our Credit Agreement to obtain the lenders’ consent to the sale of the Life Sciences business, subject to certain terms and conditions. Among other things, the amendment reduced total capacity of the Senior Secured Revolver to $60.0 million immediately after the sale of the Life Sciences business. The capacity will decrease to $50.0 million on June 30, 2021. The amendment requires cash in excess of $35.0 million on the last day of each month to be used to pay down the Senior Secured Revolver. On October 7, 2020, immediately after paying the entire outstanding balance of the Senior Secured Revolver, we had unused borrowing capacity of $45.4 million.</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Senior Secured Term Loan requires quarterly principal payments through October 19, 2022, with the remaining principal amount due on the maturity date. After the sale of the Life Sciences, quarterly principal payments are $0.1 million. If one-month LIBOR is less than 0.75%, then we pay 6.50% per annum in interest on the unhedged balance. If one-month LIBOR exceeds 0.75%, then we pay the variable one-month LIBOR plus an applicable margin of 5.75%. Based on the interest rate in effect at September 30, 2020, after the $474.3 million principal payment on October 6, 2020, annual interest payments on the remaining balance would be approximately $3.1 million.</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Incremental Term Loan requires quarterly principal payments through October 19, 2022, with the remaining principal amount due on the maturity date. After the sale of the Life Sciences, quarterly principal payments are $0.3 million. The Incremental Term Loan bears interest at the variable one-month LIBOR plus an applicable margin of 5.75%. Based on the interest rate in effect at September 30, 2020, after the $225.7 million principal payment on October 6, 2020, annual interest payments on the remaining balance would be approximately $1.3 million.</w:t>
      </w:r>
    </w:p>
    <w:p>
      <w:pPr>
        <w:spacing w:after="0" w:line="7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Senior Secured Revolver bears interest on a variable rate structure with borrowings bearing interest at either one-month LIBOR plus an applicable margin of 4.00% or the prime lending rate plus an applicable margin of 3.00%. Based on the interest rate in effect at September 30, 2020, annual interest payments would be approximately $2.4 million. We paid in full the outstanding Senior Secured Revolver balance on October 7, 2020. We pay a commitment fee of 0.50% for unused capacity under the Senior Secured Revolver.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had $59.0 million outstanding under the Senior Secured Revolver at September 30, 2020. Total capacity under the Senior Secured Revolver was $75.0 million as of September 30, 2020, with $1.4 million available for future borrowings after reductions for outstanding letters of credit and outstanding borrowings as of September 30, 2020. In July 2020, we amended our Credit Agreement to waive compliance with the financial leverage ratio covenant for the second and third quarters of 2020. During this period, we are required to maintain minimum liquidity levels, provide certain financial and other information, and take certain other action as specified in the amendment. Failure to maintain the required minimum liquidity levels or satisfy other requirements set forth in the amendment would allow the revolving credit lenders, the Senior Secured Term loan lenders,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and the Incremental Term Loan lenders to cause amounts outstanding under our credit facility to become immediately due and payable and would have a material, adverse impact on our financial position. As discussed above, we amended our Credit Agreement again in August 2020 in conjunction with the planned sale of the Life Sciences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as of September 30, 2020, with all requirements under our credit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including the assumptions and judgments underlying them, are disclosed in the 2019 Annual Report, including those policies as discussed in Note 1 to the Notes to Consolidated Financial Statements included in the 2019 Annual Report. There have been no changes to these policies during the nine months ended September 30, 2020, except as discussed in Note 1 to the Notes to Condensed Consolidated Financial Statements included in this Quarterly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in the Notes to Condensed Consolidated Financial Statements included in this Quarterly Report.</w:t>
      </w:r>
    </w:p>
    <w:p>
      <w:pPr>
        <w:spacing w:after="0" w:line="200" w:lineRule="exact"/>
        <w:rPr>
          <w:sz w:val="20"/>
          <w:szCs w:val="20"/>
          <w:color w:val="auto"/>
        </w:rPr>
      </w:pPr>
    </w:p>
    <w:p>
      <w:pPr>
        <w:spacing w:after="0" w:line="3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policy is to manage interest expense using a mixture of fixed and variable rate debt. To manage this mixture of fixed and variable rate debt effectively and mitigate interest rate risk, we may use interest rate swap agreements. The nature and amount of borrowings may vary as a result of future business requirements, market conditions, and other factors.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February 2019, we entered into a $700.0 million fixed-rate interest rate swap agreement that changed the LIBOR-based portion of the interest rate on a portion of our variable rate debt to a fixed rate of 2.4575%. The term of the interest rate swap is from the effective date of February 12, 2019, through the termination date of October 19, 2022, with a declining notional amount over the term of the interest rate swap. Refer to Note 18 in the Notes to Condensed Consolidated Financial Statements for further discussion about the interest rate swap.</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At September 30, 2020, we had $522.0 million and $248.4 million of principal outstanding under the Senior Secured Term Loan and Incremental Term Loan, respectively, without regard to capitalized debt issuance costs. At September 30, 2020, $700.0 million of this outstanding principal was hedged. On October 6, 2020, $700.0 million of this outstanding principal was paid. After the October 6, 2020, payment, a one-percent increase in one-month LIBOR would result in a net increase in interest expense of $0.4 million on an annualized basis due to the fact that the Senior Secured Term Loan is subject to a LIBOR floor of 0.75% and one-month LIBOR was below the floor as of September 30, 2020.</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September 30, 2020, we had $59.0 million of principal outstanding under the Senior Secured Revolver, without regard to capitalized debt issuance costs. At September 30, 2020, a one-percent increase in the interest rate charged on outstanding variable rate borrowings under the Senior Secured Revolver would increase interest expense for an annual period by approximately $0.6 million.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September 30, 2020.</w:t>
      </w:r>
    </w:p>
    <w:p>
      <w:pPr>
        <w:spacing w:after="0" w:line="200" w:lineRule="exact"/>
        <w:rPr>
          <w:sz w:val="20"/>
          <w:szCs w:val="20"/>
          <w:color w:val="auto"/>
        </w:rPr>
      </w:pPr>
    </w:p>
    <w:p>
      <w:pPr>
        <w:spacing w:after="0" w:line="3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Chief Executive Officer and Chief Financial Officer, we evaluated the effectiveness of disclosure controls and procedures (as defined in Rule 13a-15(e) and 15d-15(e) of the Securities Exchange Act of 1934, as amended (the “Exchange Act”)). Based upon that evaluation, as a result of the material weaknesses in internal control over financial reporting described below, our Chief Executive Officer and Chief Financial Officer concluded that our disclosure controls and procedures were not effective as of September 30, 2020,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Identified Material Weaknesses in Internal Control Over Financial Reporting</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our 2019 Annual Report, management identified the following control deficiencies that constitute material weaknesses in our internal control over financial reporting as of December 31, 2019, and has concluded that they remain unremediated as of September 30, 2020:</w:t>
      </w:r>
    </w:p>
    <w:p>
      <w:pPr>
        <w:spacing w:after="0" w:line="54" w:lineRule="exact"/>
        <w:rPr>
          <w:sz w:val="20"/>
          <w:szCs w:val="20"/>
          <w:color w:val="auto"/>
        </w:rPr>
      </w:pPr>
    </w:p>
    <w:p>
      <w:pPr>
        <w:ind w:left="500" w:right="80" w:hanging="330"/>
        <w:spacing w:after="0" w:line="254" w:lineRule="auto"/>
        <w:tabs>
          <w:tab w:leader="none" w:pos="4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an effective control environment due to a lack of a sufficient complement of personnel with an appropriate level of knowledge, experience and training commensurate with our financial reporting requirements. This material weakness resulted in immaterial misstatements to income tax receivable; other current assets; property, plant and equipment, net; goodwill; investment in joint venture; other non-current assets; accounts payable; accrued salaries, wages and benefits; other current liabilities; deferred tax liabilities; other non-current liabilities; additional paid in capital; accumulated deficit; accumulated other comprehensive income (loss); selling, general and administrative expense; depreciation and amortization; other operating expense/income; write-off of unamortized debt issuance costs; provision/benefit for income taxes; comprehensive income/loss; and cash flows in our consolidated financial statements for the interim and annual periods in the years ended December 31, 2019, 2018 and 2017, and prior periods.</w:t>
      </w:r>
    </w:p>
    <w:p>
      <w:pPr>
        <w:spacing w:after="0" w:line="83" w:lineRule="exact"/>
        <w:rPr>
          <w:rFonts w:ascii="Times New Roman" w:cs="Times New Roman" w:eastAsia="Times New Roman" w:hAnsi="Times New Roman"/>
          <w:sz w:val="18"/>
          <w:szCs w:val="18"/>
          <w:color w:val="auto"/>
        </w:rPr>
      </w:pPr>
    </w:p>
    <w:p>
      <w:pPr>
        <w:jc w:val="both"/>
        <w:ind w:left="500" w:right="200" w:hanging="330"/>
        <w:spacing w:after="0" w:line="266" w:lineRule="auto"/>
        <w:tabs>
          <w:tab w:leader="none" w:pos="495" w:val="left"/>
        </w:tabs>
        <w:numPr>
          <w:ilvl w:val="0"/>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We did not design and maintain effective monitoring controls over our Paragon Medical business. Specifically, we did not maintain personnel and systems that were sufficient to ensure the adequate monitoring of control activities for certain processes. This material weakness did not result in a material misstatement to the financial statements.</w:t>
      </w:r>
    </w:p>
    <w:p>
      <w:pPr>
        <w:spacing w:after="0" w:line="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222222"/>
        </w:rPr>
        <w:t xml:space="preserve">These material weaknesses contributed to the material weaknesses described below, which were also disclosed in our 2019 Annual Report and remain outstanding as of </w:t>
      </w:r>
      <w:r>
        <w:rPr>
          <w:rFonts w:ascii="Times New Roman" w:cs="Times New Roman" w:eastAsia="Times New Roman" w:hAnsi="Times New Roman"/>
          <w:sz w:val="18"/>
          <w:szCs w:val="18"/>
          <w:color w:val="000000"/>
        </w:rPr>
        <w:t>September 30, 2020</w:t>
      </w:r>
      <w:r>
        <w:rPr>
          <w:rFonts w:ascii="Times New Roman" w:cs="Times New Roman" w:eastAsia="Times New Roman" w:hAnsi="Times New Roman"/>
          <w:sz w:val="18"/>
          <w:szCs w:val="18"/>
          <w:color w:val="222222"/>
        </w:rPr>
        <w:t>:</w:t>
      </w:r>
    </w:p>
    <w:p>
      <w:pPr>
        <w:spacing w:after="0" w:line="54" w:lineRule="exact"/>
        <w:rPr>
          <w:sz w:val="20"/>
          <w:szCs w:val="20"/>
          <w:color w:val="auto"/>
        </w:rPr>
      </w:pPr>
    </w:p>
    <w:p>
      <w:pPr>
        <w:ind w:left="500" w:right="200" w:hanging="330"/>
        <w:spacing w:after="0" w:line="266"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internal controls over the accounting for transactions in the revenue and receivables business process within our Paragon Medical business to determine whether the transactions occurred and were complete and accurate. This material weakness did not result in a material misstatement to the interim or annual consolidated financial statements.</w:t>
      </w:r>
    </w:p>
    <w:p>
      <w:pPr>
        <w:spacing w:after="0" w:line="67" w:lineRule="exact"/>
        <w:rPr>
          <w:rFonts w:ascii="Times New Roman" w:cs="Times New Roman" w:eastAsia="Times New Roman" w:hAnsi="Times New Roman"/>
          <w:sz w:val="18"/>
          <w:szCs w:val="18"/>
          <w:color w:val="auto"/>
        </w:rPr>
      </w:pPr>
    </w:p>
    <w:p>
      <w:pPr>
        <w:ind w:left="500" w:right="20" w:hanging="330"/>
        <w:spacing w:after="0" w:line="256"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certain information technology (“IT”) general controls within our Paragon Medical business for information systems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certain financial applications, programs, and data to appropriate Company personnel; and (iii) computer operations controls to ensure that critical batch jobs are monitored and data backups are authorized and monitored.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right="40"/>
        <w:spacing w:after="0" w:line="258" w:lineRule="auto"/>
        <w:rPr>
          <w:sz w:val="20"/>
          <w:szCs w:val="20"/>
          <w:color w:val="auto"/>
        </w:rPr>
      </w:pPr>
      <w:r>
        <w:rPr>
          <w:rFonts w:ascii="Times New Roman" w:cs="Times New Roman" w:eastAsia="Times New Roman" w:hAnsi="Times New Roman"/>
          <w:sz w:val="18"/>
          <w:szCs w:val="18"/>
          <w:color w:val="auto"/>
        </w:rPr>
        <w:t>These IT deficiencies did not result in a material misstatement to the financial statements; however, the deficiencies, when aggregated, could impact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deficiencies in the aggregate constitute a material weakness.</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disclosed in our 2019 Annual Report, we did not maintain effective control activities at one of our smaller foreign subsidiaries. Specifically, certain employees at one of our smaller foreign subsidiaries intentionally did not operate the controls related to inventory quantities as designed that resulted in the creation of unsupported physical inventory counts and inventory quantity adjustments. This material weakness resulted in a revision to inventories, cost of sales, and accumulated other comprehensive income/loss within previously issued financial statements for the interim and annual periods in the years ended December 31, 2019, 2018, and 2017.</w:t>
      </w:r>
    </w:p>
    <w:p>
      <w:pPr>
        <w:spacing w:after="0" w:line="7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Additionally, these material weaknesses could result in misstatements of substantially all accounts and disclosures that would result in a material misstatement to the annual or interim consolidated financial statements that would not be prevented or detected.</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Notwithstanding these material weaknesses, our Chief Executive Officer and Chief Financial Officer have concluded that our condensed consolidated financial statements in this Quarterly Report present fairly, and in all material respects, our financial position, results of operations, and cash flows for the periods presented in conformity with U.S. GAAP.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Remediation Efforts for the Unremediated Material Weaknesses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we reported in prior periods, we have hired qualified professionals for critical roles within our finance department. We are also enhancing and implementing new processes, controls, and systems to strengthen our internal control over financial reporting. After we integrate these professionals into our control environment and operate the newly implemented controls for a sufficient time period, we expect that the remediation of the control environment material weakness will be completed.</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reorganized the finance and IT teams within the Paragon Medical business to ensure management is able to perform ongoing monitoring to ascertain internal controls over financial reporting are designed, implemented, and operating effectively.</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hired personnel within our Paragon Medical business who have technical expertise in internal control over financial reporting. We provided training to the finance and IT teams within our Paragon Medical business to ensure they have the capacity and capabilities to be successful and to reinforce our policies and controls.</w:t>
      </w:r>
    </w:p>
    <w:p>
      <w:pPr>
        <w:spacing w:after="0" w:line="6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reinforced existing revenue and receivables controls and procedures in our Paragon Medical business. We developed system reports to assist in the performance of these controls and procedures.</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were in the process of designing and implementing IT general controls within our Paragon Medical business at the time the Paragon Medical business was sold as part of the Life Sciences business on October 6, 2020.</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All of the material weaknesses arising from deficiencies in the Paragon Medical business were removed upon sale of the Life Sciences business on October 6, 2020.</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have reinforced existing inventory count and reporting procedures in our Mobile Solutions Brazil business and have provided training to finance team members on these procedures.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fiscal quarter ended September 30, 2020,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Brazil ICMS Tax Matter</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Prior to the acquisition of Autocam Corporation in 2014 (“Autocam”),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In May 2020, we received an unfavorable decision in one of the lawsuits, and as a result have recorded a liability to the Brazilian tax authorities and a receivable from the former shareholders of Autocam for the same amount.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$5.0 million, inclusive of interest and penalties.</w:t>
      </w:r>
    </w:p>
    <w:p>
      <w:pPr>
        <w:spacing w:after="0" w:line="8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 Accordingly, we don’t expect to incur a loss related to this matter even in the event of an unfavorable decision and, therefore, have not accrued an amount for the remaining matters as of September 30, 2020.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Offering Matter</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November 1, 2019, Erie County Employees’ Retirement System, on behalf of a purported class of plaintiffs, filed a complaint in the Supreme Court of the State of New York, County of New York, against the Company, certain of the Company’s current and former officers and directors, and each of the underwriters involved in the Company’s public offering and sale of 14.4 million shares of its common stock pursuant to a preliminary prospectus supplement, dated September 10, 2018, a final prospectus supplement, dated September 13, 2018, and a base prospectus, dated April 19, 2017, relating to the Company’s effective shelf registration statement on Form S-3 (File No. 333-216737) (the “Offering”), which complaint was amended on January 24, 2020. The complaint alleges violations of Sections 11, 12(a)(2), and 15 of the Securities Act of 1933 in connection with the Offering. The plaintiffs seek to represent a class of stockholders who purchased shares of the Company’s common stock in the Offering. The complaint seeks unspecified monetary damages and other relief. The Company believes the complaint and allegations to be without merit and intends to vigorously defend itself against these actions. The Company is unable at this time to determine whether the outcome of the litigation would have a material impact on the Company’s financial position, results of operations, or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Matters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October 26, 2020, Corre Opportunities Qualified Master Fund, LP, and Corre Horizon Fund, LP, filed a complaint in the Chancery Court of the State of Delaware against the Company. The complaint alleges that the Company’s sale of its Life Sciences business without obtaining the prior consent of the plaintiffs was a breach of the terms of the Series B Preferred Stock. The complaint seeks unspecified monetary damages and other relief. The Company believes the complaint and allegations to be without merit and intends to vigorously defend itself against these actions. The Company is unable at this time to determine whether the outcome of the litigation would have a material impact on the Company’s financial position, results of operations, or cash flows.</w:t>
      </w:r>
    </w:p>
    <w:p>
      <w:pPr>
        <w:spacing w:after="0" w:line="7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facts of the case with local management and legal counsel. We have not recognized any material loss contingencies at September 30, 2020, or at December 31, 2019.</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noted below, there have been no material changes to the risk factors disclosed in the 2019 Annual Report under Item 1A. “Risk Factors.”</w:t>
      </w:r>
    </w:p>
    <w:p>
      <w:pPr>
        <w:spacing w:after="0" w:line="113" w:lineRule="exact"/>
        <w:rPr>
          <w:sz w:val="20"/>
          <w:szCs w:val="20"/>
          <w:color w:val="auto"/>
        </w:rPr>
      </w:pPr>
    </w:p>
    <w:p>
      <w:pPr>
        <w:ind w:right="4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COVID-19 pandemic and mitigation efforts to control the spread of the disease have and are expected to continue to materially impact our business, and our financial condition, results of operations and cash flows could be materially adversely affected by factors relating to COVID-19.</w:t>
      </w:r>
    </w:p>
    <w:p>
      <w:pPr>
        <w:spacing w:after="0" w:line="28"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The COVID-19 pandemic has created significant volatility in the global economy and led to significant reduced economic activity and employment and has disrupted, and may continue to disrupt, the end markets we serve. The spread of COVID-19 has created a disruption in the manufacturing, delivery and overall supply chain of automobile manufacturers and suppliers. Global vehicle production has decreased significantly, and some vehicle manufacturers have completely shut down manufacturing operations in some countries and regions, including the United States and Europe.</w:t>
      </w:r>
    </w:p>
    <w:p>
      <w:pPr>
        <w:spacing w:after="0" w:line="2"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As a result, we have modified our production schedules and have experienced, and may continue to experience, delays in the production and distribution of our products and the loss of sales to our customers. During the pandemic, our production volumes may be volatile, and we will be required to modify our production environment to ensure the health and safety of our workers. If we are unsuccessful in managing the re-start of our production or the aforementioned volatility, our results of operations may be materially impacted. Additionally, if the global economic effects caused by the pandemic continue or increase, including a COVID-19 surge in the coming weeks and months of fall and winter as many public health experts anticipate, overall customer demand may continue to decrease, which could have a material and adverse effect on our business, results of operations, and financial condition. In addition, if a significant portion of our workforce or our customers’ workforces are affected by COVID-19 either directly or due to government closures or otherwise, associated work stoppages or facility closures would halt or delay production.</w:t>
      </w:r>
    </w:p>
    <w:p>
      <w:pPr>
        <w:spacing w:after="0" w:line="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full extent of the effect of the pandemic on us, our customers, our supply chain and our business cannot be assessed at this time although we expect our full year 2020 results of operations to be adversely affected. Our business, results of operations and financial condition could continue to be affected even after the pandemic subsides. In addition to the risks specifically described above, the impact of COVID-19 is likely to heighten other risks disclosed below and in the Risk Factors section of our 2019 Annual Report.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6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Unregistered Sales of Equity Securities and Use of Proceeds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Total Number of</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Maximum Number (or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Shares Purchased</w:t>
            </w:r>
          </w:p>
        </w:tc>
        <w:tc>
          <w:tcPr>
            <w:tcW w:w="21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Approximate Dollar Value)</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Total Number of</w:t>
            </w: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Average Price Paid</w:t>
            </w:r>
          </w:p>
        </w:tc>
        <w:tc>
          <w:tcPr>
            <w:tcW w:w="1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as Part of Publicly</w:t>
            </w:r>
          </w:p>
        </w:tc>
        <w:tc>
          <w:tcPr>
            <w:tcW w:w="21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of Shares That May Yet</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Announced Plans</w:t>
            </w:r>
          </w:p>
        </w:tc>
        <w:tc>
          <w:tcPr>
            <w:tcW w:w="21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Be Purchased Under the</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4"/>
                <w:szCs w:val="14"/>
                <w:color w:val="auto"/>
              </w:rPr>
              <w:t xml:space="preserve">Shares Purchased </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Per Share</w:t>
            </w:r>
          </w:p>
        </w:tc>
        <w:tc>
          <w:tcPr>
            <w:tcW w:w="16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4"/>
                <w:szCs w:val="14"/>
                <w:color w:val="auto"/>
                <w:w w:val="97"/>
              </w:rPr>
              <w:t xml:space="preserve">or Programs </w:t>
            </w:r>
            <w:r>
              <w:rPr>
                <w:rFonts w:ascii="Times New Roman" w:cs="Times New Roman" w:eastAsia="Times New Roman" w:hAnsi="Times New Roman"/>
                <w:sz w:val="18"/>
                <w:szCs w:val="18"/>
                <w:color w:val="auto"/>
                <w:w w:val="97"/>
                <w:vertAlign w:val="superscript"/>
              </w:rPr>
              <w:t>(1)</w:t>
            </w:r>
          </w:p>
        </w:tc>
        <w:tc>
          <w:tcPr>
            <w:tcW w:w="212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color w:val="auto"/>
                <w:w w:val="99"/>
              </w:rPr>
              <w:t xml:space="preserve">Plan or Programs </w:t>
            </w:r>
            <w:r>
              <w:rPr>
                <w:rFonts w:ascii="Times New Roman" w:cs="Times New Roman" w:eastAsia="Times New Roman" w:hAnsi="Times New Roman"/>
                <w:sz w:val="18"/>
                <w:szCs w:val="18"/>
                <w:color w:val="auto"/>
                <w:w w:val="99"/>
                <w:vertAlign w:val="superscript"/>
              </w:rPr>
              <w:t>(1)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2020</w:t>
            </w:r>
          </w:p>
        </w:tc>
        <w:tc>
          <w:tcPr>
            <w:tcW w:w="2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2020</w:t>
            </w: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2020</w:t>
            </w:r>
          </w:p>
        </w:tc>
        <w:tc>
          <w:tcPr>
            <w:tcW w:w="4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120" w:type="dxa"/>
            <w:vAlign w:val="bottom"/>
            <w:tcBorders>
              <w:top w:val="single" w:sz="8" w:color="auto"/>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48" w:lineRule="exact"/>
        <w:rPr>
          <w:sz w:val="20"/>
          <w:szCs w:val="20"/>
          <w:color w:val="auto"/>
        </w:rPr>
      </w:pPr>
    </w:p>
    <w:p>
      <w:pPr>
        <w:ind w:left="660" w:hanging="328"/>
        <w:spacing w:after="0" w:line="261"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were withheld to pay for tax obligations due upon the vesting of restricted stock held by certain employees granted under the NN, Inc. 2019 Omnibus Incentive Plan (the “Plan”). The Plan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200" w:lineRule="exact"/>
        <w:rPr>
          <w:sz w:val="20"/>
          <w:szCs w:val="20"/>
          <w:color w:val="auto"/>
        </w:rPr>
      </w:pPr>
    </w:p>
    <w:p>
      <w:pPr>
        <w:spacing w:after="0" w:line="21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 w:type="dxa"/>
            <w:vAlign w:val="bottom"/>
          </w:tcPr>
          <w:p>
            <w:pPr>
              <w:spacing w:after="0"/>
              <w:rPr>
                <w:sz w:val="20"/>
                <w:szCs w:val="20"/>
                <w:color w:val="auto"/>
              </w:rPr>
            </w:pPr>
          </w:p>
        </w:tc>
        <w:tc>
          <w:tcPr>
            <w:tcW w:w="9920" w:type="dxa"/>
            <w:vAlign w:val="bottom"/>
            <w:gridSpan w:val="10"/>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57"/>
        </w:trPr>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40" w:type="dxa"/>
            <w:vAlign w:val="bottom"/>
            <w:gridSpan w:val="8"/>
            <w:vMerge w:val="restart"/>
          </w:tcPr>
          <w:p>
            <w:pPr>
              <w:ind w:left="3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4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20" w:type="dxa"/>
            <w:vAlign w:val="bottom"/>
            <w:tcBorders>
              <w:top w:val="single" w:sz="8" w:color="auto"/>
            </w:tcBorders>
            <w:gridSpan w:val="10"/>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Stock Purchase Agreement, dated as of August 22, 2020, by and between NN, Inc., Precision Engineered Products Holdings, Inc. and</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ASP Navigate Acquisition Corp. (incorporated by reference to Exhibit 2.1 to NN, Inc.’s Current Report on Form 8-K filed on August</w:t>
              </w:r>
            </w:hyperlink>
          </w:p>
        </w:tc>
        <w:tc>
          <w:tcPr>
            <w:tcW w:w="200" w:type="dxa"/>
            <w:vAlign w:val="bottom"/>
            <w:tcBorders>
              <w:bottom w:val="single" w:sz="8" w:color="0000FF"/>
            </w:tcBorders>
            <w:gridSpan w:val="2"/>
          </w:tcPr>
          <w:p>
            <w:pPr>
              <w:jc w:val="right"/>
              <w:spacing w:after="0" w:line="156" w:lineRule="exact"/>
              <w:rPr>
                <w:rFonts w:ascii="Times New Roman" w:cs="Times New Roman" w:eastAsia="Times New Roman" w:hAnsi="Times New Roman"/>
                <w:sz w:val="18"/>
                <w:szCs w:val="18"/>
                <w:color w:val="0000FF"/>
                <w:w w:val="79"/>
              </w:rPr>
            </w:pPr>
            <w:hyperlink r:id="rId73">
              <w:r>
                <w:rPr>
                  <w:rFonts w:ascii="Times New Roman" w:cs="Times New Roman" w:eastAsia="Times New Roman" w:hAnsi="Times New Roman"/>
                  <w:sz w:val="18"/>
                  <w:szCs w:val="18"/>
                  <w:color w:val="0000FF"/>
                  <w:w w:val="79"/>
                </w:rPr>
                <w:t>24,</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73">
              <w:r>
                <w:rPr>
                  <w:rFonts w:ascii="Times New Roman" w:cs="Times New Roman" w:eastAsia="Times New Roman" w:hAnsi="Times New Roman"/>
                  <w:sz w:val="18"/>
                  <w:szCs w:val="18"/>
                  <w:color w:val="0000FF"/>
                  <w:w w:val="95"/>
                </w:rPr>
                <w:t>2020)</w:t>
              </w:r>
            </w:hyperlink>
          </w:p>
        </w:tc>
        <w:tc>
          <w:tcPr>
            <w:tcW w:w="260" w:type="dxa"/>
            <w:vAlign w:val="bottom"/>
          </w:tcPr>
          <w:p>
            <w:pPr>
              <w:spacing w:after="0"/>
              <w:rPr>
                <w:sz w:val="13"/>
                <w:szCs w:val="13"/>
                <w:color w:val="auto"/>
              </w:rPr>
            </w:pPr>
          </w:p>
        </w:tc>
        <w:tc>
          <w:tcPr>
            <w:tcW w:w="8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0"/>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Amendment No. 2 to Second Amended and Restated Credit Agreement, dated as of August 22, 2020, by and among NN, Inc., certain</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NN, Inc. subsidiaries named therein, Truist Bank, JPMorgan Chase Bank, N.A., KeyBank National Association and HomeTrust Bank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gridSpan w:val="6"/>
          </w:tcPr>
          <w:p>
            <w:pPr>
              <w:spacing w:after="0"/>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(incorporated by reference to Exhibit 10.1 to NN, Inc’s Current Report on Form 8-K filed on August 23, 2020)</w:t>
              </w:r>
            </w:hyperlink>
          </w:p>
        </w:tc>
        <w:tc>
          <w:tcPr>
            <w:tcW w:w="60" w:type="dxa"/>
            <w:vAlign w:val="bottom"/>
            <w:gridSpan w:val="2"/>
          </w:tcPr>
          <w:p>
            <w:pPr>
              <w:spacing w:after="0"/>
              <w:rPr>
                <w:sz w:val="19"/>
                <w:szCs w:val="19"/>
                <w:color w:val="auto"/>
              </w:rPr>
            </w:pPr>
          </w:p>
        </w:tc>
        <w:tc>
          <w:tcPr>
            <w:tcW w:w="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0"/>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Form of Retention Bonus Agreement (incorporated by reference to Exhibit 10.1 to NN’s Current Report on Form 8-K filed on October</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5"/>
              </w:rPr>
            </w:pPr>
            <w:hyperlink r:id="rId75">
              <w:r>
                <w:rPr>
                  <w:rFonts w:ascii="Times New Roman" w:cs="Times New Roman" w:eastAsia="Times New Roman" w:hAnsi="Times New Roman"/>
                  <w:sz w:val="18"/>
                  <w:szCs w:val="18"/>
                  <w:color w:val="0000FF"/>
                  <w:w w:val="95"/>
                </w:rPr>
                <w:t>19, 2020)</w:t>
              </w:r>
            </w:hyperlink>
          </w:p>
        </w:tc>
        <w:tc>
          <w:tcPr>
            <w:tcW w:w="88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0"/>
          </w:tcPr>
          <w:p>
            <w:pPr>
              <w:spacing w:after="0"/>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amended.</w:t>
              </w:r>
            </w:hyperlink>
          </w:p>
        </w:tc>
        <w:tc>
          <w:tcPr>
            <w:tcW w:w="3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0"/>
          </w:tcPr>
          <w:p>
            <w:pPr>
              <w:spacing w:after="0"/>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amended.</w:t>
              </w:r>
            </w:hyperlink>
          </w:p>
        </w:tc>
        <w:tc>
          <w:tcPr>
            <w:tcW w:w="3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2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0"/>
          </w:tcPr>
          <w:p>
            <w:pPr>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Certification of Principal Executive Officer pursuant to Section 906 of the Sarbanes-Oxley Act of 2002.</w:t>
              </w:r>
            </w:hyperlink>
          </w:p>
        </w:tc>
        <w:tc>
          <w:tcPr>
            <w:tcW w:w="0" w:type="dxa"/>
            <w:vAlign w:val="bottom"/>
          </w:tcPr>
          <w:p>
            <w:pPr>
              <w:spacing w:after="0"/>
              <w:rPr>
                <w:sz w:val="1"/>
                <w:szCs w:val="1"/>
                <w:color w:val="auto"/>
              </w:rPr>
            </w:pPr>
          </w:p>
        </w:tc>
      </w:tr>
      <w:tr>
        <w:trPr>
          <w:trHeight w:val="39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0"/>
          </w:tcPr>
          <w:p>
            <w:pPr>
              <w:spacing w:after="0"/>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u w:val="single" w:color="auto"/>
                  <w:color w:val="0000FF"/>
                </w:rPr>
                <w:t>Certification of Principal Financial Officer pursuant to Section 906 of the Sarbanes-Oxley Act of 2002</w:t>
              </w:r>
              <w:r>
                <w:rPr>
                  <w:rFonts w:ascii="Times New Roman" w:cs="Times New Roman" w:eastAsia="Times New Roman" w:hAnsi="Times New Roman"/>
                  <w:sz w:val="18"/>
                  <w:szCs w:val="18"/>
                  <w:color w:val="0000FF"/>
                </w:rPr>
                <w:t>.</w:t>
              </w:r>
            </w:hyperlink>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Service</w:t>
            </w:r>
          </w:p>
        </w:tc>
        <w:tc>
          <w:tcPr>
            <w:tcW w:w="0" w:type="dxa"/>
            <w:vAlign w:val="bottom"/>
          </w:tcPr>
          <w:p>
            <w:pPr>
              <w:spacing w:after="0"/>
              <w:rPr>
                <w:sz w:val="1"/>
                <w:szCs w:val="1"/>
                <w:color w:val="auto"/>
              </w:rPr>
            </w:pPr>
          </w:p>
        </w:tc>
      </w:tr>
      <w:tr>
        <w:trPr>
          <w:trHeight w:val="39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Taxonomy Calculation Linkbase</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Label Linkbase</w:t>
            </w:r>
          </w:p>
        </w:tc>
        <w:tc>
          <w:tcPr>
            <w:tcW w:w="0" w:type="dxa"/>
            <w:vAlign w:val="bottom"/>
          </w:tcPr>
          <w:p>
            <w:pPr>
              <w:spacing w:after="0"/>
              <w:rPr>
                <w:sz w:val="1"/>
                <w:szCs w:val="1"/>
                <w:color w:val="auto"/>
              </w:rPr>
            </w:pPr>
          </w:p>
        </w:tc>
      </w:tr>
      <w:tr>
        <w:trPr>
          <w:trHeight w:val="39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40" w:right="3360" w:hanging="14"/>
        <w:spacing w:after="0" w:line="423" w:lineRule="auto"/>
        <w:tabs>
          <w:tab w:leader="none" w:pos="11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contract or compensatory plan or arrangement</w:t>
      </w: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NN, Inc.</w:t>
            </w:r>
          </w:p>
        </w:tc>
      </w:tr>
      <w:tr>
        <w:trPr>
          <w:trHeight w:val="228"/>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95"/>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2020</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Warren A. Veltman</w:t>
            </w:r>
          </w:p>
        </w:tc>
      </w:tr>
      <w:tr>
        <w:trPr>
          <w:trHeight w:val="218"/>
        </w:trPr>
        <w:tc>
          <w:tcPr>
            <w:tcW w:w="560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r>
      <w:tr>
        <w:trPr>
          <w:trHeight w:val="230"/>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4"/>
        </w:trPr>
        <w:tc>
          <w:tcPr>
            <w:tcW w:w="56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(Duly Authorized Officer)</w:t>
            </w:r>
          </w:p>
        </w:tc>
      </w:tr>
      <w:tr>
        <w:trPr>
          <w:trHeight w:val="50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2020</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D. DeByle</w:t>
            </w:r>
          </w:p>
        </w:tc>
      </w:tr>
      <w:tr>
        <w:trPr>
          <w:trHeight w:val="218"/>
        </w:trPr>
        <w:tc>
          <w:tcPr>
            <w:tcW w:w="560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D. DeByle</w:t>
            </w:r>
          </w:p>
        </w:tc>
      </w:tr>
      <w:tr>
        <w:trPr>
          <w:trHeight w:val="230"/>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President—Chief Financial Officer</w:t>
            </w:r>
          </w:p>
        </w:tc>
      </w:tr>
      <w:tr>
        <w:trPr>
          <w:trHeight w:val="229"/>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34"/>
        </w:trPr>
        <w:tc>
          <w:tcPr>
            <w:tcW w:w="56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(Duly Authorized Officer)</w:t>
            </w:r>
          </w:p>
        </w:tc>
      </w:tr>
      <w:tr>
        <w:trPr>
          <w:trHeight w:val="48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2020</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18"/>
        </w:trPr>
        <w:tc>
          <w:tcPr>
            <w:tcW w:w="560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30"/>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President—Chief Accounting Officer</w:t>
            </w:r>
          </w:p>
        </w:tc>
      </w:tr>
      <w:tr>
        <w:trPr>
          <w:trHeight w:val="234"/>
        </w:trPr>
        <w:tc>
          <w:tcPr>
            <w:tcW w:w="56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121" w:right="3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Warren A. Veltman, certify that:</w:t>
      </w:r>
    </w:p>
    <w:p>
      <w:pPr>
        <w:spacing w:after="0" w:line="171"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November 6, 2020</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Warren A. Veltman</w:t>
            </w:r>
          </w:p>
        </w:tc>
      </w:tr>
      <w:tr>
        <w:trPr>
          <w:trHeight w:val="218"/>
        </w:trPr>
        <w:tc>
          <w:tcPr>
            <w:tcW w:w="618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r>
      <w:tr>
        <w:trPr>
          <w:trHeight w:val="230"/>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61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D. DeByle, certify that:</w:t>
      </w:r>
    </w:p>
    <w:p>
      <w:pPr>
        <w:spacing w:after="0" w:line="171"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November 6, 2020</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D. DeByle</w:t>
            </w:r>
          </w:p>
        </w:tc>
      </w:tr>
      <w:tr>
        <w:trPr>
          <w:trHeight w:val="218"/>
        </w:trPr>
        <w:tc>
          <w:tcPr>
            <w:tcW w:w="618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D. DeByle</w:t>
            </w:r>
          </w:p>
        </w:tc>
      </w:tr>
      <w:tr>
        <w:trPr>
          <w:trHeight w:val="230"/>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34"/>
        </w:trPr>
        <w:tc>
          <w:tcPr>
            <w:tcW w:w="61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quarterly period ended September 30, 2020,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November 6, 2020</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Warren A. Veltman</w:t>
            </w:r>
          </w:p>
        </w:tc>
      </w:tr>
      <w:tr>
        <w:trPr>
          <w:trHeight w:val="218"/>
        </w:trPr>
        <w:tc>
          <w:tcPr>
            <w:tcW w:w="618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r>
      <w:tr>
        <w:trPr>
          <w:trHeight w:val="230"/>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61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quarterly period ended September 30, 2020,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November 6, 2020</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D. DeByle</w:t>
            </w:r>
          </w:p>
        </w:tc>
      </w:tr>
      <w:tr>
        <w:trPr>
          <w:trHeight w:val="218"/>
        </w:trPr>
        <w:tc>
          <w:tcPr>
            <w:tcW w:w="61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Thomas D. DeByle</w:t>
            </w:r>
          </w:p>
        </w:tc>
      </w:tr>
      <w:tr>
        <w:trPr>
          <w:trHeight w:val="230"/>
        </w:trPr>
        <w:tc>
          <w:tcPr>
            <w:tcW w:w="61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34"/>
        </w:trPr>
        <w:tc>
          <w:tcPr>
            <w:tcW w:w="618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lowerRoman"/>
      <w:start w:val="2"/>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04"/>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6" Type="http://schemas.openxmlformats.org/officeDocument/2006/relationships/image" Target="media/image66.png"/><Relationship Id="rId73" Type="http://schemas.openxmlformats.org/officeDocument/2006/relationships/hyperlink" Target="http://www.sec.gov/Archives/edgar/data/918541/000119312520227628/d73183dex21.htm" TargetMode="External"/><Relationship Id="rId74" Type="http://schemas.openxmlformats.org/officeDocument/2006/relationships/hyperlink" Target="http://www.sec.gov/Archives/edgar/data/918541/000119312520227628/d73183dex101.htm" TargetMode="External"/><Relationship Id="rId75" Type="http://schemas.openxmlformats.org/officeDocument/2006/relationships/hyperlink" Target="http://www.sec.gov/Archives/edgar/data/918541/000119312520272107/d7617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2020-11-06T14:53:57Z</dcterms:created>
  <dcterms:modified xsi:type="dcterms:W3CDTF">2020-11-06T14:53:57Z</dcterms:modified>
</cp:coreProperties>
</file>