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8-K/A</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August 26, 2003</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0-23486</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100" w:val="left"/>
          <w:tab w:leader="none" w:pos="63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640"/>
        <w:spacing w:after="0"/>
        <w:tabs>
          <w:tab w:leader="none" w:pos="4100" w:val="left"/>
          <w:tab w:leader="none" w:pos="62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447"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b w:val="1"/>
          <w:bCs w:val="1"/>
          <w:color w:val="auto"/>
        </w:rPr>
        <w:t>Item 4.</w:t>
      </w:r>
      <w:r>
        <w:rPr>
          <w:sz w:val="20"/>
          <w:szCs w:val="20"/>
          <w:color w:val="auto"/>
        </w:rPr>
        <w:tab/>
      </w:r>
      <w:r>
        <w:rPr>
          <w:rFonts w:ascii="Courier New" w:cs="Courier New" w:eastAsia="Courier New" w:hAnsi="Courier New"/>
          <w:sz w:val="16"/>
          <w:szCs w:val="16"/>
          <w:b w:val="1"/>
          <w:bCs w:val="1"/>
          <w:color w:val="auto"/>
        </w:rPr>
        <w:t>Changes in the Registrant's Certifying Accountant.</w:t>
      </w:r>
    </w:p>
    <w:p>
      <w:pPr>
        <w:spacing w:after="0" w:line="207" w:lineRule="exact"/>
        <w:rPr>
          <w:sz w:val="24"/>
          <w:szCs w:val="24"/>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On August 18, 2003, NN, Inc. (the "Company") dismissed KPMG LLP ("KPMG") as the Company's independent auditors, following approval by the Audit Committee of the Company's Board of Directors.</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KPMG's reports on the Company's consolidated financial statements for each of the years ended December 31, 2002 and 2001 did not contain an adverse opinion or disclaimer of opinion, nor were such reports qualified or modified as to uncertainty, audit scope or accounting principles.</w:t>
      </w:r>
    </w:p>
    <w:p>
      <w:pPr>
        <w:spacing w:after="0" w:line="207" w:lineRule="exact"/>
        <w:rPr>
          <w:sz w:val="24"/>
          <w:szCs w:val="24"/>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During the years ended December 31, 2002 and 2001 and through August 18, 2003, there were no disagreements with KPMG on any matter of accounting principle or practice, financial statement disclosure, or auditing scope or procedure which disagreements, if not resolved to KPMG's satisfaction would have caused them to make reference to the subject matter of the disagreement in connection with their opinion. The Company believes that there were no reportable events as defined in Item 304(a)(1)(v) of Regulation S-K. However, during the second quarter of 2001, the Company determined that an interest rate swap entered into by its Italian subsidiary was not recorded or disclosed in its March 31, 2001 10-Q. The Company addressed this by filing an amended 10-Q that disclosed this transaction. The adjustment to the financial statements resulted in the recording of an expense of approximately $98,000, net of income tax and minority interests. In addition, the Company has strengthened the internal contract review process to ensure material arrangements entered into throughout the organization are communicated to the appropriate corporate financial manager. On February 27, 2002, the Company received a letter from KPMG dated</w:t>
      </w:r>
    </w:p>
    <w:p>
      <w:pPr>
        <w:sectPr>
          <w:pgSz w:w="11900" w:h="16838" w:orient="portrait"/>
          <w:cols w:equalWidth="0" w:num="1">
            <w:col w:w="10219"/>
          </w:cols>
          <w:pgMar w:left="240" w:top="447" w:right="1440" w:bottom="0" w:gutter="0" w:footer="0" w:header="0"/>
          <w:type w:val="continuous"/>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July 25, 2001, stating that the matter constituted a material weakness and recommending the Company implement procedures to insure all contracts entered into by the Company and its subsidiaries be considered by corporate management for financial implications.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Company provided KPMG with a copy of the foregoing disclosures.</w:t>
      </w:r>
    </w:p>
    <w:p>
      <w:pPr>
        <w:spacing w:after="0" w:line="238" w:lineRule="auto"/>
        <w:rPr>
          <w:sz w:val="20"/>
          <w:szCs w:val="20"/>
          <w:color w:val="auto"/>
        </w:rPr>
      </w:pPr>
      <w:r>
        <w:rPr>
          <w:rFonts w:ascii="Courier New" w:cs="Courier New" w:eastAsia="Courier New" w:hAnsi="Courier New"/>
          <w:sz w:val="18"/>
          <w:szCs w:val="18"/>
          <w:color w:val="auto"/>
        </w:rPr>
        <w:t>Attached as Exhibit 16 is a copy of KPMG's letter, dated August 26, 2003.</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 EXHIBITS.</w:t>
      </w:r>
    </w:p>
    <w:p>
      <w:pPr>
        <w:spacing w:after="0" w:line="207" w:lineRule="exact"/>
        <w:rPr>
          <w:sz w:val="20"/>
          <w:szCs w:val="20"/>
          <w:color w:val="auto"/>
        </w:rPr>
      </w:pPr>
    </w:p>
    <w:p>
      <w:pPr>
        <w:ind w:left="1580" w:right="1879" w:hanging="519"/>
        <w:spacing w:after="0" w:line="235" w:lineRule="auto"/>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 from KPMG to the Securities and Exchange Commission dated August 26,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26, 2003</w:t>
      </w:r>
    </w:p>
    <w:p>
      <w:pPr>
        <w:ind w:left="4440"/>
        <w:spacing w:after="0" w:line="238" w:lineRule="auto"/>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William C. Kelly, Jr.</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William C. Kelly, Jr.,</w:t>
      </w:r>
    </w:p>
    <w:p>
      <w:pPr>
        <w:ind w:left="4960"/>
        <w:spacing w:after="0" w:line="238" w:lineRule="auto"/>
        <w:rPr>
          <w:sz w:val="20"/>
          <w:szCs w:val="20"/>
          <w:color w:val="auto"/>
        </w:rPr>
      </w:pPr>
      <w:r>
        <w:rPr>
          <w:rFonts w:ascii="Courier New" w:cs="Courier New" w:eastAsia="Courier New" w:hAnsi="Courier New"/>
          <w:sz w:val="18"/>
          <w:szCs w:val="18"/>
          <w:color w:val="auto"/>
        </w:rPr>
        <w:t>Secretary, Treasurer and Chief</w:t>
      </w:r>
    </w:p>
    <w:p>
      <w:pPr>
        <w:ind w:left="4960"/>
        <w:spacing w:after="0"/>
        <w:rPr>
          <w:sz w:val="20"/>
          <w:szCs w:val="20"/>
          <w:color w:val="auto"/>
        </w:rPr>
      </w:pPr>
      <w:r>
        <w:rPr>
          <w:rFonts w:ascii="Courier New" w:cs="Courier New" w:eastAsia="Courier New" w:hAnsi="Courier New"/>
          <w:sz w:val="18"/>
          <w:szCs w:val="18"/>
          <w:color w:val="auto"/>
        </w:rPr>
        <w:t>Administrative Officer</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August 26, 2003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were previously principal accountants for NN, Inc. and, under the date of February 24, 2003, we reported on the consolidated financial statements of NN, Inc. as of and for the years ended December 31, 2002 and 2001. On August 18, 2003 our appointment as principal accountants was terminated. We have read NN, Inc.'s statements included under Item 4 of its Form 8-K dated August 25, 2003, and we agree with such statements, except that we believe that a material weakness is a reportable event and that we are not in a position to agree or disagree with NN, Inc.'s statements:</w:t>
      </w:r>
    </w:p>
    <w:p>
      <w:pPr>
        <w:spacing w:after="0" w:line="212" w:lineRule="exact"/>
        <w:rPr>
          <w:sz w:val="20"/>
          <w:szCs w:val="20"/>
          <w:color w:val="auto"/>
        </w:rPr>
      </w:pPr>
    </w:p>
    <w:p>
      <w:pPr>
        <w:ind w:left="540" w:right="199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our dismissal as NN, Inc.'s independent auditors was approved by the Audit Committee of the Company's Board of Directors.</w:t>
      </w:r>
    </w:p>
    <w:p>
      <w:pPr>
        <w:spacing w:after="0" w:line="208" w:lineRule="exact"/>
        <w:rPr>
          <w:rFonts w:ascii="Courier New" w:cs="Courier New" w:eastAsia="Courier New" w:hAnsi="Courier New"/>
          <w:sz w:val="18"/>
          <w:szCs w:val="18"/>
          <w:color w:val="auto"/>
        </w:rPr>
      </w:pPr>
    </w:p>
    <w:p>
      <w:pPr>
        <w:jc w:val="both"/>
        <w:ind w:left="540" w:right="1999" w:hanging="532"/>
        <w:spacing w:after="0" w:line="279"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Company has strengthened the internal contract review process to ensure material arrangements entered into throughout the organization are communicated to the appropriate corporate financial manager.</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KPMG LLP</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6"/>
    </w:lvl>
  </w:abstractNum>
  <w:abstractNum w:abstractNumId="3">
    <w:nsid w:val="625558EC"/>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2019-12-14T02:42:34Z</dcterms:created>
  <dcterms:modified xsi:type="dcterms:W3CDTF">2019-12-14T02:42:34Z</dcterms:modified>
</cp:coreProperties>
</file>