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SCHEDULE 13D</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(Rule 13d-101)</w:t>
      </w:r>
    </w:p>
    <w:p>
      <w:pPr>
        <w:spacing w:after="0" w:line="182"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22"/>
          <w:szCs w:val="22"/>
          <w:color w:val="auto"/>
        </w:rPr>
        <w:t>INFORMATION TO BE INCLUDED IN STATEMENTS FILED PURSUANT</w:t>
      </w:r>
    </w:p>
    <w:p>
      <w:pPr>
        <w:spacing w:after="0" w:line="4"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22"/>
          <w:szCs w:val="22"/>
          <w:color w:val="auto"/>
        </w:rPr>
        <w:t>TO § 240.13d-1(a) AND AMENDMENTS THERETO FILED PURSUANT TO</w:t>
      </w:r>
    </w:p>
    <w:p>
      <w:pPr>
        <w:ind w:left="4820" w:right="4660" w:firstLine="252"/>
        <w:spacing w:after="0" w:line="448" w:lineRule="auto"/>
        <w:tabs>
          <w:tab w:leader="none" w:pos="5243"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240.13d-2(a) (Amendment No. 2)</w:t>
      </w:r>
      <w:r>
        <w:rPr>
          <w:rFonts w:ascii="Times New Roman" w:cs="Times New Roman" w:eastAsia="Times New Roman" w:hAnsi="Times New Roman"/>
          <w:sz w:val="11"/>
          <w:szCs w:val="11"/>
          <w:color w:val="auto"/>
        </w:rPr>
        <w:t>1</w:t>
      </w:r>
    </w:p>
    <w:p>
      <w:pPr>
        <w:spacing w:after="0" w:line="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NN, Inc.</w:t>
      </w:r>
    </w:p>
    <w:p>
      <w:pPr>
        <w:spacing w:after="0" w:line="2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(Name of Issuer)</w:t>
      </w:r>
    </w:p>
    <w:p>
      <w:pPr>
        <w:spacing w:after="0" w:line="19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Common Stock, par value $0.01 per share</w:t>
      </w:r>
    </w:p>
    <w:p>
      <w:pPr>
        <w:spacing w:after="0" w:line="24"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182"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22"/>
          <w:szCs w:val="22"/>
          <w:u w:val="single" w:color="auto"/>
          <w:color w:val="auto"/>
        </w:rPr>
        <w:t>629337106</w:t>
      </w:r>
    </w:p>
    <w:p>
      <w:pPr>
        <w:spacing w:after="0" w:line="1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(CUSIP Number)</w:t>
      </w:r>
    </w:p>
    <w:p>
      <w:pPr>
        <w:spacing w:after="0" w:line="19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CHRISTOPHER S. KIPER</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LEGION PARTNERS ASSET MANAGEMENT, LLC</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9401 Wilshire Blvd, Suite 705</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Beverly Hills, CA 90212</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(424) 253-1773</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STEVE WOLOSKY, ESQ.</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ELIZABETH GONZALEZ-SUSSMAN, ESQ.</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OLSHAN FROME WOLOSKY LLP</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1325 Avenue of the Americas</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(212) 451-2300</w:t>
      </w:r>
    </w:p>
    <w:p>
      <w:pPr>
        <w:jc w:val="center"/>
        <w:ind w:right="-159"/>
        <w:spacing w:after="0" w:line="235" w:lineRule="auto"/>
        <w:rPr>
          <w:sz w:val="20"/>
          <w:szCs w:val="20"/>
          <w:color w:val="auto"/>
        </w:rPr>
      </w:pPr>
      <w:r>
        <w:rPr>
          <w:rFonts w:ascii="Times New Roman" w:cs="Times New Roman" w:eastAsia="Times New Roman" w:hAnsi="Times New Roman"/>
          <w:sz w:val="22"/>
          <w:szCs w:val="22"/>
          <w:color w:val="auto"/>
        </w:rPr>
        <w:t>(Name, Address and Telephone Number of Person</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Authorized to Receive Notices and Communications)</w:t>
      </w:r>
    </w:p>
    <w:p>
      <w:pPr>
        <w:spacing w:after="0" w:line="2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February 25, 2019</w:t>
      </w:r>
    </w:p>
    <w:p>
      <w:pPr>
        <w:spacing w:after="0" w:line="2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18" w:lineRule="exact"/>
        <w:rPr>
          <w:sz w:val="24"/>
          <w:szCs w:val="24"/>
          <w:color w:val="auto"/>
        </w:rPr>
      </w:pPr>
    </w:p>
    <w:p>
      <w:pPr>
        <w:ind w:right="10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37" w:lineRule="exact"/>
        <w:rPr>
          <w:sz w:val="24"/>
          <w:szCs w:val="24"/>
          <w:color w:val="auto"/>
        </w:rPr>
      </w:pPr>
    </w:p>
    <w:p>
      <w:pPr>
        <w:ind w:right="2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 240.13d-7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85" w:lineRule="exact"/>
        <w:rPr>
          <w:sz w:val="24"/>
          <w:szCs w:val="24"/>
          <w:color w:val="auto"/>
        </w:rPr>
      </w:pPr>
    </w:p>
    <w:p>
      <w:pPr>
        <w:jc w:val="both"/>
        <w:ind w:right="40" w:firstLine="8"/>
        <w:spacing w:after="0" w:line="244" w:lineRule="auto"/>
        <w:tabs>
          <w:tab w:leader="none" w:pos="815"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2"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16"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Legion Partners, L.P. I</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88"/>
              </w:rPr>
              <w:t>2</w:t>
            </w:r>
          </w:p>
        </w:tc>
        <w:tc>
          <w:tcPr>
            <w:tcW w:w="8380" w:type="dxa"/>
            <w:vAlign w:val="bottom"/>
            <w:gridSpan w:val="3"/>
          </w:tcPr>
          <w:p>
            <w:pPr>
              <w:ind w:left="100"/>
              <w:spacing w:after="0" w:line="170"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5"/>
        </w:trPr>
        <w:tc>
          <w:tcPr>
            <w:tcW w:w="40" w:type="dxa"/>
            <w:vAlign w:val="bottom"/>
            <w:tcBorders>
              <w:right w:val="single" w:sz="8" w:color="auto"/>
            </w:tcBorders>
            <w:shd w:val="clear" w:color="auto" w:fill="000000"/>
          </w:tcPr>
          <w:p>
            <w:pPr>
              <w:spacing w:after="0"/>
              <w:rPr>
                <w:sz w:val="17"/>
                <w:szCs w:val="17"/>
                <w:color w:val="auto"/>
              </w:rPr>
            </w:pPr>
          </w:p>
        </w:tc>
        <w:tc>
          <w:tcPr>
            <w:tcW w:w="17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88"/>
              </w:rPr>
              <w:t>5</w:t>
            </w:r>
          </w:p>
        </w:tc>
        <w:tc>
          <w:tcPr>
            <w:tcW w:w="8380" w:type="dxa"/>
            <w:vAlign w:val="bottom"/>
            <w:gridSpan w:val="3"/>
          </w:tcPr>
          <w:p>
            <w:pPr>
              <w:ind w:left="100"/>
              <w:spacing w:after="0" w:line="205"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2,590,434</w:t>
            </w:r>
          </w:p>
        </w:tc>
        <w:tc>
          <w:tcPr>
            <w:tcW w:w="126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2,590,434</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2,590,434</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6.15%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148590</wp:posOffset>
            </wp:positionV>
            <wp:extent cx="3600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Legion Partners, L.P. II</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60" w:type="dxa"/>
            <w:vAlign w:val="bottom"/>
            <w:gridSpan w:val="2"/>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400" w:type="dxa"/>
            <w:vAlign w:val="bottom"/>
            <w:gridSpan w:val="3"/>
          </w:tcPr>
          <w:p>
            <w:pPr>
              <w:ind w:left="12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76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40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6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7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7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156,974</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156,974</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156,974</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-5336540</wp:posOffset>
            </wp:positionV>
            <wp:extent cx="360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5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2340" w:right="7040" w:hanging="1551"/>
        <w:spacing w:after="0" w:line="527" w:lineRule="auto"/>
        <w:tabs>
          <w:tab w:leader="none" w:pos="18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Legion Partners Special Opportunities, L.P. XI</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380" w:type="dxa"/>
            <w:vAlign w:val="bottom"/>
            <w:gridSpan w:val="3"/>
          </w:tcPr>
          <w:p>
            <w:pPr>
              <w:ind w:left="10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80" w:type="dxa"/>
            <w:vAlign w:val="bottom"/>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630,923</w:t>
            </w:r>
          </w:p>
        </w:tc>
        <w:tc>
          <w:tcPr>
            <w:tcW w:w="126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630,923</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630,923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Legion Partners, LLC</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380" w:type="dxa"/>
            <w:vAlign w:val="bottom"/>
            <w:gridSpan w:val="3"/>
          </w:tcPr>
          <w:p>
            <w:pPr>
              <w:ind w:left="10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80" w:type="dxa"/>
            <w:vAlign w:val="bottom"/>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3,378,331</w:t>
            </w:r>
          </w:p>
        </w:tc>
        <w:tc>
          <w:tcPr>
            <w:tcW w:w="126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3,378,331</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3,378,331</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8.02%</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Legion Partners Asset Management, LLC</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380" w:type="dxa"/>
            <w:vAlign w:val="bottom"/>
            <w:gridSpan w:val="3"/>
          </w:tcPr>
          <w:p>
            <w:pPr>
              <w:ind w:left="10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80" w:type="dxa"/>
            <w:vAlign w:val="bottom"/>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3,378,331</w:t>
            </w:r>
          </w:p>
        </w:tc>
        <w:tc>
          <w:tcPr>
            <w:tcW w:w="126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3,378,331</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3,378,331</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8.02%</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IA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6</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234315</wp:posOffset>
            </wp:positionV>
            <wp:extent cx="3600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Legion Partners Holdings, LLC</w:t>
            </w:r>
          </w:p>
        </w:tc>
        <w:tc>
          <w:tcPr>
            <w:tcW w:w="1260" w:type="dxa"/>
            <w:vAlign w:val="bottom"/>
            <w:tcBorders>
              <w:bottom w:val="single" w:sz="8" w:color="auto"/>
            </w:tcBorders>
          </w:tcPr>
          <w:p>
            <w:pPr>
              <w:spacing w:after="0"/>
              <w:rPr>
                <w:sz w:val="24"/>
                <w:szCs w:val="24"/>
                <w:color w:val="auto"/>
              </w:rPr>
            </w:pPr>
          </w:p>
        </w:tc>
      </w:tr>
      <w:tr>
        <w:trPr>
          <w:trHeight w:val="163"/>
        </w:trPr>
        <w:tc>
          <w:tcPr>
            <w:tcW w:w="176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400" w:type="dxa"/>
            <w:vAlign w:val="bottom"/>
            <w:gridSpan w:val="3"/>
          </w:tcPr>
          <w:p>
            <w:pPr>
              <w:ind w:left="12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1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1"/>
        </w:trPr>
        <w:tc>
          <w:tcPr>
            <w:tcW w:w="1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40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17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1"/>
        </w:trPr>
        <w:tc>
          <w:tcPr>
            <w:tcW w:w="1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tcBorders>
          </w:tcPr>
          <w:p>
            <w:pPr>
              <w:spacing w:after="0"/>
              <w:rPr>
                <w:sz w:val="20"/>
                <w:szCs w:val="20"/>
                <w:color w:val="auto"/>
              </w:rPr>
            </w:pPr>
          </w:p>
        </w:tc>
      </w:tr>
      <w:tr>
        <w:trPr>
          <w:trHeight w:val="191"/>
        </w:trPr>
        <w:tc>
          <w:tcPr>
            <w:tcW w:w="1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3,378,631</w:t>
            </w:r>
          </w:p>
        </w:tc>
        <w:tc>
          <w:tcPr>
            <w:tcW w:w="1260" w:type="dxa"/>
            <w:vAlign w:val="bottom"/>
            <w:tcBorders>
              <w:bottom w:val="single" w:sz="8" w:color="auto"/>
            </w:tcBorders>
          </w:tcPr>
          <w:p>
            <w:pPr>
              <w:spacing w:after="0"/>
              <w:rPr>
                <w:sz w:val="20"/>
                <w:szCs w:val="20"/>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Pr>
          <w:p>
            <w:pPr>
              <w:spacing w:after="0"/>
              <w:rPr>
                <w:sz w:val="19"/>
                <w:szCs w:val="19"/>
                <w:color w:val="auto"/>
              </w:rPr>
            </w:pPr>
          </w:p>
        </w:tc>
      </w:tr>
      <w:tr>
        <w:trPr>
          <w:trHeight w:val="414"/>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3,378,631</w:t>
            </w: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3,378,631</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Pr>
          <w:p>
            <w:pPr>
              <w:spacing w:after="0"/>
              <w:rPr>
                <w:sz w:val="19"/>
                <w:szCs w:val="19"/>
                <w:color w:val="auto"/>
              </w:rPr>
            </w:pPr>
          </w:p>
        </w:tc>
      </w:tr>
      <w:tr>
        <w:trPr>
          <w:trHeight w:val="414"/>
        </w:trPr>
        <w:tc>
          <w:tcPr>
            <w:tcW w:w="176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8.02%</w:t>
            </w: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-5599430</wp:posOffset>
            </wp:positionV>
            <wp:extent cx="3600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ind w:left="2340" w:right="7040" w:hanging="1551"/>
        <w:spacing w:after="0" w:line="527" w:lineRule="auto"/>
        <w:tabs>
          <w:tab w:leader="none" w:pos="18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234315</wp:posOffset>
            </wp:positionV>
            <wp:extent cx="360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Christopher S. Kiper</w:t>
            </w:r>
          </w:p>
        </w:tc>
        <w:tc>
          <w:tcPr>
            <w:tcW w:w="1260" w:type="dxa"/>
            <w:vAlign w:val="bottom"/>
            <w:tcBorders>
              <w:bottom w:val="single" w:sz="8" w:color="auto"/>
            </w:tcBorders>
          </w:tcPr>
          <w:p>
            <w:pPr>
              <w:spacing w:after="0"/>
              <w:rPr>
                <w:sz w:val="24"/>
                <w:szCs w:val="24"/>
                <w:color w:val="auto"/>
              </w:rPr>
            </w:pPr>
          </w:p>
        </w:tc>
      </w:tr>
      <w:tr>
        <w:trPr>
          <w:trHeight w:val="163"/>
        </w:trPr>
        <w:tc>
          <w:tcPr>
            <w:tcW w:w="176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400" w:type="dxa"/>
            <w:vAlign w:val="bottom"/>
            <w:gridSpan w:val="3"/>
          </w:tcPr>
          <w:p>
            <w:pPr>
              <w:ind w:left="12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1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1"/>
        </w:trPr>
        <w:tc>
          <w:tcPr>
            <w:tcW w:w="1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40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17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USA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1"/>
        </w:trPr>
        <w:tc>
          <w:tcPr>
            <w:tcW w:w="1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tcBorders>
          </w:tcPr>
          <w:p>
            <w:pPr>
              <w:spacing w:after="0"/>
              <w:rPr>
                <w:sz w:val="20"/>
                <w:szCs w:val="20"/>
                <w:color w:val="auto"/>
              </w:rPr>
            </w:pPr>
          </w:p>
        </w:tc>
      </w:tr>
      <w:tr>
        <w:trPr>
          <w:trHeight w:val="191"/>
        </w:trPr>
        <w:tc>
          <w:tcPr>
            <w:tcW w:w="1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3,378,631</w:t>
            </w:r>
          </w:p>
        </w:tc>
        <w:tc>
          <w:tcPr>
            <w:tcW w:w="1260" w:type="dxa"/>
            <w:vAlign w:val="bottom"/>
            <w:tcBorders>
              <w:bottom w:val="single" w:sz="8" w:color="auto"/>
            </w:tcBorders>
          </w:tcPr>
          <w:p>
            <w:pPr>
              <w:spacing w:after="0"/>
              <w:rPr>
                <w:sz w:val="20"/>
                <w:szCs w:val="20"/>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Pr>
          <w:p>
            <w:pPr>
              <w:spacing w:after="0"/>
              <w:rPr>
                <w:sz w:val="19"/>
                <w:szCs w:val="19"/>
                <w:color w:val="auto"/>
              </w:rPr>
            </w:pPr>
          </w:p>
        </w:tc>
      </w:tr>
      <w:tr>
        <w:trPr>
          <w:trHeight w:val="414"/>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3,378,631</w:t>
            </w: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3,378,631</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Pr>
          <w:p>
            <w:pPr>
              <w:spacing w:after="0"/>
              <w:rPr>
                <w:sz w:val="19"/>
                <w:szCs w:val="19"/>
                <w:color w:val="auto"/>
              </w:rPr>
            </w:pPr>
          </w:p>
        </w:tc>
      </w:tr>
      <w:tr>
        <w:trPr>
          <w:trHeight w:val="414"/>
        </w:trPr>
        <w:tc>
          <w:tcPr>
            <w:tcW w:w="176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8.02%</w:t>
            </w: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-5599430</wp:posOffset>
            </wp:positionV>
            <wp:extent cx="360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ind w:left="2340" w:right="7040" w:hanging="1551"/>
        <w:spacing w:after="0" w:line="527" w:lineRule="auto"/>
        <w:tabs>
          <w:tab w:leader="none" w:pos="18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60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Raymond White</w:t>
            </w: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380" w:type="dxa"/>
            <w:vAlign w:val="bottom"/>
            <w:gridSpan w:val="3"/>
          </w:tcPr>
          <w:p>
            <w:pPr>
              <w:ind w:left="10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60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660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AF</w:t>
            </w: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80" w:type="dxa"/>
            <w:vAlign w:val="bottom"/>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2(e)</w:t>
            </w:r>
          </w:p>
        </w:tc>
        <w:tc>
          <w:tcPr>
            <w:tcW w:w="660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USA</w:t>
            </w: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Pr>
          <w:p>
            <w:pPr>
              <w:spacing w:after="0"/>
              <w:rPr>
                <w:sz w:val="16"/>
                <w:szCs w:val="16"/>
                <w:color w:val="auto"/>
              </w:rPr>
            </w:pPr>
          </w:p>
        </w:tc>
        <w:tc>
          <w:tcPr>
            <w:tcW w:w="66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tcPr>
          <w:p>
            <w:pPr>
              <w:spacing w:after="0"/>
              <w:rPr>
                <w:sz w:val="16"/>
                <w:szCs w:val="16"/>
                <w:color w:val="auto"/>
              </w:rPr>
            </w:pPr>
          </w:p>
        </w:tc>
        <w:tc>
          <w:tcPr>
            <w:tcW w:w="66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3,378,631</w:t>
            </w:r>
          </w:p>
        </w:tc>
        <w:tc>
          <w:tcPr>
            <w:tcW w:w="126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80" w:type="dxa"/>
            <w:vAlign w:val="bottom"/>
          </w:tcPr>
          <w:p>
            <w:pPr>
              <w:spacing w:after="0"/>
              <w:rPr>
                <w:sz w:val="19"/>
                <w:szCs w:val="19"/>
                <w:color w:val="auto"/>
              </w:rPr>
            </w:pPr>
          </w:p>
        </w:tc>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19"/>
                <w:szCs w:val="19"/>
                <w:color w:val="auto"/>
              </w:rPr>
            </w:pPr>
          </w:p>
        </w:tc>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3,378,631</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3,378,631</w:t>
            </w: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IN</w:t>
            </w: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1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constitutes Amendment No. 2 to the Schedule 13D filed by the undersigned (the “Amendment No. 2”). This Amendment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amends and restates the Schedule 13D as specifically set forth herein.</w:t>
      </w:r>
    </w:p>
    <w:p>
      <w:pPr>
        <w:spacing w:after="0" w:line="2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u w:val="single" w:color="auto"/>
          <w:color w:val="auto"/>
        </w:rPr>
        <w:t>Purpose of Transaction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4 is hereby amended to add the following:</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25, 2019, the Reporting Persons and the Issuer entered into a cooperation agreement (the “Cooperation Agreement”). Pursuant to the Cooperation Agreement, the Issuer increased the size of its Board of Directors (the “Board”) by two and immediately appointed (i) Janice Stipp as a Class III director with a term expiring at the Issuer’s 2019 annual meeting of stockholders and (ii) Jeri Harman as a Class I director with a term expiring at the Issuer’s 2020 annual meeting of stockholders (the “2020 Annual Meeting”). The Issuer has agreed to nominate Ms. Stipp for election to the Board at the 2019 Annual Meeting and reduce the size of the Board by one director effective as of the 2019 Annual Meeting, so that immediately following the 2019 Annual Meeting, the Board will be fixed at eight directors and may not be further expanded without the Reporting Persons’ consent, provided that they continue to beneficially own at least the lesser of (i) 4.0% of the outstanding Shares and (ii) 1,684,168 Shares (the “Ownership Threshold”).</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Pursuant to the Cooperation Agreement, the Issuer also agreed to seek stockholder approval at the 2019 Annual Meeting to amend its Restated Certificate of Incorporation to provide for the annual election of directors such that, if passed, directors elected at the 2019 Annual Meeting will serve one-year terms and the Board will be fully declassified at the time of the 2021 annual meeting of stockholders.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Cooperation Agreement further provides that during the Standstill Period (as defined below) if Ms. Stipp or Ms. Harman cease to serve on the Board and at that time the Reporting Persons continue to meet the Ownership Threshold, the Reporting Persons shall have the right to privately propose a replacement who satisfies certain conditions set forth therein.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terms of the Cooperation Agreement provide that the Reporting Persons are subject to customary standstill obligations from the date of the Cooperation Agreement until fifteen days prior to the deadline for the submission of stockholder nominations of directors for the 2020 Annual Meeting (the “Standstill Period”). During the Standstill Period, the Reporting Persons agreed not to acquire ownership of more than 9.9% of the outstanding Shares. The Reporting Persons have also agreed to vote in a manner consistent with the recommendation of the Board, subject to certain exceptions specified in the Cooperation Agreement, during the Standstill Period.</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Cooperation Agreement is qualified in its entirety by reference to the full text of the Cooperation Agreement, which is referenced as Exhibit 99.1 hereto and is incorporated herein by reference.</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u w:val="single" w:color="auto"/>
          <w:color w:val="auto"/>
        </w:rPr>
        <w:t>Contracts, Arrangements, Understandings or Relationships With Respect to Securities of the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6 is hereby amended to add the following:</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February 25, 2019, the Reporting Persons and the Issuer entered into the Cooperation Agreement as defined and described in Item 4, which is incorporated herein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1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u w:val="single" w:color="auto"/>
          <w:color w:val="auto"/>
        </w:rPr>
        <w:t>Material to be Filed as 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7 is hereby amended to add the following exhibit:</w:t>
      </w:r>
    </w:p>
    <w:p>
      <w:pPr>
        <w:spacing w:after="0" w:line="225" w:lineRule="exact"/>
        <w:rPr>
          <w:sz w:val="20"/>
          <w:szCs w:val="20"/>
          <w:color w:val="auto"/>
        </w:rPr>
      </w:pPr>
    </w:p>
    <w:p>
      <w:pPr>
        <w:jc w:val="right"/>
        <w:ind w:right="859"/>
        <w:spacing w:after="0"/>
        <w:tabs>
          <w:tab w:leader="none" w:pos="73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Cooperation Agreement, dated February 25, 2019, by and among the Reporting Persons and the Issuer.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20"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his knowledge and belief, each of the undersigned certifies that the information set forth in this statement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is true, complete and correct.</w:t>
            </w:r>
          </w:p>
        </w:tc>
        <w:tc>
          <w:tcPr>
            <w:tcW w:w="10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26, 2019</w:t>
            </w:r>
          </w:p>
        </w:tc>
        <w:tc>
          <w:tcPr>
            <w:tcW w:w="1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620" w:type="dxa"/>
            <w:vAlign w:val="bottom"/>
            <w:gridSpan w:val="2"/>
          </w:tcPr>
          <w:p>
            <w:pPr>
              <w:ind w:left="5940"/>
              <w:spacing w:after="0"/>
              <w:rPr>
                <w:sz w:val="20"/>
                <w:szCs w:val="20"/>
                <w:color w:val="auto"/>
              </w:rPr>
            </w:pPr>
            <w:r>
              <w:rPr>
                <w:rFonts w:ascii="Times New Roman" w:cs="Times New Roman" w:eastAsia="Times New Roman" w:hAnsi="Times New Roman"/>
                <w:sz w:val="18"/>
                <w:szCs w:val="18"/>
                <w:color w:val="auto"/>
              </w:rPr>
              <w:t>Legion Partners, L.P. I</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620" w:type="dxa"/>
            <w:vAlign w:val="bottom"/>
          </w:tcPr>
          <w:p>
            <w:pPr>
              <w:ind w:left="59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Legion Partners Asset Management, LLC</w:t>
            </w:r>
          </w:p>
        </w:tc>
        <w:tc>
          <w:tcPr>
            <w:tcW w:w="100" w:type="dxa"/>
            <w:vAlign w:val="bottom"/>
          </w:tcPr>
          <w:p>
            <w:pPr>
              <w:spacing w:after="0"/>
              <w:rPr>
                <w:sz w:val="24"/>
                <w:szCs w:val="24"/>
                <w:color w:val="auto"/>
              </w:rPr>
            </w:pPr>
          </w:p>
        </w:tc>
      </w:tr>
      <w:tr>
        <w:trPr>
          <w:trHeight w:val="234"/>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Advisor</w:t>
            </w:r>
          </w:p>
        </w:tc>
        <w:tc>
          <w:tcPr>
            <w:tcW w:w="100" w:type="dxa"/>
            <w:vAlign w:val="bottom"/>
          </w:tcPr>
          <w:p>
            <w:pPr>
              <w:spacing w:after="0"/>
              <w:rPr>
                <w:sz w:val="20"/>
                <w:szCs w:val="20"/>
                <w:color w:val="auto"/>
              </w:rPr>
            </w:pPr>
          </w:p>
        </w:tc>
      </w:tr>
      <w:tr>
        <w:trPr>
          <w:trHeight w:val="432"/>
        </w:trPr>
        <w:tc>
          <w:tcPr>
            <w:tcW w:w="6620" w:type="dxa"/>
            <w:vAlign w:val="bottom"/>
          </w:tcPr>
          <w:p>
            <w:pPr>
              <w:ind w:left="59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S. Kiper</w:t>
            </w:r>
          </w:p>
        </w:tc>
        <w:tc>
          <w:tcPr>
            <w:tcW w:w="100" w:type="dxa"/>
            <w:vAlign w:val="bottom"/>
          </w:tcPr>
          <w:p>
            <w:pPr>
              <w:spacing w:after="0"/>
              <w:rPr>
                <w:sz w:val="24"/>
                <w:szCs w:val="24"/>
                <w:color w:val="auto"/>
              </w:rPr>
            </w:pPr>
          </w:p>
        </w:tc>
      </w:tr>
      <w:tr>
        <w:trPr>
          <w:trHeight w:val="191"/>
        </w:trPr>
        <w:tc>
          <w:tcPr>
            <w:tcW w:w="6620" w:type="dxa"/>
            <w:vAlign w:val="bottom"/>
          </w:tcPr>
          <w:p>
            <w:pPr>
              <w:spacing w:after="0"/>
              <w:rPr>
                <w:sz w:val="16"/>
                <w:szCs w:val="16"/>
                <w:color w:val="auto"/>
              </w:rPr>
            </w:pPr>
          </w:p>
        </w:tc>
        <w:tc>
          <w:tcPr>
            <w:tcW w:w="1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c>
          <w:tcPr>
            <w:tcW w:w="100" w:type="dxa"/>
            <w:vAlign w:val="bottom"/>
          </w:tcPr>
          <w:p>
            <w:pPr>
              <w:spacing w:after="0"/>
              <w:rPr>
                <w:sz w:val="16"/>
                <w:szCs w:val="16"/>
                <w:color w:val="auto"/>
              </w:rPr>
            </w:pPr>
          </w:p>
        </w:tc>
      </w:tr>
      <w:tr>
        <w:trPr>
          <w:trHeight w:val="234"/>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Director</w:t>
            </w:r>
          </w:p>
        </w:tc>
        <w:tc>
          <w:tcPr>
            <w:tcW w:w="100" w:type="dxa"/>
            <w:vAlign w:val="bottom"/>
          </w:tcPr>
          <w:p>
            <w:pPr>
              <w:spacing w:after="0"/>
              <w:rPr>
                <w:sz w:val="20"/>
                <w:szCs w:val="20"/>
                <w:color w:val="auto"/>
              </w:rPr>
            </w:pPr>
          </w:p>
        </w:tc>
      </w:tr>
      <w:tr>
        <w:trPr>
          <w:trHeight w:val="432"/>
        </w:trPr>
        <w:tc>
          <w:tcPr>
            <w:tcW w:w="7620" w:type="dxa"/>
            <w:vAlign w:val="bottom"/>
            <w:gridSpan w:val="2"/>
          </w:tcPr>
          <w:p>
            <w:pPr>
              <w:ind w:left="5940"/>
              <w:spacing w:after="0"/>
              <w:rPr>
                <w:sz w:val="20"/>
                <w:szCs w:val="20"/>
                <w:color w:val="auto"/>
              </w:rPr>
            </w:pPr>
            <w:r>
              <w:rPr>
                <w:rFonts w:ascii="Times New Roman" w:cs="Times New Roman" w:eastAsia="Times New Roman" w:hAnsi="Times New Roman"/>
                <w:sz w:val="18"/>
                <w:szCs w:val="18"/>
                <w:color w:val="auto"/>
                <w:w w:val="97"/>
              </w:rPr>
              <w:t>Legion Partners, L.P. II</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620" w:type="dxa"/>
            <w:vAlign w:val="bottom"/>
          </w:tcPr>
          <w:p>
            <w:pPr>
              <w:ind w:left="59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Legion Partners Asset Management, LLC</w:t>
            </w:r>
          </w:p>
        </w:tc>
        <w:tc>
          <w:tcPr>
            <w:tcW w:w="100" w:type="dxa"/>
            <w:vAlign w:val="bottom"/>
          </w:tcPr>
          <w:p>
            <w:pPr>
              <w:spacing w:after="0"/>
              <w:rPr>
                <w:sz w:val="24"/>
                <w:szCs w:val="24"/>
                <w:color w:val="auto"/>
              </w:rPr>
            </w:pPr>
          </w:p>
        </w:tc>
      </w:tr>
      <w:tr>
        <w:trPr>
          <w:trHeight w:val="234"/>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Advisor</w:t>
            </w:r>
          </w:p>
        </w:tc>
        <w:tc>
          <w:tcPr>
            <w:tcW w:w="100" w:type="dxa"/>
            <w:vAlign w:val="bottom"/>
          </w:tcPr>
          <w:p>
            <w:pPr>
              <w:spacing w:after="0"/>
              <w:rPr>
                <w:sz w:val="20"/>
                <w:szCs w:val="20"/>
                <w:color w:val="auto"/>
              </w:rPr>
            </w:pPr>
          </w:p>
        </w:tc>
      </w:tr>
      <w:tr>
        <w:trPr>
          <w:trHeight w:val="432"/>
        </w:trPr>
        <w:tc>
          <w:tcPr>
            <w:tcW w:w="6620" w:type="dxa"/>
            <w:vAlign w:val="bottom"/>
          </w:tcPr>
          <w:p>
            <w:pPr>
              <w:ind w:left="59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S. Kiper</w:t>
            </w:r>
          </w:p>
        </w:tc>
        <w:tc>
          <w:tcPr>
            <w:tcW w:w="100" w:type="dxa"/>
            <w:vAlign w:val="bottom"/>
          </w:tcPr>
          <w:p>
            <w:pPr>
              <w:spacing w:after="0"/>
              <w:rPr>
                <w:sz w:val="24"/>
                <w:szCs w:val="24"/>
                <w:color w:val="auto"/>
              </w:rPr>
            </w:pPr>
          </w:p>
        </w:tc>
      </w:tr>
      <w:tr>
        <w:trPr>
          <w:trHeight w:val="191"/>
        </w:trPr>
        <w:tc>
          <w:tcPr>
            <w:tcW w:w="6620" w:type="dxa"/>
            <w:vAlign w:val="bottom"/>
          </w:tcPr>
          <w:p>
            <w:pPr>
              <w:spacing w:after="0"/>
              <w:rPr>
                <w:sz w:val="16"/>
                <w:szCs w:val="16"/>
                <w:color w:val="auto"/>
              </w:rPr>
            </w:pPr>
          </w:p>
        </w:tc>
        <w:tc>
          <w:tcPr>
            <w:tcW w:w="1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c>
          <w:tcPr>
            <w:tcW w:w="100" w:type="dxa"/>
            <w:vAlign w:val="bottom"/>
          </w:tcPr>
          <w:p>
            <w:pPr>
              <w:spacing w:after="0"/>
              <w:rPr>
                <w:sz w:val="16"/>
                <w:szCs w:val="16"/>
                <w:color w:val="auto"/>
              </w:rPr>
            </w:pPr>
          </w:p>
        </w:tc>
      </w:tr>
      <w:tr>
        <w:trPr>
          <w:trHeight w:val="234"/>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Director</w:t>
            </w:r>
          </w:p>
        </w:tc>
        <w:tc>
          <w:tcPr>
            <w:tcW w:w="100" w:type="dxa"/>
            <w:vAlign w:val="bottom"/>
          </w:tcPr>
          <w:p>
            <w:pPr>
              <w:spacing w:after="0"/>
              <w:rPr>
                <w:sz w:val="20"/>
                <w:szCs w:val="20"/>
                <w:color w:val="auto"/>
              </w:rPr>
            </w:pPr>
          </w:p>
        </w:tc>
      </w:tr>
      <w:tr>
        <w:trPr>
          <w:trHeight w:val="432"/>
        </w:trPr>
        <w:tc>
          <w:tcPr>
            <w:tcW w:w="11320" w:type="dxa"/>
            <w:vAlign w:val="bottom"/>
            <w:gridSpan w:val="3"/>
          </w:tcPr>
          <w:p>
            <w:pPr>
              <w:ind w:left="5940"/>
              <w:spacing w:after="0"/>
              <w:rPr>
                <w:sz w:val="20"/>
                <w:szCs w:val="20"/>
                <w:color w:val="auto"/>
              </w:rPr>
            </w:pPr>
            <w:r>
              <w:rPr>
                <w:rFonts w:ascii="Times New Roman" w:cs="Times New Roman" w:eastAsia="Times New Roman" w:hAnsi="Times New Roman"/>
                <w:sz w:val="18"/>
                <w:szCs w:val="18"/>
                <w:color w:val="auto"/>
              </w:rPr>
              <w:t>Legion Partners Special Opportunities, L.P. XI</w:t>
            </w:r>
          </w:p>
        </w:tc>
        <w:tc>
          <w:tcPr>
            <w:tcW w:w="100" w:type="dxa"/>
            <w:vAlign w:val="bottom"/>
          </w:tcPr>
          <w:p>
            <w:pPr>
              <w:spacing w:after="0"/>
              <w:rPr>
                <w:sz w:val="24"/>
                <w:szCs w:val="24"/>
                <w:color w:val="auto"/>
              </w:rPr>
            </w:pPr>
          </w:p>
        </w:tc>
      </w:tr>
      <w:tr>
        <w:trPr>
          <w:trHeight w:val="414"/>
        </w:trPr>
        <w:tc>
          <w:tcPr>
            <w:tcW w:w="6620" w:type="dxa"/>
            <w:vAlign w:val="bottom"/>
          </w:tcPr>
          <w:p>
            <w:pPr>
              <w:ind w:left="59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Legion Partners Asset Management, LLC</w:t>
            </w:r>
          </w:p>
        </w:tc>
        <w:tc>
          <w:tcPr>
            <w:tcW w:w="100" w:type="dxa"/>
            <w:vAlign w:val="bottom"/>
          </w:tcPr>
          <w:p>
            <w:pPr>
              <w:spacing w:after="0"/>
              <w:rPr>
                <w:sz w:val="24"/>
                <w:szCs w:val="24"/>
                <w:color w:val="auto"/>
              </w:rPr>
            </w:pPr>
          </w:p>
        </w:tc>
      </w:tr>
      <w:tr>
        <w:trPr>
          <w:trHeight w:val="234"/>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Advisor</w:t>
            </w:r>
          </w:p>
        </w:tc>
        <w:tc>
          <w:tcPr>
            <w:tcW w:w="100" w:type="dxa"/>
            <w:vAlign w:val="bottom"/>
          </w:tcPr>
          <w:p>
            <w:pPr>
              <w:spacing w:after="0"/>
              <w:rPr>
                <w:sz w:val="20"/>
                <w:szCs w:val="20"/>
                <w:color w:val="auto"/>
              </w:rPr>
            </w:pPr>
          </w:p>
        </w:tc>
      </w:tr>
      <w:tr>
        <w:trPr>
          <w:trHeight w:val="432"/>
        </w:trPr>
        <w:tc>
          <w:tcPr>
            <w:tcW w:w="6620" w:type="dxa"/>
            <w:vAlign w:val="bottom"/>
          </w:tcPr>
          <w:p>
            <w:pPr>
              <w:ind w:left="59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S. Kiper</w:t>
            </w:r>
          </w:p>
        </w:tc>
        <w:tc>
          <w:tcPr>
            <w:tcW w:w="100" w:type="dxa"/>
            <w:vAlign w:val="bottom"/>
          </w:tcPr>
          <w:p>
            <w:pPr>
              <w:spacing w:after="0"/>
              <w:rPr>
                <w:sz w:val="24"/>
                <w:szCs w:val="24"/>
                <w:color w:val="auto"/>
              </w:rPr>
            </w:pPr>
          </w:p>
        </w:tc>
      </w:tr>
      <w:tr>
        <w:trPr>
          <w:trHeight w:val="191"/>
        </w:trPr>
        <w:tc>
          <w:tcPr>
            <w:tcW w:w="6620" w:type="dxa"/>
            <w:vAlign w:val="bottom"/>
          </w:tcPr>
          <w:p>
            <w:pPr>
              <w:spacing w:after="0"/>
              <w:rPr>
                <w:sz w:val="16"/>
                <w:szCs w:val="16"/>
                <w:color w:val="auto"/>
              </w:rPr>
            </w:pPr>
          </w:p>
        </w:tc>
        <w:tc>
          <w:tcPr>
            <w:tcW w:w="1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c>
          <w:tcPr>
            <w:tcW w:w="100" w:type="dxa"/>
            <w:vAlign w:val="bottom"/>
          </w:tcPr>
          <w:p>
            <w:pPr>
              <w:spacing w:after="0"/>
              <w:rPr>
                <w:sz w:val="16"/>
                <w:szCs w:val="16"/>
                <w:color w:val="auto"/>
              </w:rPr>
            </w:pPr>
          </w:p>
        </w:tc>
      </w:tr>
      <w:tr>
        <w:trPr>
          <w:trHeight w:val="234"/>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Director</w:t>
            </w:r>
          </w:p>
        </w:tc>
        <w:tc>
          <w:tcPr>
            <w:tcW w:w="100" w:type="dxa"/>
            <w:vAlign w:val="bottom"/>
          </w:tcPr>
          <w:p>
            <w:pPr>
              <w:spacing w:after="0"/>
              <w:rPr>
                <w:sz w:val="20"/>
                <w:szCs w:val="20"/>
                <w:color w:val="auto"/>
              </w:rPr>
            </w:pPr>
          </w:p>
        </w:tc>
      </w:tr>
      <w:tr>
        <w:trPr>
          <w:trHeight w:val="432"/>
        </w:trPr>
        <w:tc>
          <w:tcPr>
            <w:tcW w:w="7620" w:type="dxa"/>
            <w:vAlign w:val="bottom"/>
            <w:gridSpan w:val="2"/>
          </w:tcPr>
          <w:p>
            <w:pPr>
              <w:ind w:left="5940"/>
              <w:spacing w:after="0"/>
              <w:rPr>
                <w:sz w:val="20"/>
                <w:szCs w:val="20"/>
                <w:color w:val="auto"/>
              </w:rPr>
            </w:pPr>
            <w:r>
              <w:rPr>
                <w:rFonts w:ascii="Times New Roman" w:cs="Times New Roman" w:eastAsia="Times New Roman" w:hAnsi="Times New Roman"/>
                <w:sz w:val="18"/>
                <w:szCs w:val="18"/>
                <w:color w:val="auto"/>
              </w:rPr>
              <w:t>Legion Partners, LLC</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620" w:type="dxa"/>
            <w:vAlign w:val="bottom"/>
          </w:tcPr>
          <w:p>
            <w:pPr>
              <w:ind w:left="59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Legion Partners Holdings, LLC</w:t>
            </w:r>
          </w:p>
        </w:tc>
        <w:tc>
          <w:tcPr>
            <w:tcW w:w="100" w:type="dxa"/>
            <w:vAlign w:val="bottom"/>
          </w:tcPr>
          <w:p>
            <w:pPr>
              <w:spacing w:after="0"/>
              <w:rPr>
                <w:sz w:val="24"/>
                <w:szCs w:val="24"/>
                <w:color w:val="auto"/>
              </w:rPr>
            </w:pPr>
          </w:p>
        </w:tc>
      </w:tr>
      <w:tr>
        <w:trPr>
          <w:trHeight w:val="234"/>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Member</w:t>
            </w:r>
          </w:p>
        </w:tc>
        <w:tc>
          <w:tcPr>
            <w:tcW w:w="100" w:type="dxa"/>
            <w:vAlign w:val="bottom"/>
          </w:tcPr>
          <w:p>
            <w:pPr>
              <w:spacing w:after="0"/>
              <w:rPr>
                <w:sz w:val="20"/>
                <w:szCs w:val="20"/>
                <w:color w:val="auto"/>
              </w:rPr>
            </w:pPr>
          </w:p>
        </w:tc>
      </w:tr>
      <w:tr>
        <w:trPr>
          <w:trHeight w:val="432"/>
        </w:trPr>
        <w:tc>
          <w:tcPr>
            <w:tcW w:w="6620" w:type="dxa"/>
            <w:vAlign w:val="bottom"/>
          </w:tcPr>
          <w:p>
            <w:pPr>
              <w:ind w:left="59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S. Kiper</w:t>
            </w:r>
          </w:p>
        </w:tc>
        <w:tc>
          <w:tcPr>
            <w:tcW w:w="100" w:type="dxa"/>
            <w:vAlign w:val="bottom"/>
          </w:tcPr>
          <w:p>
            <w:pPr>
              <w:spacing w:after="0"/>
              <w:rPr>
                <w:sz w:val="24"/>
                <w:szCs w:val="24"/>
                <w:color w:val="auto"/>
              </w:rPr>
            </w:pPr>
          </w:p>
        </w:tc>
      </w:tr>
      <w:tr>
        <w:trPr>
          <w:trHeight w:val="191"/>
        </w:trPr>
        <w:tc>
          <w:tcPr>
            <w:tcW w:w="6620" w:type="dxa"/>
            <w:vAlign w:val="bottom"/>
          </w:tcPr>
          <w:p>
            <w:pPr>
              <w:spacing w:after="0"/>
              <w:rPr>
                <w:sz w:val="16"/>
                <w:szCs w:val="16"/>
                <w:color w:val="auto"/>
              </w:rPr>
            </w:pPr>
          </w:p>
        </w:tc>
        <w:tc>
          <w:tcPr>
            <w:tcW w:w="1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c>
          <w:tcPr>
            <w:tcW w:w="100" w:type="dxa"/>
            <w:vAlign w:val="bottom"/>
          </w:tcPr>
          <w:p>
            <w:pPr>
              <w:spacing w:after="0"/>
              <w:rPr>
                <w:sz w:val="16"/>
                <w:szCs w:val="16"/>
                <w:color w:val="auto"/>
              </w:rPr>
            </w:pPr>
          </w:p>
        </w:tc>
      </w:tr>
      <w:tr>
        <w:trPr>
          <w:trHeight w:val="234"/>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Member</w:t>
            </w:r>
          </w:p>
        </w:tc>
        <w:tc>
          <w:tcPr>
            <w:tcW w:w="100" w:type="dxa"/>
            <w:vAlign w:val="bottom"/>
          </w:tcPr>
          <w:p>
            <w:pPr>
              <w:spacing w:after="0"/>
              <w:rPr>
                <w:sz w:val="20"/>
                <w:szCs w:val="20"/>
                <w:color w:val="auto"/>
              </w:rPr>
            </w:pPr>
          </w:p>
        </w:tc>
      </w:tr>
      <w:tr>
        <w:trPr>
          <w:trHeight w:val="432"/>
        </w:trPr>
        <w:tc>
          <w:tcPr>
            <w:tcW w:w="11320" w:type="dxa"/>
            <w:vAlign w:val="bottom"/>
            <w:gridSpan w:val="3"/>
          </w:tcPr>
          <w:p>
            <w:pPr>
              <w:ind w:left="5940"/>
              <w:spacing w:after="0"/>
              <w:rPr>
                <w:sz w:val="20"/>
                <w:szCs w:val="20"/>
                <w:color w:val="auto"/>
              </w:rPr>
            </w:pPr>
            <w:r>
              <w:rPr>
                <w:rFonts w:ascii="Times New Roman" w:cs="Times New Roman" w:eastAsia="Times New Roman" w:hAnsi="Times New Roman"/>
                <w:sz w:val="18"/>
                <w:szCs w:val="18"/>
                <w:color w:val="auto"/>
              </w:rPr>
              <w:t>Legion Partners Asset Management, LLC</w:t>
            </w:r>
          </w:p>
        </w:tc>
        <w:tc>
          <w:tcPr>
            <w:tcW w:w="100" w:type="dxa"/>
            <w:vAlign w:val="bottom"/>
          </w:tcPr>
          <w:p>
            <w:pPr>
              <w:spacing w:after="0"/>
              <w:rPr>
                <w:sz w:val="24"/>
                <w:szCs w:val="24"/>
                <w:color w:val="auto"/>
              </w:rPr>
            </w:pPr>
          </w:p>
        </w:tc>
      </w:tr>
      <w:tr>
        <w:trPr>
          <w:trHeight w:val="432"/>
        </w:trPr>
        <w:tc>
          <w:tcPr>
            <w:tcW w:w="6620" w:type="dxa"/>
            <w:vAlign w:val="bottom"/>
          </w:tcPr>
          <w:p>
            <w:pPr>
              <w:ind w:left="59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S. Kiper</w:t>
            </w:r>
          </w:p>
        </w:tc>
        <w:tc>
          <w:tcPr>
            <w:tcW w:w="100" w:type="dxa"/>
            <w:vAlign w:val="bottom"/>
          </w:tcPr>
          <w:p>
            <w:pPr>
              <w:spacing w:after="0"/>
              <w:rPr>
                <w:sz w:val="24"/>
                <w:szCs w:val="24"/>
                <w:color w:val="auto"/>
              </w:rPr>
            </w:pPr>
          </w:p>
        </w:tc>
      </w:tr>
      <w:tr>
        <w:trPr>
          <w:trHeight w:val="191"/>
        </w:trPr>
        <w:tc>
          <w:tcPr>
            <w:tcW w:w="6620" w:type="dxa"/>
            <w:vAlign w:val="bottom"/>
          </w:tcPr>
          <w:p>
            <w:pPr>
              <w:spacing w:after="0"/>
              <w:rPr>
                <w:sz w:val="16"/>
                <w:szCs w:val="16"/>
                <w:color w:val="auto"/>
              </w:rPr>
            </w:pPr>
          </w:p>
        </w:tc>
        <w:tc>
          <w:tcPr>
            <w:tcW w:w="1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c>
          <w:tcPr>
            <w:tcW w:w="100" w:type="dxa"/>
            <w:vAlign w:val="bottom"/>
          </w:tcPr>
          <w:p>
            <w:pPr>
              <w:spacing w:after="0"/>
              <w:rPr>
                <w:sz w:val="16"/>
                <w:szCs w:val="16"/>
                <w:color w:val="auto"/>
              </w:rPr>
            </w:pPr>
          </w:p>
        </w:tc>
      </w:tr>
      <w:tr>
        <w:trPr>
          <w:trHeight w:val="234"/>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Director</w:t>
            </w:r>
          </w:p>
        </w:tc>
        <w:tc>
          <w:tcPr>
            <w:tcW w:w="100" w:type="dxa"/>
            <w:vAlign w:val="bottom"/>
          </w:tcPr>
          <w:p>
            <w:pPr>
              <w:spacing w:after="0"/>
              <w:rPr>
                <w:sz w:val="20"/>
                <w:szCs w:val="20"/>
                <w:color w:val="auto"/>
              </w:rPr>
            </w:pPr>
          </w:p>
        </w:tc>
      </w:tr>
      <w:tr>
        <w:trPr>
          <w:trHeight w:val="540"/>
        </w:trPr>
        <w:tc>
          <w:tcPr>
            <w:tcW w:w="6620" w:type="dxa"/>
            <w:vAlign w:val="bottom"/>
            <w:tcBorders>
              <w:bottom w:val="single" w:sz="8" w:color="auto"/>
            </w:tcBorders>
          </w:tcPr>
          <w:p>
            <w:pPr>
              <w:ind w:left="5620"/>
              <w:spacing w:after="0"/>
              <w:rPr>
                <w:sz w:val="20"/>
                <w:szCs w:val="20"/>
                <w:color w:val="auto"/>
              </w:rPr>
            </w:pPr>
            <w:r>
              <w:rPr>
                <w:rFonts w:ascii="Times New Roman" w:cs="Times New Roman" w:eastAsia="Times New Roman" w:hAnsi="Times New Roman"/>
                <w:sz w:val="18"/>
                <w:szCs w:val="18"/>
                <w:color w:val="auto"/>
              </w:rPr>
              <w:t>12</w:t>
            </w:r>
          </w:p>
        </w:tc>
        <w:tc>
          <w:tcPr>
            <w:tcW w:w="10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107" w:lineRule="exact"/>
        <w:rPr>
          <w:sz w:val="20"/>
          <w:szCs w:val="20"/>
          <w:color w:val="auto"/>
        </w:rPr>
      </w:pPr>
    </w:p>
    <w:p>
      <w:pPr>
        <w:jc w:val="right"/>
        <w:ind w:right="3100"/>
        <w:spacing w:after="0"/>
        <w:rPr>
          <w:sz w:val="20"/>
          <w:szCs w:val="20"/>
          <w:color w:val="auto"/>
        </w:rPr>
      </w:pPr>
      <w:r>
        <w:rPr>
          <w:rFonts w:ascii="Times New Roman" w:cs="Times New Roman" w:eastAsia="Times New Roman" w:hAnsi="Times New Roman"/>
          <w:sz w:val="18"/>
          <w:szCs w:val="18"/>
          <w:color w:val="auto"/>
        </w:rPr>
        <w:t>Legion Partners Holdings, LLC</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S. Kiper</w:t>
            </w:r>
          </w:p>
        </w:tc>
      </w:tr>
      <w:tr>
        <w:trPr>
          <w:trHeight w:val="191"/>
        </w:trPr>
        <w:tc>
          <w:tcPr>
            <w:tcW w:w="680" w:type="dxa"/>
            <w:vAlign w:val="bottom"/>
          </w:tcPr>
          <w:p>
            <w:pPr>
              <w:spacing w:after="0"/>
              <w:rPr>
                <w:sz w:val="16"/>
                <w:szCs w:val="16"/>
                <w:color w:val="auto"/>
              </w:rPr>
            </w:pPr>
          </w:p>
        </w:tc>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r>
      <w:tr>
        <w:trPr>
          <w:trHeight w:val="234"/>
        </w:trPr>
        <w:tc>
          <w:tcPr>
            <w:tcW w:w="68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Christopher S. Kiper</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4817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Raymond White</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Raymond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4817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20"/>
      </w:cols>
      <w:pgMar w:left="240" w:top="2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1"/>
      <w:numFmt w:val="decimal"/>
      <w:start w:val="14"/>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2019-12-05T00:34:14Z</dcterms:created>
  <dcterms:modified xsi:type="dcterms:W3CDTF">2019-12-05T00:34:14Z</dcterms:modified>
</cp:coreProperties>
</file>