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169545</wp:posOffset>
            </wp:positionV>
            <wp:extent cx="62611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NN,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560" w:type="dxa"/>
            <w:vAlign w:val="bottom"/>
            <w:gridSpan w:val="2"/>
          </w:tcPr>
          <w:p>
            <w:pPr>
              <w:spacing w:after="0"/>
              <w:rPr>
                <w:sz w:val="17"/>
                <w:szCs w:val="17"/>
                <w:color w:val="auto"/>
              </w:rPr>
            </w:pPr>
          </w:p>
        </w:tc>
        <w:tc>
          <w:tcPr>
            <w:tcW w:w="1540" w:type="dxa"/>
            <w:vAlign w:val="bottom"/>
            <w:gridSpan w:val="2"/>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0-23486</w:t>
            </w:r>
          </w:p>
        </w:tc>
        <w:tc>
          <w:tcPr>
            <w:tcW w:w="1600" w:type="dxa"/>
            <w:vAlign w:val="bottom"/>
          </w:tcPr>
          <w:p>
            <w:pPr>
              <w:spacing w:after="0"/>
              <w:rPr>
                <w:sz w:val="17"/>
                <w:szCs w:val="17"/>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364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06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37604</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364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392"/>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(423) 743-9151</w:t>
            </w: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20" w:type="dxa"/>
            <w:vAlign w:val="bottom"/>
            <w:gridSpan w:val="2"/>
          </w:tcPr>
          <w:p>
            <w:pPr>
              <w:jc w:val="right"/>
              <w:ind w:right="175"/>
              <w:spacing w:after="0" w:line="181" w:lineRule="exact"/>
              <w:rPr>
                <w:sz w:val="20"/>
                <w:szCs w:val="20"/>
                <w:color w:val="auto"/>
              </w:rPr>
            </w:pPr>
            <w:r>
              <w:rPr>
                <w:rFonts w:ascii="MS PGothic" w:cs="MS PGothic" w:eastAsia="MS PGothic" w:hAnsi="MS PGothic"/>
                <w:sz w:val="18"/>
                <w:szCs w:val="18"/>
                <w:color w:val="auto"/>
                <w:w w:val="77"/>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gridSpan w:val="2"/>
          </w:tcPr>
          <w:p>
            <w:pPr>
              <w:ind w:left="120"/>
              <w:spacing w:after="0"/>
              <w:rPr>
                <w:sz w:val="20"/>
                <w:szCs w:val="20"/>
                <w:color w:val="auto"/>
              </w:rPr>
            </w:pPr>
            <w:r>
              <w:rPr>
                <w:rFonts w:ascii="Arial" w:cs="Arial" w:eastAsia="Arial" w:hAnsi="Arial"/>
                <w:sz w:val="18"/>
                <w:szCs w:val="18"/>
                <w:color w:val="auto"/>
              </w:rPr>
              <w:t>2(b))</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0" w:type="dxa"/>
            <w:vAlign w:val="bottom"/>
            <w:vMerge w:val="restart"/>
          </w:tcPr>
          <w:p>
            <w:pPr>
              <w:jc w:val="right"/>
              <w:ind w:right="175"/>
              <w:spacing w:after="0" w:line="171" w:lineRule="exact"/>
              <w:rPr>
                <w:sz w:val="20"/>
                <w:szCs w:val="20"/>
                <w:color w:val="auto"/>
              </w:rPr>
            </w:pPr>
            <w:r>
              <w:rPr>
                <w:rFonts w:ascii="MS PGothic" w:cs="MS PGothic" w:eastAsia="MS PGothic" w:hAnsi="MS PGothic"/>
                <w:sz w:val="17"/>
                <w:szCs w:val="17"/>
                <w:color w:val="auto"/>
                <w:w w:val="70"/>
              </w:rPr>
              <w:t>☐</w:t>
            </w:r>
          </w:p>
        </w:tc>
        <w:tc>
          <w:tcPr>
            <w:tcW w:w="8060" w:type="dxa"/>
            <w:vAlign w:val="bottom"/>
            <w:vMerge w:val="restart"/>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20" w:type="dxa"/>
            <w:vAlign w:val="bottom"/>
            <w:vMerge w:val="restart"/>
          </w:tcPr>
          <w:p>
            <w:pPr>
              <w:ind w:left="100"/>
              <w:spacing w:after="0"/>
              <w:rPr>
                <w:sz w:val="20"/>
                <w:szCs w:val="20"/>
                <w:color w:val="auto"/>
              </w:rPr>
            </w:pPr>
            <w:r>
              <w:rPr>
                <w:rFonts w:ascii="Arial" w:cs="Arial" w:eastAsia="Arial" w:hAnsi="Arial"/>
                <w:sz w:val="18"/>
                <w:szCs w:val="18"/>
                <w:color w:val="auto"/>
              </w:rPr>
              <w:t>4(c))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808080"/>
          </w:tcPr>
          <w:p>
            <w:pPr>
              <w:spacing w:after="0"/>
              <w:rPr>
                <w:sz w:val="6"/>
                <w:szCs w:val="6"/>
                <w:color w:val="auto"/>
              </w:rPr>
            </w:pPr>
          </w:p>
        </w:tc>
        <w:tc>
          <w:tcPr>
            <w:tcW w:w="400" w:type="dxa"/>
            <w:vAlign w:val="bottom"/>
            <w:vMerge w:val="continue"/>
          </w:tcPr>
          <w:p>
            <w:pPr>
              <w:spacing w:after="0"/>
              <w:rPr>
                <w:sz w:val="6"/>
                <w:szCs w:val="6"/>
                <w:color w:val="auto"/>
              </w:rPr>
            </w:pPr>
          </w:p>
        </w:tc>
        <w:tc>
          <w:tcPr>
            <w:tcW w:w="8060" w:type="dxa"/>
            <w:vAlign w:val="bottom"/>
            <w:vMerge w:val="continue"/>
          </w:tcPr>
          <w:p>
            <w:pPr>
              <w:spacing w:after="0"/>
              <w:rPr>
                <w:sz w:val="6"/>
                <w:szCs w:val="6"/>
                <w:color w:val="auto"/>
              </w:rPr>
            </w:pPr>
          </w:p>
        </w:tc>
        <w:tc>
          <w:tcPr>
            <w:tcW w:w="2920" w:type="dxa"/>
            <w:vAlign w:val="bottom"/>
            <w:vMerge w:val="continue"/>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753"/>
        </w:trPr>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7, 2013, NN, Inc. (the “Company”) issued a press release, announcing the Company’s results of operations and financial condition for the first quarter ended March 31, 2013. The full text of the press release is furnished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74" w:lineRule="exact"/>
        <w:rPr>
          <w:sz w:val="20"/>
          <w:szCs w:val="20"/>
          <w:color w:val="auto"/>
        </w:rPr>
      </w:pPr>
    </w:p>
    <w:p>
      <w:pPr>
        <w:spacing w:after="0"/>
        <w:rPr>
          <w:sz w:val="20"/>
          <w:szCs w:val="20"/>
          <w:color w:val="auto"/>
        </w:rPr>
      </w:pPr>
      <w:r>
        <w:rPr>
          <w:rFonts w:ascii="Arial" w:cs="Arial" w:eastAsia="Arial" w:hAnsi="Arial"/>
          <w:sz w:val="36"/>
          <w:szCs w:val="36"/>
          <w:b w:val="1"/>
          <w:bCs w:val="1"/>
          <w:u w:val="single" w:color="auto"/>
          <w:color w:val="auto"/>
          <w:vertAlign w:val="superscript"/>
        </w:rPr>
        <w:t>Exhibit</w:t>
      </w:r>
      <w:r>
        <w:rPr>
          <w:rFonts w:ascii="Arial" w:cs="Arial" w:eastAsia="Arial" w:hAnsi="Arial"/>
          <w:sz w:val="18"/>
          <w:szCs w:val="18"/>
          <w:b w:val="1"/>
          <w:bCs w:val="1"/>
          <w:u w:val="single" w:color="auto"/>
          <w:color w:val="auto"/>
        </w:rPr>
        <w:t>Description</w:t>
      </w:r>
    </w:p>
    <w:p>
      <w:pPr>
        <w:spacing w:after="0"/>
        <w:rPr>
          <w:sz w:val="20"/>
          <w:szCs w:val="20"/>
          <w:color w:val="auto"/>
        </w:rPr>
      </w:pPr>
      <w:r>
        <w:rPr>
          <w:rFonts w:ascii="Arial" w:cs="Arial" w:eastAsia="Arial" w:hAnsi="Arial"/>
          <w:sz w:val="18"/>
          <w:szCs w:val="18"/>
          <w:b w:val="1"/>
          <w:bCs w:val="1"/>
          <w:u w:val="single" w:color="auto"/>
          <w:color w:val="auto"/>
        </w:rPr>
        <w:t>No.</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May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972" w:right="7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2013</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NN, Inc.</w:t>
      </w:r>
    </w:p>
    <w:p>
      <w:pPr>
        <w:spacing w:after="0" w:line="200" w:lineRule="exact"/>
        <w:rPr>
          <w:sz w:val="20"/>
          <w:szCs w:val="20"/>
          <w:color w:val="auto"/>
        </w:rPr>
      </w:pPr>
    </w:p>
    <w:p>
      <w:pPr>
        <w:spacing w:after="0" w:line="29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14605</wp:posOffset>
            </wp:positionV>
            <wp:extent cx="11493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17145"/>
                    </a:xfrm>
                    <a:prstGeom prst="rect">
                      <a:avLst/>
                    </a:prstGeom>
                    <a:noFill/>
                  </pic:spPr>
                </pic:pic>
              </a:graphicData>
            </a:graphic>
          </wp:anchor>
        </w:drawing>
      </w:r>
    </w:p>
    <w:p>
      <w:pPr>
        <w:spacing w:after="0" w:line="16"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18"/>
          <w:szCs w:val="18"/>
          <w:color w:val="auto"/>
        </w:rPr>
        <w:t>Name:</w:t>
        <w:tab/>
        <w:t>William C. Kelly, Jr.</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220"/>
          </w:cols>
          <w:pgMar w:left="240" w:top="513"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6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24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24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22"/>
          <w:szCs w:val="22"/>
          <w:b w:val="1"/>
          <w:bCs w:val="1"/>
          <w:color w:val="auto"/>
        </w:rPr>
        <w:t>EXHIBIT 99.1</w:t>
      </w:r>
    </w:p>
    <w:p>
      <w:pPr>
        <w:spacing w:after="0" w:line="217" w:lineRule="exact"/>
        <w:rPr>
          <w:sz w:val="20"/>
          <w:szCs w:val="20"/>
          <w:color w:val="auto"/>
        </w:rPr>
      </w:pPr>
    </w:p>
    <w:p>
      <w:pPr>
        <w:spacing w:after="0"/>
        <w:rPr>
          <w:sz w:val="20"/>
          <w:szCs w:val="20"/>
          <w:color w:val="auto"/>
        </w:rPr>
      </w:pPr>
      <w:r>
        <w:rPr>
          <w:rFonts w:ascii="Arial" w:cs="Arial" w:eastAsia="Arial" w:hAnsi="Arial"/>
          <w:sz w:val="71"/>
          <w:szCs w:val="71"/>
          <w:color w:val="auto"/>
        </w:rPr>
        <w:t>n e w 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TN 37604</w:t>
      </w:r>
    </w:p>
    <w:p>
      <w:pPr>
        <w:spacing w:after="0" w:line="2302" w:lineRule="exact"/>
        <w:rPr>
          <w:sz w:val="20"/>
          <w:szCs w:val="20"/>
          <w:color w:val="auto"/>
        </w:rPr>
      </w:pPr>
    </w:p>
    <w:p>
      <w:pPr>
        <w:sectPr>
          <w:pgSz w:w="11900" w:h="16838" w:orient="portrait"/>
          <w:cols w:equalWidth="0" w:num="2">
            <w:col w:w="8420" w:space="720"/>
            <w:col w:w="2280"/>
          </w:cols>
          <w:pgMar w:left="240" w:top="355" w:right="2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May 7, 2013</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REPORTS EARNINGS FOR 2013 FIRST QUARTER</w:t>
      </w:r>
    </w:p>
    <w:p>
      <w:pPr>
        <w:spacing w:after="0" w:line="200" w:lineRule="exact"/>
        <w:rPr>
          <w:sz w:val="20"/>
          <w:szCs w:val="20"/>
          <w:color w:val="auto"/>
        </w:rPr>
      </w:pPr>
    </w:p>
    <w:p>
      <w:pPr>
        <w:spacing w:after="0" w:line="268" w:lineRule="exact"/>
        <w:rPr>
          <w:sz w:val="20"/>
          <w:szCs w:val="20"/>
          <w:color w:val="auto"/>
        </w:rPr>
      </w:pPr>
    </w:p>
    <w:p>
      <w:pPr>
        <w:ind w:left="660" w:hanging="139"/>
        <w:spacing w:after="0" w:line="26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Revenues of $93.8 million for the quarter exceeded forecast, however down 10.2% from the first quarter of 2012, due to continued soft European and Asian demand</w:t>
      </w:r>
    </w:p>
    <w:p>
      <w:pPr>
        <w:ind w:left="660" w:hanging="139"/>
        <w:spacing w:after="0"/>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Solid margins on lower revenues reflect strong leverage of costs from on-going Level 3 cost containment and improvement programs</w:t>
      </w:r>
    </w:p>
    <w:p>
      <w:pPr>
        <w:spacing w:after="0" w:line="200" w:lineRule="exact"/>
        <w:rPr>
          <w:sz w:val="20"/>
          <w:szCs w:val="20"/>
          <w:color w:val="auto"/>
        </w:rPr>
      </w:pPr>
    </w:p>
    <w:p>
      <w:pPr>
        <w:spacing w:after="0" w:line="3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Johnson City, Tenn, May 7, 2013 – NN, Inc. (NASDAQ: NNBR) today reported its financial results for the first quarter ended March 31, 2013. Net sales for the first quarter of 2013 were $93.8 million, a decrease of $10.7 million or 10.2% as compared to $104.5 million for the same period of 2012. Approximately $10.6 million of the decrease was volume related, the majority of which was associated to lower demand in European automotive end markets. Secondarily, platform specific inventory adjustments in North American automotive markets negatively impacted demand. The unfavorable negative net impact of price and mix were mostly offset by the favorable effects of foreign exchange.</w:t>
      </w:r>
    </w:p>
    <w:p>
      <w:pPr>
        <w:spacing w:after="0" w:line="21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Reported net income for the first quarter of 2013 of $2.9 million, or $0.17 per diluted share, included approximately $0.7 million in after-tax net non-operating losses, including approximately $0.3 million in after-tax foreign currency losses on intercompany loans and $0.4 million in after-tax restructuring and other non-recurring items. Excluding these losses, net income from normal operations was $3.6 million or $0.21 per diluted share. Reported net income for the first quarter of 2012 of $5.9 million or $0.35 per diluted share included approximately $0.7 million or $0.04 per diluted share of after-tax foreign currency losses on intercompany loans. Excluding this loss, net income from normal operations was $6.6 million or $0.39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4" w:name="page5"/>
    <w:bookmarkEnd w:id="4"/>
    <w:p>
      <w:pPr>
        <w:ind w:right="40"/>
        <w:spacing w:after="0" w:line="286" w:lineRule="auto"/>
        <w:rPr>
          <w:sz w:val="20"/>
          <w:szCs w:val="20"/>
          <w:color w:val="auto"/>
        </w:rPr>
      </w:pPr>
      <w:r>
        <w:rPr>
          <w:rFonts w:ascii="Arial" w:cs="Arial" w:eastAsia="Arial" w:hAnsi="Arial"/>
          <w:sz w:val="17"/>
          <w:szCs w:val="17"/>
          <w:color w:val="auto"/>
        </w:rPr>
        <w:t>As a percentage of net sales, cost of goods sold for the quarter of 79.4% remained flat as compared to the same period in the prior year. On-going cost containment and improvement programs driven by the Company’s Level 3 initiatives have continued to produce positive results. Good levels of profitability and margin performance were achieved despite the revenue reduction that occurred during the quarter as compared to the prior year.</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Debt, net of cash, was $56.0 million at March 31, 2013, an increase of $5.5 million over the December 31, 2012 amount of $50.5 million. This situation is historically typical of the first quarter and is mainly due to the timing of fourth quarter sales and the seasonality of funding additional working capital during the first quarter. The Company expects to meet its beginning of the year goals for debt retirement and capital spending of approximately $15.0 million and $17.0 million, respectively.</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Roderick R. Baty, Chairman and Chief Executive Officer commented, “The weak economic conditions we experienced in 2012 continued to negatively impact the demand for our products in the first quarter. Although our results for the first quarter of 2013 fell short of the results for the same period in 2012, revenues and net income from normal operations did exceed our original 2013 forecasts. Until the economic outlook in Europe improves, we will continue to build upon our operational improvements at Whirlaway and company-wide Level 3 cost control initiatives. This focus has allowed us to achieve margin improvement even during a period of suppressed revenue levels.”</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Baty concluded, “Our cash flow and debt retirement performance over the last three years has strengthened our balance sheet significantly. This provides us with the ability and opportunity to fund key strategic plan initiatives of organic and acquisitive growth as well as explore other shareholder value actions.”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$370 million in 2012.</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2012.</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vMerge w:val="restart"/>
          </w:tcPr>
          <w:p>
            <w:pPr>
              <w:spacing w:after="0"/>
              <w:rPr>
                <w:sz w:val="20"/>
                <w:szCs w:val="20"/>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18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$ 93,797</w:t>
            </w:r>
          </w:p>
        </w:tc>
        <w:tc>
          <w:tcPr>
            <w:tcW w:w="6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$ 104,519</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Cost of goods sold (exclusive of depreciation</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shown separately below)</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74,517</w:t>
            </w:r>
          </w:p>
        </w:tc>
        <w:tc>
          <w:tcPr>
            <w:tcW w:w="6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82,969</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9,106</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4,531</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r>
              <w:rPr>
                <w:rFonts w:ascii="Arial" w:cs="Arial" w:eastAsia="Arial" w:hAnsi="Arial"/>
                <w:sz w:val="18"/>
                <w:szCs w:val="18"/>
                <w:color w:val="auto"/>
              </w:rPr>
              <w:t>Loss (gain) on disposal of assets</w:t>
            </w:r>
          </w:p>
        </w:tc>
        <w:tc>
          <w:tcPr>
            <w:tcW w:w="1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5,639</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7"/>
        </w:trPr>
        <w:tc>
          <w:tcPr>
            <w:tcW w:w="82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4,275</w:t>
            </w:r>
          </w:p>
        </w:tc>
        <w:tc>
          <w:tcPr>
            <w:tcW w:w="4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1,404</w:t>
            </w:r>
          </w:p>
        </w:tc>
        <w:tc>
          <w:tcPr>
            <w:tcW w:w="4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2,871</w:t>
            </w:r>
          </w:p>
        </w:tc>
        <w:tc>
          <w:tcPr>
            <w:tcW w:w="4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000" w:type="dxa"/>
            <w:vAlign w:val="bottom"/>
          </w:tcPr>
          <w:p>
            <w:pPr>
              <w:spacing w:after="0"/>
              <w:rPr>
                <w:sz w:val="20"/>
                <w:szCs w:val="20"/>
                <w:color w:val="auto"/>
              </w:rPr>
            </w:pPr>
            <w:r>
              <w:rPr>
                <w:rFonts w:ascii="Arial" w:cs="Arial" w:eastAsia="Arial" w:hAnsi="Arial"/>
                <w:sz w:val="18"/>
                <w:szCs w:val="18"/>
                <w:color w:val="auto"/>
              </w:rPr>
              <w:t>Diluted income per common share</w:t>
            </w:r>
          </w:p>
        </w:tc>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0.17</w:t>
            </w:r>
          </w:p>
        </w:tc>
        <w:tc>
          <w:tcPr>
            <w:tcW w:w="4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280" w:type="dxa"/>
            <w:vAlign w:val="bottom"/>
            <w:gridSpan w:val="2"/>
          </w:tcPr>
          <w:p>
            <w:pPr>
              <w:spacing w:after="0"/>
              <w:rPr>
                <w:sz w:val="20"/>
                <w:szCs w:val="20"/>
                <w:color w:val="auto"/>
              </w:rPr>
            </w:pPr>
            <w:r>
              <w:rPr>
                <w:rFonts w:ascii="Arial" w:cs="Arial" w:eastAsia="Arial" w:hAnsi="Arial"/>
                <w:sz w:val="18"/>
                <w:szCs w:val="18"/>
                <w:color w:val="auto"/>
              </w:rPr>
              <w:t>Weighted average diluted shares</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17,162</w:t>
            </w:r>
          </w:p>
        </w:tc>
        <w:tc>
          <w:tcPr>
            <w:tcW w:w="6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17,075</w:t>
            </w:r>
          </w:p>
        </w:tc>
        <w:tc>
          <w:tcPr>
            <w:tcW w:w="0" w:type="dxa"/>
            <w:vAlign w:val="bottom"/>
          </w:tcPr>
          <w:p>
            <w:pPr>
              <w:spacing w:after="0"/>
              <w:rPr>
                <w:sz w:val="1"/>
                <w:szCs w:val="1"/>
                <w:color w:val="auto"/>
              </w:rPr>
            </w:pPr>
          </w:p>
        </w:tc>
      </w:tr>
      <w:tr>
        <w:trPr>
          <w:trHeight w:val="21"/>
        </w:trPr>
        <w:tc>
          <w:tcPr>
            <w:tcW w:w="7000" w:type="dxa"/>
            <w:vAlign w:val="bottom"/>
            <w:vMerge w:val="restart"/>
          </w:tcPr>
          <w:p>
            <w:pPr>
              <w:ind w:left="5660"/>
              <w:spacing w:after="0"/>
              <w:rPr>
                <w:sz w:val="20"/>
                <w:szCs w:val="20"/>
                <w:color w:val="auto"/>
              </w:rPr>
            </w:pPr>
            <w:r>
              <w:rPr>
                <w:rFonts w:ascii="Arial" w:cs="Arial" w:eastAsia="Arial" w:hAnsi="Arial"/>
                <w:sz w:val="14"/>
                <w:szCs w:val="14"/>
                <w:color w:val="auto"/>
              </w:rPr>
              <w:t>4</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2"/>
        </w:trPr>
        <w:tc>
          <w:tcPr>
            <w:tcW w:w="70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70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39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4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Cash</w:t>
            </w:r>
          </w:p>
        </w:tc>
        <w:tc>
          <w:tcPr>
            <w:tcW w:w="3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7,647</w:t>
            </w:r>
          </w:p>
        </w:tc>
        <w:tc>
          <w:tcPr>
            <w:tcW w:w="78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18,990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8"/>
                <w:szCs w:val="18"/>
                <w:color w:val="auto"/>
              </w:rPr>
              <w:t>66,877</w:t>
            </w: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51,628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Inventories</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8"/>
                <w:szCs w:val="18"/>
                <w:color w:val="auto"/>
              </w:rPr>
              <w:t>44,590</w:t>
            </w: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46,150</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Other current assets</w:t>
            </w:r>
          </w:p>
        </w:tc>
        <w:tc>
          <w:tcPr>
            <w:tcW w:w="24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10,912</w:t>
            </w:r>
          </w:p>
        </w:tc>
        <w:tc>
          <w:tcPr>
            <w:tcW w:w="7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vMerge w:val="restart"/>
          </w:tcPr>
          <w:p>
            <w:pPr>
              <w:ind w:left="140"/>
              <w:spacing w:after="0"/>
              <w:rPr>
                <w:sz w:val="20"/>
                <w:szCs w:val="20"/>
                <w:color w:val="auto"/>
              </w:rPr>
            </w:pPr>
            <w:r>
              <w:rPr>
                <w:rFonts w:ascii="Arial" w:cs="Arial" w:eastAsia="Arial" w:hAnsi="Arial"/>
                <w:sz w:val="18"/>
                <w:szCs w:val="18"/>
                <w:color w:val="auto"/>
              </w:rPr>
              <w:t>Total current assets</w:t>
            </w:r>
          </w:p>
        </w:tc>
        <w:tc>
          <w:tcPr>
            <w:tcW w:w="2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6"/>
              </w:rPr>
              <w:t>130,026</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vMerge w:val="continue"/>
          </w:tcPr>
          <w:p>
            <w:pPr>
              <w:spacing w:after="0"/>
              <w:rPr>
                <w:sz w:val="20"/>
                <w:szCs w:val="20"/>
                <w:color w:val="auto"/>
              </w:rPr>
            </w:pP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127,296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116,839</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119,687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Goodwill, net</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7,937</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Intangible assets</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8,945</w:t>
            </w: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9,206</w:t>
            </w: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line="196" w:lineRule="exact"/>
              <w:rPr>
                <w:sz w:val="20"/>
                <w:szCs w:val="20"/>
                <w:color w:val="auto"/>
              </w:rPr>
            </w:pPr>
            <w:r>
              <w:rPr>
                <w:rFonts w:ascii="Arial" w:cs="Arial" w:eastAsia="Arial" w:hAnsi="Arial"/>
                <w:sz w:val="18"/>
                <w:szCs w:val="18"/>
                <w:color w:val="auto"/>
              </w:rPr>
              <w:t>Total assets</w:t>
            </w:r>
          </w:p>
        </w:tc>
        <w:tc>
          <w:tcPr>
            <w:tcW w:w="2440" w:type="dxa"/>
            <w:vAlign w:val="bottom"/>
          </w:tcPr>
          <w:p>
            <w:pPr>
              <w:spacing w:after="0"/>
              <w:rPr>
                <w:sz w:val="18"/>
                <w:szCs w:val="18"/>
                <w:color w:val="auto"/>
              </w:rPr>
            </w:pPr>
          </w:p>
        </w:tc>
        <w:tc>
          <w:tcPr>
            <w:tcW w:w="14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86"/>
              </w:rPr>
              <w:t>264,647</w:t>
            </w:r>
          </w:p>
        </w:tc>
        <w:tc>
          <w:tcPr>
            <w:tcW w:w="780" w:type="dxa"/>
            <w:vAlign w:val="bottom"/>
          </w:tcPr>
          <w:p>
            <w:pPr>
              <w:spacing w:after="0"/>
              <w:rPr>
                <w:sz w:val="18"/>
                <w:szCs w:val="18"/>
                <w:color w:val="auto"/>
              </w:rPr>
            </w:pPr>
          </w:p>
        </w:tc>
        <w:tc>
          <w:tcPr>
            <w:tcW w:w="124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265,343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30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Current liabilities:</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Accounts payable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800"/>
              <w:spacing w:after="0"/>
              <w:rPr>
                <w:sz w:val="20"/>
                <w:szCs w:val="20"/>
                <w:color w:val="auto"/>
              </w:rPr>
            </w:pPr>
            <w:r>
              <w:rPr>
                <w:rFonts w:ascii="Arial" w:cs="Arial" w:eastAsia="Arial" w:hAnsi="Arial"/>
                <w:sz w:val="18"/>
                <w:szCs w:val="18"/>
                <w:color w:val="auto"/>
              </w:rPr>
              <w:t>39,093</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8"/>
                <w:szCs w:val="18"/>
                <w:color w:val="auto"/>
              </w:rPr>
              <w:t>10,325</w:t>
            </w: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7,943</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taxes payable</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1,573</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4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6,150</w:t>
            </w:r>
          </w:p>
        </w:tc>
        <w:tc>
          <w:tcPr>
            <w:tcW w:w="7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vMerge w:val="restart"/>
          </w:tcPr>
          <w:p>
            <w:pPr>
              <w:ind w:left="140"/>
              <w:spacing w:after="0"/>
              <w:rPr>
                <w:sz w:val="20"/>
                <w:szCs w:val="20"/>
                <w:color w:val="auto"/>
              </w:rPr>
            </w:pPr>
            <w:r>
              <w:rPr>
                <w:rFonts w:ascii="Arial" w:cs="Arial" w:eastAsia="Arial" w:hAnsi="Arial"/>
                <w:sz w:val="18"/>
                <w:szCs w:val="18"/>
                <w:color w:val="auto"/>
              </w:rPr>
              <w:t>Total current liabilities</w:t>
            </w:r>
          </w:p>
        </w:tc>
        <w:tc>
          <w:tcPr>
            <w:tcW w:w="2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gridSpan w:val="3"/>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vMerge w:val="continue"/>
          </w:tcPr>
          <w:p>
            <w:pPr>
              <w:spacing w:after="0"/>
              <w:rPr>
                <w:sz w:val="20"/>
                <w:szCs w:val="20"/>
                <w:color w:val="auto"/>
              </w:rPr>
            </w:pPr>
          </w:p>
        </w:tc>
        <w:tc>
          <w:tcPr>
            <w:tcW w:w="244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65,084</w:t>
            </w:r>
          </w:p>
        </w:tc>
        <w:tc>
          <w:tcPr>
            <w:tcW w:w="800" w:type="dxa"/>
            <w:vAlign w:val="bottom"/>
            <w:gridSpan w:val="2"/>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30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2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3,699</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8"/>
                <w:szCs w:val="18"/>
                <w:color w:val="auto"/>
              </w:rPr>
              <w:t>55,715</w:t>
            </w: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63,715</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8"/>
                <w:szCs w:val="18"/>
                <w:color w:val="auto"/>
              </w:rPr>
              <w:t>10,093</w:t>
            </w:r>
          </w:p>
        </w:tc>
        <w:tc>
          <w:tcPr>
            <w:tcW w:w="12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liabilities</w:t>
            </w:r>
          </w:p>
        </w:tc>
        <w:tc>
          <w:tcPr>
            <w:tcW w:w="244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134,591</w:t>
            </w:r>
          </w:p>
        </w:tc>
        <w:tc>
          <w:tcPr>
            <w:tcW w:w="7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136,783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3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4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130,056</w:t>
            </w:r>
          </w:p>
        </w:tc>
        <w:tc>
          <w:tcPr>
            <w:tcW w:w="7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128,560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264,647</w:t>
            </w:r>
          </w:p>
        </w:tc>
        <w:tc>
          <w:tcPr>
            <w:tcW w:w="78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265,343</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440" w:type="dxa"/>
            <w:vAlign w:val="bottom"/>
            <w:vMerge w:val="restart"/>
          </w:tcPr>
          <w:p>
            <w:pPr>
              <w:jc w:val="right"/>
              <w:ind w:right="914"/>
              <w:spacing w:after="0"/>
              <w:rPr>
                <w:sz w:val="20"/>
                <w:szCs w:val="20"/>
                <w:color w:val="auto"/>
              </w:rPr>
            </w:pPr>
            <w:r>
              <w:rPr>
                <w:rFonts w:ascii="Arial" w:cs="Arial" w:eastAsia="Arial" w:hAnsi="Arial"/>
                <w:sz w:val="14"/>
                <w:szCs w:val="14"/>
                <w:color w:val="auto"/>
              </w:rPr>
              <w:t>5</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2"/>
        </w:trPr>
        <w:tc>
          <w:tcPr>
            <w:tcW w:w="43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300" w:type="dxa"/>
            <w:vAlign w:val="bottom"/>
            <w:tcBorders>
              <w:bottom w:val="single" w:sz="8" w:color="808080"/>
            </w:tcBorders>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5"/>
          </w:tcPr>
          <w:p>
            <w:pPr>
              <w:jc w:val="center"/>
              <w:ind w:right="81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0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6"/>
              </w:rPr>
              <w:t>March 31, 2013</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5900" w:type="dxa"/>
            <w:vAlign w:val="bottom"/>
          </w:tcPr>
          <w:p>
            <w:pPr>
              <w:spacing w:after="0"/>
              <w:rPr>
                <w:sz w:val="24"/>
                <w:szCs w:val="24"/>
                <w:color w:val="auto"/>
              </w:rPr>
            </w:pPr>
          </w:p>
        </w:tc>
        <w:tc>
          <w:tcPr>
            <w:tcW w:w="2780" w:type="dxa"/>
            <w:vAlign w:val="bottom"/>
            <w:gridSpan w:val="5"/>
          </w:tcPr>
          <w:p>
            <w:pPr>
              <w:ind w:left="340"/>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Diluted Earnings</w:t>
            </w:r>
          </w:p>
        </w:tc>
      </w:tr>
      <w:tr>
        <w:trPr>
          <w:trHeight w:val="241"/>
        </w:trPr>
        <w:tc>
          <w:tcPr>
            <w:tcW w:w="59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 share</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w w:val="97"/>
              </w:rPr>
              <w:t>2,871</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96"/>
              </w:rPr>
              <w:t>0.17</w:t>
            </w:r>
          </w:p>
        </w:tc>
        <w:tc>
          <w:tcPr>
            <w:tcW w:w="20" w:type="dxa"/>
            <w:vAlign w:val="bottom"/>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After-tax foreign currency loss on intercompany loans</w:t>
            </w:r>
          </w:p>
        </w:tc>
        <w:tc>
          <w:tcPr>
            <w:tcW w:w="1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0.02</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After-tax restructuring and other non-recurring items</w:t>
            </w:r>
          </w:p>
        </w:tc>
        <w:tc>
          <w:tcPr>
            <w:tcW w:w="128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0.02</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income from normal operations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3,620</w:t>
            </w:r>
          </w:p>
        </w:tc>
        <w:tc>
          <w:tcPr>
            <w:tcW w:w="8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0.21</w:t>
            </w:r>
          </w:p>
        </w:tc>
        <w:tc>
          <w:tcPr>
            <w:tcW w:w="20" w:type="dxa"/>
            <w:vAlign w:val="bottom"/>
          </w:tcPr>
          <w:p>
            <w:pPr>
              <w:spacing w:after="0"/>
              <w:rPr>
                <w:sz w:val="18"/>
                <w:szCs w:val="18"/>
                <w:color w:val="auto"/>
              </w:rPr>
            </w:pPr>
          </w:p>
        </w:tc>
      </w:tr>
      <w:tr>
        <w:trPr>
          <w:trHeight w:val="21"/>
        </w:trPr>
        <w:tc>
          <w:tcPr>
            <w:tcW w:w="5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gridSpan w:val="5"/>
          </w:tcPr>
          <w:p>
            <w:pPr>
              <w:jc w:val="center"/>
              <w:ind w:right="81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0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6"/>
              </w:rPr>
              <w:t>March 31, 2012</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5900" w:type="dxa"/>
            <w:vAlign w:val="bottom"/>
          </w:tcPr>
          <w:p>
            <w:pPr>
              <w:spacing w:after="0"/>
              <w:rPr>
                <w:sz w:val="24"/>
                <w:szCs w:val="24"/>
                <w:color w:val="auto"/>
              </w:rPr>
            </w:pPr>
          </w:p>
        </w:tc>
        <w:tc>
          <w:tcPr>
            <w:tcW w:w="2780" w:type="dxa"/>
            <w:vAlign w:val="bottom"/>
            <w:gridSpan w:val="5"/>
          </w:tcPr>
          <w:p>
            <w:pPr>
              <w:ind w:left="340"/>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Diluted Earnings</w:t>
            </w:r>
          </w:p>
        </w:tc>
      </w:tr>
      <w:tr>
        <w:trPr>
          <w:trHeight w:val="241"/>
        </w:trPr>
        <w:tc>
          <w:tcPr>
            <w:tcW w:w="59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 share</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w w:val="97"/>
              </w:rPr>
              <w:t>5,909</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96"/>
              </w:rPr>
              <w:t>0.35</w:t>
            </w:r>
          </w:p>
        </w:tc>
        <w:tc>
          <w:tcPr>
            <w:tcW w:w="20" w:type="dxa"/>
            <w:vAlign w:val="bottom"/>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After-tax foreign currency loss on intercompany loans</w:t>
            </w:r>
          </w:p>
        </w:tc>
        <w:tc>
          <w:tcPr>
            <w:tcW w:w="1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0.04</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Net from normal operations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6,643</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0.39</w:t>
            </w:r>
          </w:p>
        </w:tc>
      </w:tr>
      <w:tr>
        <w:trPr>
          <w:trHeight w:val="21"/>
        </w:trPr>
        <w:tc>
          <w:tcPr>
            <w:tcW w:w="59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sectPr>
      <w:pgSz w:w="11900" w:h="16838" w:orient="portrait"/>
      <w:cols w:equalWidth="0" w:num="1">
        <w:col w:w="11400"/>
      </w:cols>
      <w:pgMar w:left="240" w:top="5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2019-12-06T10:56:24Z</dcterms:created>
  <dcterms:modified xsi:type="dcterms:W3CDTF">2019-12-06T10:56:24Z</dcterms:modified>
</cp:coreProperties>
</file>