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September 14, 2018 (September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444500</wp:posOffset>
            </wp:positionV>
            <wp:extent cx="82359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368" w:right="439" w:bottom="1440"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On September 13, 2018, NN, Inc. (the “Company”) entered into an underwriting agreement (the “Underwriting Agreement”) with J.P. Morgan Securities LLC, as representative of the several underwriters named in Schedule I thereto (the “Underwriters”), relating to the public offering of 12,500,000 shares of common stock, par value $0.01 per share (“Common Stock”), at a purchase price per share to the public of $16.00 (the “Offering Price”). Pursuant to the Underwriting Agreement, the Company granted the Underwriters a 30-day option to purchase up to an additional 1,875,000 shares of Common Stock at the Offering Price, less any underwriting discounts and commissions.</w:t>
      </w:r>
    </w:p>
    <w:p>
      <w:pPr>
        <w:spacing w:after="0" w:line="17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Net proceeds from the offering will be approximately $188,500,000 (or approximately $216,925,000 if the Underwriters exercise their option to purchase additional shares of Common Stock in full) after deducting the underwriting discounts and commissions and other estimated offering expenses payable by the Company. The Company intends to use the net proceeds from the offering to repay all or a portion of the $200,000,000 second lien secured credit facility incurred in connection with the acquisition of Paragon Medical, Inc. and the remaining net proceeds, if any, for general corporate purposes.</w:t>
      </w:r>
    </w:p>
    <w:p>
      <w:pPr>
        <w:spacing w:after="0" w:line="188"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The Common Stock was offered and sold pursuant to a preliminary prospectus supplement, dated September 10, 2018, a final prospectus supplement, dated September 13, 2018, and a base prospectus, dated April 19, 2017, relating to the Company’s effective shelf registration statement on Form S-3 (File No. 333-216737). The Company expects the offering to close on or about September 18, 2018.</w:t>
      </w:r>
    </w:p>
    <w:p>
      <w:pPr>
        <w:spacing w:after="0" w:line="16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A copy of the Underwriting Agreement is attached as Exhibit 1.1 to this Current Report on Form 8-K and is incorporated herein by reference, and the description of the Underwriting Agreement herein is qualified in its entirety by reference to such exhibit. A copy of the opinion of Bass, Berry &amp; Sims PLC relating to the legality of the issuance and sale of the shares of Common Stock is attached as Exhibit 5.1 to this Current Report on Form 8-K.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On September 13, 2018, the Company issued a press release announcing the pricing of the offering. A copy of the press release is furnished as Exhibit 99.1 to this Current Report on Form 8-K.</w:t>
      </w:r>
    </w:p>
    <w:p>
      <w:pPr>
        <w:spacing w:after="0" w:line="17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except as otherwise expressly stated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86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as of September 13, 2018, by and between NN, Inc. and J.P. Morgan Securities LLC, as</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representative of the several underwriters named in Schedule I thereto.</w:t>
              </w:r>
            </w:hyperlink>
          </w:p>
        </w:tc>
        <w:tc>
          <w:tcPr>
            <w:tcW w:w="3500" w:type="dxa"/>
            <w:vAlign w:val="bottom"/>
          </w:tcPr>
          <w:p>
            <w:pPr>
              <w:spacing w:after="0"/>
              <w:rPr>
                <w:sz w:val="17"/>
                <w:szCs w:val="17"/>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49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Opinion of Bass, Berry &amp; Sims PLC regarding the legality of shares.</w:t>
              </w:r>
            </w:hyperlink>
          </w:p>
        </w:tc>
        <w:tc>
          <w:tcPr>
            <w:tcW w:w="3680" w:type="dxa"/>
            <w:vAlign w:val="bottom"/>
            <w:gridSpan w:val="2"/>
          </w:tcPr>
          <w:p>
            <w:pPr>
              <w:spacing w:after="0"/>
              <w:rPr>
                <w:sz w:val="24"/>
                <w:szCs w:val="24"/>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23.1</w:t>
            </w:r>
          </w:p>
        </w:tc>
        <w:tc>
          <w:tcPr>
            <w:tcW w:w="740" w:type="dxa"/>
            <w:vAlign w:val="bottom"/>
          </w:tcPr>
          <w:p>
            <w:pPr>
              <w:spacing w:after="0"/>
              <w:rPr>
                <w:sz w:val="24"/>
                <w:szCs w:val="24"/>
                <w:color w:val="auto"/>
              </w:rPr>
            </w:pPr>
          </w:p>
        </w:tc>
        <w:tc>
          <w:tcPr>
            <w:tcW w:w="45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Consent of Bass, Berry &amp; Sims PLC (included in Exhibit 5.1).</w:t>
              </w:r>
            </w:hyperlink>
          </w:p>
        </w:tc>
        <w:tc>
          <w:tcPr>
            <w:tcW w:w="4140" w:type="dxa"/>
            <w:vAlign w:val="bottom"/>
            <w:gridSpan w:val="3"/>
          </w:tcPr>
          <w:p>
            <w:pPr>
              <w:spacing w:after="0"/>
              <w:rPr>
                <w:sz w:val="24"/>
                <w:szCs w:val="24"/>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Press Release, dated September 13, 2018.</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60" w:type="dxa"/>
            <w:vAlign w:val="bottom"/>
            <w:gridSpan w:val="2"/>
          </w:tcPr>
          <w:p>
            <w:pPr>
              <w:ind w:left="190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September 14,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Matthew S. Heiter</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 Common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5"/>
          <w:szCs w:val="15"/>
          <w:color w:val="auto"/>
        </w:rPr>
        <w:t>September 13,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of the several Underwriters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NN,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to issue and sell to the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12,500,000 shares (the “</w:t>
      </w:r>
      <w:r>
        <w:rPr>
          <w:rFonts w:ascii="Arial" w:cs="Arial" w:eastAsia="Arial" w:hAnsi="Arial"/>
          <w:sz w:val="18"/>
          <w:szCs w:val="18"/>
          <w:b w:val="1"/>
          <w:bCs w:val="1"/>
          <w:color w:val="auto"/>
        </w:rPr>
        <w:t>Firm Shares</w:t>
      </w:r>
      <w:r>
        <w:rPr>
          <w:rFonts w:ascii="Arial" w:cs="Arial" w:eastAsia="Arial" w:hAnsi="Arial"/>
          <w:sz w:val="18"/>
          <w:szCs w:val="18"/>
          <w:color w:val="auto"/>
        </w:rPr>
        <w:t>”) and, at the election of the Underwriters, up to 1,875,000 additional shares (the “</w:t>
      </w:r>
      <w:r>
        <w:rPr>
          <w:rFonts w:ascii="Arial" w:cs="Arial" w:eastAsia="Arial" w:hAnsi="Arial"/>
          <w:sz w:val="18"/>
          <w:szCs w:val="18"/>
          <w:b w:val="1"/>
          <w:bCs w:val="1"/>
          <w:color w:val="auto"/>
        </w:rPr>
        <w:t>Optional Shares</w:t>
      </w:r>
      <w:r>
        <w:rPr>
          <w:rFonts w:ascii="Arial" w:cs="Arial" w:eastAsia="Arial" w:hAnsi="Arial"/>
          <w:sz w:val="18"/>
          <w:szCs w:val="18"/>
          <w:color w:val="auto"/>
        </w:rPr>
        <w:t>”) of common stock, par value $0.01 per share (“</w:t>
      </w:r>
      <w:r>
        <w:rPr>
          <w:rFonts w:ascii="Arial" w:cs="Arial" w:eastAsia="Arial" w:hAnsi="Arial"/>
          <w:sz w:val="18"/>
          <w:szCs w:val="18"/>
          <w:b w:val="1"/>
          <w:b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of the Company (the Firm Shares and the Optional Shares that the Underwriters elect to purchase pursuant to Section 2 hereof being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called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13" w:lineRule="exact"/>
        <w:rPr>
          <w:rFonts w:ascii="Arial" w:cs="Arial" w:eastAsia="Arial" w:hAnsi="Arial"/>
          <w:sz w:val="18"/>
          <w:szCs w:val="18"/>
          <w:color w:val="auto"/>
        </w:rPr>
      </w:pPr>
    </w:p>
    <w:p>
      <w:pPr>
        <w:ind w:left="440" w:right="100" w:firstLine="428"/>
        <w:spacing w:after="0" w:line="270" w:lineRule="auto"/>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S-3 (Registration No. 333-216737) (the “</w:t>
      </w:r>
      <w:r>
        <w:rPr>
          <w:rFonts w:ascii="Arial" w:cs="Arial" w:eastAsia="Arial" w:hAnsi="Arial"/>
          <w:sz w:val="17"/>
          <w:szCs w:val="17"/>
          <w:b w:val="1"/>
          <w:bCs w:val="1"/>
          <w:color w:val="auto"/>
        </w:rPr>
        <w:t>Initial Registration Statement</w:t>
      </w:r>
      <w:r>
        <w:rPr>
          <w:rFonts w:ascii="Arial" w:cs="Arial" w:eastAsia="Arial" w:hAnsi="Arial"/>
          <w:sz w:val="17"/>
          <w:szCs w:val="17"/>
          <w:color w:val="auto"/>
        </w:rPr>
        <w:t>”), including a form of prospectus (the “</w:t>
      </w:r>
      <w:r>
        <w:rPr>
          <w:rFonts w:ascii="Arial" w:cs="Arial" w:eastAsia="Arial" w:hAnsi="Arial"/>
          <w:sz w:val="17"/>
          <w:szCs w:val="17"/>
          <w:b w:val="1"/>
          <w:bCs w:val="1"/>
          <w:color w:val="auto"/>
        </w:rPr>
        <w:t>Base Prospectus</w:t>
      </w:r>
      <w:r>
        <w:rPr>
          <w:rFonts w:ascii="Arial" w:cs="Arial" w:eastAsia="Arial" w:hAnsi="Arial"/>
          <w:sz w:val="17"/>
          <w:szCs w:val="17"/>
          <w:color w:val="auto"/>
        </w:rPr>
        <w:t>”), to be used in connection with the public offering and sale of the Shares. Other than a registration statement, if any, increasing the size of the offering (a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filed pursuant to Rule 462(b) under the Securities Act of 1933, as amended, and the rules and regulations promulgated thereunder (collectively, the “</w:t>
      </w:r>
      <w:r>
        <w:rPr>
          <w:rFonts w:ascii="Arial" w:cs="Arial" w:eastAsia="Arial" w:hAnsi="Arial"/>
          <w:sz w:val="17"/>
          <w:szCs w:val="17"/>
          <w:b w:val="1"/>
          <w:bCs w:val="1"/>
          <w:color w:val="auto"/>
        </w:rPr>
        <w:t>Securities Act</w:t>
      </w:r>
      <w:r>
        <w:rPr>
          <w:rFonts w:ascii="Arial" w:cs="Arial" w:eastAsia="Arial" w:hAnsi="Arial"/>
          <w:sz w:val="17"/>
          <w:szCs w:val="17"/>
          <w:color w:val="auto"/>
        </w:rPr>
        <w:t>”), which became effective upon filing, no other document with respect to the Initial Registration Statement or document incorporated by reference therein has been filed, or transmitted for filing, with the Commission (other than prospectuses filed pursuant to Rule 424(b) of the rules and regulations of the Commission under the Securities Act, each in the form heretofore delivered to the Representative). The Initial Registration Statement, as amended, including the financial statements, exhibits and schedules thereto, in the form in which it was declared effective by the Commission under the Securities Act, including all information and documents incorporated or deemed incorporated by reference therein</w:t>
      </w:r>
    </w:p>
    <w:p>
      <w:pPr>
        <w:sectPr>
          <w:pgSz w:w="11900" w:h="16838" w:orient="portrait"/>
          <w:cols w:equalWidth="0" w:num="1">
            <w:col w:w="11020"/>
          </w:cols>
          <w:pgMar w:left="440" w:top="121" w:right="4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Securities Act or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and including any prospectus supplement relating to the Shares that is filed with the Commission and deemed by virtue of Rule 430B under the Securities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preliminary prospectus supplement dated September 10, 2018 describing the Shares and the offering thereof, together with the Base Prospectus, is herein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preliminary prospectus supplement to the Base Prospectus that describes the Shares and the offering thereof that is used prior to the filing of the Prospectus (as defined below), together with the Base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The Preliminary Prospectus, including the Base Prospectus, relating to the Shares that was included in the Registration Statement immediately prior to the Applicable Time (as defined below) is herein called the “</w:t>
      </w:r>
      <w:r>
        <w:rPr>
          <w:rFonts w:ascii="Arial" w:cs="Arial" w:eastAsia="Arial" w:hAnsi="Arial"/>
          <w:sz w:val="16"/>
          <w:szCs w:val="16"/>
          <w:b w:val="1"/>
          <w:bCs w:val="1"/>
          <w:color w:val="auto"/>
        </w:rPr>
        <w:t>Time of Sale 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Shares and the offering thereof, together with the Base Prospectus, in the form first used by the Underwriters to confirm sales of the Shares or in the form first made available to the Underwriters by the Company to meet the requests of purchasers pursuant to Rule 173 under the Securities Act. Any “issuer free writing prospectus” (as defined in Rule 433 of the Securities Act) is herein called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For purposes of this Agreement, all references to the Registration Statement, any preliminary prospectus, the Preliminary Prospectus, the Time of Sale Prospectus, the Prospectus or any amendment or supplement to any of the foregoing shall be deemed to refer to and include the copy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For purposes of this Agreement, the “</w:t>
      </w:r>
      <w:r>
        <w:rPr>
          <w:rFonts w:ascii="Arial" w:cs="Arial" w:eastAsia="Arial" w:hAnsi="Arial"/>
          <w:sz w:val="16"/>
          <w:szCs w:val="16"/>
          <w:b w:val="1"/>
          <w:bCs w:val="1"/>
          <w:color w:val="auto"/>
        </w:rPr>
        <w:t>Applicable Time</w:t>
      </w:r>
      <w:r>
        <w:rPr>
          <w:rFonts w:ascii="Arial" w:cs="Arial" w:eastAsia="Arial" w:hAnsi="Arial"/>
          <w:sz w:val="16"/>
          <w:szCs w:val="16"/>
          <w:color w:val="auto"/>
        </w:rPr>
        <w:t>” is 5:30 p.m. (Eastern time) on September 13, 2018. As used herein, the terms “Registration Statement,” “Rule 462(b) Registration Statement,” “Base Prospectus,” “preliminary prospectus,” “Preliminary Prospectus,” “Time of Sale Prospectus” and “Prospectus” shall include the documents incorporated and deemed to be incorporated by reference therein.</w:t>
      </w:r>
    </w:p>
    <w:p>
      <w:pPr>
        <w:spacing w:after="0" w:line="62"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or “part of” the Registration Statement, the Rule 462(b) Registration Statement, the Base Prospectus, any preliminary prospectus, the Preliminary Prospectus, the Time of Sale Prospectus or the Prospectus (or other references of like import) shall be deemed to mean and include all such financial statements and schedules and other information that is or is deemed to be incorporated by reference in the Registration Statement, the Rule 462(b) Registration Statement, the Base Prospectus any preliminary prospectus, the Preliminary Prospectus, the Time of Sale Prospectus or the Prospectus, as the case may be; and all references in this Agreement to amendments or supplements to the Registration Statement, the Rule 462(b) Registration Statement, the Base Prospectus, any preliminary prospectus, the Preliminary Prospectus, the Time of Sale Prospectus or the Prospectus shall be deemed to mean and include the filing of any document under the Exchange Act that is incorporated by reference in the Registration Statement, the Rule 462(b) Registration Statement, the Base Prospectus, any preliminary prospectus, the Preliminary Prospectus, the Time of Sale Prospectus or the Prospectus, as the case may be;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5" w:name="page6"/>
    <w:bookmarkEnd w:id="5"/>
    <w:p>
      <w:pPr>
        <w:ind w:right="60" w:firstLine="428"/>
        <w:spacing w:after="0" w:line="270" w:lineRule="auto"/>
        <w:tabs>
          <w:tab w:leader="none" w:pos="810"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of the Shares pursuant to Rules 164, 405 and 433 under the Securities Act. No order preventing or suspending the use of any preliminary prospectus, the Time of Sale Prospectus or any Issuer Free Writing Prospectus has been issued by the Commission. Each preliminary prospectus, the Time of Sale Prospectus and the Prospectus, at the time of filing thereof, complied, and any further amendments or supplements thereto will comply, in all material respects, with the Securities Act, and did not contain an untrue statement of a material fact or omit to state any material fact required to be stated therein necessary in order to make the statements therein, in the light of the circumstances under which they were made, not misleading. The representation and warranty set forth in the immediately preceding sentence does not apply to statements or omissions made in reliance upon and in conformity with written information relating to any Underwriter furnished to the Company in writing by the Representative expressly for inclusion therein, which information consists solely of the information set forth in Section 9(b) hereof;</w:t>
      </w:r>
    </w:p>
    <w:p>
      <w:pPr>
        <w:spacing w:after="0" w:line="73" w:lineRule="exact"/>
        <w:rPr>
          <w:rFonts w:ascii="Arial" w:cs="Arial" w:eastAsia="Arial" w:hAnsi="Arial"/>
          <w:sz w:val="17"/>
          <w:szCs w:val="17"/>
          <w:color w:val="auto"/>
        </w:rPr>
      </w:pPr>
    </w:p>
    <w:p>
      <w:pPr>
        <w:ind w:left="800" w:hanging="372"/>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Time of Sale Prospectus, as supplemented by the information listed on Schedule II(c) hereto, taken together (collectively, the</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Each Issuer Free Writing Prospectus does not conflict with the information contained in the Registration Statement, the Time of Sale Prospectus or the Prospectus, and each Issuer Free Writing Prospectus,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The representations and warranties set forth in the two immediately preceding sentences do not apply to statements or omissions made in reliance upon and in conformity with written information relating to any Underwriter furnished to the Company in writing by the Representative expressly for inclusion therein, which information consists solely of the information set forth in Section 9(b) hereof;</w:t>
      </w:r>
    </w:p>
    <w:p>
      <w:pPr>
        <w:spacing w:after="0" w:line="72" w:lineRule="exact"/>
        <w:rPr>
          <w:sz w:val="20"/>
          <w:szCs w:val="20"/>
          <w:color w:val="auto"/>
        </w:rPr>
      </w:pPr>
    </w:p>
    <w:p>
      <w:pPr>
        <w:ind w:right="120" w:firstLine="428"/>
        <w:spacing w:after="0" w:line="276" w:lineRule="auto"/>
        <w:tabs>
          <w:tab w:leader="none" w:pos="813"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of the Registration Statement and any Rule 462(b) Registration Statement has been declared effective by the Commission or became effective upon filing, as applicable,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or pursuant to Section 8A of the Securities Act have been initiated or are pending or, to the Company’s knowledge, are contemplated by the Commission;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6" w:name="page7"/>
    <w:bookmarkEnd w:id="6"/>
    <w:p>
      <w:pPr>
        <w:ind w:firstLine="428"/>
        <w:spacing w:after="0" w:line="288"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complies, and the Prospectus and any further amendments or supplements thereto will comply, in each case in all material respects, with the Securities Act. The Registration Statement, and any post-effective amendment thereto, does not and will not contain, as of the applicable effective date, any untrue statement of a material fact or omit to state a material fact required to be stated therein or necessary to make the statements therein not misleading. The Prospectus, and any supplements thereto, as of its date or the date of such supplement and as of each Time of Delivery, does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or omissions made in reliance upon and in conformity with written information furnished to the Company by an Underwriter expressly for inclusion therein, which information consists solely of the information set forth in Section 9(b) hereof. There are no contracts or other documents required to be described in the Time of Sale Prospectus or the Prospectus or filed as exhibits to the Registration Statement that have not been described or filed as required;</w:t>
      </w:r>
    </w:p>
    <w:p>
      <w:pPr>
        <w:spacing w:after="0" w:line="61" w:lineRule="exact"/>
        <w:rPr>
          <w:rFonts w:ascii="Arial" w:cs="Arial" w:eastAsia="Arial" w:hAnsi="Arial"/>
          <w:sz w:val="16"/>
          <w:szCs w:val="16"/>
          <w:color w:val="auto"/>
        </w:rPr>
      </w:pPr>
    </w:p>
    <w:p>
      <w:pPr>
        <w:ind w:right="60" w:firstLine="428"/>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of Sale Prospectus was, and the Prospectus delivered to the Underwriters for use in connection with this offering will be, identical to the versions of the Time of Sale Prospectus and Prospectus created to be transmitted to the Commission for filing via EDGAR, except to the extent permitted by Regulation S-T;</w:t>
      </w:r>
    </w:p>
    <w:p>
      <w:pPr>
        <w:spacing w:after="0" w:line="73" w:lineRule="exact"/>
        <w:rPr>
          <w:rFonts w:ascii="Arial" w:cs="Arial" w:eastAsia="Arial" w:hAnsi="Arial"/>
          <w:sz w:val="18"/>
          <w:szCs w:val="18"/>
          <w:color w:val="auto"/>
        </w:rPr>
      </w:pPr>
    </w:p>
    <w:p>
      <w:pPr>
        <w:jc w:val="both"/>
        <w:ind w:right="120" w:firstLine="428"/>
        <w:spacing w:after="0" w:line="259" w:lineRule="auto"/>
        <w:tabs>
          <w:tab w:leader="none" w:pos="803"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time the Registration Statement was originally declared effective and at the time the Company’s Annual Report on Form 10-K for the year ended December 31, 2017 was filed with the Commission, the Company met the applicable requirements for use of Form S-3 under the Securities Act. The Company meets the requirements for use of Form S-3 under the Securities Act specified in FINRA Rule 5110(b)(7)(C)(i)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28"/>
        <w:spacing w:after="0" w:line="269" w:lineRule="auto"/>
        <w:tabs>
          <w:tab w:leader="none" w:pos="81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by reference or deemed to be incorporated by reference in the Pricing Disclosure Package and the Prospectus, when they became effective or were filed with the Commission, as the case may be, conformed in all material respects to the requirements of the Securities Act or the Exchange Act, as applicable, and none of such documents contained an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Pricing Disclosure Package or the Prospectus or any further amendment or supplement thereto, when such documents become effective or are filed with the Commission, as the case may be, will conform in all material respects to the requirements of the Securities Act or the Exchange Act, as applicable, and will not contain an untrue statement of a material fact or omit to state a material fact required to be stated therein or necessary in order to make the statements therein, in the light of the circumstances under which they were made, not misleading;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7" w:name="page8"/>
    <w:bookmarkEnd w:id="7"/>
    <w:p>
      <w:pPr>
        <w:ind w:firstLine="428"/>
        <w:spacing w:after="0" w:line="270"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and is validly existing and in good standing as a corporation under the General Corporation Law of the State of Delaware, with the requisite power and authority to own and lease its properties and conduct its business as described in the Pricing Disclosure Package and the Prospectus and to enter into and perform its obligations under this Agreement. The Company is duly qualified to do business as a foreign corporation in good standing in all jurisdictions in which its ownership or lease of property or the conduct of its business requires such qualification, except where the failure to be so qualified would not, individually or in the aggregate, result in a Material Adverse Effect (as defined below).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any material adverse change, or any development involving a prospective material adverse change, in or affecting (i) the financial condition, business, properties, business prospects or results of operations of the Company and the Subsidiaries (as defined below) taken as a whole, or (ii) the ability of the Company to perform its obligations under this Agreement, including the issuance and sale of the Shares, or to consummate the transactions contemplated in the Time of Sale Prospectus and the Prospectus;</w:t>
      </w:r>
    </w:p>
    <w:p>
      <w:pPr>
        <w:spacing w:after="0" w:line="69" w:lineRule="exact"/>
        <w:rPr>
          <w:rFonts w:ascii="Arial" w:cs="Arial" w:eastAsia="Arial" w:hAnsi="Arial"/>
          <w:sz w:val="17"/>
          <w:szCs w:val="17"/>
          <w:color w:val="auto"/>
        </w:rPr>
      </w:pPr>
    </w:p>
    <w:p>
      <w:pPr>
        <w:ind w:right="340" w:firstLine="428"/>
        <w:spacing w:after="0" w:line="279"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does not own or control, directly or indirectly, any corporation, association or other entity other than the subsidiaries listed in Schedule III hereto (each, a “</w:t>
      </w:r>
      <w:r>
        <w:rPr>
          <w:rFonts w:ascii="Arial" w:cs="Arial" w:eastAsia="Arial" w:hAnsi="Arial"/>
          <w:sz w:val="17"/>
          <w:szCs w:val="17"/>
          <w:b w:val="1"/>
          <w:b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All of the outstanding capital stock or other equity interests of each Subsidiary have been duly authorized and validly issued, are fully paid and non-assessable and are owned by the Company, directly or indirectly through subsidiaries, free and clear of all liens, encumbrances, equities or claims;</w:t>
      </w:r>
    </w:p>
    <w:p>
      <w:pPr>
        <w:spacing w:after="0" w:line="63" w:lineRule="exact"/>
        <w:rPr>
          <w:rFonts w:ascii="Arial" w:cs="Arial" w:eastAsia="Arial" w:hAnsi="Arial"/>
          <w:sz w:val="17"/>
          <w:szCs w:val="17"/>
          <w:color w:val="auto"/>
        </w:rPr>
      </w:pPr>
    </w:p>
    <w:p>
      <w:pPr>
        <w:ind w:firstLine="428"/>
        <w:spacing w:after="0" w:line="271" w:lineRule="auto"/>
        <w:tabs>
          <w:tab w:leader="none" w:pos="813"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Subsidiary has been duly incorporated or organized, as applicable, and is validly existing and in good standing as a corporation or limited liability company, as applicable, under the laws of the jurisdiction of its incorporation or organization, as applicable, with the requisite power and authority (corporate or limited liability company, as applicable) to own and lease its properties and conduct its business as described in the Pricing Disclosure Package and the Prospectus engaged, except where the failure to be so qualified, in good standing or have such power or authority would not, individually or in the aggregate, have a Material Adverse Effect on the Company. Each Subsidiary is duly qualified to do business as a foreign corporation or limited liability company, as applicable, in good standing in all jurisdictions in which its ownership or lease of property or the conduct of its business requires such qualification, except where the failure to be so qualified would not, individually or in the aggregate, result in a Material Adverse Effect;</w:t>
      </w:r>
    </w:p>
    <w:p>
      <w:pPr>
        <w:spacing w:after="0" w:line="70" w:lineRule="exact"/>
        <w:rPr>
          <w:rFonts w:ascii="Arial" w:cs="Arial" w:eastAsia="Arial" w:hAnsi="Arial"/>
          <w:sz w:val="17"/>
          <w:szCs w:val="17"/>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100" w:firstLine="428"/>
        <w:spacing w:after="0" w:line="25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duly authorized, issued and outstanding capital stock of the Company is as set forth in the Time of Sale Prospectus under the column “Actual” and under the heading “Capitalization”; and all of the issued and outstanding shares of capital stock of the Company are duly authorized and validly issued, fully paid and non-assessable, are free of any preemptive rights, rights of first refusal or similar rights, were issued and sold in compliance with applicable federal and state securities laws and conform in all material respects to the description thereof in the Pricing Disclosure Package and the</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except as described in the Pricing Disclosure Package and the Prospectus, there are no outstanding options, warrants or other rights calling for the issuance of, and there are no commitments, plans or arrangements to issue any shares of capital stock of the Company or any security convertible or exchangeable or exercisable for capital stock of the Company;</w:t>
      </w:r>
    </w:p>
    <w:p>
      <w:pPr>
        <w:spacing w:after="0" w:line="73" w:lineRule="exact"/>
        <w:rPr>
          <w:sz w:val="20"/>
          <w:szCs w:val="20"/>
          <w:color w:val="auto"/>
        </w:rPr>
      </w:pPr>
    </w:p>
    <w:p>
      <w:pPr>
        <w:ind w:right="100" w:firstLine="428"/>
        <w:spacing w:after="0" w:line="302" w:lineRule="auto"/>
        <w:tabs>
          <w:tab w:leader="none" w:pos="81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Common Stock conforms in substance in all material respects to all statements in relation thereto contained in the Registration Statement, the Pricing Disclosure Package and the Prospectus; the Shares have been duly authorized, when issued, delivered and paid for in accordance with the terms of this Agreement, will have been validly issued, fully paid and non-assessable and conform to the description thereof contained in the Pricing Disclosure Package and the Prospectus; and the issuance of the Shares is not subject to any preemptive or similar rights;</w:t>
      </w:r>
    </w:p>
    <w:p>
      <w:pPr>
        <w:spacing w:after="0" w:line="46" w:lineRule="exact"/>
        <w:rPr>
          <w:rFonts w:ascii="Arial" w:cs="Arial" w:eastAsia="Arial" w:hAnsi="Arial"/>
          <w:sz w:val="16"/>
          <w:szCs w:val="16"/>
          <w:color w:val="auto"/>
        </w:rPr>
      </w:pPr>
    </w:p>
    <w:p>
      <w:pPr>
        <w:ind w:right="60" w:firstLine="428"/>
        <w:spacing w:after="0" w:line="297" w:lineRule="auto"/>
        <w:tabs>
          <w:tab w:leader="none" w:pos="813" w:val="left"/>
        </w:tabs>
        <w:numPr>
          <w:ilvl w:val="1"/>
          <w:numId w:val="7"/>
        </w:numPr>
        <w:rPr>
          <w:rFonts w:ascii="Arial" w:cs="Arial" w:eastAsia="Arial" w:hAnsi="Arial"/>
          <w:sz w:val="16"/>
          <w:szCs w:val="16"/>
          <w:color w:val="auto"/>
        </w:rPr>
      </w:pPr>
      <w:r>
        <w:rPr>
          <w:rFonts w:ascii="Arial" w:cs="Arial" w:eastAsia="Arial" w:hAnsi="Arial"/>
          <w:sz w:val="16"/>
          <w:szCs w:val="16"/>
          <w:color w:val="auto"/>
        </w:rPr>
        <w:t>Other than as described in the Pricing Disclosure Package and the Prospectus, there are no contracts, agreements or understandings between the Company and any person granting such person the right to require the Company to file a registration statement under the Securities Act with respect to any shares of Common Stock or any other securities of the Company owned or to be owned by such person or to require the Company to include such Common Stock or other securities in the Registration Statement. To the extent any person has such registration or offer similar rights, such rights have been waived with respect to the registration of securities in connection with the Registration Statement;</w:t>
      </w:r>
    </w:p>
    <w:p>
      <w:pPr>
        <w:spacing w:after="0" w:line="50" w:lineRule="exact"/>
        <w:rPr>
          <w:rFonts w:ascii="Arial" w:cs="Arial" w:eastAsia="Arial" w:hAnsi="Arial"/>
          <w:sz w:val="16"/>
          <w:szCs w:val="16"/>
          <w:color w:val="auto"/>
        </w:rPr>
      </w:pPr>
    </w:p>
    <w:p>
      <w:pPr>
        <w:ind w:firstLine="428"/>
        <w:spacing w:after="0" w:line="288" w:lineRule="auto"/>
        <w:tabs>
          <w:tab w:leader="none" w:pos="813" w:val="left"/>
        </w:tabs>
        <w:numPr>
          <w:ilvl w:val="1"/>
          <w:numId w:val="7"/>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or registration with, any governmental agency or body or any court is required for the consummation of the transactions contemplated by this Agreement, except (i) such as have been made or obtained under the Securities Act, (ii) the consents, approvals, authorizations, registrations or qualifications as may be required by state securities or “blue sky” laws,</w:t>
      </w:r>
    </w:p>
    <w:p>
      <w:pPr>
        <w:ind w:right="120" w:firstLine="4"/>
        <w:spacing w:after="0" w:line="255"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have been obtained or made or as may be required by FINRA and (iv) that, if not obtained, would not, individually or in the aggregate, affect the validity of the Shares or the ability of the Company to consummate the transactions contemplated by this Agreement, or reasonably be likely to result in a Material Adverse Effect;</w:t>
      </w:r>
    </w:p>
    <w:p>
      <w:pPr>
        <w:spacing w:after="0" w:line="82" w:lineRule="exact"/>
        <w:rPr>
          <w:rFonts w:ascii="Arial" w:cs="Arial" w:eastAsia="Arial" w:hAnsi="Arial"/>
          <w:sz w:val="18"/>
          <w:szCs w:val="18"/>
          <w:color w:val="auto"/>
        </w:rPr>
      </w:pPr>
    </w:p>
    <w:p>
      <w:pPr>
        <w:jc w:val="both"/>
        <w:ind w:right="60" w:firstLine="428"/>
        <w:spacing w:after="0" w:line="288" w:lineRule="auto"/>
        <w:tabs>
          <w:tab w:leader="none" w:pos="81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compliance by the Company with all of the provisions of this Agreement and the consummation of the transactions contemplated herein will not conflict with, or result in a breach or violation of any of the terms and provisions of, or constitute a default under (i) the certificate of incorporation, by-laws, limited liability company agreement or similar organizational documents of the Company or any of the Subsidiaries,</w:t>
      </w:r>
    </w:p>
    <w:p>
      <w:pPr>
        <w:ind w:right="60" w:firstLine="4"/>
        <w:spacing w:after="0" w:line="252"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indenture, mortgage, deed of trust, lease, loan agreement or other agreement or instrument to which the Company or any of the Subsidiaries is a party or by which the Company or any of the Subsidiaries is bound or to which any of the property or assets of the Company or any of the Subsidiaries is subject, or (iii) any statute, law, order, rule or regulation of any governmental agency or body or any court applicable to the Company or any of the Subsidiaries or any of their respective property, assets or operations, except in the case of clauses (ii) and (iii) above, for any such conflict, breach, violation or default that would not, individually or in the aggregate, reasonably be expected to have a Material Adverse Effect;</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9" w:name="page10"/>
    <w:bookmarkEnd w:id="9"/>
    <w:p>
      <w:pPr>
        <w:ind w:firstLine="428"/>
        <w:spacing w:after="0" w:line="288" w:lineRule="auto"/>
        <w:tabs>
          <w:tab w:leader="none" w:pos="783" w:val="left"/>
        </w:tabs>
        <w:numPr>
          <w:ilvl w:val="1"/>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is (i) in violation of its certificate of incorporation or by-laws, limited liability company agreement or similar organizational documents, as applicable, (ii) in violation of any statute or any judgment, order, rule or regulation of any court or governmental agency or body having jurisdiction over the Company or any of the Subsidiaries or any of their respective properties, or</w:t>
      </w:r>
    </w:p>
    <w:p>
      <w:pPr>
        <w:ind w:right="100" w:firstLine="4"/>
        <w:spacing w:after="0" w:line="281"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default (or, with the giving of notice or lapse of time or both, would be in default) under any indenture, mortgage, deed of trust, lease, loan agreement or other agreement or instrument to which the Company or any of the Subsidiaries is a party or by which the Company or any of the Subsidiaries is bound or to which any of the property or assets of the Company or any of the Subsidiaries is subject, except, in the case of clauses</w:t>
      </w:r>
    </w:p>
    <w:p>
      <w:pPr>
        <w:spacing w:after="0" w:line="2" w:lineRule="exact"/>
        <w:rPr>
          <w:rFonts w:ascii="Arial" w:cs="Arial" w:eastAsia="Arial" w:hAnsi="Arial"/>
          <w:sz w:val="16"/>
          <w:szCs w:val="16"/>
          <w:color w:val="auto"/>
        </w:rPr>
      </w:pPr>
    </w:p>
    <w:p>
      <w:pPr>
        <w:ind w:right="300" w:firstLine="4"/>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(iii) above, for any such violation or default that would not, individually or in the aggregate, reasonably be expected to have a Material Adverse Effect;</w:t>
      </w:r>
    </w:p>
    <w:p>
      <w:pPr>
        <w:spacing w:after="0" w:line="75" w:lineRule="exact"/>
        <w:rPr>
          <w:rFonts w:ascii="Arial" w:cs="Arial" w:eastAsia="Arial" w:hAnsi="Arial"/>
          <w:sz w:val="18"/>
          <w:szCs w:val="18"/>
          <w:color w:val="auto"/>
        </w:rPr>
      </w:pPr>
    </w:p>
    <w:p>
      <w:pPr>
        <w:ind w:firstLine="428"/>
        <w:spacing w:after="0" w:line="287" w:lineRule="auto"/>
        <w:tabs>
          <w:tab w:leader="none" w:pos="7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and the Subsidiaries have good and marketable title in fee simple to all real property owned by them, and good and marketable title to all other property owned by them, in each case free from mortgages, pledges, liens, security interests, claims, restrictions, encumbrances and defects of any kind, except as are described in the Pricing Disclosure Package and the Prospectus and except those that (i) do not materially interfere with the use made and proposed to be made of such property by the Company and the Subsidiaries, or (ii) could not reasonably be expected, individually or in the aggregate, to have a Material Adverse Effect. All of the leases and subleases material to the business of the Company and the Subsidiaries, taken as a whole, and under which the Company or any of the Subsidiaries holds the properties described in the Pricing Disclosure Package and the Prospectus, are in full force and effect, and neither the Company nor any Subsidiary has received notice that a material claim has been asserted by anyone adverse to the rights of the Company or any of the Subsidiaries under any such leases or subleases, or affecting or questioning the rights of the Company or such Subsidiary to the continued possession of the leased or subleased property under any such lease or sublease except those that (i) do not materially interfere with the use made and proposed to be made of such property by the Company and the Subsidiaries, or (ii) could not reasonably be expected, individually or in the aggregate, to have a Material Adverse Effect;</w:t>
      </w:r>
    </w:p>
    <w:p>
      <w:pPr>
        <w:spacing w:after="0" w:line="64" w:lineRule="exact"/>
        <w:rPr>
          <w:rFonts w:ascii="Arial" w:cs="Arial" w:eastAsia="Arial" w:hAnsi="Arial"/>
          <w:sz w:val="16"/>
          <w:szCs w:val="16"/>
          <w:color w:val="auto"/>
        </w:rPr>
      </w:pPr>
    </w:p>
    <w:p>
      <w:pPr>
        <w:ind w:left="780" w:hanging="352"/>
        <w:spacing w:after="0"/>
        <w:tabs>
          <w:tab w:leader="none" w:pos="7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and the Subsidiaries possess such certificates, permits, licenses, approvals, consents and other authorizations</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issued by appropriate federal, state or local governmental or regulatory agencies or bodies necessary to conduct the businesses now operated by them, except where the failure to possess the same would not, individually or in the aggregate, have a Material Adverse Effect; and the Company and the Subsidiaries are in compliance with the terms and conditions of all such Governmental Licenses; all of the Governmental Licenses of the Company and the Subsidiaries are valid in full force and effect except where such failure to be in compliance or to be valid and in full force would not, individually or in the aggregate, have a Material Adverse Effect; and neither the Company nor any of the Subsidiaries has received any notice of proceedings relating to the revocation or modification of any such Governmental Licenses that, if determined adversely to the Company or any of the Subsidiaries would, individually or in the aggregate reasonably be expected to have a Material Adverse Effect;</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0" w:name="page11"/>
    <w:bookmarkEnd w:id="10"/>
    <w:p>
      <w:pPr>
        <w:ind w:firstLine="428"/>
        <w:spacing w:after="0" w:line="272" w:lineRule="auto"/>
        <w:tabs>
          <w:tab w:leader="none" w:pos="813"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Pricing Disclosure Package and the Prospectus, there are no legal or governmental actions, suits, arbitrations or other proceedings pending as to which the Company or any of the Subsidiaries is a party or of which any property of the Company or any of the Subsidiaries is the subject that, if determined adversely to the Company or any of the Subsidiaries would reasonably be expected, individually or in the aggregate, to have a Material Adverse Effect or would reasonably be expected to materially and adversely affect the consummation of the transactions contemplated by this Agreement; and no such actions, suits or proceedings are, to the Company’s knowledge, threatened or contemplated. No labor dispute with the employees of the Company or any of the Subsidiaries exists or, to the knowledge of the Company, is threatened or imminent, except as would not have a Material Adverse Effect;</w:t>
      </w:r>
    </w:p>
    <w:p>
      <w:pPr>
        <w:spacing w:after="0" w:line="69" w:lineRule="exact"/>
        <w:rPr>
          <w:rFonts w:ascii="Arial" w:cs="Arial" w:eastAsia="Arial" w:hAnsi="Arial"/>
          <w:sz w:val="17"/>
          <w:szCs w:val="17"/>
          <w:color w:val="auto"/>
        </w:rPr>
      </w:pPr>
    </w:p>
    <w:p>
      <w:pPr>
        <w:ind w:right="20" w:firstLine="428"/>
        <w:spacing w:after="0" w:line="285" w:lineRule="auto"/>
        <w:tabs>
          <w:tab w:leader="none" w:pos="8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and each “employee benefit plan” (as defined in Section 3(3) of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or any of its subsidiaries or any of their respective ERISA Affiliates (as defined below) are in compliance in all material respects with their terms and with ERISA and/or other applicable law.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 subsidiary of the Company, any member of any group of organizations described in Sections 414(b), (c), (m) or (o) of the Internal Revenue Code of 1986, as amended (the “</w:t>
      </w:r>
      <w:r>
        <w:rPr>
          <w:rFonts w:ascii="Arial" w:cs="Arial" w:eastAsia="Arial" w:hAnsi="Arial"/>
          <w:sz w:val="16"/>
          <w:szCs w:val="16"/>
          <w:b w:val="1"/>
          <w:bCs w:val="1"/>
          <w:color w:val="auto"/>
        </w:rPr>
        <w:t>Internal Revenue Code</w:t>
      </w:r>
      <w:r>
        <w:rPr>
          <w:rFonts w:ascii="Arial" w:cs="Arial" w:eastAsia="Arial" w:hAnsi="Arial"/>
          <w:sz w:val="16"/>
          <w:szCs w:val="16"/>
          <w:color w:val="auto"/>
        </w:rPr>
        <w:t>”), of which the Company or such Subsidiary is a member. No “reportable event” (as defined under Section 403(c) of ERISA) has occurred or is reasonably expected to occur with respect to any “employee benefit plan” established or maintained by the Company or any of its subsidiaries or, except as would not reasonably be expected to result in material liability to the Company or any of its subsidiaries, any of their respective ERISA Affiliates. No “employee benefit plan” established or maintained by the Company, any of its subsidiaries or any of their respective ERISA Affiliates, if such “employee benefit plan” were terminated, would have any material “amount of unfunded benefit liabilities” (as defined under Title IV of ERISA). Neither the Company nor any of its subsidiaries, nor, except as would not reasonably be expected to result in material liability to the Company or any of its subsidiaries, any of the ERISA Affiliates of the Company or its subsidiaries has incurred or reasonably expects to incur any liability under (i) Title IV of ERISA, (ii) Sections 412, 4971 or 4975 of the Internal Revenue Code, (iii) Section 4980B of the Internal Revenue Code with respect to the excise tax imposed thereunder or (iv) any similar non-U.S. law. Each “employee benefit plan” established or maintained by the Company or any of its subsidiaries or any of their respective ERISA Affiliates that is intended to be qualified under Section 401(a) of the Internal Revenue Code has received a favorable determination letter from the Internal Revenue Service and nothing has occurred, whether by action or failure to act, which is reasonably likely to cause disqualification of any such employee benefit plan under Section 401(a) of the Internal Revenue Code;</w:t>
      </w:r>
    </w:p>
    <w:p>
      <w:pPr>
        <w:spacing w:after="0" w:line="64" w:lineRule="exact"/>
        <w:rPr>
          <w:rFonts w:ascii="Arial" w:cs="Arial" w:eastAsia="Arial" w:hAnsi="Arial"/>
          <w:sz w:val="16"/>
          <w:szCs w:val="16"/>
          <w:color w:val="auto"/>
        </w:rPr>
      </w:pPr>
    </w:p>
    <w:p>
      <w:pPr>
        <w:jc w:val="both"/>
        <w:ind w:right="100" w:firstLine="428"/>
        <w:spacing w:after="0" w:line="264" w:lineRule="auto"/>
        <w:tabs>
          <w:tab w:leader="none" w:pos="8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the Subsidiaries own, possess or can acquire on commercially reasonable terms, adequate trademarks, trade names and other rights to inventions, know-how, patents, copyrights, confidential information and other intellectual property (collectively, “</w:t>
      </w:r>
      <w:r>
        <w:rPr>
          <w:rFonts w:ascii="Arial" w:cs="Arial" w:eastAsia="Arial" w:hAnsi="Arial"/>
          <w:sz w:val="18"/>
          <w:szCs w:val="18"/>
          <w:b w:val="1"/>
          <w:bCs w:val="1"/>
          <w:color w:val="auto"/>
        </w:rPr>
        <w:t>intellectual</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rights</w:t>
      </w:r>
      <w:r>
        <w:rPr>
          <w:rFonts w:ascii="Arial" w:cs="Arial" w:eastAsia="Arial" w:hAnsi="Arial"/>
          <w:sz w:val="18"/>
          <w:szCs w:val="18"/>
          <w:color w:val="auto"/>
        </w:rPr>
        <w:t>”) necessary to conduct the business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1" w:name="page12"/>
    <w:bookmarkEnd w:id="1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operated by them, or presently employed by them, and have not received any notice of infringement of or conflict with asserted rights of others with respect to any intellectual property rights that, if determined adversely to the Company or any of the Subsidiaries could reasonably be expected to, individually or in the aggregate, have a Material Adverse Effect;</w:t>
      </w:r>
    </w:p>
    <w:p>
      <w:pPr>
        <w:spacing w:after="0" w:line="73" w:lineRule="exact"/>
        <w:rPr>
          <w:sz w:val="20"/>
          <w:szCs w:val="20"/>
          <w:color w:val="auto"/>
        </w:rPr>
      </w:pPr>
    </w:p>
    <w:p>
      <w:pPr>
        <w:ind w:firstLine="428"/>
        <w:spacing w:after="0" w:line="285" w:lineRule="auto"/>
        <w:tabs>
          <w:tab w:leader="none" w:pos="813"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would not reasonably be expected to, individually or in the aggregate, have a Material Adverse Effect and except as disclosed in the Pricing Disclosure Package and the Prospectus, (i) neither the Company nor any of the Subsidiaries is, or has been, in violation of any federal, state, local or foreign law, statute, rule, regulation, ordinance, code, policy or rule of common law or any judicial or administrative interpretation thereof, including any judicial or administrative order, consent, decree or judgment, of any governmental agency or body or any court, relating to the pollution or protection of human health and safety, the environment (including, without limitation, ambient air, surface water, groundwater, land surface, or subsurface strata) or wildlife, including, without limitation, as such relates to the release or threatened release of chemicals, pollutants, contaminants, wastes, toxic substances, hazardous substances, petroleum or petroleum products, asbestos-containing materials, polychlorinated biphenyls or toxic mold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the Subsidiaries possess all permits, authorizations and approvals required under any applicable Environmental Laws and are, and at all times have been,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the Subsidiaries, (iv) neither the Company nor any of the Subsidiaries has received written notice of any actual or potential liability for the investigation or remediation of any Hazardous Materials, (v) neither the Company nor any of the Subsidiaries is subject to any binding or written order, decree or agreement requiring any of them to perform any response or corrective action relating to any Hazardous Materials or otherwise with respect to Environmental Laws and (vi) there are no events or circumstances that might reasonably be expected to form the basis of an order or obligation for clean-up, remediation, corrective action or other response action, or an action, suit, demand or proceeding by any private party or governmental body or agency, against or affecting the Company or any of the Subsidiaries relating to any Hazardous Materials or the violation of, or liability under, any Environmental Laws;</w:t>
      </w:r>
    </w:p>
    <w:p>
      <w:pPr>
        <w:spacing w:after="0" w:line="62" w:lineRule="exact"/>
        <w:rPr>
          <w:rFonts w:ascii="Arial" w:cs="Arial" w:eastAsia="Arial" w:hAnsi="Arial"/>
          <w:sz w:val="16"/>
          <w:szCs w:val="16"/>
          <w:color w:val="auto"/>
        </w:rPr>
      </w:pPr>
    </w:p>
    <w:p>
      <w:pPr>
        <w:ind w:firstLine="428"/>
        <w:spacing w:after="0" w:line="254" w:lineRule="auto"/>
        <w:tabs>
          <w:tab w:leader="none" w:pos="8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the Subsidiaries have (i) filed on a timely basis all federal, state, local and foreign income and franchise tax returns required to be filed or have properly requested extensions thereof; and (ii) paid all taxes of the Company and the Subsidiaries due and owing (including any related assessments, fines or penalties), except for taxes being contested in good faith by the appropriate proceedings diligently conducted and for which reserves in accordance with generally accepted accounting principles have been provided and except for such failures to pay or file as would not individually or in the aggregate have a Material Adverse Effect. No tax deficiency has been asserted against the Company or any of the Subsidiaries which has had, nor does the Company know of any tax deficiency that is likely to be asserted against the Company, any of the Subsidiaries which, if determined adversely to the Company or any of the Subsidiaries would reasonably be expected to have, a Material Adverse Effect;</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12" w:name="page13"/>
    <w:bookmarkEnd w:id="12"/>
    <w:p>
      <w:pPr>
        <w:ind w:firstLine="428"/>
        <w:spacing w:after="0" w:line="255"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of the Subsidiaries are insured by recognized and reputable institutions with policies in such amounts and with such deductibles and covering such risks as are generally deemed adequate and customary for their businesses, including, but not limited to, policies covering professional liability, as well as for claims involving bodily injury and property damage, except where such failure would not individually or in the aggregate be reasonably expected to have a Material Adverse Effect. The Company has no reason to believe that it or any of the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81" w:lineRule="exact"/>
        <w:rPr>
          <w:sz w:val="20"/>
          <w:szCs w:val="20"/>
          <w:color w:val="auto"/>
        </w:rPr>
      </w:pPr>
    </w:p>
    <w:p>
      <w:pPr>
        <w:jc w:val="both"/>
        <w:ind w:right="60" w:firstLine="428"/>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each of the Subsidiaries are in compliance in all respects with all applicable provisions of the Occupational Safety and Health Act of 1970, as amended, including all applicable regulations thereunder, except for such noncompliance as would not, individually or in the aggregate, have a Material Adverse Effect;</w:t>
      </w:r>
    </w:p>
    <w:p>
      <w:pPr>
        <w:spacing w:after="0" w:line="73" w:lineRule="exact"/>
        <w:rPr>
          <w:rFonts w:ascii="Arial" w:cs="Arial" w:eastAsia="Arial" w:hAnsi="Arial"/>
          <w:sz w:val="18"/>
          <w:szCs w:val="18"/>
          <w:color w:val="auto"/>
        </w:rPr>
      </w:pPr>
    </w:p>
    <w:p>
      <w:pPr>
        <w:jc w:val="both"/>
        <w:ind w:right="140" w:firstLine="428"/>
        <w:spacing w:after="0" w:line="286" w:lineRule="auto"/>
        <w:tabs>
          <w:tab w:leader="none" w:pos="9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described in the Pricing Disclosure Package and the Prospectus, none of the Subsidiaries is currently restricted, directly or indirectly, from (i) paying any dividends or distributions to the Company, (ii) repaying to the Company any loans or advances to such Subsidiary from the Company or (iii) transferring any property or assets to the Company or any other Subsidiary;</w:t>
      </w:r>
    </w:p>
    <w:p>
      <w:pPr>
        <w:spacing w:after="0" w:line="57" w:lineRule="exact"/>
        <w:rPr>
          <w:rFonts w:ascii="Arial" w:cs="Arial" w:eastAsia="Arial" w:hAnsi="Arial"/>
          <w:sz w:val="17"/>
          <w:szCs w:val="17"/>
          <w:color w:val="auto"/>
        </w:rPr>
      </w:pPr>
    </w:p>
    <w:p>
      <w:pPr>
        <w:ind w:right="60" w:firstLine="428"/>
        <w:spacing w:after="0" w:line="286"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in the Registration Statement, the Pricing Disclosure Package and the Prospectus, together with the related schedules and notes, fairly present in all material respects the financial condition of the Company and the Subsidiaries as of the respective dates indicated and the consolidated statements of operations, cash flows and changes in stockholders’ equity for the respective periods specified, in each case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as otherwise indicated in the notes thereto) and in accordance with Regulation S-X promulgated by the Commission. The consolidated financial statements of Precision Engineered Products Holdings, Inc. (“</w:t>
      </w:r>
      <w:r>
        <w:rPr>
          <w:rFonts w:ascii="Arial" w:cs="Arial" w:eastAsia="Arial" w:hAnsi="Arial"/>
          <w:sz w:val="16"/>
          <w:szCs w:val="16"/>
          <w:b w:val="1"/>
          <w:bCs w:val="1"/>
          <w:color w:val="auto"/>
        </w:rPr>
        <w:t>PEP</w:t>
      </w:r>
      <w:r>
        <w:rPr>
          <w:rFonts w:ascii="Arial" w:cs="Arial" w:eastAsia="Arial" w:hAnsi="Arial"/>
          <w:sz w:val="16"/>
          <w:szCs w:val="16"/>
          <w:color w:val="auto"/>
        </w:rPr>
        <w:t>”), a wholly-owned subsidiary of the Company, included in the Registration Statement, Pricing Disclosure Package and the Prospectus, together with the related schedules and notes, fairly present in all material respects, the financial condition of PEP and its subsidiaries as of the respective dates indicated and the consolidated statements of operations, cash flows and changes in stockholders’ equity for the respective periods specified, in each case in conformity with GAAP applied on a consistent basis throughout the period involved (except as otherwise indicated in the notes thereto) and in accordance with Regulation S-X promulgated by the Commission. The consolidated financial statements of Wuxi Weifu Autocam Precision Machinery Company, Ltd. (the “</w:t>
      </w:r>
      <w:r>
        <w:rPr>
          <w:rFonts w:ascii="Arial" w:cs="Arial" w:eastAsia="Arial" w:hAnsi="Arial"/>
          <w:sz w:val="16"/>
          <w:szCs w:val="16"/>
          <w:b w:val="1"/>
          <w:bCs w:val="1"/>
          <w:color w:val="auto"/>
        </w:rPr>
        <w:t>JV</w:t>
      </w:r>
      <w:r>
        <w:rPr>
          <w:rFonts w:ascii="Arial" w:cs="Arial" w:eastAsia="Arial" w:hAnsi="Arial"/>
          <w:sz w:val="16"/>
          <w:szCs w:val="16"/>
          <w:color w:val="auto"/>
        </w:rPr>
        <w:t>”), a 49% owned joint venture of the Company, included in the Registration Statement, Pricing Disclosure Package and the Prospectus, together with the related schedules and notes, fairly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13" w:name="page14"/>
    <w:bookmarkEnd w:id="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 in all material respects, the financial condition of the JV as of the respective dates indicated and the consolidated statements of operations, cash flows and changes in stockholders’ equity for the respective periods specified, in each case in conformity with GAAP applied on a consistent basis throughout the period involved (except as otherwise indicated in the notes thereto) and in accordance with Regulation S-X promulgated by the Commission. The consolidated financial statements of PMG Intermediate Holding Corporation (“</w:t>
      </w:r>
      <w:r>
        <w:rPr>
          <w:rFonts w:ascii="Arial" w:cs="Arial" w:eastAsia="Arial" w:hAnsi="Arial"/>
          <w:sz w:val="16"/>
          <w:szCs w:val="16"/>
          <w:b w:val="1"/>
          <w:bCs w:val="1"/>
          <w:color w:val="auto"/>
        </w:rPr>
        <w:t>Holding</w:t>
      </w:r>
      <w:r>
        <w:rPr>
          <w:rFonts w:ascii="Arial" w:cs="Arial" w:eastAsia="Arial" w:hAnsi="Arial"/>
          <w:sz w:val="16"/>
          <w:szCs w:val="16"/>
          <w:color w:val="auto"/>
        </w:rPr>
        <w:t>”) a wholly-owned subsidiary of the Company, included in the Registration Statement, Pricing Disclosure Package and Prospectus, together with the related schedules and notes, fairly present in all material respects, the financial condition of Holding and its subsidiaries as of the respective dates indicated and the consolidated statements of operations, cash flows and changes in stockholders’ equity for the respective periods specified, in each case in conformity with GAAP applied on a consistent basis throughout the period involved (except as otherwise indicated in the notes thereto) and in accordance with Regulation S-X promulgated by the Commission; the other financial information of Holding included in each of the Registration Statement, the Pricing Disclosure Package and the Prospectus have been derived from the accounting records of Holding and its subsidiaries and present fairly, in all material respects, the information shown thereby. The pro forma financial information and the related notes thereto included or incorporated by reference in the Registration Statement, the Pricing Disclosure Package and the Prospectus have been prepared in accordance with the applicable requirements of the Securities Act and the Exchange Act, as applicable, and the assumptions underlying such pro forma financial information are reasonable and are set forth in the Registration Statement, the Pricing Disclosure Package and the Prospectus. Except as included therein, no historical or pro forma financial statements or supporting schedules are required to be included in the Registration Statement, the Pricing Disclosure Package or the Prospectus. The summary and selected consolidated financial data of the Company included in the Registration Statement, the Pricing Disclosure Package and the Prospectus fairly present in all material respects the information shown therein and have been compiled on a basis consistent with that of the consolidated financial statements of the Company included in the Registration Statement, the Pricing Disclosure Package and the Prospectus. The other financial information of the Company included in the Registration Statement, the Pricing Disclosure Package and the Prospectus has been derived from the accounting records of the Company and the Subsidiaries and present fairly, in all material respects, the information shown thereby. The Registration Statement, the Pricing Disclosure Package and the Prospectus include all financial and other information required to be included in connection with the presentation of “non-GAAP financial measures” (as defined in Item 10 of Regulation S-K) therein, and the presentation of such non-GAAP financial measures therein complies with Regulation G and Item 10 of Regulation S-K, as applicable. The Company and the Subsidiaries do not have any material liabilities or obligations, direct or contingent (including any off-balance sheet obligations), required to be disclosed in the Registration Statement, the Pricing Disclosure Package and the Prospectus that are not so disclosed.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4" w:name="page15"/>
    <w:bookmarkEnd w:id="14"/>
    <w:p>
      <w:pPr>
        <w:ind w:firstLine="428"/>
        <w:spacing w:after="0" w:line="288" w:lineRule="auto"/>
        <w:tabs>
          <w:tab w:leader="none" w:pos="903"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the date of the last audited financial statements of the Company, included or incorporated by reference in the Registration Statement, the Time of Sale Prospectus and the Prospectus, neither the Company nor any of the Subsidiaries has sustained any loss or interference with its business material to the Company and the Subsidiaries, taken as a whole, otherwise than as set forth in the Time of Sale Prospectus and the Prospectus. Since the respective dates as of which information is given in the Registration Statement, the Time of Sale Prospectus and the Prospectus, there has not been any (i) material change in the capitalization of the Company or the Subsidiaries, (ii) material increase in the aggregate in the consolidated short-term or long-term debt of the Company, (iii) transaction that is material to the Company and the Subsidiaries, taken as a whole, contemplated or entered into by the Company or any of the Subsidiaries, (iv) obligation, contingent or otherwise, directly or indirectly incurred by the Company or any Subsidiary that is material to the Company and the Subsidiaries, taken as a whole, (v) dividend or distribution of any kind declared, paid or made by the Company on any class of its capital stock, or (vi) Material Adverse Effect, in each case otherwise than as set forth in the Registration Statement, the Time of Sale Prospectus and the Prospectus;</w:t>
      </w:r>
    </w:p>
    <w:p>
      <w:pPr>
        <w:spacing w:after="0" w:line="61" w:lineRule="exact"/>
        <w:rPr>
          <w:rFonts w:ascii="Arial" w:cs="Arial" w:eastAsia="Arial" w:hAnsi="Arial"/>
          <w:sz w:val="16"/>
          <w:szCs w:val="16"/>
          <w:color w:val="auto"/>
        </w:rPr>
      </w:pPr>
    </w:p>
    <w:p>
      <w:pPr>
        <w:jc w:val="both"/>
        <w:ind w:right="260" w:firstLine="428"/>
        <w:spacing w:after="0" w:line="288" w:lineRule="auto"/>
        <w:tabs>
          <w:tab w:leader="none" w:pos="8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PricewaterhouseCoopers LLP, during the periods covered by the consolidated financial statements of the Company and the related schedules and notes thereto included in the Registration Statement, the Pricing Disclosure Package and the Prospectus on which they reported were, and currently are, independent registered public accountants as required by the Securities Act and the Exchange Act.</w:t>
      </w:r>
    </w:p>
    <w:p>
      <w:pPr>
        <w:spacing w:after="0"/>
        <w:rPr>
          <w:rFonts w:ascii="Arial" w:cs="Arial" w:eastAsia="Arial" w:hAnsi="Arial"/>
          <w:sz w:val="16"/>
          <w:szCs w:val="16"/>
          <w:color w:val="auto"/>
        </w:rPr>
      </w:pPr>
      <w:r>
        <w:rPr>
          <w:rFonts w:ascii="Arial" w:cs="Arial" w:eastAsia="Arial" w:hAnsi="Arial"/>
          <w:sz w:val="18"/>
          <w:szCs w:val="18"/>
          <w:color w:val="auto"/>
        </w:rPr>
        <w:t>PricewaterhouseCoopers LLP is registered with the Public Company Accounting Oversight Board;</w:t>
      </w:r>
    </w:p>
    <w:p>
      <w:pPr>
        <w:spacing w:after="0" w:line="102" w:lineRule="exact"/>
        <w:rPr>
          <w:rFonts w:ascii="Arial" w:cs="Arial" w:eastAsia="Arial" w:hAnsi="Arial"/>
          <w:sz w:val="16"/>
          <w:szCs w:val="16"/>
          <w:color w:val="auto"/>
        </w:rPr>
      </w:pPr>
    </w:p>
    <w:p>
      <w:pPr>
        <w:ind w:right="40" w:firstLine="428"/>
        <w:spacing w:after="0" w:line="302"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Deloitte Touche Tohmatsu Certified Public Accountants LLP, during the periods covered by the FY 2016 consolidated financial statements of the JV and the related schedules and notes thereto included in the Registration Statement, the Pricing Disclosure Package and the Prospectus on which they reported were, and currently are, independent registered public accountants as required by the Securities Act and the Exchange Act. Deloitte Touche Tohmatsu Certified Public Accountants LLP is registered with the Public Company Accounting Oversight Board;</w:t>
      </w:r>
    </w:p>
    <w:p>
      <w:pPr>
        <w:spacing w:after="0" w:line="46" w:lineRule="exact"/>
        <w:rPr>
          <w:rFonts w:ascii="Arial" w:cs="Arial" w:eastAsia="Arial" w:hAnsi="Arial"/>
          <w:sz w:val="16"/>
          <w:szCs w:val="16"/>
          <w:color w:val="auto"/>
        </w:rPr>
      </w:pPr>
    </w:p>
    <w:p>
      <w:pPr>
        <w:ind w:right="20" w:firstLine="428"/>
        <w:spacing w:after="0" w:line="259"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RSM US LLP, during the periods covered by the consolidated financial statements of Holding and the related schedules and notes thereto included in the Registration Statement, the Pricing Disclosure Package and the Prospectus on which they reported were, and currently are, independent registered public accountants as required by the Securities Act and the Exchange Act. RSM US LLP is registered with the Public Company Accounting Oversight Board;</w:t>
      </w:r>
    </w:p>
    <w:p>
      <w:pPr>
        <w:spacing w:after="0" w:line="78" w:lineRule="exact"/>
        <w:rPr>
          <w:rFonts w:ascii="Arial" w:cs="Arial" w:eastAsia="Arial" w:hAnsi="Arial"/>
          <w:sz w:val="18"/>
          <w:szCs w:val="18"/>
          <w:color w:val="auto"/>
        </w:rPr>
      </w:pPr>
    </w:p>
    <w:p>
      <w:pPr>
        <w:ind w:right="20" w:firstLine="428"/>
        <w:spacing w:after="0" w:line="259"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Ernst &amp; Young LLP, during the periods covered by the consolidated financial statements of PEP and the related schedules and notes thereto included in the Registration Statement, the Pricing Disclosure Package and the Prospectus on which they reported were, and currently are, independent registered public accountants as required by the Securities Act and the Exchange Act. Ernst &amp; Young LLP is registered with the Public Company Accounting Oversight Board;</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0"/>
          </w:cols>
          <w:pgMar w:left="880" w:top="274" w:right="499" w:bottom="1440" w:gutter="0" w:footer="0" w:header="0"/>
        </w:sectPr>
      </w:pPr>
    </w:p>
    <w:bookmarkStart w:id="15" w:name="page16"/>
    <w:bookmarkEnd w:id="15"/>
    <w:p>
      <w:pPr>
        <w:ind w:right="200" w:firstLine="428"/>
        <w:spacing w:after="0" w:line="255"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on a consolidated basis,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85" w:lineRule="exact"/>
        <w:rPr>
          <w:rFonts w:ascii="Arial" w:cs="Arial" w:eastAsia="Arial" w:hAnsi="Arial"/>
          <w:sz w:val="18"/>
          <w:szCs w:val="18"/>
          <w:color w:val="auto"/>
        </w:rPr>
      </w:pPr>
    </w:p>
    <w:p>
      <w:pPr>
        <w:ind w:right="80" w:firstLine="428"/>
        <w:spacing w:after="0" w:line="284"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As of the date hereof, the Company is not aware of (i) any “significant deficiency” or “material weakness” (in each case, as defined in Public Company Oversight Board Standard No. 5) in the Company’s internal control over reporting, whether or not subsequently remediated, except as disclosed in the Time of Sale Prospectus, or</w:t>
      </w:r>
    </w:p>
    <w:p>
      <w:pPr>
        <w:spacing w:after="0" w:line="4" w:lineRule="exact"/>
        <w:rPr>
          <w:rFonts w:ascii="Arial" w:cs="Arial" w:eastAsia="Arial" w:hAnsi="Arial"/>
          <w:sz w:val="16"/>
          <w:szCs w:val="16"/>
          <w:color w:val="auto"/>
        </w:rPr>
      </w:pPr>
    </w:p>
    <w:p>
      <w:pPr>
        <w:ind w:right="520" w:firstLine="4"/>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75" w:lineRule="exact"/>
        <w:rPr>
          <w:rFonts w:ascii="Arial" w:cs="Arial" w:eastAsia="Arial" w:hAnsi="Arial"/>
          <w:sz w:val="18"/>
          <w:szCs w:val="18"/>
          <w:color w:val="auto"/>
        </w:rPr>
      </w:pPr>
    </w:p>
    <w:p>
      <w:pPr>
        <w:ind w:firstLine="428"/>
        <w:spacing w:after="0" w:line="276" w:lineRule="auto"/>
        <w:tabs>
          <w:tab w:leader="none" w:pos="9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defined in Rule 13a-15(e) under the Exchange Act) that comply with the requirements of the Exchange Act, which controls and procedures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w:t>
      </w:r>
    </w:p>
    <w:p>
      <w:pPr>
        <w:spacing w:after="0" w:line="64" w:lineRule="exact"/>
        <w:rPr>
          <w:rFonts w:ascii="Arial" w:cs="Arial" w:eastAsia="Arial" w:hAnsi="Arial"/>
          <w:sz w:val="17"/>
          <w:szCs w:val="17"/>
          <w:color w:val="auto"/>
        </w:rPr>
      </w:pPr>
    </w:p>
    <w:p>
      <w:pPr>
        <w:ind w:right="20" w:firstLine="428"/>
        <w:spacing w:after="0" w:line="286" w:lineRule="auto"/>
        <w:tabs>
          <w:tab w:leader="none" w:pos="823" w:val="left"/>
        </w:tabs>
        <w:numPr>
          <w:ilvl w:val="1"/>
          <w:numId w:val="19"/>
        </w:numPr>
        <w:rPr>
          <w:rFonts w:ascii="Arial" w:cs="Arial" w:eastAsia="Arial" w:hAnsi="Arial"/>
          <w:sz w:val="17"/>
          <w:szCs w:val="17"/>
          <w:color w:val="auto"/>
        </w:rPr>
      </w:pPr>
      <w:r>
        <w:rPr>
          <w:rFonts w:ascii="Arial" w:cs="Arial" w:eastAsia="Arial" w:hAnsi="Arial"/>
          <w:sz w:val="17"/>
          <w:szCs w:val="17"/>
          <w:color w:val="auto"/>
        </w:rPr>
        <w:t>Since the date of the Company’s latest audited financial statements included or incorporated by reference in the Prospectus, as applicable, there has been no change in the Company’s internal control over financial reporting that has materially affected, or is reasonably likely to materially affect, the Company’s internal control over financial reporting, except as disclosed in the Time of Sale Prospectus;</w:t>
      </w:r>
    </w:p>
    <w:p>
      <w:pPr>
        <w:spacing w:after="0" w:line="57" w:lineRule="exact"/>
        <w:rPr>
          <w:rFonts w:ascii="Arial" w:cs="Arial" w:eastAsia="Arial" w:hAnsi="Arial"/>
          <w:sz w:val="17"/>
          <w:szCs w:val="17"/>
          <w:color w:val="auto"/>
        </w:rPr>
      </w:pPr>
    </w:p>
    <w:p>
      <w:pPr>
        <w:ind w:right="60" w:firstLine="428"/>
        <w:spacing w:after="0" w:line="264" w:lineRule="auto"/>
        <w:tabs>
          <w:tab w:leader="none" w:pos="10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Neither the Company or any Subsidiary, nor any of their respective directors, members or managers, as applicable, or officers, in their capacities as such, is in breach or violation of any provision of the Sarbanes-Oxley Act of 2002 and the rules and regulations promulgated in connection therewith;</w:t>
      </w:r>
    </w:p>
    <w:p>
      <w:pPr>
        <w:spacing w:after="0" w:line="73" w:lineRule="exact"/>
        <w:rPr>
          <w:rFonts w:ascii="Arial" w:cs="Arial" w:eastAsia="Arial" w:hAnsi="Arial"/>
          <w:sz w:val="18"/>
          <w:szCs w:val="18"/>
          <w:color w:val="auto"/>
        </w:rPr>
      </w:pPr>
    </w:p>
    <w:p>
      <w:pPr>
        <w:ind w:right="80" w:firstLine="428"/>
        <w:spacing w:after="0" w:line="264" w:lineRule="auto"/>
        <w:tabs>
          <w:tab w:leader="none" w:pos="8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Registration Statement, the Pricing Disclosure Package and the Prospectus are based on or derived from sources that the Company believes to be reliable and accurate or represent the Company’s good faith estimates that are made on the basis of data derived from such sources;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6" w:name="page17"/>
    <w:bookmarkEnd w:id="16"/>
    <w:p>
      <w:pPr>
        <w:ind w:firstLine="428"/>
        <w:spacing w:after="0" w:line="25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Common Stock is registered under Section 12(b) of the Exchange Act, and the Shares are listed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and the Company has taken no action designed to, or likely to have the effect of, terminating the registration of the Shares under the Exchange Act or delisting the Shares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80" w:lineRule="exact"/>
        <w:rPr>
          <w:rFonts w:ascii="Arial" w:cs="Arial" w:eastAsia="Arial" w:hAnsi="Arial"/>
          <w:sz w:val="18"/>
          <w:szCs w:val="18"/>
          <w:color w:val="auto"/>
        </w:rPr>
      </w:pPr>
    </w:p>
    <w:p>
      <w:pPr>
        <w:ind w:right="120" w:firstLine="428"/>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is not, and will not be, either, after receipt of payment for the Shares or after the application of the proceeds therefrom as described under “Use of Proceeds” in the Registration Statement, the Pricing Disclosure Package or the Prospectus, required to register as an “investment company” as such term is defined under the Investment Company Act of 1940, as amended;</w:t>
      </w:r>
    </w:p>
    <w:p>
      <w:pPr>
        <w:spacing w:after="0" w:line="57" w:lineRule="exact"/>
        <w:rPr>
          <w:rFonts w:ascii="Arial" w:cs="Arial" w:eastAsia="Arial" w:hAnsi="Arial"/>
          <w:sz w:val="17"/>
          <w:szCs w:val="17"/>
          <w:color w:val="auto"/>
        </w:rPr>
      </w:pPr>
    </w:p>
    <w:p>
      <w:pPr>
        <w:ind w:right="20" w:firstLine="428"/>
        <w:spacing w:after="0" w:line="257" w:lineRule="auto"/>
        <w:tabs>
          <w:tab w:leader="none" w:pos="9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Company, the Subsidiaries or any of their respective directors, officers, agents, employees, affiliates or persons acting on behalf of the Company or any of the Subsidiaries has taken, directly or indirectly, any action designed to or that might be reasonably expected to cause or result in stabilization or manipulation of the price of the Shares or any other reference security, whether to facilitate the sale or resale of the Shares or otherwise, and has taken no action which would directly or indirectly violate any provision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140" w:firstLine="428"/>
        <w:spacing w:after="0" w:line="312"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statements set forth in the Time of Sale Prospectus and Prospectus under the caption “Description of Common Stock”, insofar as they purport to constitute a summary of the terms of the Common Stock, and under the caption “Underwriting (conflicts of interest)”, insofar as they purport to describe the provisions of the laws and documents referred to therein, are accurate, complete and fair in all material respects;</w:t>
      </w:r>
    </w:p>
    <w:p>
      <w:pPr>
        <w:spacing w:after="0" w:line="38" w:lineRule="exact"/>
        <w:rPr>
          <w:rFonts w:ascii="Arial" w:cs="Arial" w:eastAsia="Arial" w:hAnsi="Arial"/>
          <w:sz w:val="16"/>
          <w:szCs w:val="16"/>
          <w:color w:val="auto"/>
        </w:rPr>
      </w:pPr>
    </w:p>
    <w:p>
      <w:pPr>
        <w:ind w:firstLine="428"/>
        <w:spacing w:after="0" w:line="293" w:lineRule="auto"/>
        <w:tabs>
          <w:tab w:leader="none" w:pos="8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Company, any of the Subsidiaries or any director, officer, agent, employee, affiliate or other person associated with or acting on behalf of the Company or the Subsidiaries has (i) made, offered, promised or authorized any unlawful contribution, gift, entertainment or other unlawful expense; (ii) made, offered, promised or authorized any direct or indirect unlawful payment; or (iii) violated or is in violation of any provision of the Foreign Corrupt Practices Act of 1977, the Bribery Act 2010 of the United Kingdom or any other applicable anti-bribery or anti-corruption law; the Company and the Subsidiaries have instituted and maintain policies and procedures designed to ensure, and which are reasonably expected to continue to ensure, compliance with all applicable anti-bribery and anti-corruption laws;</w:t>
      </w:r>
    </w:p>
    <w:p>
      <w:pPr>
        <w:spacing w:after="0" w:line="56" w:lineRule="exact"/>
        <w:rPr>
          <w:rFonts w:ascii="Arial" w:cs="Arial" w:eastAsia="Arial" w:hAnsi="Arial"/>
          <w:sz w:val="16"/>
          <w:szCs w:val="16"/>
          <w:color w:val="auto"/>
        </w:rPr>
      </w:pPr>
    </w:p>
    <w:p>
      <w:pPr>
        <w:ind w:right="20" w:firstLine="428"/>
        <w:spacing w:after="0" w:line="273"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operations of the Company and the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the Subsidiaries conduct business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Subsidiaries with respect to the Money Laundering Laws is pending or, to the knowledge of the Company, threatened;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ind w:right="20" w:firstLine="428"/>
        <w:spacing w:after="0" w:line="288"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any of the Subsidiaries, or any director, officer, agent, employee or affiliate of the Company or any of the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the Subsidiaries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and</w:t>
      </w:r>
    </w:p>
    <w:p>
      <w:pPr>
        <w:spacing w:after="0" w:line="61" w:lineRule="exact"/>
        <w:rPr>
          <w:rFonts w:ascii="Arial" w:cs="Arial" w:eastAsia="Arial" w:hAnsi="Arial"/>
          <w:sz w:val="16"/>
          <w:szCs w:val="16"/>
          <w:color w:val="auto"/>
        </w:rPr>
      </w:pPr>
    </w:p>
    <w:p>
      <w:pPr>
        <w:ind w:firstLine="428"/>
        <w:spacing w:after="0" w:line="283"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and the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as required in connection with the operation of the business of the Company and the Subsidiaries as currently conducted, free and clear of all bugs, errors, defects, Trojan horses, time bombs, malware and other corruptants, except in each case as would not, singly or in the aggregate, result in a Material Adverse Effect. The Company and the Subsidiaries (i) (x)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used in connection with their businesses, and (y) there have been no breaches, violations, outages or unauthorized uses of or accesses to same, nor any incidents under internal review or investigations relating to the same; (ii)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(iii) have taken all necessary actions to prepare to comply with the European Union General Data Protection Regulation (and all other applicable laws and regulations with respect to Personal Data that have been announced as of the date hereof as becoming effective within 12 months after the date hereof) as soon they take effect; except, with respect to each of the foregoing clauses (i)(y),</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(iii), as would not, singly or in the aggregate, result in a Material Adverse Effect.</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8" w:name="page19"/>
    <w:bookmarkEnd w:id="18"/>
    <w:p>
      <w:pPr>
        <w:ind w:firstLine="444"/>
        <w:spacing w:after="0" w:line="269" w:lineRule="auto"/>
        <w:tabs>
          <w:tab w:leader="none" w:pos="756"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herein set forth, (a) the Company agrees to issue and sell to each of the Underwriters, and each of the Underwriters agrees, severally and not jointly, to purchase from the Company, at a purchase price per share of $15.16,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3"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Company hereby grants to the Underwriters the right to purchase at their election up to 1,875,000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78" w:lineRule="exact"/>
        <w:rPr>
          <w:sz w:val="20"/>
          <w:szCs w:val="20"/>
          <w:color w:val="auto"/>
        </w:rPr>
      </w:pPr>
    </w:p>
    <w:p>
      <w:pPr>
        <w:ind w:right="180" w:firstLine="444"/>
        <w:spacing w:after="0" w:line="277"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Time of Sale Prospectus and the Prospectus.</w:t>
      </w:r>
    </w:p>
    <w:p>
      <w:pPr>
        <w:spacing w:after="0" w:line="170" w:lineRule="exact"/>
        <w:rPr>
          <w:rFonts w:ascii="Arial" w:cs="Arial" w:eastAsia="Arial" w:hAnsi="Arial"/>
          <w:sz w:val="18"/>
          <w:szCs w:val="18"/>
          <w:color w:val="auto"/>
        </w:rPr>
      </w:pPr>
    </w:p>
    <w:p>
      <w:pPr>
        <w:ind w:right="20" w:firstLine="444"/>
        <w:spacing w:after="0" w:line="270"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definitive or book-entry form, and in such authorized denominations and registered in such names as the Representative may request upon at least forty-eight hours’ prior notice to the Company shall be delivered by or on behalf of the Company to the Representative,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for the account of such Underwriter, against payment by or on behalf of such Underwriter of the purchase price therefor by wire transfer of Federal (same-day) funds to the account specified by the Company to the Representative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w:t>
      </w:r>
      <w:r>
        <w:rPr>
          <w:rFonts w:ascii="Arial" w:cs="Arial" w:eastAsia="Arial" w:hAnsi="Arial"/>
          <w:sz w:val="17"/>
          <w:szCs w:val="17"/>
          <w:b w:val="1"/>
          <w:bCs w:val="1"/>
          <w:color w:val="auto"/>
        </w:rPr>
        <w:t>Designated Office</w:t>
      </w:r>
      <w:r>
        <w:rPr>
          <w:rFonts w:ascii="Arial" w:cs="Arial" w:eastAsia="Arial" w:hAnsi="Arial"/>
          <w:sz w:val="17"/>
          <w:szCs w:val="17"/>
          <w:color w:val="auto"/>
        </w:rPr>
        <w:t>”). The time and date of such delivery and payment shall be, with respect to the Firm Shares, 9:30 a.m., New York City time, on September 18, 2018 or such other time and date as the Representative and the Company may agree upon in writing, and, with respect to the Optional Shares, 9:30 a.m., New York time, on the date specified by the Representative in the written notice given by the Representative of the Underwriters’ election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such Optional Shares, or such other time and date as the Representative and the Company may agree upon in writing. Such time and date for delivery of the Firm Shares is herein called the “</w:t>
      </w:r>
      <w:r>
        <w:rPr>
          <w:rFonts w:ascii="Arial" w:cs="Arial" w:eastAsia="Arial" w:hAnsi="Arial"/>
          <w:sz w:val="16"/>
          <w:szCs w:val="16"/>
          <w:b w:val="1"/>
          <w:bCs w:val="1"/>
          <w:color w:val="auto"/>
        </w:rPr>
        <w:t>First Time of Delivery</w:t>
      </w:r>
      <w:r>
        <w:rPr>
          <w:rFonts w:ascii="Arial" w:cs="Arial" w:eastAsia="Arial" w:hAnsi="Arial"/>
          <w:sz w:val="16"/>
          <w:szCs w:val="16"/>
          <w:color w:val="auto"/>
        </w:rPr>
        <w:t>”, such time and date for delivery of the Optional Shares, if not the First Time of Delivery, is herein called the “</w:t>
      </w:r>
      <w:r>
        <w:rPr>
          <w:rFonts w:ascii="Arial" w:cs="Arial" w:eastAsia="Arial" w:hAnsi="Arial"/>
          <w:sz w:val="16"/>
          <w:szCs w:val="16"/>
          <w:b w:val="1"/>
          <w:bCs w:val="1"/>
          <w:color w:val="auto"/>
        </w:rPr>
        <w:t>Second Time of Delivery</w:t>
      </w:r>
      <w:r>
        <w:rPr>
          <w:rFonts w:ascii="Arial" w:cs="Arial" w:eastAsia="Arial" w:hAnsi="Arial"/>
          <w:sz w:val="16"/>
          <w:szCs w:val="16"/>
          <w:color w:val="auto"/>
        </w:rPr>
        <w:t>”, and each such time and date for delivery is herein called a “</w:t>
      </w:r>
      <w:r>
        <w:rPr>
          <w:rFonts w:ascii="Arial" w:cs="Arial" w:eastAsia="Arial" w:hAnsi="Arial"/>
          <w:sz w:val="16"/>
          <w:szCs w:val="16"/>
          <w:b w:val="1"/>
          <w:bCs w:val="1"/>
          <w:color w:val="auto"/>
        </w:rPr>
        <w:t>Time of Delivery</w:t>
      </w:r>
      <w:r>
        <w:rPr>
          <w:rFonts w:ascii="Arial" w:cs="Arial" w:eastAsia="Arial" w:hAnsi="Arial"/>
          <w:sz w:val="16"/>
          <w:szCs w:val="16"/>
          <w:color w:val="auto"/>
        </w:rPr>
        <w:t>”.</w:t>
      </w:r>
    </w:p>
    <w:p>
      <w:pPr>
        <w:spacing w:after="0" w:line="39" w:lineRule="exact"/>
        <w:rPr>
          <w:sz w:val="20"/>
          <w:szCs w:val="20"/>
          <w:color w:val="auto"/>
        </w:rPr>
      </w:pPr>
    </w:p>
    <w:p>
      <w:pPr>
        <w:ind w:left="440" w:right="160" w:firstLine="428"/>
        <w:spacing w:after="0" w:line="271" w:lineRule="auto"/>
        <w:tabs>
          <w:tab w:leader="none" w:pos="125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8 hereof, including the cross receipt for the Shares and any additional documents reasonably requested by the Underwriters pursuant to Section 8(o) hereof, will be delivered at the offices of Davis Polk &amp; Wardwell LLP, 450 Lexington Avenue, New York, New York 10017 (the “</w:t>
      </w:r>
      <w:r>
        <w:rPr>
          <w:rFonts w:ascii="Arial" w:cs="Arial" w:eastAsia="Arial" w:hAnsi="Arial"/>
          <w:sz w:val="17"/>
          <w:szCs w:val="17"/>
          <w:b w:val="1"/>
          <w:bCs w:val="1"/>
          <w:color w:val="auto"/>
        </w:rPr>
        <w:t>Closing Location</w:t>
      </w:r>
      <w:r>
        <w:rPr>
          <w:rFonts w:ascii="Arial" w:cs="Arial" w:eastAsia="Arial" w:hAnsi="Arial"/>
          <w:sz w:val="17"/>
          <w:szCs w:val="17"/>
          <w:color w:val="auto"/>
        </w:rPr>
        <w:t>”),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w:t>
      </w:r>
      <w:r>
        <w:rPr>
          <w:rFonts w:ascii="Arial" w:cs="Arial" w:eastAsia="Arial" w:hAnsi="Arial"/>
          <w:sz w:val="17"/>
          <w:szCs w:val="17"/>
          <w:b w:val="1"/>
          <w:bCs w:val="1"/>
          <w:color w:val="auto"/>
        </w:rPr>
        <w:t>New York</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 Day</w:t>
      </w:r>
      <w:r>
        <w:rPr>
          <w:rFonts w:ascii="Arial" w:cs="Arial" w:eastAsia="Arial" w:hAnsi="Arial"/>
          <w:sz w:val="17"/>
          <w:szCs w:val="17"/>
          <w:color w:val="auto"/>
        </w:rPr>
        <w:t>” shall mean each Monday, Tuesday, Wednesday, Thursday and Friday which is not a day on which banking institutions in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are generally authorized or obligated by law or executive order to close.</w:t>
      </w:r>
    </w:p>
    <w:p>
      <w:pPr>
        <w:spacing w:after="0" w:line="178" w:lineRule="exact"/>
        <w:rPr>
          <w:rFonts w:ascii="Arial" w:cs="Arial" w:eastAsia="Arial" w:hAnsi="Arial"/>
          <w:sz w:val="17"/>
          <w:szCs w:val="17"/>
          <w:color w:val="auto"/>
        </w:rPr>
      </w:pPr>
    </w:p>
    <w:p>
      <w:pPr>
        <w:ind w:left="760" w:hanging="316"/>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117" w:lineRule="exact"/>
        <w:rPr>
          <w:rFonts w:ascii="Arial" w:cs="Arial" w:eastAsia="Arial" w:hAnsi="Arial"/>
          <w:sz w:val="18"/>
          <w:szCs w:val="18"/>
          <w:color w:val="auto"/>
        </w:rPr>
      </w:pPr>
    </w:p>
    <w:p>
      <w:pPr>
        <w:ind w:left="440" w:firstLine="428"/>
        <w:spacing w:after="0" w:line="285"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Securities Act not later than the Commission’s close of business on the second business day following the date of this Agreement or such earlier time as may be required under the Securities Act; to make no further amendment or any supplement to the Registration Statement, the Base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Securities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Securities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pursuant to Section 8A of the Securities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ind w:right="40" w:firstLine="428"/>
        <w:spacing w:after="0" w:line="302" w:lineRule="auto"/>
        <w:tabs>
          <w:tab w:leader="none" w:pos="813"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42" w:lineRule="exact"/>
        <w:rPr>
          <w:rFonts w:ascii="Arial" w:cs="Arial" w:eastAsia="Arial" w:hAnsi="Arial"/>
          <w:sz w:val="16"/>
          <w:szCs w:val="16"/>
          <w:color w:val="auto"/>
        </w:rPr>
      </w:pPr>
    </w:p>
    <w:p>
      <w:pPr>
        <w:ind w:right="140" w:firstLine="428"/>
        <w:spacing w:after="0" w:line="255" w:lineRule="auto"/>
        <w:tabs>
          <w:tab w:leader="none" w:pos="8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by the third anniversary (the “</w:t>
      </w:r>
      <w:r>
        <w:rPr>
          <w:rFonts w:ascii="Arial" w:cs="Arial" w:eastAsia="Arial" w:hAnsi="Arial"/>
          <w:sz w:val="18"/>
          <w:szCs w:val="18"/>
          <w:b w:val="1"/>
          <w:bCs w:val="1"/>
          <w:color w:val="auto"/>
        </w:rPr>
        <w:t>Renewal Deadline</w:t>
      </w:r>
      <w:r>
        <w:rPr>
          <w:rFonts w:ascii="Arial" w:cs="Arial" w:eastAsia="Arial" w:hAnsi="Arial"/>
          <w:sz w:val="18"/>
          <w:szCs w:val="18"/>
          <w:color w:val="auto"/>
        </w:rPr>
        <w:t>”) of the initial effective date of the Registration Statement, any of the Shares remain unsold by the Underwriters, the Company will file, if it has not already done so and is eligible to do so, a new shelf registration statement relating to the Shares, in a form reasonably satisfactory to you and will use its reasonable efforts to cause such registration statement to be declared effective within 180 days after the Renewal Deadline. The Company will take all other reasonable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85" w:lineRule="exact"/>
        <w:rPr>
          <w:rFonts w:ascii="Arial" w:cs="Arial" w:eastAsia="Arial" w:hAnsi="Arial"/>
          <w:sz w:val="18"/>
          <w:szCs w:val="18"/>
          <w:color w:val="auto"/>
        </w:rPr>
      </w:pPr>
    </w:p>
    <w:p>
      <w:pPr>
        <w:ind w:firstLine="428"/>
        <w:spacing w:after="0" w:line="285" w:lineRule="auto"/>
        <w:tabs>
          <w:tab w:leader="none" w:pos="8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Securities Act) is required at any time prior to the expiration of nine months after the time of issue of the Prospectus in connection with the offering or sale of the Shares and if (i)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Securities Act) is delivered, not misleading, or, if for any other reason it shall be necessary during such same period to amend or supplement the Prospectus or to file under the Exchange Act any document incorporated by reference in the Prospectus in order to comply with the Securities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or (ii) at any time prior to 10:00 a.m., New York City time, on the New York Business Day next succeeding the date of this Agreement any event shall have occurred as a result of which the Pricing Disclosure Package as then amended or supplemented would include an untrue statement of a material fact or omit to state any material fact necessary in order to make the statements therein, in the light of the circumstances under which they were made when such Pricing Disclosure Package is delivered, not misleading, or, if for any other reason it shall be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80" w:top="274" w:right="43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during such same period to amend or supplement the Pricing Disclosure Package or to file under the Exchange Act any document incorporated by reference in the Pricing Disclosure Package in order to comply with the Securities Act or the Exchange Act, to notify you and upon your request to file such document and to prepare and furnish without charge to each Underwriter and to any dealer in securities as many written and electronic copies as you may from time to time reasonably request of an amended Pricing Disclosure Package or a supplement to the Pricing Disclosure Package which will correct such statement or omission or effect such compliance; and in case any Underwriter is required to deliver a prospectus (or in lieu thereof, the notice referred to in Rule 173(a) under the Securities Act) in connection with sales of any of the Shares at any time nine months or more after the time of issue of the Prospectus, upon your request but at the expense of such Underwriter, to prepare and deliver to such Underwriter as many written and electronic copies as you may reasonably request of an amended or supplemented Prospectus complying with Section 10(a)(3) of the Securities Act;</w:t>
      </w:r>
    </w:p>
    <w:p>
      <w:pPr>
        <w:spacing w:after="0" w:line="74" w:lineRule="exact"/>
        <w:rPr>
          <w:sz w:val="20"/>
          <w:szCs w:val="20"/>
          <w:color w:val="auto"/>
        </w:rPr>
      </w:pPr>
    </w:p>
    <w:p>
      <w:pPr>
        <w:jc w:val="both"/>
        <w:ind w:right="160" w:firstLine="428"/>
        <w:spacing w:after="0" w:line="25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via EDGAR as soon as practicable, but in any event not later than sixteen months after the effective date of the Registration Statement (as defined in Rule 158(c) under the Securities Act), an earnings statement of the Company and its consolidated subsidiaries (which need not be audited) complying with Section 11(a) of the Securities Act and the rules and regulations of the Commission thereunder (including, at the option of the Company, Rule 158);</w:t>
      </w:r>
    </w:p>
    <w:p>
      <w:pPr>
        <w:spacing w:after="0" w:line="78" w:lineRule="exact"/>
        <w:rPr>
          <w:rFonts w:ascii="Arial" w:cs="Arial" w:eastAsia="Arial" w:hAnsi="Arial"/>
          <w:sz w:val="18"/>
          <w:szCs w:val="18"/>
          <w:color w:val="auto"/>
        </w:rPr>
      </w:pPr>
    </w:p>
    <w:p>
      <w:pPr>
        <w:ind w:firstLine="428"/>
        <w:spacing w:after="0" w:line="287" w:lineRule="auto"/>
        <w:tabs>
          <w:tab w:leader="none" w:pos="7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90 days after the date of the Prospectus, not to (i) offer, sell, contract to sell, pledge, grant any option to purchase, make any short sale or otherwise transfer or dispose of, directly or indirectly, or file with, or submit to, the Commission a registration statement under the Securities Act relating to, any securities of the Company that are substantially similar to the Shares,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submission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(other than the Shares to be sold hereunder or pursuant to employee stock option plans existing on, or upon the conversion or exchange of convertible or exchangeable securities outstanding as of, the date of this Agreement, in each case as described in the Registration Statement, the Pricing Disclosure Package and the Prospectus), without the prior written consent of J.P. Morgan Securities LLC;</w:t>
      </w:r>
    </w:p>
    <w:p>
      <w:pPr>
        <w:spacing w:after="0" w:line="64" w:lineRule="exact"/>
        <w:rPr>
          <w:rFonts w:ascii="Arial" w:cs="Arial" w:eastAsia="Arial" w:hAnsi="Arial"/>
          <w:sz w:val="16"/>
          <w:szCs w:val="16"/>
          <w:color w:val="auto"/>
        </w:rPr>
      </w:pPr>
    </w:p>
    <w:p>
      <w:pPr>
        <w:ind w:right="120" w:firstLine="428"/>
        <w:spacing w:after="0" w:line="259" w:lineRule="auto"/>
        <w:tabs>
          <w:tab w:leader="none" w:pos="8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Securities Act;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2" w:name="page23"/>
    <w:bookmarkEnd w:id="22"/>
    <w:p>
      <w:pPr>
        <w:ind w:left="440" w:right="20" w:firstLine="428"/>
        <w:spacing w:after="0" w:line="259" w:lineRule="auto"/>
        <w:tabs>
          <w:tab w:leader="none" w:pos="1253"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left="440" w:right="440" w:firstLine="428"/>
        <w:spacing w:after="0" w:line="277" w:lineRule="auto"/>
        <w:tabs>
          <w:tab w:leader="none" w:pos="12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in the manner specified in the Time of Sale Prospectus under the caption “Use of proceeds”;</w:t>
      </w:r>
    </w:p>
    <w:p>
      <w:pPr>
        <w:spacing w:after="0" w:line="62" w:lineRule="exact"/>
        <w:rPr>
          <w:rFonts w:ascii="Arial" w:cs="Arial" w:eastAsia="Arial" w:hAnsi="Arial"/>
          <w:sz w:val="18"/>
          <w:szCs w:val="18"/>
          <w:color w:val="auto"/>
        </w:rPr>
      </w:pPr>
    </w:p>
    <w:p>
      <w:pPr>
        <w:ind w:left="440" w:right="200" w:firstLine="428"/>
        <w:spacing w:after="0" w:line="342" w:lineRule="auto"/>
        <w:tabs>
          <w:tab w:leader="none" w:pos="12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pay the required Commission filing fees relating to the Shares within the time required by Rule 456(b)(1) under the Securities Act without regard to the proviso therein and otherwise in accordance with Rules 456(b) and 457(r) under the Securities Act; and</w:t>
      </w:r>
    </w:p>
    <w:p>
      <w:pPr>
        <w:spacing w:after="0" w:line="15" w:lineRule="exact"/>
        <w:rPr>
          <w:rFonts w:ascii="Arial" w:cs="Arial" w:eastAsia="Arial" w:hAnsi="Arial"/>
          <w:sz w:val="16"/>
          <w:szCs w:val="16"/>
          <w:color w:val="auto"/>
        </w:rPr>
      </w:pPr>
    </w:p>
    <w:p>
      <w:pPr>
        <w:ind w:left="1260" w:hanging="392"/>
        <w:spacing w:after="0"/>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Nasdaq.</w:t>
      </w:r>
    </w:p>
    <w:p>
      <w:pPr>
        <w:spacing w:after="0" w:line="225" w:lineRule="exact"/>
        <w:rPr>
          <w:rFonts w:ascii="Arial" w:cs="Arial" w:eastAsia="Arial" w:hAnsi="Arial"/>
          <w:sz w:val="18"/>
          <w:szCs w:val="18"/>
          <w:color w:val="auto"/>
        </w:rPr>
      </w:pPr>
    </w:p>
    <w:p>
      <w:pPr>
        <w:ind w:right="80" w:firstLine="444"/>
        <w:spacing w:after="0" w:line="276" w:lineRule="auto"/>
        <w:tabs>
          <w:tab w:leader="none" w:pos="7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 it has not made and will not make any offer relating to the Shares that would constitute a “free writing prospectus” as defined in Rule 405 under the Securities Act; each Underwriter represents and agrees that, without the prior consent of the Company and the Representative, it has not made and will not make any offer relating to the Shares that would constitute a free writing prospectus required to be filed with the Commission; any such free writing prospectus the use of which has been consented to by the Company and the Representative is listed on Schedule II(a) hereto;</w:t>
      </w:r>
    </w:p>
    <w:p>
      <w:pPr>
        <w:spacing w:after="0" w:line="64" w:lineRule="exact"/>
        <w:rPr>
          <w:rFonts w:ascii="Arial" w:cs="Arial" w:eastAsia="Arial" w:hAnsi="Arial"/>
          <w:sz w:val="17"/>
          <w:szCs w:val="17"/>
          <w:color w:val="auto"/>
        </w:rPr>
      </w:pPr>
    </w:p>
    <w:p>
      <w:pPr>
        <w:ind w:left="440" w:right="120" w:firstLine="428"/>
        <w:spacing w:after="0" w:line="277" w:lineRule="auto"/>
        <w:tabs>
          <w:tab w:leader="none" w:pos="12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Securities Act applicable to any Issuer Free Writing Prospectus, including timely filing with the Commission or retention where required and legending; and</w:t>
      </w:r>
    </w:p>
    <w:p>
      <w:pPr>
        <w:spacing w:after="0" w:line="62" w:lineRule="exact"/>
        <w:rPr>
          <w:rFonts w:ascii="Arial" w:cs="Arial" w:eastAsia="Arial" w:hAnsi="Arial"/>
          <w:sz w:val="18"/>
          <w:szCs w:val="18"/>
          <w:color w:val="auto"/>
        </w:rPr>
      </w:pPr>
    </w:p>
    <w:p>
      <w:pPr>
        <w:ind w:left="440" w:firstLine="428"/>
        <w:spacing w:after="0" w:line="255" w:lineRule="auto"/>
        <w:tabs>
          <w:tab w:leader="none" w:pos="12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Time of Sale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 and, if requested by the Representative, will prepare and furnish without charge to each Underwriter an Issuer Free Writing Prospectus or other document which will correct such conflict, statement or omission.</w:t>
      </w:r>
    </w:p>
    <w:p>
      <w:pPr>
        <w:spacing w:after="0" w:line="193" w:lineRule="exact"/>
        <w:rPr>
          <w:rFonts w:ascii="Arial" w:cs="Arial" w:eastAsia="Arial" w:hAnsi="Arial"/>
          <w:sz w:val="18"/>
          <w:szCs w:val="18"/>
          <w:color w:val="auto"/>
        </w:rPr>
      </w:pPr>
    </w:p>
    <w:p>
      <w:pPr>
        <w:ind w:right="60" w:firstLine="444"/>
        <w:spacing w:after="0" w:line="279" w:lineRule="auto"/>
        <w:tabs>
          <w:tab w:leader="none" w:pos="7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Securities Act and all other expenses in connection with the preparation, printing, reproduction and filing of the Registration Statement, the Base Prospectus, any preliminary prospectus, any Issuer Free Writing Prospectus and the Prospectus and amendments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supplements thereto and the mailing and delivering of copies thereof to the Underwriters and dealers; (ii) the cost of printing or producing a reasonable number of each of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survey(s); (iv) any filing fees incident to, and the reasonable and documented fees and disbursements of counsel for the Underwriters in connection with, any required reviews by FINRA of the terms of the sale of the Shares; (v) the cost of preparing certificates for the Shares; (vi) the cost and charges of any transfer agent or registrar or dividend disbursing agent; (vii) all fees and expenses in connection with listing the Shares on Nasdaq</w:t>
      </w:r>
      <w:r>
        <w:rPr>
          <w:rFonts w:ascii="Arial" w:cs="Arial" w:eastAsia="Arial" w:hAnsi="Arial"/>
          <w:sz w:val="16"/>
          <w:szCs w:val="16"/>
          <w:b w:val="1"/>
          <w:bCs w:val="1"/>
          <w:color w:val="auto"/>
        </w:rPr>
        <w:t>;</w:t>
      </w:r>
      <w:r>
        <w:rPr>
          <w:rFonts w:ascii="Arial" w:cs="Arial" w:eastAsia="Arial" w:hAnsi="Arial"/>
          <w:sz w:val="16"/>
          <w:szCs w:val="16"/>
          <w:color w:val="auto"/>
        </w:rPr>
        <w:t xml:space="preserve"> (viii) all expenses incurred in connection with any “road show” presentation for potential investors (provided, however, that the Underwriters shall pay for 50% of the costs related to any chartered aircraft in connection with any such “road show”); and (ix) all other costs and expenses incident to the performance of its obligations hereunder which are not otherwise specifically provided for in this Section. It is understood, however, that, except as specifically provided in this Section, and Sections 9 and 12 hereof, the Underwriters will pay all of their own costs and expenses, including the fees of their counsel, transfer taxes on resale of any of the Shares by them, and any advertising expenses connected with any offers they may make.</w:t>
      </w:r>
    </w:p>
    <w:p>
      <w:pPr>
        <w:spacing w:after="0" w:line="175" w:lineRule="exact"/>
        <w:rPr>
          <w:sz w:val="20"/>
          <w:szCs w:val="20"/>
          <w:color w:val="auto"/>
        </w:rPr>
      </w:pPr>
    </w:p>
    <w:p>
      <w:pPr>
        <w:ind w:right="100" w:firstLine="444"/>
        <w:spacing w:after="0" w:line="259" w:lineRule="auto"/>
        <w:tabs>
          <w:tab w:leader="none" w:pos="7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8" w:lineRule="exact"/>
        <w:rPr>
          <w:rFonts w:ascii="Arial" w:cs="Arial" w:eastAsia="Arial" w:hAnsi="Arial"/>
          <w:sz w:val="18"/>
          <w:szCs w:val="18"/>
          <w:color w:val="auto"/>
        </w:rPr>
      </w:pPr>
    </w:p>
    <w:p>
      <w:pPr>
        <w:ind w:left="440" w:firstLine="428"/>
        <w:spacing w:after="0" w:line="289" w:lineRule="auto"/>
        <w:tabs>
          <w:tab w:leader="none" w:pos="12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Securities Act within the applicable time period prescribed for such filing by the rules and regulations under the Securities Act and in accordance with Section 5(a) hereof; all material required to be filed by the Company pursuant to Rule 433(d) under the Securities Act shall have been filed with the Commission within the applicable time period prescribed for such filings by Rule 433; if the Company has elected to rely upon Rule 462(b) under the Securities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Securities Act shall have been initiated or threatened by the Commission; no stop order suspending or preventing the use of the Time of Sale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58" w:lineRule="exact"/>
        <w:rPr>
          <w:rFonts w:ascii="Arial" w:cs="Arial" w:eastAsia="Arial" w:hAnsi="Arial"/>
          <w:sz w:val="16"/>
          <w:szCs w:val="16"/>
          <w:color w:val="auto"/>
        </w:rPr>
      </w:pPr>
    </w:p>
    <w:p>
      <w:pPr>
        <w:ind w:left="440" w:right="20" w:firstLine="428"/>
        <w:spacing w:after="0" w:line="264" w:lineRule="auto"/>
        <w:tabs>
          <w:tab w:leader="none" w:pos="125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you such written opinion or opinions with respect to the matters as the Representative may reasonably request, and such counsel shall have received such papers and information as they may reasonably request to enable them to pass upon such matters;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4" w:name="page25"/>
    <w:bookmarkEnd w:id="24"/>
    <w:p>
      <w:pPr>
        <w:ind w:right="200" w:firstLine="428"/>
        <w:spacing w:after="0" w:line="342" w:lineRule="auto"/>
        <w:tabs>
          <w:tab w:leader="none" w:pos="803"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Bass, Berry &amp; Sims PLC, counsel for the Company, shall have furnished to you their written opinion and 10b-5 letter (forms of such opinion and 10b-5 letter are attached as Annex II hereto), dated such Time of Delivery, in form and substance reasonably satisfactory to you;</w:t>
      </w:r>
    </w:p>
    <w:p>
      <w:pPr>
        <w:spacing w:after="0" w:line="15" w:lineRule="exact"/>
        <w:rPr>
          <w:rFonts w:ascii="Arial" w:cs="Arial" w:eastAsia="Arial" w:hAnsi="Arial"/>
          <w:sz w:val="16"/>
          <w:szCs w:val="16"/>
          <w:color w:val="auto"/>
        </w:rPr>
      </w:pPr>
    </w:p>
    <w:p>
      <w:pPr>
        <w:ind w:right="80" w:firstLine="428"/>
        <w:spacing w:after="0" w:line="308" w:lineRule="auto"/>
        <w:tabs>
          <w:tab w:leader="none" w:pos="81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Simpson Thacher &amp; Bartlett LLP, New York counsel for the Company, shall have furnished to you their written opinion (form of such opinion attached as Annex III hereto), dated such Time of Delivery, in form and substance reasonably satisfactory to you;</w:t>
      </w:r>
    </w:p>
    <w:p>
      <w:pPr>
        <w:spacing w:after="0" w:line="38" w:lineRule="exact"/>
        <w:rPr>
          <w:rFonts w:ascii="Arial" w:cs="Arial" w:eastAsia="Arial" w:hAnsi="Arial"/>
          <w:sz w:val="17"/>
          <w:szCs w:val="17"/>
          <w:color w:val="auto"/>
        </w:rPr>
      </w:pPr>
    </w:p>
    <w:p>
      <w:pPr>
        <w:ind w:right="100" w:firstLine="428"/>
        <w:spacing w:after="0" w:line="302" w:lineRule="auto"/>
        <w:tabs>
          <w:tab w:leader="none" w:pos="8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On the date of this Agreement, and at each Time of Delivery, PricewaterhouseCoopers LLP shall have furnished to you letters with respect to the Company, dated the respective dates of delivery thereof, in form and substance agreed to by you and PricewaterhouseCoopers LLP prior to the date of this Agreement or otherwise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letter delivered on the date of this Agreement or any given Time of Delivery shall use a “cut-off” date no more than three business days prior to the date such letter is delivered;</w:t>
      </w:r>
    </w:p>
    <w:p>
      <w:pPr>
        <w:spacing w:after="0" w:line="46" w:lineRule="exact"/>
        <w:rPr>
          <w:rFonts w:ascii="Arial" w:cs="Arial" w:eastAsia="Arial" w:hAnsi="Arial"/>
          <w:sz w:val="16"/>
          <w:szCs w:val="16"/>
          <w:color w:val="auto"/>
        </w:rPr>
      </w:pPr>
    </w:p>
    <w:p>
      <w:pPr>
        <w:ind w:firstLine="428"/>
        <w:spacing w:after="0" w:line="259"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On the date of this Agreement, and at each Time of Delivery, RSM US LLP shall have furnished to you letters with respect to Holding, dated the respective dates of delivery thereof, in form and substance agreed to by you and RSM US LLP prior to the date of this Agreement or otherwise reasonably satisfactory to you,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delivered on the date of this Agreement or any given Time of Delivery shall use a “cut-off” date no more than three business days prior to the date such letter is delivered;</w:t>
      </w:r>
    </w:p>
    <w:p>
      <w:pPr>
        <w:spacing w:after="0" w:line="78" w:lineRule="exact"/>
        <w:rPr>
          <w:rFonts w:ascii="Arial" w:cs="Arial" w:eastAsia="Arial" w:hAnsi="Arial"/>
          <w:sz w:val="18"/>
          <w:szCs w:val="18"/>
          <w:color w:val="auto"/>
        </w:rPr>
      </w:pPr>
    </w:p>
    <w:p>
      <w:pPr>
        <w:ind w:right="40" w:firstLine="428"/>
        <w:spacing w:after="0" w:line="257" w:lineRule="auto"/>
        <w:tabs>
          <w:tab w:leader="none" w:pos="8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On the date of this Agreement, and at each Time of Delivery, Deloitte Touche Tohmatsu Certified Public Accountants LLP shall have furnished to you letters with respect to the JV, dated the respective dates of delivery thereof, in form and substance agreed to by you and Deloitte Touche Tohmatsu Certified Public Accountants LLP prior to the date of this Agreement or otherwise reasonably satisfactory to you,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delivered on the date of this Agreement or any given Time of Delivery shall use a “cut-off” date no more than three business days prior to the date such letter is delivered;</w:t>
      </w:r>
    </w:p>
    <w:p>
      <w:pPr>
        <w:spacing w:after="0" w:line="80" w:lineRule="exact"/>
        <w:rPr>
          <w:rFonts w:ascii="Arial" w:cs="Arial" w:eastAsia="Arial" w:hAnsi="Arial"/>
          <w:sz w:val="18"/>
          <w:szCs w:val="18"/>
          <w:color w:val="auto"/>
        </w:rPr>
      </w:pPr>
    </w:p>
    <w:p>
      <w:pPr>
        <w:jc w:val="both"/>
        <w:ind w:right="80" w:firstLine="428"/>
        <w:spacing w:after="0" w:line="259" w:lineRule="auto"/>
        <w:tabs>
          <w:tab w:leader="none" w:pos="8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the date of this Agreement, and at each Time of Delivery, the Chief Financial Officer of the Company in such officer’s capacity as an officer of the Company and not personally, shall have furnished to you certificates, dated the respective dates of delivery thereof, with respect to certain financial data contained in or incorporated by reference in each of the Time of Sale Prospectus and the Prospectus, in form and substance reasonably satisfactory to you, to the effect set forth in Annex I hereto;</w:t>
      </w:r>
    </w:p>
    <w:p>
      <w:pPr>
        <w:spacing w:after="0" w:line="78" w:lineRule="exact"/>
        <w:rPr>
          <w:rFonts w:ascii="Arial" w:cs="Arial" w:eastAsia="Arial" w:hAnsi="Arial"/>
          <w:sz w:val="18"/>
          <w:szCs w:val="18"/>
          <w:color w:val="auto"/>
        </w:rPr>
      </w:pPr>
    </w:p>
    <w:p>
      <w:pPr>
        <w:jc w:val="both"/>
        <w:ind w:right="340" w:firstLine="428"/>
        <w:spacing w:after="0" w:line="264" w:lineRule="auto"/>
        <w:tabs>
          <w:tab w:leader="none" w:pos="7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nor any of the Subsidiaries shall have sustained since the date of the latest audited financial statements of the Company included or incorporated by reference in the Time of Sale Prospectus any loss or interference with its business from fire, explosion, flood or other calamity, whether or not covered by</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0"/>
          </w:cols>
          <w:pgMar w:left="880" w:top="274" w:right="479" w:bottom="1440" w:gutter="0" w:footer="0" w:header="0"/>
        </w:sectPr>
      </w:pPr>
    </w:p>
    <w:bookmarkStart w:id="25" w:name="page26"/>
    <w:bookmarkEnd w:id="2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or from any labor dispute or court or governmental action, order or decree, otherwise than as set forth or contemplated in the Time of Sale Prospectus, and (ii) since the respective dates as of which information is given in the Time of Sale Prospectus there shall not have been any change in the capital stock or long term debt of the Company or any of the Subsidiaries or any change or effect, or any development involving a prospective change or effect, in or affecting (x) the financial condition, business, properties, business prospects or results of operations of the Company and the Subsidiaries taken as a whole, except as set forth or contemplated in the Time of Sale Prospectus and the Prospectus, or (y) the ability of the Company to perform its obligations under this Agreement, including the issuance and sale of the Shares, or to consummate the transactions contemplated in the Time of Sale Prospectus and the Prospectus, the effect of which, in any such case described in clause (i) or (ii), is in your reasonable judgment so material and adverse as to make it impracticable or inadvisable to proceed with the public offering or the delivery of the Shares being delivered at such Time of Delivery on the terms and in the manner contemplated in the Time of Sale Prospectus and the Prospectus;</w:t>
      </w:r>
    </w:p>
    <w:p>
      <w:pPr>
        <w:spacing w:after="0" w:line="70" w:lineRule="exact"/>
        <w:rPr>
          <w:sz w:val="20"/>
          <w:szCs w:val="20"/>
          <w:color w:val="auto"/>
        </w:rPr>
      </w:pPr>
    </w:p>
    <w:p>
      <w:pPr>
        <w:ind w:right="40" w:firstLine="428"/>
        <w:spacing w:after="0" w:line="259" w:lineRule="auto"/>
        <w:tabs>
          <w:tab w:leader="none" w:pos="7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Company’s debt securities or preferred stock by any “nationally recognized statistical rating organization”, as that term is defined in Section 3(a)(62) under the Exchange Act, and (ii) no such organization shall have publicly announced that it has under surveillance or review, with possible negative implications, its rating of any of the Company’s debt securities or preferred stock;</w:t>
      </w:r>
    </w:p>
    <w:p>
      <w:pPr>
        <w:spacing w:after="0" w:line="78" w:lineRule="exact"/>
        <w:rPr>
          <w:rFonts w:ascii="Arial" w:cs="Arial" w:eastAsia="Arial" w:hAnsi="Arial"/>
          <w:sz w:val="18"/>
          <w:szCs w:val="18"/>
          <w:color w:val="auto"/>
        </w:rPr>
      </w:pPr>
    </w:p>
    <w:p>
      <w:pPr>
        <w:ind w:right="20" w:firstLine="428"/>
        <w:spacing w:after="0" w:line="290" w:lineRule="auto"/>
        <w:tabs>
          <w:tab w:leader="none" w:pos="8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New York Stock Exchange or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reasonable judgment makes it impracticable or inadvisable to proceed with the public offering or the delivery of the Shares being delivered at such Time of Delivery on the terms and in the manner contemplated in the Time of Sale Prospectus and the Prospectus;</w:t>
      </w:r>
    </w:p>
    <w:p>
      <w:pPr>
        <w:spacing w:after="0" w:line="58" w:lineRule="exact"/>
        <w:rPr>
          <w:rFonts w:ascii="Arial" w:cs="Arial" w:eastAsia="Arial" w:hAnsi="Arial"/>
          <w:sz w:val="16"/>
          <w:szCs w:val="16"/>
          <w:color w:val="auto"/>
        </w:rPr>
      </w:pPr>
    </w:p>
    <w:p>
      <w:pPr>
        <w:ind w:left="780" w:hanging="352"/>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at each Time of Delivery shall have been duly listed, subject to notice of issuance, on Nasdaq;</w:t>
      </w:r>
    </w:p>
    <w:p>
      <w:pPr>
        <w:spacing w:after="0" w:line="117" w:lineRule="exact"/>
        <w:rPr>
          <w:rFonts w:ascii="Arial" w:cs="Arial" w:eastAsia="Arial" w:hAnsi="Arial"/>
          <w:sz w:val="18"/>
          <w:szCs w:val="18"/>
          <w:color w:val="auto"/>
        </w:rPr>
      </w:pPr>
    </w:p>
    <w:p>
      <w:pPr>
        <w:ind w:right="300" w:firstLine="428"/>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5(d) hereof with respect to the furnishing of prospectuses on the New York Business Day next succeeding the date of this Agreement;</w:t>
      </w:r>
    </w:p>
    <w:p>
      <w:pPr>
        <w:spacing w:after="0" w:line="62" w:lineRule="exact"/>
        <w:rPr>
          <w:rFonts w:ascii="Arial" w:cs="Arial" w:eastAsia="Arial" w:hAnsi="Arial"/>
          <w:sz w:val="18"/>
          <w:szCs w:val="18"/>
          <w:color w:val="auto"/>
        </w:rPr>
      </w:pPr>
    </w:p>
    <w:p>
      <w:pPr>
        <w:ind w:firstLine="428"/>
        <w:spacing w:after="0" w:line="277" w:lineRule="auto"/>
        <w:tabs>
          <w:tab w:leader="none" w:pos="8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Underwriters shall have received from each person listed on Exhibit B hereto an executed lock-up letter agreement substantially to the effect set forth in the form attached hereto as Exhibit A.</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40"/>
          </w:cols>
          <w:pgMar w:left="880" w:top="274" w:right="479" w:bottom="1440" w:gutter="0" w:footer="0" w:header="0"/>
        </w:sectPr>
      </w:pPr>
    </w:p>
    <w:bookmarkStart w:id="26" w:name="page27"/>
    <w:bookmarkEnd w:id="26"/>
    <w:p>
      <w:pPr>
        <w:ind w:left="420" w:right="20" w:firstLine="428"/>
        <w:spacing w:after="0" w:line="302" w:lineRule="auto"/>
        <w:tabs>
          <w:tab w:leader="none" w:pos="1230"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have furnished or caused to be furnished to you at such Time of Delivery certificates of officers of the Company reasonably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(k) and (l) of this Section and as to such other matters as you may reasonably request.</w:t>
      </w:r>
    </w:p>
    <w:p>
      <w:pPr>
        <w:spacing w:after="0" w:line="154" w:lineRule="exact"/>
        <w:rPr>
          <w:rFonts w:ascii="Arial" w:cs="Arial" w:eastAsia="Arial" w:hAnsi="Arial"/>
          <w:sz w:val="16"/>
          <w:szCs w:val="16"/>
          <w:color w:val="auto"/>
        </w:rPr>
      </w:pPr>
    </w:p>
    <w:p>
      <w:pPr>
        <w:ind w:left="-20" w:firstLine="444"/>
        <w:spacing w:after="0" w:line="287" w:lineRule="auto"/>
        <w:tabs>
          <w:tab w:leader="none" w:pos="7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Time of Sale Prospectus or the Prospectus, or any amendment or supplement thereto, any Issuer Free Writing Prospectus, any “roadshow” as defined in Rule 433(h) under the Securities Act (a “roadshow”), or any “issuer information” filed or required to be filed pursuant to Rule 433(d) under the Securities Act, or arise out of or are based upon the omission or alleged omission to state therein a material fact required to be stated therein or necessary to make the statements therein, in the light of the circumstances under which they were made,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Base Prospectus, any preliminary prospectus, the Time of Sale Prospectus or the Prospectus, or any amendment or supplement thereto, or any Issuer Free Writing Prospectus, in reliance upon and in conformity with the Underwriter Information.</w:t>
      </w:r>
    </w:p>
    <w:p>
      <w:pPr>
        <w:spacing w:after="0" w:line="60" w:lineRule="exact"/>
        <w:rPr>
          <w:rFonts w:ascii="Arial" w:cs="Arial" w:eastAsia="Arial" w:hAnsi="Arial"/>
          <w:sz w:val="16"/>
          <w:szCs w:val="16"/>
          <w:color w:val="auto"/>
        </w:rPr>
      </w:pPr>
    </w:p>
    <w:p>
      <w:pPr>
        <w:ind w:left="420" w:right="40" w:firstLine="428"/>
        <w:spacing w:after="0" w:line="287" w:lineRule="auto"/>
        <w:tabs>
          <w:tab w:leader="none" w:pos="123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Underwriter will severally and not jointly indemnify and hold harmless the Company against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Time of Sale Prospectus or the Prospectus, or any amendment or supplement thereto, or any Issuer Free Writing Prospectus or any roadshow, or arise out of or are based upon the omission or alleged omission to state therein a material fact required to be stated therein or necessary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Base Prospectus, any preliminary prospectus, the Time of Sale Prospectus or the Prospectus, or any amendment or supplement thereto, or any Issuer Free Writing Prospectus, or any roadshow,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27" w:name="page28"/>
    <w:bookmarkEnd w:id="2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furnished to the Company by such Underwriter through the Representative expressly for use therein; it being understood and agreed upon that the only such information furnished by any Underwriter consists of the following information in the Prospectus furnished on behalf of each Underwriter: the concession and reallowance figures appearing in the sixth paragraph under the caption “Underwriting (conflicts of interest)”, and the information contained in the twelfth paragraph under the caption “Underwriting (conflicts of interest)”.</w:t>
      </w:r>
    </w:p>
    <w:p>
      <w:pPr>
        <w:spacing w:after="0" w:line="63" w:lineRule="exact"/>
        <w:rPr>
          <w:sz w:val="20"/>
          <w:szCs w:val="20"/>
          <w:color w:val="auto"/>
        </w:rPr>
      </w:pPr>
    </w:p>
    <w:p>
      <w:pPr>
        <w:ind w:firstLine="428"/>
        <w:spacing w:after="0" w:line="284" w:lineRule="auto"/>
        <w:tabs>
          <w:tab w:leader="none" w:pos="8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or pursuant to the immediately following sentence. In any such action,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person; or (iv) the named parties in any such action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3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28" w:name="page29"/>
    <w:bookmarkEnd w:id="28"/>
    <w:p>
      <w:pPr>
        <w:ind w:firstLine="428"/>
        <w:spacing w:after="0" w:line="284" w:lineRule="auto"/>
        <w:tabs>
          <w:tab w:leader="none" w:pos="813"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(net of underwriting discounts and commissions but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283" w:lineRule="exact"/>
        <w:rPr>
          <w:rFonts w:ascii="Arial" w:cs="Arial" w:eastAsia="Arial" w:hAnsi="Arial"/>
          <w:sz w:val="16"/>
          <w:szCs w:val="16"/>
          <w:color w:val="auto"/>
        </w:rPr>
      </w:pPr>
    </w:p>
    <w:p>
      <w:pPr>
        <w:ind w:right="140" w:firstLine="428"/>
        <w:spacing w:after="0" w:line="264"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officer, director and employee of each Underwriter and to each person, if any, who controls any Underwriter within the meaning of the Securities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9" w:name="page30"/>
    <w:bookmarkEnd w:id="29"/>
    <w:p>
      <w:pPr>
        <w:jc w:val="both"/>
        <w:ind w:left="440"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Securities Act.</w:t>
      </w:r>
    </w:p>
    <w:p>
      <w:pPr>
        <w:spacing w:after="0" w:line="166" w:lineRule="exact"/>
        <w:rPr>
          <w:sz w:val="20"/>
          <w:szCs w:val="20"/>
          <w:color w:val="auto"/>
        </w:rPr>
      </w:pPr>
    </w:p>
    <w:p>
      <w:pPr>
        <w:ind w:right="20" w:firstLine="444"/>
        <w:spacing w:after="0" w:line="288" w:lineRule="auto"/>
        <w:tabs>
          <w:tab w:leader="none" w:pos="8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forty-eight hours after such default by any Underwriter you do not arrange for the purchase of such Shares, then the Company shall be entitled to a further period of forty-eight hours within which to procure another party or other parties reasonably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61" w:lineRule="exact"/>
        <w:rPr>
          <w:rFonts w:ascii="Arial" w:cs="Arial" w:eastAsia="Arial" w:hAnsi="Arial"/>
          <w:sz w:val="16"/>
          <w:szCs w:val="16"/>
          <w:color w:val="auto"/>
        </w:rPr>
      </w:pPr>
    </w:p>
    <w:p>
      <w:pPr>
        <w:ind w:left="440" w:firstLine="428"/>
        <w:spacing w:after="0" w:line="288" w:lineRule="auto"/>
        <w:tabs>
          <w:tab w:leader="none" w:pos="125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In such event,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Nothing herein shall relieve a defaulting Underwriter from liability for its default.</w:t>
      </w:r>
    </w:p>
    <w:p>
      <w:pPr>
        <w:spacing w:after="0" w:line="61" w:lineRule="exact"/>
        <w:rPr>
          <w:rFonts w:ascii="Arial" w:cs="Arial" w:eastAsia="Arial" w:hAnsi="Arial"/>
          <w:sz w:val="16"/>
          <w:szCs w:val="16"/>
          <w:color w:val="auto"/>
        </w:rPr>
      </w:pPr>
    </w:p>
    <w:p>
      <w:pPr>
        <w:ind w:left="440" w:firstLine="428"/>
        <w:spacing w:after="0" w:line="288" w:lineRule="auto"/>
        <w:tabs>
          <w:tab w:leader="none" w:pos="124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ind w:left="440" w:right="240"/>
        <w:spacing w:after="0" w:line="261" w:lineRule="auto"/>
        <w:rPr>
          <w:rFonts w:ascii="Arial" w:cs="Arial" w:eastAsia="Arial" w:hAnsi="Arial"/>
          <w:sz w:val="16"/>
          <w:szCs w:val="16"/>
          <w:color w:val="auto"/>
        </w:rPr>
      </w:pPr>
      <w:r>
        <w:rPr>
          <w:rFonts w:ascii="Arial" w:cs="Arial" w:eastAsia="Arial" w:hAnsi="Arial"/>
          <w:sz w:val="18"/>
          <w:szCs w:val="18"/>
          <w:color w:val="auto"/>
        </w:rPr>
        <w:t>(b) above to require non-defaulting Underwriters to purchase Shares of a defaulting Underwriter or Underwriters, then this Agreement (or, with respect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ind w:left="4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87" w:lineRule="exact"/>
        <w:rPr>
          <w:sz w:val="20"/>
          <w:szCs w:val="20"/>
          <w:color w:val="auto"/>
        </w:rPr>
      </w:pPr>
    </w:p>
    <w:p>
      <w:pPr>
        <w:ind w:right="80" w:firstLine="444"/>
        <w:spacing w:after="0" w:line="257" w:lineRule="auto"/>
        <w:tabs>
          <w:tab w:leader="none" w:pos="8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officer, director, employee, controlling person, broker-dealer or other affiliate of any Underwriter, or the Company, or any officer or director or controlling person of the Company, and shall survive delivery of and payment for the Shares.</w:t>
      </w:r>
    </w:p>
    <w:p>
      <w:pPr>
        <w:spacing w:after="0" w:line="188" w:lineRule="exact"/>
        <w:rPr>
          <w:rFonts w:ascii="Arial" w:cs="Arial" w:eastAsia="Arial" w:hAnsi="Arial"/>
          <w:sz w:val="18"/>
          <w:szCs w:val="18"/>
          <w:color w:val="auto"/>
        </w:rPr>
      </w:pPr>
    </w:p>
    <w:p>
      <w:pPr>
        <w:ind w:right="260" w:firstLine="444"/>
        <w:spacing w:after="0" w:line="297" w:lineRule="auto"/>
        <w:tabs>
          <w:tab w:leader="none" w:pos="8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58" w:lineRule="exact"/>
        <w:rPr>
          <w:rFonts w:ascii="Arial" w:cs="Arial" w:eastAsia="Arial" w:hAnsi="Arial"/>
          <w:sz w:val="16"/>
          <w:szCs w:val="16"/>
          <w:color w:val="auto"/>
        </w:rPr>
      </w:pPr>
    </w:p>
    <w:p>
      <w:pPr>
        <w:ind w:right="60" w:firstLine="444"/>
        <w:spacing w:after="0" w:line="277" w:lineRule="auto"/>
        <w:tabs>
          <w:tab w:leader="none" w:pos="8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w:t>
      </w:r>
    </w:p>
    <w:p>
      <w:pPr>
        <w:spacing w:after="0" w:line="170"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telex or facsimile transmission to you as the Representative in care of J.P. Morgan Securities LLC, 383 Madison Avenue, New York, New York 10179, Attention: Equity Syndicate Desk;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78"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7" w:lineRule="exact"/>
        <w:rPr>
          <w:sz w:val="20"/>
          <w:szCs w:val="20"/>
          <w:color w:val="auto"/>
        </w:rPr>
      </w:pPr>
    </w:p>
    <w:p>
      <w:pPr>
        <w:ind w:right="480" w:firstLine="444"/>
        <w:spacing w:after="0" w:line="342" w:lineRule="auto"/>
        <w:tabs>
          <w:tab w:leader="none" w:pos="8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to the extent provided in Sections 9 and 11 hereof, the officers and directors of the Company and each person who controls the Company and the officers,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employees, broker-dealers and other affiliates of any Underwriter and each person who controls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66" w:lineRule="exact"/>
        <w:rPr>
          <w:sz w:val="20"/>
          <w:szCs w:val="20"/>
          <w:color w:val="auto"/>
        </w:rPr>
      </w:pPr>
    </w:p>
    <w:p>
      <w:pPr>
        <w:ind w:right="180" w:firstLine="444"/>
        <w:spacing w:after="0" w:line="277" w:lineRule="auto"/>
        <w:tabs>
          <w:tab w:leader="none" w:pos="8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200" w:firstLine="444"/>
        <w:spacing w:after="0" w:line="290" w:lineRule="auto"/>
        <w:tabs>
          <w:tab w:leader="none" w:pos="8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66" w:lineRule="exact"/>
        <w:rPr>
          <w:rFonts w:ascii="Arial" w:cs="Arial" w:eastAsia="Arial" w:hAnsi="Arial"/>
          <w:sz w:val="16"/>
          <w:szCs w:val="16"/>
          <w:color w:val="auto"/>
        </w:rPr>
      </w:pPr>
    </w:p>
    <w:p>
      <w:pPr>
        <w:ind w:right="180" w:firstLine="444"/>
        <w:spacing w:after="0" w:line="277" w:lineRule="auto"/>
        <w:tabs>
          <w:tab w:leader="none" w:pos="8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60" w:firstLine="444"/>
        <w:spacing w:after="0" w:line="271" w:lineRule="auto"/>
        <w:tabs>
          <w:tab w:leader="none" w:pos="8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AGREEMENT, ANY CLAIM, CONTROVERSY OR DISPUTE ARISING UNDER OR RELATING TO 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78" w:lineRule="exact"/>
        <w:rPr>
          <w:rFonts w:ascii="Arial" w:cs="Arial" w:eastAsia="Arial" w:hAnsi="Arial"/>
          <w:sz w:val="17"/>
          <w:szCs w:val="17"/>
          <w:color w:val="auto"/>
        </w:rPr>
      </w:pPr>
    </w:p>
    <w:p>
      <w:pPr>
        <w:ind w:right="100" w:firstLine="444"/>
        <w:spacing w:after="0" w:line="277" w:lineRule="auto"/>
        <w:tabs>
          <w:tab w:leader="none" w:pos="8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20" w:firstLine="444"/>
        <w:spacing w:after="0" w:line="264" w:lineRule="auto"/>
        <w:tabs>
          <w:tab w:leader="none" w:pos="8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0"/>
          </w:cols>
          <w:pgMar w:left="440" w:top="274" w:right="919" w:bottom="1440" w:gutter="0" w:footer="0" w:header="0"/>
        </w:sectPr>
      </w:pPr>
    </w:p>
    <w:bookmarkStart w:id="33" w:name="page34"/>
    <w:bookmarkEnd w:id="33"/>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C. Burwell, Jr.</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Arial" w:cs="Arial" w:eastAsia="Arial" w:hAnsi="Arial"/>
          <w:sz w:val="18"/>
          <w:szCs w:val="18"/>
          <w:color w:val="auto"/>
        </w:rPr>
        <w:t>Title:</w:t>
        <w:tab/>
        <w:t>Senior Vice President and Chief Financial</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Manoj Vemula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Manoj Vemula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 w:name="page35"/>
    <w:bookmarkEnd w:id="34"/>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60" w:type="dxa"/>
            <w:vAlign w:val="bottom"/>
            <w:gridSpan w:val="2"/>
            <w:vMerge w:val="restart"/>
          </w:tcPr>
          <w:p>
            <w:pPr>
              <w:jc w:val="center"/>
              <w:ind w:left="2932"/>
              <w:spacing w:after="0"/>
              <w:rPr>
                <w:sz w:val="20"/>
                <w:szCs w:val="20"/>
                <w:color w:val="auto"/>
              </w:rPr>
            </w:pPr>
            <w:r>
              <w:rPr>
                <w:rFonts w:ascii="Arial" w:cs="Arial" w:eastAsia="Arial" w:hAnsi="Arial"/>
                <w:sz w:val="14"/>
                <w:szCs w:val="14"/>
                <w:b w:val="1"/>
                <w:bCs w:val="1"/>
                <w:color w:val="auto"/>
                <w:w w:val="95"/>
              </w:rPr>
              <w:t>Number of Firm</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Optional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3"/>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Shares Which</w:t>
            </w:r>
          </w:p>
        </w:tc>
        <w:tc>
          <w:tcPr>
            <w:tcW w:w="0" w:type="dxa"/>
            <w:vAlign w:val="bottom"/>
          </w:tcPr>
          <w:p>
            <w:pPr>
              <w:spacing w:after="0"/>
              <w:rPr>
                <w:sz w:val="1"/>
                <w:szCs w:val="1"/>
                <w:color w:val="auto"/>
              </w:rPr>
            </w:pPr>
          </w:p>
        </w:tc>
      </w:tr>
      <w:tr>
        <w:trPr>
          <w:trHeight w:val="149"/>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3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May be</w:t>
            </w:r>
          </w:p>
        </w:tc>
        <w:tc>
          <w:tcPr>
            <w:tcW w:w="0" w:type="dxa"/>
            <w:vAlign w:val="bottom"/>
          </w:tcPr>
          <w:p>
            <w:pPr>
              <w:spacing w:after="0"/>
              <w:rPr>
                <w:sz w:val="1"/>
                <w:szCs w:val="1"/>
                <w:color w:val="auto"/>
              </w:rPr>
            </w:pPr>
          </w:p>
        </w:tc>
      </w:tr>
      <w:tr>
        <w:trPr>
          <w:trHeight w:val="158"/>
        </w:trPr>
        <w:tc>
          <w:tcPr>
            <w:tcW w:w="5680" w:type="dxa"/>
            <w:vAlign w:val="bottom"/>
            <w:gridSpan w:val="3"/>
            <w:vMerge w:val="continue"/>
          </w:tcPr>
          <w:p>
            <w:pPr>
              <w:spacing w:after="0"/>
              <w:rPr>
                <w:sz w:val="13"/>
                <w:szCs w:val="13"/>
                <w:color w:val="auto"/>
              </w:rPr>
            </w:pPr>
          </w:p>
        </w:tc>
        <w:tc>
          <w:tcPr>
            <w:tcW w:w="30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3"/>
                <w:szCs w:val="13"/>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30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7,250,000</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1,625,000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1,250,000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 Street Capital Markets, LLC</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CJS Securities, Inc.</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3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I-1</w:t>
      </w:r>
    </w:p>
    <w:p>
      <w:pPr>
        <w:sectPr>
          <w:pgSz w:w="11900" w:h="16838" w:orient="portrait"/>
          <w:cols w:equalWidth="0" w:num="1">
            <w:col w:w="11040"/>
          </w:cols>
          <w:pgMar w:left="440" w:top="270" w:right="419" w:bottom="1440" w:gutter="0" w:footer="0" w:header="0"/>
        </w:sectPr>
      </w:pPr>
    </w:p>
    <w:bookmarkStart w:id="35" w:name="page36"/>
    <w:bookmarkEnd w:id="35"/>
    <w:p>
      <w:pPr>
        <w:ind w:left="49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ind w:left="876" w:right="3939" w:hanging="876"/>
        <w:spacing w:after="0" w:line="402"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September 11, 2018</w:t>
      </w:r>
    </w:p>
    <w:p>
      <w:pPr>
        <w:spacing w:after="0" w:line="62" w:lineRule="exact"/>
        <w:rPr>
          <w:rFonts w:ascii="Arial" w:cs="Arial" w:eastAsia="Arial" w:hAnsi="Arial"/>
          <w:sz w:val="18"/>
          <w:szCs w:val="18"/>
          <w:color w:val="auto"/>
        </w:rPr>
      </w:pPr>
    </w:p>
    <w:p>
      <w:pPr>
        <w:ind w:left="256" w:hanging="256"/>
        <w:spacing w:after="0"/>
        <w:tabs>
          <w:tab w:leader="none" w:pos="2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117" w:lineRule="exact"/>
        <w:rPr>
          <w:sz w:val="20"/>
          <w:szCs w:val="20"/>
          <w:color w:val="auto"/>
        </w:rPr>
      </w:pPr>
    </w:p>
    <w:p>
      <w:pPr>
        <w:ind w:left="876"/>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876" w:right="2719" w:hanging="876"/>
        <w:spacing w:after="0" w:line="375" w:lineRule="auto"/>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other than the Time of Sale Prospectus that comprise the Pricing Disclosure Package: The initial public offering price per share for the Shares is $16.00.</w:t>
      </w:r>
    </w:p>
    <w:p>
      <w:pPr>
        <w:spacing w:after="0" w:line="1" w:lineRule="exact"/>
        <w:rPr>
          <w:rFonts w:ascii="Arial" w:cs="Arial" w:eastAsia="Arial" w:hAnsi="Arial"/>
          <w:sz w:val="18"/>
          <w:szCs w:val="18"/>
          <w:color w:val="auto"/>
        </w:rPr>
      </w:pPr>
    </w:p>
    <w:p>
      <w:pPr>
        <w:ind w:left="876"/>
        <w:spacing w:after="0"/>
        <w:rPr>
          <w:rFonts w:ascii="Arial" w:cs="Arial" w:eastAsia="Arial" w:hAnsi="Arial"/>
          <w:sz w:val="18"/>
          <w:szCs w:val="18"/>
          <w:color w:val="auto"/>
        </w:rPr>
      </w:pPr>
      <w:r>
        <w:rPr>
          <w:rFonts w:ascii="Arial" w:cs="Arial" w:eastAsia="Arial" w:hAnsi="Arial"/>
          <w:sz w:val="18"/>
          <w:szCs w:val="18"/>
          <w:color w:val="auto"/>
        </w:rPr>
        <w:t>The number of Firm Shares purchased by the Underwriters is 12,500,000.</w:t>
      </w:r>
    </w:p>
    <w:p>
      <w:pPr>
        <w:spacing w:after="0" w:line="117" w:lineRule="exact"/>
        <w:rPr>
          <w:rFonts w:ascii="Arial" w:cs="Arial" w:eastAsia="Arial" w:hAnsi="Arial"/>
          <w:sz w:val="18"/>
          <w:szCs w:val="18"/>
          <w:color w:val="auto"/>
        </w:rPr>
      </w:pPr>
    </w:p>
    <w:p>
      <w:pPr>
        <w:ind w:left="876"/>
        <w:spacing w:after="0"/>
        <w:rPr>
          <w:rFonts w:ascii="Arial" w:cs="Arial" w:eastAsia="Arial" w:hAnsi="Arial"/>
          <w:sz w:val="18"/>
          <w:szCs w:val="18"/>
          <w:color w:val="auto"/>
        </w:rPr>
      </w:pPr>
      <w:r>
        <w:rPr>
          <w:rFonts w:ascii="Arial" w:cs="Arial" w:eastAsia="Arial" w:hAnsi="Arial"/>
          <w:sz w:val="16"/>
          <w:szCs w:val="16"/>
          <w:color w:val="auto"/>
        </w:rPr>
        <w:t>The number of Optional Shares to be purchased at the option of the Underwriters is up to 1,875,000.</w:t>
      </w:r>
    </w:p>
    <w:p>
      <w:pPr>
        <w:spacing w:after="0" w:line="181"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Schedule II-1</w:t>
      </w:r>
    </w:p>
    <w:p>
      <w:pPr>
        <w:sectPr>
          <w:pgSz w:w="11900" w:h="16838" w:orient="portrait"/>
          <w:cols w:equalWidth="0" w:num="1">
            <w:col w:w="10015"/>
          </w:cols>
          <w:pgMar w:left="444" w:top="270"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3"/>
          </w:tcPr>
          <w:p>
            <w:pPr>
              <w:jc w:val="center"/>
              <w:ind w:right="3850"/>
              <w:spacing w:after="0"/>
              <w:rPr>
                <w:sz w:val="20"/>
                <w:szCs w:val="20"/>
                <w:color w:val="auto"/>
              </w:rPr>
            </w:pPr>
            <w:r>
              <w:rPr>
                <w:rFonts w:ascii="Arial" w:cs="Arial" w:eastAsia="Arial" w:hAnsi="Arial"/>
                <w:sz w:val="18"/>
                <w:szCs w:val="18"/>
                <w:b w:val="1"/>
                <w:bCs w:val="1"/>
                <w:color w:val="auto"/>
              </w:rPr>
              <w:t>SCHEDULE III</w:t>
            </w:r>
          </w:p>
        </w:tc>
      </w:tr>
      <w:tr>
        <w:trPr>
          <w:trHeight w:val="392"/>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20" w:type="dxa"/>
            <w:vAlign w:val="bottom"/>
            <w:gridSpan w:val="3"/>
          </w:tcPr>
          <w:p>
            <w:pPr>
              <w:jc w:val="center"/>
              <w:ind w:right="3850"/>
              <w:spacing w:after="0"/>
              <w:rPr>
                <w:sz w:val="20"/>
                <w:szCs w:val="20"/>
                <w:color w:val="auto"/>
              </w:rPr>
            </w:pPr>
            <w:r>
              <w:rPr>
                <w:rFonts w:ascii="Arial" w:cs="Arial" w:eastAsia="Arial" w:hAnsi="Arial"/>
                <w:sz w:val="18"/>
                <w:szCs w:val="18"/>
                <w:b w:val="1"/>
                <w:bCs w:val="1"/>
                <w:color w:val="auto"/>
                <w:w w:val="89"/>
              </w:rPr>
              <w:t>List of Subsidiaries</w:t>
            </w:r>
          </w:p>
        </w:tc>
      </w:tr>
      <w:tr>
        <w:trPr>
          <w:trHeight w:val="480"/>
        </w:trPr>
        <w:tc>
          <w:tcPr>
            <w:tcW w:w="190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b w:val="1"/>
                <w:bCs w:val="1"/>
                <w:color w:val="auto"/>
                <w:w w:val="90"/>
              </w:rPr>
              <w:t>Subsidiaries of NN, Inc.</w:t>
            </w:r>
          </w:p>
        </w:tc>
        <w:tc>
          <w:tcPr>
            <w:tcW w:w="10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9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19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color w:val="auto"/>
              </w:rPr>
              <w:t>Advanced Precision Products, Inc.</w:t>
            </w:r>
          </w:p>
        </w:tc>
        <w:tc>
          <w:tcPr>
            <w:tcW w:w="1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(China) Automotive Components Co., Ltd.</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Corporation</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do Brasil Usinagem, Ltda.</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Equipment Holdings,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Equipment,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Europe, B.V.</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France, SARL</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International, Ltd</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Poland Sp. z o.o.</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Poland</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 South Carolina,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Autocam-Pax,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Boston Endo-Surgical Technologies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Bouverat Industries, S.A.S.</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Brainin (Foshan) Precision Engineered Products Co. Ltd.</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Brainin de Mexico, S.A. de C.V.</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Brainin-Advance Industries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Caprock Enclosures,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Caprock Manufacturing,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Connecticut Plastics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General Metal Finishing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Holmed,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HowesTemco,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Industrial Molding Corporation</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Lacey Manufacturing Company,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Matrix I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MLV 68 Sp. Z o.o.</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Poland</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NN Life Sciences Design &amp; Development,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NN Life Sciences – Vandalia, LLC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NN Precisions Plastics,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Paragon Acquisition Corp.</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Indiana</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Paragon Medical Device (Changzhou) Co. Ltd.</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Paragon Medical Europe, S.a.r.l.</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Paragon Medical,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Indiana</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Paragon Medical International,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Indiana</w:t>
            </w: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Paragon Siechnice Sp. Z o.o.</w:t>
            </w: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Poland</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Platinum Surgical Instruments,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Wisconsin</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PMC Acquisition Company,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PMC USA Acquisition Company, Inc.</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PMG Acquisition Corporation</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PMG Intermediate Holdings Corporation</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PNC Acquisition Company Inc.</w:t>
            </w: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Polymetallurgical LLC</w:t>
            </w: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20" w:type="dxa"/>
            <w:vAlign w:val="bottom"/>
            <w:gridSpan w:val="3"/>
          </w:tcPr>
          <w:p>
            <w:pPr>
              <w:jc w:val="center"/>
              <w:ind w:right="3850"/>
              <w:spacing w:after="0"/>
              <w:rPr>
                <w:sz w:val="20"/>
                <w:szCs w:val="20"/>
                <w:color w:val="auto"/>
              </w:rPr>
            </w:pPr>
            <w:r>
              <w:rPr>
                <w:rFonts w:ascii="Arial" w:cs="Arial" w:eastAsia="Arial" w:hAnsi="Arial"/>
                <w:sz w:val="18"/>
                <w:szCs w:val="18"/>
                <w:color w:val="auto"/>
                <w:w w:val="93"/>
              </w:rPr>
              <w:t>Schedule III-1</w:t>
            </w:r>
          </w:p>
        </w:tc>
      </w:tr>
    </w:tbl>
    <w:p>
      <w:pPr>
        <w:jc w:val="center"/>
        <w:ind w:right="3850"/>
        <w:spacing w:after="0"/>
        <w:rPr>
          <w:sz w:val="20"/>
          <w:szCs w:val="20"/>
          <w:color w:val="auto"/>
        </w:rPr>
        <w:sectPr>
          <w:pgSz w:w="11900" w:h="16838" w:orient="portrait"/>
          <w:cols w:equalWidth="0" w:num="1">
            <w:col w:w="10200"/>
          </w:cols>
          <w:pgMar w:left="440" w:top="270" w:right="1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Precision Engineered Products Holdings, Inc.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Precision Engineered Products LLC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Precision Metal Components Mexico SRL</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98"/>
              </w:rPr>
              <w:t>Mexico</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Premco, Inc.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6"/>
              </w:rPr>
              <w:t>Massachusetts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Profiles Incorporated</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6"/>
              </w:rPr>
              <w:t>Massachusetts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Southern California Technical Arts, Inc.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94"/>
              </w:rPr>
              <w:t>California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Trigon International LLC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9"/>
              </w:rPr>
              <w:t>Delaware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Triumph LLC</w:t>
            </w:r>
          </w:p>
        </w:tc>
        <w:tc>
          <w:tcPr>
            <w:tcW w:w="4820" w:type="dxa"/>
            <w:vAlign w:val="bottom"/>
          </w:tcPr>
          <w:p>
            <w:pPr>
              <w:jc w:val="center"/>
              <w:ind w:left="3670"/>
              <w:spacing w:after="0"/>
              <w:rPr>
                <w:sz w:val="20"/>
                <w:szCs w:val="20"/>
                <w:color w:val="auto"/>
              </w:rPr>
            </w:pPr>
            <w:r>
              <w:rPr>
                <w:rFonts w:ascii="Arial" w:cs="Arial" w:eastAsia="Arial" w:hAnsi="Arial"/>
                <w:sz w:val="18"/>
                <w:szCs w:val="18"/>
                <w:color w:val="auto"/>
                <w:w w:val="94"/>
              </w:rPr>
              <w:t>Arizona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Wauconda Tool &amp; Engineering LLC</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89"/>
              </w:rPr>
              <w:t>Delaware</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Whirlaway Corporation</w:t>
            </w:r>
          </w:p>
        </w:tc>
        <w:tc>
          <w:tcPr>
            <w:tcW w:w="4820" w:type="dxa"/>
            <w:vAlign w:val="bottom"/>
          </w:tcPr>
          <w:p>
            <w:pPr>
              <w:jc w:val="center"/>
              <w:ind w:left="3690"/>
              <w:spacing w:after="0"/>
              <w:rPr>
                <w:sz w:val="20"/>
                <w:szCs w:val="20"/>
                <w:color w:val="auto"/>
              </w:rPr>
            </w:pPr>
            <w:r>
              <w:rPr>
                <w:rFonts w:ascii="Arial" w:cs="Arial" w:eastAsia="Arial" w:hAnsi="Arial"/>
                <w:sz w:val="18"/>
                <w:szCs w:val="18"/>
                <w:color w:val="auto"/>
                <w:w w:val="94"/>
              </w:rPr>
              <w:t>Ohio</w:t>
            </w:r>
          </w:p>
        </w:tc>
      </w:tr>
      <w:tr>
        <w:trPr>
          <w:trHeight w:val="365"/>
        </w:trPr>
        <w:tc>
          <w:tcPr>
            <w:tcW w:w="4140" w:type="dxa"/>
            <w:vAlign w:val="bottom"/>
          </w:tcPr>
          <w:p>
            <w:pPr>
              <w:spacing w:after="0"/>
              <w:rPr>
                <w:sz w:val="24"/>
                <w:szCs w:val="24"/>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Schedule III-2</w:t>
            </w:r>
          </w:p>
        </w:tc>
      </w:tr>
    </w:tbl>
    <w:p>
      <w:pPr>
        <w:ind w:left="860"/>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NN, Inc. – Common Equity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The undersigned understands that you, as representative (the “Representative”), propose to enter into an underwriting agreement (the “Underwriting Agreement”) on behalf of the several underwriters named in Schedule I to such agreement (collectively, the “Underwriters”), with NN, Inc., a Delaware corporation (the “Company”), providing for a public offering of the Common Stock of the Company (the “Shares”) pursuant to a Registration Statement on Form S-3 (No. 333-216737) filed with the Securities and Exchange Commission (the “SEC”). Capitalized terms used herein and not otherwise defined shall have the meanings set forth in the Underwriting Agreement.</w:t>
      </w:r>
    </w:p>
    <w:p>
      <w:pPr>
        <w:spacing w:after="0" w:line="173"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90 days after the date of the final Prospectus covering the public offering of the Shares, the undersigned will not (and will cause any spouse or immediate family member of the spouse or the undersigned living in the undersigned’s household not to)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for such spouse or family member) or with respect to which the undersigned has beneficial ownership within the rules and regulations of the SEC (collectively the “Undersigned’s Shares”), or publicly announce the intention to do any of the foregoing.</w:t>
      </w:r>
    </w:p>
    <w:p>
      <w:pPr>
        <w:spacing w:after="0" w:line="167"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foregoing restriction is expressly agreed to preclude the undersigned from engaging in any hedging or other transaction which is designed to or which reasonably could be expected to lead to or result in a sale or disposition of the Undersigned’s Shares even if such Undersigned’s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Undersigned’s Shares.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020"/>
          </w:cols>
          <w:pgMar w:left="440" w:top="270" w:right="439" w:bottom="1440" w:gutter="0" w:footer="0" w:header="0"/>
        </w:sectPr>
      </w:pPr>
    </w:p>
    <w:bookmarkStart w:id="39" w:name="page40"/>
    <w:bookmarkEnd w:id="39"/>
    <w:p>
      <w:pPr>
        <w:ind w:firstLine="44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foregoing, the undersigned may transfer the Undersigned’s Shares (i) 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provided that the donee or donees thereof agree to be bound in writing by the restrictions set forth herein, (ii) to any trust for the direct or indirect benefit of the undersigned or the immediate family of the undersigned, or to a corporation, partnership, limited partnership or limited liability company the stockholders, partners and members of which are the undersigned or the immediate family of the undersigned, or to a not-for-profit entity or organization for estate planning purposes, provided that in each case, the trustee of the trust or the transferee, as the case may be, agrees to be bound in writing by the restrictions set forth herein, and provided further that any such transfer shall not involve a disposition for value, (iii) to any retirement plan for the undersigned, provided that the plan or the trustee of the plan, as the case may be, agrees to be bound in writing by the restrictions set forth herein, and provided further that any such transfer shall not involve a disposition for value, (iv) with the prior written consent of J.P. Morgan Securities LLC on behalf of the Underwriters, or (v) pursuant to any contract, instruction or plan complying with Rule 10b5-1 (an “Existing 10b5-1 Plan”) of the rules of and regulations of the Securities and Exchange Commission promulgated under the Securities Exchange Act of 1934, as amended (the “Exchange Act”), that has been entered into by the undersigned prior to the date of this Lock-Up Agreement and disclosed to the Underwriters;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transfer pursuant to this clause (v), if the undersigned is required to file a report under Section 16(a) of the Exchange Act reporting a reduction in beneficial ownership of shares of Common Stock, the undersigned shall include a statement in such report to the effect that such transfer is pursuant to an Existing 10b5-1 Plan. For purposes of this Lock-Up Agreement, “immediate family” shall mean any relationship by blood, marriage or adoption, not more remote than first cousin. In addition, notwithstanding the foregoing, if the undersigned is a corporation, the corporation may transfer the capital stock of the Company to any wholly-owned subsidiary of such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such case,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provided further that any such transfer shall not involve a disposition for value. The undersigned, the individual for whom the undersigned is holding the Undersigned’s Shares as custodian, or the entity through which the undersigned has beneficial ownership of the Undersigned’s Shares, as applicable, now has, and, except as contemplated by clause (i) through (v)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83"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Notwithstanding anything herein to the contrary, the foregoing shall not be deemed to restrict the undersigned with respect to (i) the exercise (including any cashless exercise involving the transfer of securities between the undersigned and the Company) of options or warrants issued by the Company to the undersigned to acquire Common Stock or any securities convertible into or exchangeable or exercisable for Common Stock; provided that any Common Stock or any securities convertible into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020"/>
          </w:cols>
          <w:pgMar w:left="440" w:top="274" w:right="439" w:bottom="1440" w:gutter="0" w:footer="0" w:header="0"/>
        </w:sectPr>
      </w:pPr>
    </w:p>
    <w:bookmarkStart w:id="40" w:name="page41"/>
    <w:bookmarkEnd w:id="4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exchangeable or exercisable for Common Stock issuable upon exercise or settlement of such options and warrants shall be subject to the provisions of this Lock-Up Agreement, (ii) the withholding of the Undersigned’s Shares by the Company in connection with the vesting of restricted stock held by the undersigned as of the date of the Underwriting Agreement, (iii) transfers to the Company which occur in connection with, or after, the termination of the undersigned’s employment by, or service to, the Company or any of its subsidiaries and which disposition or sale of such Undersigned’s Shares does not require a filing under Section 16 of the Exchange Act, or (iv) the entering into any written trading plan or agreement (“Rule 10b5-1 Plan”) with a broker designed to comply with Rule 10b5-1(c)(1) promulgated pursuant to the Exchange Act, provided that any such Rule 10b5-1 Plan shall specify that any sales of the Undersigned’s Shares sold for the undersigned’s benefit pursuant to the Rule 10b5-1 Plan shall not occur during the term of this Lock-Up Agreement and provided further that such action does not trigger any public filing requirement and the undersigned does not make any such public filing;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transfer pursuant to clauses (i) through (iii), no filing by any party (including the Company or any donor, donee, transferor or transferee) under the Exchange Act or other public announcement shall be required or shall be made voluntarily in connection with such transfer (other than, in the case of a transfer pursuant to clause (i) or (ii), a required filing on a Form 4 which shall include a statement describing the reason for such transfer).</w:t>
      </w:r>
    </w:p>
    <w:p>
      <w:pPr>
        <w:spacing w:after="0" w:line="180"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For the avoidance of doubt, the foregoing shall not be construed to allow for distributions or transfers of the Undersigned’s Shares to limited partners, limited liability company members or stockholders of the undersigned or holders of similar equity interests in the undersigned.</w:t>
      </w:r>
    </w:p>
    <w:p>
      <w:pPr>
        <w:spacing w:after="0" w:line="12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undersigned understands that, if (i) the Underwriting Agreement does not become effective on or before the date that is six months after the date hereof, (ii) the Company notifies you in writing that it does not intend to proceed with the offering of the Shares, or (iii) if the Underwriting Agreement (other than the provisions thereof which survive termination) shall terminate or be terminated prior to payment for and delivery of the Shares to be sold thereunder, the undersigned shall be released from all obligations under this Lock-Up Agreement.</w:t>
      </w:r>
    </w:p>
    <w:p>
      <w:pPr>
        <w:spacing w:after="0" w:line="17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147" w:lineRule="exact"/>
        <w:rPr>
          <w:sz w:val="20"/>
          <w:szCs w:val="20"/>
          <w:color w:val="auto"/>
        </w:rPr>
      </w:pPr>
    </w:p>
    <w:p>
      <w:pPr>
        <w:ind w:right="780" w:firstLine="441"/>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000"/>
          </w:cols>
          <w:pgMar w:left="440" w:top="274" w:right="459"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0" w:lineRule="exact"/>
        <w:rPr>
          <w:sz w:val="20"/>
          <w:szCs w:val="20"/>
          <w:color w:val="auto"/>
        </w:rPr>
      </w:pPr>
    </w:p>
    <w:p>
      <w:pPr>
        <w:spacing w:after="0" w:line="322"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A-4</w:t>
      </w:r>
    </w:p>
    <w:p>
      <w:pPr>
        <w:sectPr>
          <w:pgSz w:w="11900" w:h="16838" w:orient="portrait"/>
          <w:cols w:equalWidth="0" w:num="1">
            <w:col w:w="9019"/>
          </w:cols>
          <w:pgMar w:left="1440" w:top="274"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Persons to Execute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 Robert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E. Brunner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C. Burwell,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Dries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K. Floyd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S. Heiter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Gail Nixon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L. Pugh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J. Qualters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Carey A.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Warren A. Veltman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T. Warshaw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020"/>
          </w:cols>
          <w:pgMar w:left="440" w:top="270"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172085</wp:posOffset>
            </wp:positionV>
            <wp:extent cx="214376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7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Tower at Peabody Place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Peabody Place, Suite 1300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5380" w:hanging="428"/>
        <w:spacing w:after="0"/>
        <w:tabs>
          <w:tab w:leader="none" w:pos="5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543-5900</w:t>
      </w:r>
    </w:p>
    <w:p>
      <w:pPr>
        <w:spacing w:after="0" w:line="210"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September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NN,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a Registration Statement on Form S-3,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Registration No. 333-216737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by the Company with the U.S.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related Prospectus Supplement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on September 13, 2018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relating to (i) the sale by the Company of 12,500,000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common stock, par value $0.01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(ii) the sale by the Company, at the option of the Underwriters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below), of up to 1,875,000 additional shares of Common Stock (the “</w:t>
      </w:r>
      <w:r>
        <w:rPr>
          <w:rFonts w:ascii="Arial" w:cs="Arial" w:eastAsia="Arial" w:hAnsi="Arial"/>
          <w:sz w:val="16"/>
          <w:szCs w:val="16"/>
          <w:b w:val="1"/>
          <w:bCs w:val="1"/>
          <w:i w:val="1"/>
          <w:iCs w:val="1"/>
          <w:color w:val="auto"/>
        </w:rPr>
        <w:t>Optional Shares</w:t>
      </w:r>
      <w:r>
        <w:rPr>
          <w:rFonts w:ascii="Arial" w:cs="Arial" w:eastAsia="Arial" w:hAnsi="Arial"/>
          <w:sz w:val="16"/>
          <w:szCs w:val="16"/>
          <w:color w:val="auto"/>
        </w:rPr>
        <w:t>,” and, together with the Firm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being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offered by the Company pursuant to the Underwriting Agreement, dated September 13, 2018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J.P. Morgan Securities LLC, as the representative of the underwriters, and the syndicate of underwriters named in Schedule I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This opinion is being furnished in connection with the requirements of Item 601(b)(5) of Regulation S-K under the Act, and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opinion is expressed herein as to any matter pertaining to the contents of the Registration Statement or the Prospectus Supplement, other than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expressly stated herein with respect to the issuance of the Shares.</w:t>
      </w:r>
    </w:p>
    <w:p>
      <w:pPr>
        <w:spacing w:after="0" w:line="21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connection with this opinion, we have examined and relied upon the Registration Statement and the Prospectus Supplement, the Underwriting Agreement, the Company’s Restated Certificate of Incorporation, as amended from time to time, the Company’s Restated By-Laws, that certain Opinion Certificate dated as of the date hereof and delivered by Matthew S. Heiter, Senior Vice President and General Counsel of the Company, and originals or copies certified to our satisfaction of such other records, documents, certificates, memoranda and other instruments as in our judgment are necessary or appropriate to enable us to render the opinions expressed below.</w:t>
      </w:r>
    </w:p>
    <w:p>
      <w:pPr>
        <w:spacing w:after="0" w:line="18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In our aforesaid examination, we have assumed the genuineness of all signatures, the legal capacity of natural persons, the accuracy and completeness of all documents submitted to us, the authenticity of all original documents, and the conformity to authentic original documents of all documents submitted to us as certified, telecopied, photostatic, or reproduced copies. We have also assumed the accuracy, completeness and authenticity of the foregoing certifications of officers and statements of fact, on which we are relying, and have made no independent investigations thereof. This opinion letter is given, and all statements herein are made, in the context of the foregoing.</w:t>
      </w:r>
    </w:p>
    <w:p>
      <w:pPr>
        <w:sectPr>
          <w:pgSz w:w="11900" w:h="16838" w:orient="portrait"/>
          <w:cols w:equalWidth="0" w:num="1">
            <w:col w:w="11020"/>
          </w:cols>
          <w:pgMar w:left="440" w:top="121" w:right="43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upon and subject to the foregoing and the other assumptions and qualifications set forth herein, it is our opinion that, as of the date hereof:</w:t>
      </w:r>
    </w:p>
    <w:p>
      <w:pPr>
        <w:spacing w:after="0" w:line="154" w:lineRule="exact"/>
        <w:rPr>
          <w:sz w:val="20"/>
          <w:szCs w:val="20"/>
          <w:color w:val="auto"/>
        </w:rPr>
      </w:pPr>
    </w:p>
    <w:p>
      <w:pPr>
        <w:ind w:left="860" w:right="80" w:hanging="424"/>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Firm Shares have been duly authorized and, when issued and delivered by the Company against payment of the consideration set forth in the Underwriting Agreement, will be validly issued, fully paid and non-assessable.</w:t>
      </w:r>
    </w:p>
    <w:p>
      <w:pPr>
        <w:spacing w:after="0" w:line="75" w:lineRule="exact"/>
        <w:rPr>
          <w:rFonts w:ascii="Arial" w:cs="Arial" w:eastAsia="Arial" w:hAnsi="Arial"/>
          <w:sz w:val="18"/>
          <w:szCs w:val="18"/>
          <w:color w:val="auto"/>
        </w:rPr>
      </w:pPr>
    </w:p>
    <w:p>
      <w:pPr>
        <w:ind w:left="860" w:right="40" w:hanging="424"/>
        <w:spacing w:after="0" w:line="286"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Optional Shares have been duly authorized, and assuming the due and proper exercise of the Underwriters’ option in accordance with the terms of the Underwriting Agreement and, when issued and delivered by the Company pursuant to the Underwriting Agreement against payment of the consideration set forth therein, will be validly issued, fully paid and non-assessable.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opinion also is subject to the following qualifications:</w:t>
      </w:r>
    </w:p>
    <w:p>
      <w:pPr>
        <w:spacing w:after="0" w:line="131" w:lineRule="exact"/>
        <w:rPr>
          <w:sz w:val="20"/>
          <w:szCs w:val="20"/>
          <w:color w:val="auto"/>
        </w:rPr>
      </w:pPr>
    </w:p>
    <w:p>
      <w:pPr>
        <w:ind w:left="860" w:right="160" w:hanging="424"/>
        <w:spacing w:after="0" w:line="308" w:lineRule="auto"/>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opinions as set forth herein are limited in all respects to the federal laws of the United States of America and, to the extent applicable, the General Corporation Law of the State of Delaware. No opinion is given regarding the laws of any other jurisdiction.</w:t>
      </w:r>
    </w:p>
    <w:p>
      <w:pPr>
        <w:spacing w:after="0" w:line="51" w:lineRule="exact"/>
        <w:rPr>
          <w:rFonts w:ascii="Arial" w:cs="Arial" w:eastAsia="Arial" w:hAnsi="Arial"/>
          <w:sz w:val="17"/>
          <w:szCs w:val="17"/>
          <w:color w:val="auto"/>
        </w:rPr>
      </w:pPr>
    </w:p>
    <w:p>
      <w:pPr>
        <w:ind w:left="860" w:hanging="424"/>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express no opinion with respect to the registration or qualification of the Securities under any state securities or “Blue Sky” laws.</w:t>
      </w:r>
    </w:p>
    <w:p>
      <w:pPr>
        <w:spacing w:after="0" w:line="142"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letter is strictly limited to those matters expressly addressed herein. We express no opinion as to any matter not specifically stated to be and numbered above as an opinion.</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letter is rendered as of the date hereof and we assume no responsibility to update this letter for any changes in applicable law occurring after the date hereof.</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Securities Act. We consent to your filing this opinion as an exhibit to the Company’s Current Report on Form 8-K, to be filed September 14, 2018.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BASS, BERRY &amp; SIMS, PLC</w:t>
      </w:r>
    </w:p>
    <w:p>
      <w:pPr>
        <w:sectPr>
          <w:pgSz w:w="11900" w:h="16838" w:orient="portrait"/>
          <w:cols w:equalWidth="0" w:num="1">
            <w:col w:w="10960"/>
          </w:cols>
          <w:pgMar w:left="440" w:top="274" w:right="4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172085</wp:posOffset>
            </wp:positionV>
            <wp:extent cx="1912620" cy="5918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12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Taylor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Marketing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(980) 264-4313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5140" w:space="720"/>
            <w:col w:w="5160"/>
          </w:cols>
          <w:pgMar w:left="440" w:top="121"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ectPr>
          <w:pgSz w:w="11900" w:h="16838" w:orient="portrait"/>
          <w:cols w:equalWidth="0" w:num="1">
            <w:col w:w="11020"/>
          </w:cols>
          <w:pgMar w:left="440" w:top="121" w:right="4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PRICING OF PUBLIC OFFERING OF COMMON STOCK</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Charlotte, North Carolina, September 13, 2018 – </w:t>
      </w:r>
      <w:r>
        <w:rPr>
          <w:rFonts w:ascii="Arial" w:cs="Arial" w:eastAsia="Arial" w:hAnsi="Arial"/>
          <w:sz w:val="18"/>
          <w:szCs w:val="18"/>
          <w:color w:val="auto"/>
        </w:rPr>
        <w:t>NN, Inc., (Nasdaq: NNBR) (“NN” or “the Company”) a diversified industrial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pricing of an underwritten public offering of 12,500,000 shares of its common stock at a price of $16.00 per share. NN has granted the underwriters a 30-day option to purchase up to an additional 1,875,000 shares of common stock. Closing of the offering is expected to occur on September 18, 2018.</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net proceeds to NN from the offering, after deducting underwriting discounts and estimated offering expenses, are expected to be approximately $188,500,000 (or approximately $216,925,000 if the underwriters exercise their option to purchase additional shares of common stock in full). NN intends to use the net proceeds from the offering to repay all or a portion of the $200,000,000 second lien secured credit facility incurred in connection with the acquisition of Paragon Medical, Inc. and the remaining net proceeds, if any, for general corporate purposes.</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J.P. Morgan Securities LLC is acting as sole active book-running manager and as representative of the underwriters for the offering. Robert W. Baird &amp; Co. Incorporated, KeyBanc Capital Markets Inc. and SunTrust Robinson Humphrey, Inc. are acting as joint book-running managers.</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Investors are advised to carefully consider the investment objectives, risks and charges and expenses of NN before investing. A preliminary prospectus supplement dated September 10, 2018 and accompanying prospectus dated April 19, 2017 relating to the offering have been filed with the U.S. Securities Exchange Commission (the “SEC”). The shares are being offered pursuant to an effective shelf registration statement filed on Form S-3 with the SEC (File No. 333-216737). To obtain a copy of the preliminary prospectus supplement dated September 10, 2018 and the final prospectus supplement (when available) for this offering, please contact J.P. Morgan Securities LLC, Attention: Broadridge Financial Solutions, 1155 Long Island Avenue, Edgewood, NY 11717, telephone: 1-866-803-9204 or e-mail </w:t>
      </w:r>
      <w:r>
        <w:rPr>
          <w:rFonts w:ascii="Arial" w:cs="Arial" w:eastAsia="Arial" w:hAnsi="Arial"/>
          <w:sz w:val="17"/>
          <w:szCs w:val="17"/>
          <w:u w:val="single" w:color="auto"/>
          <w:color w:val="auto"/>
        </w:rPr>
        <w:t>prospectus-eq_fi@jpmchase.com</w:t>
      </w:r>
      <w:r>
        <w:rPr>
          <w:rFonts w:ascii="Arial" w:cs="Arial" w:eastAsia="Arial" w:hAnsi="Arial"/>
          <w:sz w:val="17"/>
          <w:szCs w:val="17"/>
          <w:color w:val="auto"/>
        </w:rPr>
        <w:t>.</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ectPr>
          <w:pgSz w:w="11900" w:h="16838" w:orient="portrait"/>
          <w:cols w:equalWidth="0" w:num="1">
            <w:col w:w="11020"/>
          </w:cols>
          <w:pgMar w:left="440" w:top="121" w:right="439" w:bottom="1440" w:gutter="0" w:footer="0" w:header="0"/>
          <w:type w:val="continuous"/>
        </w:sectPr>
      </w:pPr>
    </w:p>
    <w:bookmarkStart w:id="46" w:name="page47"/>
    <w:bookmarkEnd w:id="46"/>
    <w:p>
      <w:pPr>
        <w:ind w:right="20"/>
        <w:spacing w:after="0" w:line="267"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and our other filings with the Securities and Exchange Commission including the preliminary prospectus supplement and the final prospectus supplement (when available). The Company cautions readers not to place undue reliance on any such forward-looking statements which speak only as of the date made.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lvl w:ilvl="1">
      <w:lvlJc w:val="left"/>
      <w:lvlText w:val="(%2)"/>
      <w:numFmt w:val="lowerLetter"/>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lowerLetter"/>
      <w:start w:val="4"/>
    </w:lvl>
  </w:abstractNum>
  <w:abstractNum w:abstractNumId="4">
    <w:nsid w:val="4353D0CD"/>
    <w:multiLevelType w:val="hybridMultilevel"/>
    <w:lvl w:ilvl="0">
      <w:lvlJc w:val="left"/>
      <w:lvlText w:val="(%1)"/>
      <w:numFmt w:val="lowerLetter"/>
      <w:start w:val="5"/>
    </w:lvl>
  </w:abstractNum>
  <w:abstractNum w:abstractNumId="5">
    <w:nsid w:val="B03E0C6"/>
    <w:multiLevelType w:val="hybridMultilevel"/>
    <w:lvl w:ilvl="0">
      <w:lvlJc w:val="left"/>
      <w:lvlText w:val="(%1)"/>
      <w:numFmt w:val="lowerLetter"/>
      <w:start w:val="9"/>
    </w:lvl>
  </w:abstractNum>
  <w:abstractNum w:abstractNumId="6">
    <w:nsid w:val="189A769B"/>
    <w:multiLevelType w:val="hybridMultilevel"/>
    <w:lvl w:ilvl="0">
      <w:lvlJc w:val="left"/>
      <w:lvlText w:val="%1"/>
      <w:numFmt w:val="lowerLetter"/>
      <w:start w:val="1"/>
    </w:lvl>
    <w:lvl w:ilvl="1">
      <w:lvlJc w:val="left"/>
      <w:lvlText w:val="(%2)"/>
      <w:numFmt w:val="lowerLetter"/>
      <w:start w:val="14"/>
    </w:lvl>
  </w:abstractNum>
  <w:abstractNum w:abstractNumId="7">
    <w:nsid w:val="54E49EB4"/>
    <w:multiLevelType w:val="hybridMultilevel"/>
    <w:lvl w:ilvl="0">
      <w:lvlJc w:val="left"/>
      <w:lvlText w:val="(%1)"/>
      <w:numFmt w:val="lowerLetter"/>
      <w:start w:val="61"/>
    </w:lvl>
    <w:lvl w:ilvl="1">
      <w:lvlJc w:val="left"/>
      <w:lvlText w:val="(%2)"/>
      <w:numFmt w:val="lowerLetter"/>
      <w:start w:val="17"/>
    </w:lvl>
  </w:abstractNum>
  <w:abstractNum w:abstractNumId="8">
    <w:nsid w:val="71F32454"/>
    <w:multiLevelType w:val="hybridMultilevel"/>
    <w:lvl w:ilvl="0">
      <w:lvlJc w:val="left"/>
      <w:lvlText w:val="(%1)"/>
      <w:numFmt w:val="lowerLetter"/>
      <w:start w:val="35"/>
    </w:lvl>
    <w:lvl w:ilvl="1">
      <w:lvlJc w:val="left"/>
      <w:lvlText w:val="%2"/>
      <w:numFmt w:val="lowerLetter"/>
      <w:start w:val="1"/>
    </w:lvl>
  </w:abstractNum>
  <w:abstractNum w:abstractNumId="9">
    <w:nsid w:val="2CA88611"/>
    <w:multiLevelType w:val="hybridMultilevel"/>
    <w:lvl w:ilvl="0">
      <w:lvlJc w:val="left"/>
      <w:lvlText w:val="%1"/>
      <w:numFmt w:val="lowerLetter"/>
      <w:start w:val="1"/>
    </w:lvl>
    <w:lvl w:ilvl="1">
      <w:lvlJc w:val="left"/>
      <w:lvlText w:val="(%2)"/>
      <w:numFmt w:val="lowerLetter"/>
      <w:start w:val="18"/>
    </w:lvl>
  </w:abstractNum>
  <w:abstractNum w:abstractNumId="10">
    <w:nsid w:val="836C40E"/>
    <w:multiLevelType w:val="hybridMultilevel"/>
    <w:lvl w:ilvl="0">
      <w:lvlJc w:val="left"/>
      <w:lvlText w:val="(%1)"/>
      <w:numFmt w:val="lowerLetter"/>
      <w:start w:val="61"/>
    </w:lvl>
    <w:lvl w:ilvl="1">
      <w:lvlJc w:val="left"/>
      <w:lvlText w:val="%2"/>
      <w:numFmt w:val="lowerLetter"/>
      <w:start w:val="1"/>
    </w:lvl>
  </w:abstractNum>
  <w:abstractNum w:abstractNumId="11">
    <w:nsid w:val="2901D82"/>
    <w:multiLevelType w:val="hybridMultilevel"/>
    <w:lvl w:ilvl="0">
      <w:lvlJc w:val="left"/>
      <w:lvlText w:val="(%1)"/>
      <w:numFmt w:val="lowerLetter"/>
      <w:start w:val="35"/>
    </w:lvl>
    <w:lvl w:ilvl="1">
      <w:lvlJc w:val="left"/>
      <w:lvlText w:val="(%2)"/>
      <w:numFmt w:val="lowerLetter"/>
      <w:start w:val="19"/>
    </w:lvl>
  </w:abstractNum>
  <w:abstractNum w:abstractNumId="12">
    <w:nsid w:val="3A95F874"/>
    <w:multiLevelType w:val="hybridMultilevel"/>
    <w:lvl w:ilvl="0">
      <w:lvlJc w:val="left"/>
      <w:lvlText w:val="(%1)"/>
      <w:numFmt w:val="lowerLetter"/>
      <w:start w:val="21"/>
    </w:lvl>
  </w:abstractNum>
  <w:abstractNum w:abstractNumId="13">
    <w:nsid w:val="8138641"/>
    <w:multiLevelType w:val="hybridMultilevel"/>
    <w:lvl w:ilvl="0">
      <w:lvlJc w:val="left"/>
      <w:lvlText w:val="(%1)"/>
      <w:numFmt w:val="lowerLetter"/>
      <w:start w:val="24"/>
    </w:lvl>
  </w:abstractNum>
  <w:abstractNum w:abstractNumId="14">
    <w:nsid w:val="1E7FF521"/>
    <w:multiLevelType w:val="hybridMultilevel"/>
    <w:lvl w:ilvl="0">
      <w:lvlJc w:val="left"/>
      <w:lvlText w:val="(%1)"/>
      <w:numFmt w:val="lowerLetter"/>
      <w:start w:val="26"/>
    </w:lvl>
  </w:abstractNum>
  <w:abstractNum w:abstractNumId="15">
    <w:nsid w:val="7C3DBD3D"/>
    <w:multiLevelType w:val="hybridMultilevel"/>
    <w:lvl w:ilvl="0">
      <w:lvlJc w:val="left"/>
      <w:lvlText w:val="(%1)"/>
      <w:numFmt w:val="lowerLetter"/>
      <w:start w:val="27"/>
    </w:lvl>
  </w:abstractNum>
  <w:abstractNum w:abstractNumId="16">
    <w:nsid w:val="737B8DDC"/>
    <w:multiLevelType w:val="hybridMultilevel"/>
    <w:lvl w:ilvl="0">
      <w:lvlJc w:val="left"/>
      <w:lvlText w:val="(%1)"/>
      <w:numFmt w:val="lowerLetter"/>
      <w:start w:val="30"/>
    </w:lvl>
  </w:abstractNum>
  <w:abstractNum w:abstractNumId="17">
    <w:nsid w:val="6CEAF087"/>
    <w:multiLevelType w:val="hybridMultilevel"/>
    <w:lvl w:ilvl="0">
      <w:lvlJc w:val="left"/>
      <w:lvlText w:val="%1"/>
      <w:numFmt w:val="lowerLetter"/>
      <w:start w:val="1"/>
    </w:lvl>
    <w:lvl w:ilvl="1">
      <w:lvlJc w:val="left"/>
      <w:lvlText w:val="(%2)"/>
      <w:numFmt w:val="lowerLetter"/>
      <w:start w:val="35"/>
    </w:lvl>
  </w:abstractNum>
  <w:abstractNum w:abstractNumId="18">
    <w:nsid w:val="22221A70"/>
    <w:multiLevelType w:val="hybridMultilevel"/>
    <w:lvl w:ilvl="0">
      <w:lvlJc w:val="left"/>
      <w:lvlText w:val="(%1)"/>
      <w:numFmt w:val="lowerLetter"/>
      <w:start w:val="35"/>
    </w:lvl>
    <w:lvl w:ilvl="1">
      <w:lvlJc w:val="left"/>
      <w:lvlText w:val="(%2)"/>
      <w:numFmt w:val="lowerLetter"/>
      <w:start w:val="37"/>
    </w:lvl>
  </w:abstractNum>
  <w:abstractNum w:abstractNumId="19">
    <w:nsid w:val="4516DDE9"/>
    <w:multiLevelType w:val="hybridMultilevel"/>
    <w:lvl w:ilvl="0">
      <w:lvlJc w:val="left"/>
      <w:lvlText w:val="(%1)"/>
      <w:numFmt w:val="lowerLetter"/>
      <w:start w:val="41"/>
    </w:lvl>
  </w:abstractNum>
  <w:abstractNum w:abstractNumId="20">
    <w:nsid w:val="3006C83E"/>
    <w:multiLevelType w:val="hybridMultilevel"/>
    <w:lvl w:ilvl="0">
      <w:lvlJc w:val="left"/>
      <w:lvlText w:val="%1"/>
      <w:numFmt w:val="lowerLetter"/>
      <w:start w:val="1"/>
    </w:lvl>
    <w:lvl w:ilvl="1">
      <w:lvlJc w:val="left"/>
      <w:lvlText w:val="(%2)"/>
      <w:numFmt w:val="lowerLetter"/>
      <w:start w:val="47"/>
    </w:lvl>
  </w:abstractNum>
  <w:abstractNum w:abstractNumId="21">
    <w:nsid w:val="614FD4A1"/>
    <w:multiLevelType w:val="hybridMultilevel"/>
    <w:lvl w:ilvl="0">
      <w:lvlJc w:val="left"/>
      <w:lvlText w:val="(%1)"/>
      <w:numFmt w:val="lowerLetter"/>
      <w:start w:val="35"/>
    </w:lvl>
    <w:lvl w:ilvl="1">
      <w:lvlJc w:val="left"/>
      <w:lvlText w:val="%2"/>
      <w:numFmt w:val="lowerLetter"/>
      <w:start w:val="1"/>
    </w:lvl>
  </w:abstractNum>
  <w:abstractNum w:abstractNumId="22">
    <w:nsid w:val="419AC241"/>
    <w:multiLevelType w:val="hybridMultilevel"/>
    <w:lvl w:ilvl="0">
      <w:lvlJc w:val="left"/>
      <w:lvlText w:val="%1."/>
      <w:numFmt w:val="decimal"/>
      <w:start w:val="2"/>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decimal"/>
      <w:start w:val="1"/>
    </w:lvl>
    <w:lvl w:ilvl="1">
      <w:lvlJc w:val="left"/>
      <w:lvlText w:val="(%2)"/>
      <w:numFmt w:val="lowerLetter"/>
      <w:start w:val="2"/>
    </w:lvl>
  </w:abstractNum>
  <w:abstractNum w:abstractNumId="25">
    <w:nsid w:val="5072367"/>
    <w:multiLevelType w:val="hybridMultilevel"/>
    <w:lvl w:ilvl="0">
      <w:lvlJc w:val="left"/>
      <w:lvlText w:val="%1."/>
      <w:numFmt w:val="decimal"/>
      <w:start w:val="5"/>
    </w:lvl>
    <w:lvl w:ilvl="1">
      <w:lvlJc w:val="left"/>
      <w:lvlText w:val="(%2)"/>
      <w:numFmt w:val="lowerLetter"/>
      <w:start w:val="1"/>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5"/>
    </w:lvl>
  </w:abstractNum>
  <w:abstractNum w:abstractNumId="28">
    <w:nsid w:val="7724C67E"/>
    <w:multiLevelType w:val="hybridMultilevel"/>
    <w:lvl w:ilvl="0">
      <w:lvlJc w:val="left"/>
      <w:lvlText w:val="%1"/>
      <w:numFmt w:val="decimal"/>
      <w:start w:val="1"/>
    </w:lvl>
    <w:lvl w:ilvl="1">
      <w:lvlJc w:val="left"/>
      <w:lvlText w:val="(%2)"/>
      <w:numFmt w:val="lowerLetter"/>
      <w:start w:val="8"/>
    </w:lvl>
  </w:abstractNum>
  <w:abstractNum w:abstractNumId="29">
    <w:nsid w:val="5C482A97"/>
    <w:multiLevelType w:val="hybridMultilevel"/>
    <w:lvl w:ilvl="0">
      <w:lvlJc w:val="left"/>
      <w:lvlText w:val="%1."/>
      <w:numFmt w:val="decimal"/>
      <w:start w:val="6"/>
    </w:lvl>
    <w:lvl w:ilvl="1">
      <w:lvlJc w:val="left"/>
      <w:lvlText w:val="(%2)"/>
      <w:numFmt w:val="lowerLetter"/>
      <w:start w:val="2"/>
    </w:lvl>
  </w:abstractNum>
  <w:abstractNum w:abstractNumId="30">
    <w:nsid w:val="2463B9EA"/>
    <w:multiLevelType w:val="hybridMultilevel"/>
    <w:lvl w:ilvl="0">
      <w:lvlJc w:val="left"/>
      <w:lvlText w:val="%1."/>
      <w:numFmt w:val="decimal"/>
      <w:start w:val="8"/>
    </w:lvl>
    <w:lvl w:ilvl="1">
      <w:lvlJc w:val="left"/>
      <w:lvlText w:val="(%2)"/>
      <w:numFmt w:val="lowerLetter"/>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lowerLetter"/>
      <w:start w:val="10"/>
    </w:lvl>
  </w:abstractNum>
  <w:abstractNum w:abstractNumId="33">
    <w:nsid w:val="2D517796"/>
    <w:multiLevelType w:val="hybridMultilevel"/>
    <w:lvl w:ilvl="0">
      <w:lvlJc w:val="left"/>
      <w:lvlText w:val="%1"/>
      <w:numFmt w:val="decimal"/>
      <w:start w:val="1"/>
    </w:lvl>
    <w:lvl w:ilvl="1">
      <w:lvlJc w:val="left"/>
      <w:lvlText w:val="(%2)"/>
      <w:numFmt w:val="lowerLetter"/>
      <w:start w:val="15"/>
    </w:lvl>
  </w:abstractNum>
  <w:abstractNum w:abstractNumId="34">
    <w:nsid w:val="580BD78F"/>
    <w:multiLevelType w:val="hybridMultilevel"/>
    <w:lvl w:ilvl="0">
      <w:lvlJc w:val="left"/>
      <w:lvlText w:val="%1."/>
      <w:numFmt w:val="decimal"/>
      <w:start w:val="9"/>
    </w:lvl>
    <w:lvl w:ilvl="1">
      <w:lvlJc w:val="left"/>
      <w:lvlText w:val="(%2)"/>
      <w:numFmt w:val="lowerLetter"/>
      <w:start w:val="2"/>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1."/>
      <w:numFmt w:val="decimal"/>
      <w:start w:val="10"/>
    </w:lvl>
    <w:lvl w:ilvl="1">
      <w:lvlJc w:val="left"/>
      <w:lvlText w:val="(%2)"/>
      <w:numFmt w:val="lowerLetter"/>
      <w:start w:val="2"/>
    </w:lvl>
  </w:abstractNum>
  <w:abstractNum w:abstractNumId="38">
    <w:nsid w:val="6A2342EC"/>
    <w:multiLevelType w:val="hybridMultilevel"/>
    <w:lvl w:ilvl="0">
      <w:lvlJc w:val="left"/>
      <w:lvlText w:val="%1."/>
      <w:numFmt w:val="decimal"/>
      <w:start w:val="11"/>
    </w:lvl>
  </w:abstractNum>
  <w:abstractNum w:abstractNumId="39">
    <w:nsid w:val="2A487CB0"/>
    <w:multiLevelType w:val="hybridMultilevel"/>
    <w:lvl w:ilvl="0">
      <w:lvlJc w:val="left"/>
      <w:lvlText w:val="%1."/>
      <w:numFmt w:val="decimal"/>
      <w:start w:val="14"/>
    </w:lvl>
  </w:abstractNum>
  <w:abstractNum w:abstractNumId="40">
    <w:nsid w:val="1D4ED43B"/>
    <w:multiLevelType w:val="hybridMultilevel"/>
    <w:lvl w:ilvl="0">
      <w:lvlJc w:val="left"/>
      <w:lvlText w:val="%1."/>
      <w:numFmt w:val="decimal"/>
      <w:start w:val="15"/>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decimal"/>
      <w:start w:val="90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2019-12-28T19:22:46Z</dcterms:created>
  <dcterms:modified xsi:type="dcterms:W3CDTF">2019-12-28T19:22:46Z</dcterms:modified>
</cp:coreProperties>
</file>