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Manzi John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22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180" w:type="dxa"/>
            <w:vAlign w:val="bottom"/>
          </w:tcPr>
          <w:p>
            <w:pPr>
              <w:ind w:left="160"/>
              <w:spacing w:after="0"/>
              <w:rPr>
                <w:sz w:val="20"/>
                <w:szCs w:val="20"/>
                <w:color w:val="auto"/>
              </w:rPr>
            </w:pPr>
            <w:r>
              <w:rPr>
                <w:rFonts w:ascii="Arial" w:cs="Arial" w:eastAsia="Arial" w:hAnsi="Arial"/>
                <w:sz w:val="14"/>
                <w:szCs w:val="14"/>
                <w:color w:val="auto"/>
              </w:rPr>
              <w:t>(First)</w:t>
            </w:r>
          </w:p>
        </w:tc>
        <w:tc>
          <w:tcPr>
            <w:tcW w:w="1100" w:type="dxa"/>
            <w:vAlign w:val="bottom"/>
          </w:tcPr>
          <w:p>
            <w:pPr>
              <w:ind w:left="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0000FF"/>
                <w:w w:val="97"/>
              </w:rPr>
              <w:t>207 MOCKINGBIRD LANE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JOHNSON</w:t>
            </w:r>
          </w:p>
        </w:tc>
        <w:tc>
          <w:tcPr>
            <w:tcW w:w="1180" w:type="dxa"/>
            <w:vAlign w:val="bottom"/>
            <w:vMerge w:val="restart"/>
          </w:tcPr>
          <w:p>
            <w:pPr>
              <w:ind w:left="160"/>
              <w:spacing w:after="0"/>
              <w:rPr>
                <w:sz w:val="20"/>
                <w:szCs w:val="20"/>
                <w:color w:val="auto"/>
              </w:rPr>
            </w:pPr>
            <w:r>
              <w:rPr>
                <w:rFonts w:ascii="Arial" w:cs="Arial" w:eastAsia="Arial" w:hAnsi="Arial"/>
                <w:sz w:val="18"/>
                <w:szCs w:val="18"/>
                <w:color w:val="0000FF"/>
              </w:rPr>
              <w:t>TN</w:t>
            </w:r>
          </w:p>
        </w:tc>
        <w:tc>
          <w:tcPr>
            <w:tcW w:w="1100" w:type="dxa"/>
            <w:vAlign w:val="bottom"/>
            <w:vMerge w:val="restart"/>
          </w:tcPr>
          <w:p>
            <w:pPr>
              <w:ind w:left="60"/>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CITY</w:t>
            </w:r>
          </w:p>
        </w:tc>
        <w:tc>
          <w:tcPr>
            <w:tcW w:w="11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6"/>
        <w:spacing w:after="0"/>
        <w:rPr>
          <w:sz w:val="20"/>
          <w:szCs w:val="20"/>
          <w:color w:val="auto"/>
        </w:rPr>
      </w:pPr>
      <w:r>
        <w:rPr>
          <w:rFonts w:ascii="Arial" w:cs="Arial" w:eastAsia="Arial" w:hAnsi="Arial"/>
          <w:sz w:val="16"/>
          <w:szCs w:val="16"/>
          <w:color w:val="0000FF"/>
        </w:rPr>
        <w:t>SVP/GM-Precision Eng. Products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Power of Attorney is attached to this Form 3 as Exhibit 24.</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John Manzi</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10/27/2015</w:t>
            </w:r>
          </w:p>
        </w:tc>
      </w:tr>
      <w:tr>
        <w:trPr>
          <w:trHeight w:val="20"/>
        </w:trPr>
        <w:tc>
          <w:tcPr>
            <w:tcW w:w="10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William C. Kelly, Jr., Thomas C. Burwell, Jr., James H. Dorton, Matthew S. Heiter, Richard F. Mattern and Andrew T. Yonchak, or either of them signing singly, and with full power of substitution, as the undersigned's true and lawful attorney-in-fact (each, individually, an "Attorney-in-Fact" and collectively, the "Attorneys-in-Fact") to:</w:t>
      </w:r>
    </w:p>
    <w:p>
      <w:pPr>
        <w:spacing w:after="0" w:line="210" w:lineRule="exact"/>
        <w:rPr>
          <w:sz w:val="20"/>
          <w:szCs w:val="20"/>
          <w:color w:val="auto"/>
        </w:rPr>
      </w:pPr>
    </w:p>
    <w:p>
      <w:pPr>
        <w:ind w:right="1999" w:firstLine="640"/>
        <w:spacing w:after="0" w:line="273" w:lineRule="auto"/>
        <w:tabs>
          <w:tab w:leader="none" w:pos="12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of NN, Inc., a Delaware corporation (the "Company"), Forms 3, 4, and 5 in accordance with Section 16(a) of the Securities Exchange Act of 1934, as amended (the "Exchange Act") and the rules and regulations of the United States Securities and Exchange Commission (the "SEC") thereunder;</w:t>
      </w:r>
    </w:p>
    <w:p>
      <w:pPr>
        <w:spacing w:after="0" w:line="184" w:lineRule="exact"/>
        <w:rPr>
          <w:rFonts w:ascii="Courier New" w:cs="Courier New" w:eastAsia="Courier New" w:hAnsi="Courier New"/>
          <w:sz w:val="16"/>
          <w:szCs w:val="16"/>
          <w:color w:val="auto"/>
        </w:rPr>
      </w:pPr>
    </w:p>
    <w:p>
      <w:pPr>
        <w:ind w:right="1779" w:firstLine="640"/>
        <w:spacing w:after="0" w:line="272" w:lineRule="auto"/>
        <w:tabs>
          <w:tab w:leader="none" w:pos="12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that may be necessary or desirable to complete and execute any such Form 3, 4, or 5, including filing and applying for and updating any accession, CCC, and CIK filing codes (including filing SEC Form ID (or any similar form)), completing and executing any amendment or amendments thereto, and timely filing any such form with the SEC and any stock exchange or similar regulatory authority; and</w:t>
      </w:r>
    </w:p>
    <w:p>
      <w:pPr>
        <w:spacing w:after="0" w:line="185" w:lineRule="exact"/>
        <w:rPr>
          <w:rFonts w:ascii="Courier New" w:cs="Courier New" w:eastAsia="Courier New" w:hAnsi="Courier New"/>
          <w:sz w:val="16"/>
          <w:szCs w:val="16"/>
          <w:color w:val="auto"/>
        </w:rPr>
      </w:pPr>
    </w:p>
    <w:p>
      <w:pPr>
        <w:ind w:right="1779" w:firstLine="640"/>
        <w:spacing w:after="0" w:line="237" w:lineRule="auto"/>
        <w:tabs>
          <w:tab w:leader="none" w:pos="126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Power of Attorney revokes any currently existing power of attorney solely to the extent any such currently existing power of attorney gives the agent(s) designated therein the power or authority to do or perform any act or thing in the exercise of any of the rights and powers herein granted. This Power of Attorney shall not be revoked by any subsequent power of attorney I may execute, unless such subsequent power specifically refers to this Power of Attorney or specifically states that the instrument is intended to revoke all prior powers of attorney.</w:t>
      </w:r>
    </w:p>
    <w:p>
      <w:pPr>
        <w:spacing w:after="0" w:line="212"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22nd day of October, 2015.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John Manzi</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JOHN MANZI</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6665"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2019-12-23T15:40:00Z</dcterms:created>
  <dcterms:modified xsi:type="dcterms:W3CDTF">2019-12-23T15:40:00Z</dcterms:modified>
</cp:coreProperties>
</file>