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96520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8, 2020 (October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270510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73025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9"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200" w:type="dxa"/>
            <w:vAlign w:val="bottom"/>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4"/>
          </w:tcPr>
          <w:p>
            <w:pPr>
              <w:jc w:val="center"/>
              <w:ind w:left="1255"/>
              <w:spacing w:after="0"/>
              <w:rPr>
                <w:sz w:val="20"/>
                <w:szCs w:val="20"/>
                <w:color w:val="auto"/>
              </w:rPr>
            </w:pPr>
            <w:r>
              <w:rPr>
                <w:rFonts w:ascii="Times New Roman" w:cs="Times New Roman" w:eastAsia="Times New Roman" w:hAnsi="Times New Roman"/>
                <w:sz w:val="18"/>
                <w:szCs w:val="18"/>
                <w:b w:val="1"/>
                <w:bCs w:val="1"/>
                <w:color w:val="auto"/>
                <w:w w:val="99"/>
              </w:rPr>
              <w:t>000-23486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62-1096725</w:t>
            </w:r>
          </w:p>
        </w:tc>
        <w:tc>
          <w:tcPr>
            <w:tcW w:w="0" w:type="dxa"/>
            <w:vAlign w:val="bottom"/>
          </w:tcPr>
          <w:p>
            <w:pPr>
              <w:spacing w:after="0"/>
              <w:rPr>
                <w:sz w:val="1"/>
                <w:szCs w:val="1"/>
                <w:color w:val="auto"/>
              </w:rPr>
            </w:pPr>
          </w:p>
        </w:tc>
      </w:tr>
      <w:tr>
        <w:trPr>
          <w:trHeight w:val="149"/>
        </w:trPr>
        <w:tc>
          <w:tcPr>
            <w:tcW w:w="3200" w:type="dxa"/>
            <w:vAlign w:val="bottom"/>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4"/>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160" w:type="dxa"/>
            <w:vAlign w:val="bottom"/>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200" w:type="dxa"/>
            <w:vAlign w:val="bottom"/>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7860" w:type="dxa"/>
            <w:vAlign w:val="bottom"/>
            <w:gridSpan w:val="8"/>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860" w:type="dxa"/>
            <w:vAlign w:val="bottom"/>
            <w:gridSpan w:val="8"/>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3160" w:type="dxa"/>
            <w:vAlign w:val="bottom"/>
          </w:tcPr>
          <w:p>
            <w:pPr>
              <w:jc w:val="right"/>
              <w:ind w:right="2381"/>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190"/>
        </w:trPr>
        <w:tc>
          <w:tcPr>
            <w:tcW w:w="7860" w:type="dxa"/>
            <w:vAlign w:val="bottom"/>
            <w:gridSpan w:val="8"/>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tcPr>
          <w:p>
            <w:pPr>
              <w:jc w:val="center"/>
              <w:ind w:right="21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200" w:type="dxa"/>
            <w:vAlign w:val="bottom"/>
          </w:tcPr>
          <w:p>
            <w:pPr>
              <w:spacing w:after="0"/>
              <w:rPr>
                <w:sz w:val="24"/>
                <w:szCs w:val="24"/>
                <w:color w:val="auto"/>
              </w:rPr>
            </w:pPr>
          </w:p>
        </w:tc>
        <w:tc>
          <w:tcPr>
            <w:tcW w:w="3480" w:type="dxa"/>
            <w:vAlign w:val="bottom"/>
            <w:gridSpan w:val="4"/>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w w:val="99"/>
              </w:rPr>
              <w:t>(980) 264-4300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200" w:type="dxa"/>
            <w:vAlign w:val="bottom"/>
          </w:tcPr>
          <w:p>
            <w:pPr>
              <w:spacing w:after="0"/>
              <w:rPr>
                <w:sz w:val="24"/>
                <w:szCs w:val="24"/>
                <w:color w:val="auto"/>
              </w:rPr>
            </w:pPr>
          </w:p>
        </w:tc>
        <w:tc>
          <w:tcPr>
            <w:tcW w:w="46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3200" w:type="dxa"/>
            <w:vAlign w:val="bottom"/>
          </w:tcPr>
          <w:p>
            <w:pPr>
              <w:spacing w:after="0"/>
              <w:rPr>
                <w:sz w:val="24"/>
                <w:szCs w:val="24"/>
                <w:color w:val="auto"/>
              </w:rPr>
            </w:pPr>
          </w:p>
        </w:tc>
        <w:tc>
          <w:tcPr>
            <w:tcW w:w="46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2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1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20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73660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4" w:right="220"/>
        <w:spacing w:after="0" w:line="280"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7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On October 6, 2020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NN, Inc., a Delaware corporation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and Precision Engineered Products Holdings, Inc., a Delaware corporation and wholly-owned subsidiary of NN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NN, the “</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completed the previously announced sale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of NN’s life sciences business (the “</w:t>
      </w:r>
      <w:r>
        <w:rPr>
          <w:rFonts w:ascii="Times New Roman" w:cs="Times New Roman" w:eastAsia="Times New Roman" w:hAnsi="Times New Roman"/>
          <w:sz w:val="18"/>
          <w:szCs w:val="18"/>
          <w:u w:val="single" w:color="auto"/>
          <w:color w:val="auto"/>
        </w:rPr>
        <w:t>Life Science Business</w:t>
      </w:r>
      <w:r>
        <w:rPr>
          <w:rFonts w:ascii="Times New Roman" w:cs="Times New Roman" w:eastAsia="Times New Roman" w:hAnsi="Times New Roman"/>
          <w:sz w:val="18"/>
          <w:szCs w:val="18"/>
          <w:color w:val="auto"/>
        </w:rPr>
        <w:t>”) to ASP Navigate Acquisition Corp., a Delaware corporation and an affiliate of American Securities,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pursuant to that certain Stock Purchase Agreement, dated as of August 22, 2020, by and among the Seller Parties and the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Purchase Agreement, on the Closing Date, the Purchaser acquired all of the outstanding capital stock of the Company, and indirectly, the Company’s subsidiaries operating the Life Sciences Business. As consideration for the Transaction, NN received an aggregate purchase price of approximately $755 million in cash. In addition, an earnout payment of up to $70 million may be payable to NN during the year ending December 31, 2023 if certain performance measures are achieved by the Life Science Business through December 31, 2022. As previously disclosed, NN plans to use net proceeds from the Transaction to pay down its senior credit facility.</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transactions contemplated thereby is subject to, and qualified in its entirety by, the full text of the Purchase Agreement, a copy of which was previously filed as Exhibit 2.1 to NN’s Current Report on Form 8-K filed on August 24, 2020, which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On October 6, 2020, NN issued a press release announcing the completion of the Transaction. A copy of the press release is furnished as Exhibit 99.1 to this Current Report on Form 8-K.</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Pro Forma Financial Information</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NN’s unaudited pro forma condensed consolidated balance sheet as of June 30, 2020, and the unaudited pro forma condensed consolidated statements of operations for the years ended December 31, 2017, December 31, 2018 and December 31, 2019 and the six months ended June 30, 2020, and the notes related thereto, are filed as Exhibit 99.2 and are hereby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40" w:type="dxa"/>
            <w:vAlign w:val="bottom"/>
            <w:vMerge w:val="restart"/>
          </w:tcPr>
          <w:p>
            <w:pPr>
              <w:spacing w:after="0"/>
              <w:rPr>
                <w:sz w:val="13"/>
                <w:szCs w:val="13"/>
                <w:color w:val="auto"/>
              </w:rPr>
            </w:pPr>
          </w:p>
        </w:tc>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5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4"/>
                <w:szCs w:val="24"/>
                <w:color w:val="auto"/>
              </w:rPr>
            </w:pPr>
          </w:p>
        </w:tc>
        <w:tc>
          <w:tcPr>
            <w:tcW w:w="9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Stock Purchase Agreement, dated as of August 22, 2020, by and among NN, Inc., Precision Engineered Products Holdings, Inc.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gridSpan w:val="5"/>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ASP Navigate Acquisition Corp. (previously filed as Exhibit 2.1 to the Current Report on Form 8-K, filed on August 24, 2020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incorporated therein by reference)</w:t>
              </w:r>
            </w:hyperlink>
          </w:p>
        </w:tc>
        <w:tc>
          <w:tcPr>
            <w:tcW w:w="692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520" w:type="dxa"/>
            <w:vAlign w:val="bottom"/>
            <w:gridSpan w:val="3"/>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Press Release issued by NN, Inc. dated October 6, 2020</w:t>
              </w:r>
            </w:hyperlink>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5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Unaudited pro forma condensed consolidated balance sheet of NN, Inc. as of June 30, 2020, and the unaudited pro forma condensed</w:t>
              </w:r>
            </w:hyperlink>
          </w:p>
        </w:tc>
      </w:tr>
      <w:tr>
        <w:trPr>
          <w:trHeight w:val="196"/>
        </w:trPr>
        <w:tc>
          <w:tcPr>
            <w:tcW w:w="940" w:type="dxa"/>
            <w:vAlign w:val="bottom"/>
          </w:tcPr>
          <w:p>
            <w:pPr>
              <w:spacing w:after="0"/>
              <w:rPr>
                <w:sz w:val="17"/>
                <w:szCs w:val="17"/>
                <w:color w:val="auto"/>
              </w:rPr>
            </w:pPr>
          </w:p>
        </w:tc>
        <w:tc>
          <w:tcPr>
            <w:tcW w:w="9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operations for the years ended December 31, 2017, December 31, 2018 and December 31, 2019 and the</w:t>
              </w:r>
            </w:hyperlink>
          </w:p>
        </w:tc>
        <w:tc>
          <w:tcPr>
            <w:tcW w:w="10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520" w:type="dxa"/>
            <w:vAlign w:val="bottom"/>
            <w:gridSpan w:val="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six months ended June 30, 2020, and the notes related thereto</w:t>
              </w:r>
            </w:hyperlink>
          </w:p>
        </w:tc>
      </w:tr>
      <w:tr>
        <w:trPr>
          <w:trHeight w:val="20"/>
        </w:trPr>
        <w:tc>
          <w:tcPr>
            <w:tcW w:w="94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34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460"/>
          </w:cols>
          <w:pgMar w:left="720" w:top="297" w:right="7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173990</wp:posOffset>
            </wp:positionV>
            <wp:extent cx="184340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885825</wp:posOffset>
            </wp:positionV>
            <wp:extent cx="822960"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cw@abmac.com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Completes Sale of Life Sciences Division</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Charlotte, N.C., October 6, 2020 – </w:t>
      </w:r>
      <w:r>
        <w:rPr>
          <w:rFonts w:ascii="Times New Roman" w:cs="Times New Roman" w:eastAsia="Times New Roman" w:hAnsi="Times New Roman"/>
          <w:sz w:val="18"/>
          <w:szCs w:val="18"/>
          <w:color w:val="auto"/>
        </w:rPr>
        <w:t>NN, Inc. (NASDAQ: NNBR), a diversified industrial company, today announced that it has successfully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its Life Sciences division to affiliates of American Securities LLC for the purpose of being combined with MW Industries, one of its portfolio companies. As previously disclosed, NN plans to use the estimated $700 million in net proceeds from the sale to further pay down its debt and strengthen its balance sheet.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Warren Veltman, President and CEO, commented, “The divestiture of our Life Sciences division is an important milestone for NN to drive improved performance and generate long-term shareholder value. The proceeds from the sale will enable us to continue to pay down our debt and improve our balance sheet. With increased financial flexibility, we are now better positioned to capitalize on the synergistic assets, talent and global footprint of our Mobile Solutions and Power Solutions businesses to pursue key growth areas that will help drive operating performance, margin improvements and generate increased free cash flow.”</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With the proceeds from the transaction, NN expects to reduce its net leverage from approximately 6.1x to approximately 1.8x. Going forward, NN will be well-positioned as a diversified industrial platform with a growth trajectory of approximately $600 million in annual sales over the next five years. The Company will leverage the synergistic offerings of its Mobile Solutions and Power Solutions businesses to unlock growth opportunities within its dynamic end markets, including electric vehicles and charging stations and aerospace and defense.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served as NN’s financial advisor and Simpson Thacher &amp; Bartlett LLP served as its legal advisor on the transaction.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NN, Inc.</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30 facilities in North America, Europe, South America, and China.</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the Company’s Quarterly Report on Form 10-Q for the three months ended June 30, 2020. Except as required by law, we undertake no obligation to update or revise any forward-looking statements we make in our press releases, whether as a result of new information, future events or otherwise.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On October 6, 2020, NN, Inc. (the “Company”) completed the sale of its life sciences business (the “Life Sciences Business”) to ASP Navigate Acquisition Corp. for total cash consideration of approximately $757.2 million. An additional earnout payment of up to $70 million may be payable to the Company during the year ending December 31, 2023, if certain performance measures are achieved by the Life Sciences Business through December 31, 2022.</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and the unaudited pro forma condensed consolidated statements of operations are derived from, and should be read in conjunction with, the historical financial statements and notes thereto of the Company, as presented in its Annual Report on Form 10-K for the year ended December 31, 2019, filed with the Securities and Exchange Commission (“SEC”) on March 16, 2020, and its Quarterly Report on Form 10-Q for the quarter ended June 30, 2020, filed with the SEC on August 7, 2020.</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prepared giving effect to the sale of the Company’s Life Sciences Business (the “Transaction”) as if the Transaction had occurred on June 30, 2020, for the unaudited pro forma condensed consolidated balance sheet and on January 1, 2017, for the unaudited pro forma condensed consolidated statements of operations. The unaudited pro forma condensed consolidated financial statements have been prepared giving effect to the required use of proceeds to prepay a portion of the Company’s credit facilities with all of the net proceeds from the Transaction as if the prepayment of credit facilities had occurred on June 30, 2020, for the unaudited pro forma condensed consolidated balance sheet and on January 1, 2017, for the unaudited pro forma condensed consolidated statements of operations.</w:t>
      </w:r>
    </w:p>
    <w:p>
      <w:pPr>
        <w:spacing w:after="0" w:line="18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are prepared in accordance with Article 11 of Regulation S-X. The pro forma adjustments are described in the accompanying notes and are based upon information and assumptions available at the time of the filing of this Current Report on Form 8-K.</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financial statements do not purport to represent and are not necessarily indicative of what the Company’s actual financial position and results of operations would have been had the transaction occurred on the dates indicated. In addition, these unaudited pro forma condensed consolidated financial statements should not be considered to be indicative of the Company’s future financial performance.</w:t>
      </w:r>
    </w:p>
    <w:p>
      <w:pPr>
        <w:spacing w:after="0" w:line="176"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includes information, statements, and assumptions that are or may be considered “forward-looking” within the meaning of the Private Securities Litigation Reform Act of 1995. These forward-looking statements generally may be identified by the use of words such as “may,” “should,” “will,” “expect,” “anticipate,” “continue,” “estimate,” “project,” “believe,” “plan” or similar expressions. Statements that describe objectives, plans, or goals also are forward-looking statements. These forward-looking statements involve risks and uncertainties, and actual results may differ materially from those contemplated by the forward-looking statements due to, among other, the risks and uncertainties described under the heading “Risk Factors” in the Company’s Annual Report on Form 10-K for the fiscal year ended December 31, 2019, and in the Company’s Quarterly Report on Form 10-Q for the quarter ended June 30, 2020. For any forward-looking statements contained herein, the Company claims the protection of the safe harbor for forward-looking statements contained in the Private Securities Litigation Reform Act of 1995, and the Company undertakes no obligation to update publicly or revise any forward-looking statements in light of the new information or future events, except as required by law.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3"/>
                <w:szCs w:val="13"/>
                <w:color w:val="auto"/>
              </w:rPr>
            </w:pPr>
          </w:p>
        </w:tc>
        <w:tc>
          <w:tcPr>
            <w:tcW w:w="96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960" w:type="dxa"/>
            <w:vAlign w:val="bottom"/>
            <w:gridSpan w:val="2"/>
          </w:tcPr>
          <w:p>
            <w:pPr>
              <w:jc w:val="center"/>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Sciences</w:t>
            </w:r>
          </w:p>
        </w:tc>
        <w:tc>
          <w:tcPr>
            <w:tcW w:w="1100" w:type="dxa"/>
            <w:vAlign w:val="bottom"/>
            <w:gridSpan w:val="3"/>
            <w:vMerge w:val="continue"/>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00" w:type="dxa"/>
            <w:vAlign w:val="bottom"/>
          </w:tcPr>
          <w:p>
            <w:pPr>
              <w:spacing w:after="0"/>
              <w:rPr>
                <w:sz w:val="15"/>
                <w:szCs w:val="15"/>
                <w:color w:val="auto"/>
              </w:rPr>
            </w:pPr>
          </w:p>
        </w:tc>
        <w:tc>
          <w:tcPr>
            <w:tcW w:w="96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(12,158)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14,289</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84,826</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(37,370)</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68,291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(51,950)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69,081</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(4,087)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23"/>
        </w:trPr>
        <w:tc>
          <w:tcPr>
            <w:tcW w:w="6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(105,565)</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251,046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9"/>
              </w:rPr>
              <w:t>(116,050)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228,023</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(24,825)</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52,296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9"/>
              </w:rPr>
              <w:t>(196,467)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9"/>
              </w:rPr>
              <w:t>(196,338)</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110,239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22,104</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1,296,014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9"/>
              </w:rPr>
              <w:t>(639,535)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14,289</w:t>
            </w:r>
          </w:p>
        </w:tc>
        <w:tc>
          <w:tcPr>
            <w:tcW w:w="7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670,768</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(12,010)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31,741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(15,925)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17,410</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20,348</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26,305</w:t>
            </w:r>
          </w:p>
        </w:tc>
        <w:tc>
          <w:tcPr>
            <w:tcW w:w="0" w:type="dxa"/>
            <w:vAlign w:val="bottom"/>
          </w:tcPr>
          <w:p>
            <w:pPr>
              <w:spacing w:after="0"/>
              <w:rPr>
                <w:sz w:val="1"/>
                <w:szCs w:val="1"/>
                <w:color w:val="auto"/>
              </w:rPr>
            </w:pPr>
          </w:p>
        </w:tc>
      </w:tr>
      <w:tr>
        <w:trPr>
          <w:trHeight w:val="223"/>
        </w:trPr>
        <w:tc>
          <w:tcPr>
            <w:tcW w:w="6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(56,821)</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16,870</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816,956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(687,493)</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128,579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(22,912)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56,800</w:t>
            </w:r>
          </w:p>
        </w:tc>
        <w:tc>
          <w:tcPr>
            <w:tcW w:w="0" w:type="dxa"/>
            <w:vAlign w:val="bottom"/>
          </w:tcPr>
          <w:p>
            <w:pPr>
              <w:spacing w:after="0"/>
              <w:rPr>
                <w:sz w:val="1"/>
                <w:szCs w:val="1"/>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26,212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1,139,408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(65,779)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(744,314)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329,315</w:t>
            </w:r>
          </w:p>
        </w:tc>
        <w:tc>
          <w:tcPr>
            <w:tcW w:w="0" w:type="dxa"/>
            <w:vAlign w:val="bottom"/>
          </w:tcPr>
          <w:p>
            <w:pPr>
              <w:spacing w:after="0"/>
              <w:rPr>
                <w:sz w:val="1"/>
                <w:szCs w:val="1"/>
                <w:color w:val="auto"/>
              </w:rPr>
            </w:pPr>
          </w:p>
        </w:tc>
      </w:tr>
      <w:tr>
        <w:trPr>
          <w:trHeight w:val="198"/>
        </w:trPr>
        <w:tc>
          <w:tcPr>
            <w:tcW w:w="6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 $0.01 par value per share,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100 shares authorized, 100 and 0 shares issued and outstanding</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98,707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57,899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9"/>
              </w:rPr>
              <w:t>(573,756)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758,603</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242,746</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1,296,014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(639,535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670,768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8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(156,447)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(109,121)</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30,433</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(23,701)</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22,684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(146,757)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92,942</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137,153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(115,027)</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(25,192)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benefit for income taxes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(289,550)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136,549</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19,743</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(269,939)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142,912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(106,053)</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42,154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Sciences</w:t>
            </w:r>
          </w:p>
        </w:tc>
        <w:tc>
          <w:tcPr>
            <w:tcW w:w="1080" w:type="dxa"/>
            <w:vAlign w:val="bottom"/>
            <w:gridSpan w:val="3"/>
            <w:vMerge w:val="continue"/>
          </w:tcPr>
          <w:p>
            <w:pPr>
              <w:spacing w:after="0"/>
              <w:rPr>
                <w:sz w:val="12"/>
                <w:szCs w:val="12"/>
                <w:color w:val="auto"/>
              </w:rPr>
            </w:pPr>
          </w:p>
        </w:tc>
        <w:tc>
          <w:tcPr>
            <w:tcW w:w="76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3"/>
            <w:vMerge w:val="continue"/>
          </w:tcPr>
          <w:p>
            <w:pPr>
              <w:spacing w:after="0"/>
              <w:rPr>
                <w:sz w:val="15"/>
                <w:szCs w:val="15"/>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(359,732)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487,719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641,639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9"/>
              </w:rPr>
              <w:t>(250,952)</w:t>
            </w:r>
          </w:p>
        </w:tc>
        <w:tc>
          <w:tcPr>
            <w:tcW w:w="16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390,687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103,223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(33,066)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70,157</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(46,860)</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44,986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(28,834)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57,155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(46,935)</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(e)</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7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(g)</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(28,615)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7,955</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w:t>
            </w:r>
          </w:p>
        </w:tc>
        <w:tc>
          <w:tcPr>
            <w:tcW w:w="76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(f)</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34"/>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42,030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1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Historical</w:t>
            </w:r>
          </w:p>
        </w:tc>
        <w:tc>
          <w:tcPr>
            <w:tcW w:w="110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60" w:type="dxa"/>
            <w:vAlign w:val="bottom"/>
          </w:tcPr>
          <w:p>
            <w:pPr>
              <w:spacing w:after="0"/>
              <w:rPr>
                <w:sz w:val="12"/>
                <w:szCs w:val="12"/>
                <w:color w:val="auto"/>
              </w:rPr>
            </w:pPr>
          </w:p>
        </w:tc>
        <w:tc>
          <w:tcPr>
            <w:tcW w:w="86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20" w:type="dxa"/>
            <w:vAlign w:val="bottom"/>
          </w:tcPr>
          <w:p>
            <w:pPr>
              <w:spacing w:after="0"/>
              <w:rPr>
                <w:sz w:val="15"/>
                <w:szCs w:val="15"/>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(248,173)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589,181</w:t>
            </w: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(177,497)</w:t>
            </w: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411,684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93,583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(24,773)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68,810</w:t>
            </w:r>
          </w:p>
        </w:tc>
        <w:tc>
          <w:tcPr>
            <w:tcW w:w="0" w:type="dxa"/>
            <w:vAlign w:val="bottom"/>
          </w:tcPr>
          <w:p>
            <w:pPr>
              <w:spacing w:after="0"/>
              <w:rPr>
                <w:sz w:val="1"/>
                <w:szCs w:val="1"/>
                <w:color w:val="auto"/>
              </w:rPr>
            </w:pPr>
          </w:p>
        </w:tc>
      </w:tr>
      <w:tr>
        <w:trPr>
          <w:trHeight w:val="198"/>
        </w:trPr>
        <w:tc>
          <w:tcPr>
            <w:tcW w:w="5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20"/>
                <w:szCs w:val="20"/>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5,763</w:t>
            </w: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(28,080)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43,048</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182,542</w:t>
            </w: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182,542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(179,864)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(23,089)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(202,953)</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61,243</w:t>
            </w: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(52,671)</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(19,562)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(262,010)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(22,966)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72,233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(212,743)</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13,413</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5,489</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(15,169)</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loss from joint venture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(14,390)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(262,987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(223,400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4"/>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Condensed Consolidated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0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NN, Inc.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521,464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below)</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(64,949)</w:t>
            </w:r>
          </w:p>
        </w:tc>
        <w:tc>
          <w:tcPr>
            <w:tcW w:w="16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395,465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(8,504)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65,608</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(12,091)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40,315</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(24,737)</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27,400</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(36,460)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gain on change in interest rate swap fair value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(12,837)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61,197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(11,847)</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(8,013)</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(21,419)</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50,113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27,433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4"/>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Pro Forma Condensed Consolidated Financial Information.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UNAUDITED PRO FORMA CONDENSED CONSOLIDATED FINANCIAL INFORMATION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The historical consolidated financial statements have been adjusted in the pro forma condensed consolidated financial statements to give effect to pro forma events that are (1) directly attributable to the Transaction, (2) factually supportable and (3) with respect to the pro forma condensed consolidated statements of operations, expected to have a continuing impact on the Company.</w:t>
      </w:r>
    </w:p>
    <w:p>
      <w:pPr>
        <w:spacing w:after="0" w:line="68" w:lineRule="exact"/>
        <w:rPr>
          <w:sz w:val="20"/>
          <w:szCs w:val="20"/>
          <w:color w:val="auto"/>
        </w:rPr>
      </w:pPr>
    </w:p>
    <w:p>
      <w:pPr>
        <w:ind w:left="444" w:right="120"/>
        <w:spacing w:after="0" w:line="261" w:lineRule="auto"/>
        <w:rPr>
          <w:sz w:val="20"/>
          <w:szCs w:val="20"/>
          <w:color w:val="auto"/>
        </w:rPr>
      </w:pPr>
      <w:r>
        <w:rPr>
          <w:rFonts w:ascii="Times New Roman" w:cs="Times New Roman" w:eastAsia="Times New Roman" w:hAnsi="Times New Roman"/>
          <w:sz w:val="18"/>
          <w:szCs w:val="18"/>
          <w:color w:val="auto"/>
        </w:rPr>
        <w:t>The pro forma condensed consolidated financial statements do not necessarily reflect what the consolidated Company’s financial condition or results of operations would have been had the Transaction occurred on the dates indicated. They also may not be useful in predicting the future financial condition and results of operations of the Company. The actual financial position and results of operations may differ significantly from the pro forma amounts reflected herein due to a variety of factors.</w:t>
      </w:r>
    </w:p>
    <w:p>
      <w:pPr>
        <w:spacing w:after="0" w:line="72" w:lineRule="exact"/>
        <w:rPr>
          <w:sz w:val="20"/>
          <w:szCs w:val="20"/>
          <w:color w:val="auto"/>
        </w:rPr>
      </w:pPr>
    </w:p>
    <w:p>
      <w:pPr>
        <w:ind w:left="444" w:right="80"/>
        <w:spacing w:after="0" w:line="282" w:lineRule="auto"/>
        <w:rPr>
          <w:sz w:val="20"/>
          <w:szCs w:val="20"/>
          <w:color w:val="auto"/>
        </w:rPr>
      </w:pPr>
      <w:r>
        <w:rPr>
          <w:rFonts w:ascii="Times New Roman" w:cs="Times New Roman" w:eastAsia="Times New Roman" w:hAnsi="Times New Roman"/>
          <w:sz w:val="18"/>
          <w:szCs w:val="18"/>
          <w:color w:val="auto"/>
        </w:rPr>
        <w:t>The condensed consolidated pro forma financial information does not reflect the realization of any expected cost savings from the sale of the Life Sciences Business.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2. Disposition of Life Sciences Business</w:t>
      </w:r>
    </w:p>
    <w:p>
      <w:pPr>
        <w:spacing w:after="0" w:line="121"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The estimated net proceeds and gain on the sale of the Life Sciences Business, based on the historical book balances of the Life Sciences Business as of June 30, 2020, are as follows:</w:t>
      </w:r>
    </w:p>
    <w:p>
      <w:pPr>
        <w:spacing w:after="0" w:line="206"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Proceeds from sale </w:t>
            </w:r>
            <w:r>
              <w:rPr>
                <w:rFonts w:ascii="Times New Roman" w:cs="Times New Roman" w:eastAsia="Times New Roman" w:hAnsi="Times New Roman"/>
                <w:sz w:val="15"/>
                <w:szCs w:val="15"/>
                <w:color w:val="auto"/>
              </w:rPr>
              <w:t>(1)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$ 757,225</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assets sold as of June 30, 2020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(573,756)</w:t>
            </w: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translation adjustment in accumulated other comprehensive income as of</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2020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(8,615)</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15"/>
                <w:szCs w:val="15"/>
                <w:color w:val="auto"/>
              </w:rPr>
              <w:t>(2)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Estimated gain on sale </w:t>
            </w:r>
            <w:r>
              <w:rPr>
                <w:rFonts w:ascii="Times New Roman" w:cs="Times New Roman" w:eastAsia="Times New Roman" w:hAnsi="Times New Roman"/>
                <w:sz w:val="15"/>
                <w:szCs w:val="15"/>
                <w:color w:val="auto"/>
              </w:rPr>
              <w:t>(3)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$ 157,510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12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cash proceeds are considered in the estimated gain calculation. The potential earnout payment of up to $70 million will be recognized if the payment becomes probable.</w:t>
      </w:r>
    </w:p>
    <w:p>
      <w:pPr>
        <w:ind w:left="424" w:right="68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include accounting, tax, valuation, consulting, legal and investment banking fees related to the sale of the Life Sciences Business, including approximately $1.4 million of Transaction costs expensed prior to June 30, 2020.</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facts and circumstances available as of the date of this Current Report on Form 8-K, the Company expects no taxable gain on sale.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3. Pro Forma Adjustments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are descriptions of the pro forma adjustments related to the Transaction:</w:t>
      </w:r>
    </w:p>
    <w:p>
      <w:pPr>
        <w:spacing w:after="0" w:line="131" w:lineRule="exact"/>
        <w:rPr>
          <w:sz w:val="20"/>
          <w:szCs w:val="20"/>
          <w:color w:val="auto"/>
        </w:rPr>
      </w:pPr>
    </w:p>
    <w:p>
      <w:pPr>
        <w:ind w:left="964" w:hanging="532"/>
        <w:spacing w:after="0" w:line="25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net proceeds from the Transaction to prepay term loans under the Company’s credit facility. Collectively, the Company’s credit facility includes a senior secured term loan with an outstanding principal balance of $523.4 million as of June 30, 2020, an incremental term loan with an outstanding principal balance of $251.3 million as of June 30, 2020, and a senior secured revolver with an outstanding principal balance of $62.5 million as of June 30, 2020. The Company’s credit agreement, as amended on August 22, 2020, requires all net proceeds (as defined by the credit agreement) from the Transaction to be applied as a prepayment of the senior secured term loan and the incremental term loan. The pro forma adjustment to debt includes the following amounts: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3" w:name="page14"/>
    <w:bookmarkEnd w:id="13"/>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09"/>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used to pay down credit facilities</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Accelerated amortization of debt issuance costs</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debt</w:t>
            </w:r>
          </w:p>
        </w:tc>
        <w:tc>
          <w:tcPr>
            <w:tcW w:w="17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(687,493)</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deferred income tax liability related to the Life Sciences Business.</w:t>
      </w:r>
    </w:p>
    <w:p>
      <w:pPr>
        <w:spacing w:after="0" w:line="130"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Transaction costs that were incurred prior to June 30, 2020, because they will not have a continuing impact on the Company.</w:t>
      </w:r>
    </w:p>
    <w:p>
      <w:pPr>
        <w:spacing w:after="0" w:line="67"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consolidated statements of operations exclude the estimated gain resulting from the sale of the Life Sciences Business. This estimated gain will not have a continuing impact on the Company and is therefore reflected as a pro forma adjustment to stockholders’ equity in the unaudited pro forma condensed consolidated balance sheet. The pro forma adjustment to stockholders’ equity includes the following amounts:</w:t>
      </w:r>
    </w:p>
    <w:p>
      <w:pPr>
        <w:spacing w:after="0" w:line="18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debt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687,493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Estimated cash on Life Sciences closing balance sheet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14,289</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56,821</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5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change in estimated interest expense and amortization of debt issuance costs incurred from the Company’s credit facility as a result of the requirement for the Company to use all net proceeds from the Transaction to prepay approximately $700.0 million on its term loans. The pro forma adjustment to interest expense is presented as if the Transaction and prepayment of debt had occurred on January 1, 2017. Amortization of debt issuance costs for the year ended December 31, 2017, includes $19.1 million of accelerated amortization on the assumed prepayment date of January 1, 2017. The pro forma adjustment to interest expense includes the following:</w:t>
      </w:r>
    </w:p>
    <w:p>
      <w:pPr>
        <w:spacing w:after="0" w:line="204"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6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$(43,550)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$(49,049)</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$(40,700)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(2,447)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(3,622)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interest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(25,192)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(46,935)</w:t>
            </w: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(52,671)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2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income tax effect, using a federal statutory rate of 21% for 2020, 2019, and 2018, and 35% for 2017, related to the change in write-off of unamortized debt issuance costs and changes in interest expense. The effective tax rate of the Company after the Transaction may differ from what is presented in the unaudited pro forma condensed consolidated financial statements as a result of different tax jurisdictions.</w:t>
      </w:r>
    </w:p>
    <w:p>
      <w:pPr>
        <w:spacing w:after="0" w:line="85"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of debt and write-off of unamortized debt issuance costs related to debt modifications as if the proceeds of the Transaction had been used for the required prepayment of the Company’s term loans as of January 1, 2017.</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cash on closing balance sheet that was factored into the calculation of proceeds from sale.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64"/>
      </w:cols>
      <w:pgMar w:left="436" w:top="25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9" Type="http://schemas.openxmlformats.org/officeDocument/2006/relationships/hyperlink" Target="http://www.sec.gov/Archives/edgar/data/918541/000119312520227628/d73183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2020-10-08T08:23:48Z</dcterms:created>
  <dcterms:modified xsi:type="dcterms:W3CDTF">2020-10-08T08:23:48Z</dcterms:modified>
</cp:coreProperties>
</file>