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2011</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 of each</w:t>
      </w:r>
    </w:p>
    <w:p>
      <w:pPr>
        <w:sectPr>
          <w:pgSz w:w="11900" w:h="16855"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31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966,694</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966,694</w:t>
            </w: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12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166,918</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1,146,552</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1,146,552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1,146,552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6.8%</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Trust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Portfolios L.P.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Trust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Advisors L.P.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IA</w:t>
            </w:r>
          </w:p>
        </w:tc>
      </w:tr>
      <w:tr>
        <w:trPr>
          <w:trHeight w:val="405"/>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The Charger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Corporation</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w w:val="92"/>
              </w:rPr>
              <w:t>- HC</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NN, Inc.</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ind w:left="264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2640"/>
        <w:spacing w:after="0"/>
        <w:rPr>
          <w:sz w:val="20"/>
          <w:szCs w:val="20"/>
          <w:color w:val="auto"/>
        </w:rPr>
      </w:pPr>
      <w:r>
        <w:rPr>
          <w:rFonts w:ascii="Courier New" w:cs="Courier New" w:eastAsia="Courier New" w:hAnsi="Courier New"/>
          <w:sz w:val="18"/>
          <w:szCs w:val="18"/>
          <w:color w:val="auto"/>
        </w:rPr>
        <w:t>Johnson City, TN 37604</w:t>
      </w:r>
    </w:p>
    <w:p>
      <w:pPr>
        <w:ind w:left="2640"/>
        <w:spacing w:after="0" w:line="237" w:lineRule="auto"/>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ind w:left="2640"/>
        <w:spacing w:after="0" w:line="238" w:lineRule="auto"/>
        <w:rPr>
          <w:sz w:val="20"/>
          <w:szCs w:val="20"/>
          <w:color w:val="auto"/>
        </w:rPr>
      </w:pPr>
      <w:r>
        <w:rPr>
          <w:rFonts w:ascii="Courier New" w:cs="Courier New" w:eastAsia="Courier New" w:hAnsi="Courier New"/>
          <w:sz w:val="18"/>
          <w:szCs w:val="18"/>
          <w:color w:val="auto"/>
        </w:rPr>
        <w:t>First Trust Advisors L.P.</w:t>
      </w:r>
    </w:p>
    <w:p>
      <w:pPr>
        <w:ind w:left="2640"/>
        <w:spacing w:after="0"/>
        <w:rPr>
          <w:sz w:val="20"/>
          <w:szCs w:val="20"/>
          <w:color w:val="auto"/>
        </w:rPr>
      </w:pPr>
      <w:r>
        <w:rPr>
          <w:rFonts w:ascii="Courier New" w:cs="Courier New" w:eastAsia="Courier New" w:hAnsi="Courier New"/>
          <w:sz w:val="18"/>
          <w:szCs w:val="18"/>
          <w:color w:val="auto"/>
        </w:rPr>
        <w:t>The Charger Corporation</w:t>
      </w:r>
    </w:p>
    <w:p>
      <w:pPr>
        <w:spacing w:after="0" w:line="200" w:lineRule="exact"/>
        <w:rPr>
          <w:sz w:val="20"/>
          <w:szCs w:val="20"/>
          <w:color w:val="auto"/>
        </w:rPr>
      </w:pPr>
    </w:p>
    <w:p>
      <w:pPr>
        <w:spacing w:after="0" w:line="203" w:lineRule="exact"/>
        <w:rPr>
          <w:sz w:val="20"/>
          <w:szCs w:val="20"/>
          <w:color w:val="auto"/>
        </w:rPr>
      </w:pPr>
    </w:p>
    <w:p>
      <w:pPr>
        <w:jc w:val="both"/>
        <w:ind w:left="1060"/>
        <w:spacing w:after="0"/>
        <w:tabs>
          <w:tab w:leader="none" w:pos="2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Principal Business Office or, if none, Residence</w:t>
      </w:r>
    </w:p>
    <w:p>
      <w:pPr>
        <w:sectPr>
          <w:pgSz w:w="11900" w:h="16838" w:orient="portrait"/>
          <w:cols w:equalWidth="0" w:num="1">
            <w:col w:w="10219"/>
          </w:cols>
          <w:pgMar w:left="240" w:top="339" w:right="1440" w:bottom="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tbl>
      <w:tblPr>
        <w:tblLayout w:type="fixed"/>
        <w:tblInd w:w="264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East</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Liberty Drive, Suite 400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Wheaton,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Illinois 60187</w:t>
            </w: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First Trust Advisors L.P.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East</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Liberty Drive, Suite 400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Wheaton,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Illinois 60187</w:t>
            </w: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The Charger Corporation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East</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Liberty Drive, Suite 400</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Wheaton,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Illinois 60187</w:t>
            </w:r>
          </w:p>
        </w:tc>
      </w:tr>
    </w:tbl>
    <w:p>
      <w:pPr>
        <w:spacing w:after="0" w:line="200" w:lineRule="exact"/>
        <w:rPr>
          <w:sz w:val="20"/>
          <w:szCs w:val="20"/>
          <w:color w:val="auto"/>
        </w:rPr>
      </w:pPr>
    </w:p>
    <w:p>
      <w:pPr>
        <w:spacing w:after="0" w:line="209" w:lineRule="exact"/>
        <w:rPr>
          <w:sz w:val="20"/>
          <w:szCs w:val="20"/>
          <w:color w:val="auto"/>
        </w:rPr>
      </w:pPr>
    </w:p>
    <w:p>
      <w:pPr>
        <w:ind w:left="2120" w:right="4199" w:hanging="1059"/>
        <w:spacing w:after="0" w:line="470"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214" w:lineRule="exact"/>
        <w:rPr>
          <w:rFonts w:ascii="Courier New" w:cs="Courier New" w:eastAsia="Courier New" w:hAnsi="Courier New"/>
          <w:sz w:val="18"/>
          <w:szCs w:val="18"/>
          <w:color w:val="auto"/>
        </w:rPr>
      </w:pPr>
    </w:p>
    <w:p>
      <w:pPr>
        <w:ind w:left="2120" w:right="5159" w:hanging="1059"/>
        <w:spacing w:after="0" w:line="470"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629337106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169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8" w:lineRule="exact"/>
        <w:rPr>
          <w:rFonts w:ascii="Courier New" w:cs="Courier New" w:eastAsia="Courier New" w:hAnsi="Courier New"/>
          <w:sz w:val="18"/>
          <w:szCs w:val="18"/>
          <w:color w:val="auto"/>
        </w:rPr>
      </w:pPr>
    </w:p>
    <w:p>
      <w:pPr>
        <w:ind w:left="2120" w:right="1879" w:hanging="1059"/>
        <w:spacing w:after="0" w:line="235"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9"/>
        <w:spacing w:after="0" w:line="290"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 (b)(1)(ii)(E).</w:t>
      </w:r>
    </w:p>
    <w:p>
      <w:pPr>
        <w:spacing w:after="0" w:line="207" w:lineRule="exact"/>
        <w:rPr>
          <w:sz w:val="20"/>
          <w:szCs w:val="20"/>
          <w:color w:val="auto"/>
        </w:rPr>
      </w:pPr>
    </w:p>
    <w:p>
      <w:pPr>
        <w:ind w:left="2120" w:right="209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169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1,146,552</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bl>
    <w:p>
      <w:pPr>
        <w:spacing w:after="0" w:line="201" w:lineRule="exact"/>
        <w:rPr>
          <w:sz w:val="20"/>
          <w:szCs w:val="20"/>
          <w:color w:val="auto"/>
        </w:rPr>
      </w:pPr>
    </w:p>
    <w:p>
      <w:pPr>
        <w:ind w:left="1700" w:hanging="63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2120"/>
        <w:spacing w:after="0"/>
        <w:tabs>
          <w:tab w:leader="none" w:pos="2720" w:val="left"/>
          <w:tab w:leader="none" w:pos="75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740" w:hanging="730"/>
        <w:spacing w:after="0"/>
        <w:tabs>
          <w:tab w:leader="none" w:pos="2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966,694</w:t>
      </w:r>
    </w:p>
    <w:p>
      <w:pPr>
        <w:spacing w:after="0" w:line="218" w:lineRule="exact"/>
        <w:rPr>
          <w:rFonts w:ascii="Courier New" w:cs="Courier New" w:eastAsia="Courier New" w:hAnsi="Courier New"/>
          <w:sz w:val="16"/>
          <w:szCs w:val="16"/>
          <w:color w:val="auto"/>
        </w:rPr>
      </w:pPr>
    </w:p>
    <w:p>
      <w:pPr>
        <w:ind w:left="2740" w:hanging="836"/>
        <w:spacing w:after="0"/>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sectPr>
          <w:pgSz w:w="11900" w:h="16838" w:orient="portrait"/>
          <w:cols w:equalWidth="0" w:num="1">
            <w:col w:w="10219"/>
          </w:cols>
          <w:pgMar w:left="240" w:top="136" w:right="1440" w:bottom="0" w:gutter="0" w:footer="0" w:header="0"/>
        </w:sectPr>
      </w:pPr>
    </w:p>
    <w:bookmarkStart w:id="3" w:name="page4"/>
    <w:bookmarkEnd w:id="3"/>
    <w:p>
      <w:pPr>
        <w:ind w:left="2740"/>
        <w:spacing w:after="0"/>
        <w:tabs>
          <w:tab w:leader="none" w:pos="326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0</w:t>
      </w:r>
    </w:p>
    <w:p>
      <w:pPr>
        <w:spacing w:after="0" w:line="207" w:lineRule="exact"/>
        <w:rPr>
          <w:sz w:val="20"/>
          <w:szCs w:val="20"/>
          <w:color w:val="auto"/>
        </w:rPr>
      </w:pPr>
    </w:p>
    <w:p>
      <w:pPr>
        <w:ind w:left="2740" w:right="1999" w:hanging="730"/>
        <w:spacing w:after="0" w:line="470" w:lineRule="auto"/>
        <w:tabs>
          <w:tab w:leader="none" w:pos="2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1,146,552</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9"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ind w:right="1779"/>
        <w:spacing w:after="0" w:line="269"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voted as closely as possible in the same manner and in the same general proportion as are the shares held by owners other than such unit investment trusts.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339" w:right="1440" w:bottom="0" w:gutter="0" w:footer="0" w:header="0"/>
        </w:sectPr>
      </w:pPr>
    </w:p>
    <w:bookmarkStart w:id="4" w:name="page5"/>
    <w:bookmarkEnd w:id="4"/>
    <w:p>
      <w:pPr>
        <w:ind w:right="2099" w:firstLine="527"/>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ind w:left="358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580"/>
        <w:spacing w:after="0"/>
        <w:rPr>
          <w:sz w:val="20"/>
          <w:szCs w:val="20"/>
          <w:color w:val="auto"/>
        </w:rPr>
      </w:pPr>
      <w:r>
        <w:rPr>
          <w:rFonts w:ascii="Courier New" w:cs="Courier New" w:eastAsia="Courier New" w:hAnsi="Courier New"/>
          <w:sz w:val="18"/>
          <w:szCs w:val="18"/>
          <w:color w:val="auto"/>
        </w:rPr>
        <w:t>THE CHARGER CORPORATION</w:t>
      </w:r>
    </w:p>
    <w:p>
      <w:pPr>
        <w:ind w:left="3580"/>
        <w:spacing w:after="0" w:line="237" w:lineRule="auto"/>
        <w:rPr>
          <w:sz w:val="20"/>
          <w:szCs w:val="20"/>
          <w:color w:val="auto"/>
        </w:rPr>
      </w:pPr>
      <w:r>
        <w:rPr>
          <w:rFonts w:ascii="Courier New" w:cs="Courier New" w:eastAsia="Courier New" w:hAnsi="Courier New"/>
          <w:sz w:val="18"/>
          <w:szCs w:val="18"/>
          <w:color w:val="auto"/>
        </w:rPr>
        <w:t>Date: February 9, 2012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Mark R. Bradley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640"/>
        <w:spacing w:after="0"/>
        <w:rPr>
          <w:sz w:val="20"/>
          <w:szCs w:val="20"/>
          <w:color w:val="auto"/>
        </w:rPr>
      </w:pPr>
      <w:r>
        <w:rPr>
          <w:rFonts w:ascii="Courier New" w:cs="Courier New" w:eastAsia="Courier New" w:hAnsi="Courier New"/>
          <w:sz w:val="18"/>
          <w:szCs w:val="18"/>
          <w:color w:val="auto"/>
        </w:rPr>
        <w:t>Mark R. Bradley</w:t>
      </w:r>
    </w:p>
    <w:p>
      <w:pPr>
        <w:jc w:val="center"/>
        <w:ind w:right="-640"/>
        <w:spacing w:after="0" w:line="237" w:lineRule="auto"/>
        <w:rPr>
          <w:sz w:val="20"/>
          <w:szCs w:val="20"/>
          <w:color w:val="auto"/>
        </w:rPr>
      </w:pPr>
      <w:r>
        <w:rPr>
          <w:rFonts w:ascii="Courier New" w:cs="Courier New" w:eastAsia="Courier New" w:hAnsi="Courier New"/>
          <w:sz w:val="18"/>
          <w:szCs w:val="18"/>
          <w:color w:val="auto"/>
        </w:rPr>
        <w:t>Chief Financial Officer and</w:t>
      </w:r>
    </w:p>
    <w:p>
      <w:pPr>
        <w:ind w:left="4020"/>
        <w:spacing w:after="0" w:line="238" w:lineRule="auto"/>
        <w:rPr>
          <w:sz w:val="20"/>
          <w:szCs w:val="20"/>
          <w:color w:val="auto"/>
        </w:rPr>
      </w:pPr>
      <w:r>
        <w:rPr>
          <w:rFonts w:ascii="Courier New" w:cs="Courier New" w:eastAsia="Courier New" w:hAnsi="Courier New"/>
          <w:sz w:val="18"/>
          <w:szCs w:val="18"/>
          <w:color w:val="auto"/>
        </w:rPr>
        <w:t>Chief Operating Officer of</w:t>
      </w:r>
    </w:p>
    <w:p>
      <w:pPr>
        <w:ind w:left="4020"/>
        <w:spacing w:after="0"/>
        <w:rPr>
          <w:sz w:val="20"/>
          <w:szCs w:val="20"/>
          <w:color w:val="auto"/>
        </w:rPr>
      </w:pPr>
      <w:r>
        <w:rPr>
          <w:rFonts w:ascii="Courier New" w:cs="Courier New" w:eastAsia="Courier New" w:hAnsi="Courier New"/>
          <w:sz w:val="18"/>
          <w:szCs w:val="18"/>
          <w:color w:val="auto"/>
        </w:rPr>
        <w:t>First Trust Portfolios L.P. and</w:t>
      </w:r>
    </w:p>
    <w:p>
      <w:pPr>
        <w:ind w:left="4020"/>
        <w:spacing w:after="0" w:line="237" w:lineRule="auto"/>
        <w:rPr>
          <w:sz w:val="20"/>
          <w:szCs w:val="20"/>
          <w:color w:val="auto"/>
        </w:rPr>
      </w:pPr>
      <w:r>
        <w:rPr>
          <w:rFonts w:ascii="Courier New" w:cs="Courier New" w:eastAsia="Courier New" w:hAnsi="Courier New"/>
          <w:sz w:val="18"/>
          <w:szCs w:val="18"/>
          <w:color w:val="auto"/>
        </w:rPr>
        <w:t>First Trust Advisors L.P., and</w:t>
      </w:r>
    </w:p>
    <w:p>
      <w:pPr>
        <w:ind w:left="4020"/>
        <w:spacing w:after="0"/>
        <w:rPr>
          <w:sz w:val="20"/>
          <w:szCs w:val="20"/>
          <w:color w:val="auto"/>
        </w:rPr>
      </w:pPr>
      <w:r>
        <w:rPr>
          <w:rFonts w:ascii="Courier New" w:cs="Courier New" w:eastAsia="Courier New" w:hAnsi="Courier New"/>
          <w:sz w:val="18"/>
          <w:szCs w:val="18"/>
          <w:color w:val="auto"/>
        </w:rPr>
        <w:t>Treasurer of The Charger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44"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2012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ind w:left="380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Mark R. Bradley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R. Bradley</w:t>
      </w:r>
    </w:p>
    <w:p>
      <w:pPr>
        <w:ind w:left="4320"/>
        <w:spacing w:after="0" w:line="237" w:lineRule="auto"/>
        <w:rPr>
          <w:sz w:val="20"/>
          <w:szCs w:val="20"/>
          <w:color w:val="auto"/>
        </w:rPr>
      </w:pPr>
      <w:r>
        <w:rPr>
          <w:rFonts w:ascii="Courier New" w:cs="Courier New" w:eastAsia="Courier New" w:hAnsi="Courier New"/>
          <w:sz w:val="18"/>
          <w:szCs w:val="18"/>
          <w:color w:val="auto"/>
        </w:rPr>
        <w:t>Title: Chief Financial Officer and</w:t>
      </w:r>
    </w:p>
    <w:p>
      <w:pPr>
        <w:ind w:left="5060"/>
        <w:spacing w:after="0" w:line="238" w:lineRule="auto"/>
        <w:rPr>
          <w:sz w:val="20"/>
          <w:szCs w:val="20"/>
          <w:color w:val="auto"/>
        </w:rPr>
      </w:pPr>
      <w:r>
        <w:rPr>
          <w:rFonts w:ascii="Courier New" w:cs="Courier New" w:eastAsia="Courier New" w:hAnsi="Courier New"/>
          <w:sz w:val="18"/>
          <w:szCs w:val="18"/>
          <w:color w:val="auto"/>
        </w:rPr>
        <w:t>Chief Operating Officer of</w:t>
      </w:r>
    </w:p>
    <w:p>
      <w:pPr>
        <w:ind w:left="5060"/>
        <w:spacing w:after="0"/>
        <w:rPr>
          <w:sz w:val="20"/>
          <w:szCs w:val="20"/>
          <w:color w:val="auto"/>
        </w:rPr>
      </w:pPr>
      <w:r>
        <w:rPr>
          <w:rFonts w:ascii="Courier New" w:cs="Courier New" w:eastAsia="Courier New" w:hAnsi="Courier New"/>
          <w:sz w:val="18"/>
          <w:szCs w:val="18"/>
          <w:color w:val="auto"/>
        </w:rPr>
        <w:t>First Trust Portfolios L.P. and</w:t>
      </w:r>
    </w:p>
    <w:p>
      <w:pPr>
        <w:ind w:left="5060"/>
        <w:spacing w:after="0" w:line="237" w:lineRule="auto"/>
        <w:rPr>
          <w:sz w:val="20"/>
          <w:szCs w:val="20"/>
          <w:color w:val="auto"/>
        </w:rPr>
      </w:pPr>
      <w:r>
        <w:rPr>
          <w:rFonts w:ascii="Courier New" w:cs="Courier New" w:eastAsia="Courier New" w:hAnsi="Courier New"/>
          <w:sz w:val="18"/>
          <w:szCs w:val="18"/>
          <w:color w:val="auto"/>
        </w:rPr>
        <w:t>First Trust Advisors L.P.,</w:t>
      </w:r>
    </w:p>
    <w:p>
      <w:pPr>
        <w:ind w:left="5060"/>
        <w:spacing w:after="0"/>
        <w:rPr>
          <w:sz w:val="20"/>
          <w:szCs w:val="20"/>
          <w:color w:val="auto"/>
        </w:rPr>
      </w:pPr>
      <w:r>
        <w:rPr>
          <w:rFonts w:ascii="Courier New" w:cs="Courier New" w:eastAsia="Courier New" w:hAnsi="Courier New"/>
          <w:sz w:val="18"/>
          <w:szCs w:val="18"/>
          <w:color w:val="auto"/>
        </w:rPr>
        <w:t>and Treasurer of</w:t>
      </w:r>
    </w:p>
    <w:p>
      <w:pPr>
        <w:ind w:left="5060"/>
        <w:spacing w:after="0" w:line="237" w:lineRule="auto"/>
        <w:rPr>
          <w:sz w:val="20"/>
          <w:szCs w:val="20"/>
          <w:color w:val="auto"/>
        </w:rPr>
      </w:pPr>
      <w:r>
        <w:rPr>
          <w:rFonts w:ascii="Courier New" w:cs="Courier New" w:eastAsia="Courier New" w:hAnsi="Courier New"/>
          <w:sz w:val="18"/>
          <w:szCs w:val="18"/>
          <w:color w:val="auto"/>
        </w:rPr>
        <w:t>The Charger Corporation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8"/>
    </w:lvl>
    <w:lvl w:ilvl="1">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3"/>
    </w:lvl>
    <w:lvl w:ilvl="1">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6"/>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2019-12-09T10:53:12Z</dcterms:created>
  <dcterms:modified xsi:type="dcterms:W3CDTF">2019-12-09T10:53:12Z</dcterms:modified>
</cp:coreProperties>
</file>