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429260</wp:posOffset>
            </wp:positionV>
            <wp:extent cx="76327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327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As of August 9, 2017, there were 27,540,093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12"/>
            <w:vMerge w:val="restart"/>
          </w:tcPr>
          <w:p>
            <w:pPr>
              <w:ind w:left="360"/>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96"/>
        </w:trPr>
        <w:tc>
          <w:tcPr>
            <w:tcW w:w="10820" w:type="dxa"/>
            <w:vAlign w:val="bottom"/>
            <w:gridSpan w:val="12"/>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3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5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20" w:type="dxa"/>
            <w:vAlign w:val="bottom"/>
            <w:gridSpan w:val="12"/>
          </w:tcPr>
          <w:p>
            <w:pPr>
              <w:ind w:left="360"/>
              <w:spacing w:after="0"/>
              <w:rPr>
                <w:sz w:val="20"/>
                <w:szCs w:val="20"/>
                <w:color w:val="auto"/>
              </w:rPr>
            </w:pPr>
            <w:r>
              <w:rPr>
                <w:rFonts w:ascii="Arial" w:cs="Arial" w:eastAsia="Arial" w:hAnsi="Arial"/>
                <w:sz w:val="18"/>
                <w:szCs w:val="18"/>
                <w:b w:val="1"/>
                <w:bCs w:val="1"/>
                <w:color w:val="auto"/>
              </w:rPr>
              <w:t>Part II. 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50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4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0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5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5"/>
        </w:trPr>
        <w:tc>
          <w:tcPr>
            <w:tcW w:w="10820" w:type="dxa"/>
            <w:vAlign w:val="bottom"/>
            <w:gridSpan w:val="12"/>
          </w:tcPr>
          <w:p>
            <w:pPr>
              <w:ind w:left="360"/>
              <w:spacing w:after="0"/>
              <w:rPr>
                <w:sz w:val="20"/>
                <w:szCs w:val="20"/>
                <w:color w:val="auto"/>
              </w:rPr>
            </w:pPr>
            <w:r>
              <w:rPr>
                <w:rFonts w:ascii="Arial" w:cs="Arial" w:eastAsia="Arial" w:hAnsi="Arial"/>
                <w:sz w:val="18"/>
                <w:szCs w:val="18"/>
                <w:color w:val="auto"/>
              </w:rPr>
              <w:t>Signatures</w:t>
            </w: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6460" w:type="dxa"/>
            <w:vAlign w:val="bottom"/>
            <w:gridSpan w:val="10"/>
          </w:tcPr>
          <w:p>
            <w:pPr>
              <w:ind w:left="466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758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225,875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214,272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452,189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426,498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166,040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156,794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332,994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15,900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31,468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39,639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39,639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Income (loss) before provision (benefit) for income taxes and 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(32,201)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(24,187)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(21,529</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(14,122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(12,289)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gridSpan w:val="2"/>
            <w:vMerge w:val="restart"/>
          </w:tcPr>
          <w:p>
            <w:pPr>
              <w:ind w:left="340"/>
              <w:spacing w:after="0"/>
              <w:rPr>
                <w:sz w:val="20"/>
                <w:szCs w:val="20"/>
                <w:color w:val="auto"/>
              </w:rPr>
            </w:pPr>
            <w:r>
              <w:rPr>
                <w:rFonts w:ascii="Arial" w:cs="Arial" w:eastAsia="Arial" w:hAnsi="Arial"/>
                <w:sz w:val="18"/>
                <w:szCs w:val="18"/>
                <w:color w:val="auto"/>
              </w:rPr>
              <w:t>Cash dividends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162,363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123,702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327,628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333,160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452,282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244,264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1,405,816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23,941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24,748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147,063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99,333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827,390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Accrued post-employment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1,045,187</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color w:val="auto"/>
              </w:rPr>
              <w:t>Commitments and contingencies (Note 10)</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7"/>
              </w:rPr>
              <w:t>Common stock - $0.01 par value, authorized 45,000 shares, issued and outstanding 27,537 in 2017 and 27,249 in 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288,903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38,167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311,813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1,405,816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Additional</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paid in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value</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Balance, December 31, 2016</w:t>
            </w:r>
          </w:p>
        </w:tc>
        <w:tc>
          <w:tcPr>
            <w:tcW w:w="30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27,249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$284,508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$ 55,509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$310,513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7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(14,122)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575</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220</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2"/>
        </w:trPr>
        <w:tc>
          <w:tcPr>
            <w:tcW w:w="50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Restricted and performance based stock compensation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540"/>
              <w:spacing w:after="0"/>
              <w:rPr>
                <w:sz w:val="20"/>
                <w:szCs w:val="20"/>
                <w:color w:val="auto"/>
              </w:rPr>
            </w:pPr>
            <w:r>
              <w:rPr>
                <w:rFonts w:ascii="Arial" w:cs="Arial" w:eastAsia="Arial" w:hAnsi="Arial"/>
                <w:sz w:val="18"/>
                <w:szCs w:val="18"/>
                <w:color w:val="auto"/>
              </w:rPr>
              <w:t>expense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300" w:type="dxa"/>
            <w:vAlign w:val="bottom"/>
          </w:tcPr>
          <w:p>
            <w:pPr>
              <w:spacing w:after="0"/>
              <w:rPr>
                <w:sz w:val="20"/>
                <w:szCs w:val="20"/>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shares forgiven for taxes and forfeited</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gain</w:t>
            </w:r>
          </w:p>
        </w:tc>
        <w:tc>
          <w:tcPr>
            <w:tcW w:w="7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Adoption of new accounting standard (see Note 1)</w:t>
            </w: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27,537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288,903</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$ 38,167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32</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311,813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82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60" w:type="dxa"/>
            <w:vAlign w:val="bottom"/>
            <w:gridSpan w:val="3"/>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Cash flows from</w:t>
            </w: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by)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31,468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700"/>
              <w:spacing w:after="0"/>
              <w:rPr>
                <w:sz w:val="20"/>
                <w:szCs w:val="20"/>
                <w:color w:val="auto"/>
              </w:rPr>
            </w:pPr>
            <w:r>
              <w:rPr>
                <w:rFonts w:ascii="Arial" w:cs="Arial" w:eastAsia="Arial" w:hAnsi="Arial"/>
                <w:sz w:val="18"/>
                <w:szCs w:val="18"/>
                <w:color w:val="auto"/>
              </w:rPr>
              <w:t>Write-off of debt issuance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 of net income from joint venture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700"/>
              <w:spacing w:after="0"/>
              <w:rPr>
                <w:sz w:val="20"/>
                <w:szCs w:val="20"/>
                <w:color w:val="auto"/>
              </w:rPr>
            </w:pPr>
            <w:r>
              <w:rPr>
                <w:rFonts w:ascii="Arial" w:cs="Arial" w:eastAsia="Arial" w:hAnsi="Arial"/>
                <w:sz w:val="18"/>
                <w:szCs w:val="18"/>
                <w:color w:val="auto"/>
              </w:rPr>
              <w:t>Gain on disposals of property, plant and equipment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Compensation expense from issuance of share-based awards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700"/>
              <w:spacing w:after="0"/>
              <w:rPr>
                <w:sz w:val="20"/>
                <w:szCs w:val="20"/>
                <w:color w:val="auto"/>
              </w:rPr>
            </w:pPr>
            <w:r>
              <w:rPr>
                <w:rFonts w:ascii="Arial" w:cs="Arial" w:eastAsia="Arial" w:hAnsi="Arial"/>
                <w:sz w:val="18"/>
                <w:szCs w:val="18"/>
                <w:color w:val="auto"/>
              </w:rPr>
              <w:t>Deferred income tax benefit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(5,945)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060"/>
              <w:spacing w:after="0"/>
              <w:rPr>
                <w:sz w:val="20"/>
                <w:szCs w:val="20"/>
                <w:color w:val="auto"/>
              </w:rPr>
            </w:pPr>
            <w:r>
              <w:rPr>
                <w:rFonts w:ascii="Arial" w:cs="Arial" w:eastAsia="Arial" w:hAnsi="Arial"/>
                <w:sz w:val="18"/>
                <w:szCs w:val="18"/>
                <w:color w:val="auto"/>
              </w:rPr>
              <w:t>Income taxes payable (receivable)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(10,841)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Other assets and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Net cash provided by (used by) operating activities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(15,552)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(20,658)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measurement period adjustments to previous acquisition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investing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(16,373)</w:t>
            </w: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issue costs paid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Dividends paid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long-term debt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(266,874)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(repayment of) short-term debt,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withheld to satisfy income tax witholding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(2,059)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14,405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 diversified industrial company and a leading global manufacturer of high precision bearing components, industrial plastic products and precision metal components to a variety of markets on a global basis. We have 40 manufacturing plants in North America, Europe, South America and Asia. Our business is aggregated into three reportable segments- the Precision Bearing Components Group, the Precision Engineered Products Group (“PEP”) and the Autocam Precision Components Group. As used in this Quarterly Report on Form 10-Q, the terms “NN”, the “Company”, “we”, “our”, or “us” refer to NN, Inc. and its subsidiaries.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Condensed Consolidated Balance Sheet at December 31, 2016, was derived from our audited consolidated financial statements included in our Annual Report on Form 10-K for the year ended December 31, 2016 (the “2016 Annual Report”), which was filed with the U.S. Securities and Exchange Commission (the “SEC”), on March 16, 2017. In our opinion, these Condensed Consolidated Financial Statements reflect all adjustments necessary to fairly state the results of operations for the three and six month periods ended June 30, 2017 and 2016, our financial position at June 30, 2017 and December 31, 2016, and the cash flows for the six month periods ended June 30, 2017 and 2016, on a basis consistent with our audited consolidated financial statements. These adjustments are of a normal recurring nature and are, in the opinion of management, necessary to present fairly our financial position and operating results for the interim periods.</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information and footnote disclosures normally included in the consolidated financial statements prepared in accordance with U.S.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the notes thereto included in the 2016 Annual Report. The results for the six months ended June 30, 2017, are not necessarily indicative of results for the year ending December 31, 2017, or any other future periods. We have reclassified certain prior year amounts to conform to the current year’s presentation.</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Condensed Consolidated Financial Statements are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Prior Periods’ Financial Statement Revision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connection with the preparation of our Condensed Consolidated Financial Statements as of and for the three and six months ended June 30, 2017, we identified misstatements in our previously issued financial statements related to the foreign currency translation of our investment in a China joint venture. We acquired a 49% investment in the joint venture as part of our acquisition of Autocam Corporation (“Autocam”) on August 29, 2014. The investment in the joint venture was remeasured to fair value at the time of the acquisition and has been accounted for under the equity method of accounting. Following the completion of the Autocam acquisition, the investment in the joint venture was accounted for in U.S. dollars whereas it should have been accounted for in the joint venture’s functional currency of the Chinese Renminbi in accordance with Accounting Standards Codification (“ASC”) Topic 830, </w:t>
      </w:r>
      <w:r>
        <w:rPr>
          <w:rFonts w:ascii="Arial" w:cs="Arial" w:eastAsia="Arial" w:hAnsi="Arial"/>
          <w:sz w:val="16"/>
          <w:szCs w:val="16"/>
          <w:i w:val="1"/>
          <w:iCs w:val="1"/>
          <w:color w:val="auto"/>
        </w:rPr>
        <w:t>Foreign 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Matters</w:t>
      </w:r>
      <w:r>
        <w:rPr>
          <w:rFonts w:ascii="Arial" w:cs="Arial" w:eastAsia="Arial" w:hAnsi="Arial"/>
          <w:sz w:val="16"/>
          <w:szCs w:val="16"/>
          <w:color w:val="auto"/>
        </w:rPr>
        <w:t>. As a result, we did not correctly account for our investment in the joint venture and the related currency translation adjustment impacts.</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previously corrected as out of period adjustments certain immaterial misstatements and reflected them in the prior period financial statements, where applicable. These immaterial previously recorded out of period adjustments were primarily due to misstatements related to the initial recording of deferred tax assets and liabilities and corresponding adjustments to goodwill as part of the purchase price allocations of the Autocam and PEP acquisitions in 2014 and 2015, the accounting for the goodwill balances from those acquisitions for multi-currency reporting through Other Comprehensive Income, and to record the mark to market adjustments on our interest rate hedge net of tax through Other Comprehensive Income.</w:t>
      </w:r>
    </w:p>
    <w:p>
      <w:pPr>
        <w:spacing w:after="0" w:line="17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We assessed the materiality of the misstatements on prior periods’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ASC Topic 250,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(“ASC 250”) and concluded that the misstatements were not material to any prior annual or interim periods. In accordance with ASC 250 (SAB Topic 1.N, </w:t>
      </w:r>
      <w:r>
        <w:rPr>
          <w:rFonts w:ascii="Arial" w:cs="Arial" w:eastAsia="Arial" w:hAnsi="Arial"/>
          <w:sz w:val="17"/>
          <w:szCs w:val="17"/>
          <w:i w:val="1"/>
          <w:iCs w:val="1"/>
          <w:color w:val="auto"/>
        </w:rPr>
        <w:t>Considering the Effects of Prior Year Misstatements when Quantifying</w:t>
      </w:r>
      <w:r>
        <w:rPr>
          <w:rFonts w:ascii="Arial" w:cs="Arial" w:eastAsia="Arial" w:hAnsi="Arial"/>
          <w:sz w:val="17"/>
          <w:szCs w:val="17"/>
          <w:color w:val="auto"/>
        </w:rPr>
        <w:t xml:space="preserve"> </w:t>
      </w:r>
      <w:r>
        <w:rPr>
          <w:rFonts w:ascii="Arial" w:cs="Arial" w:eastAsia="Arial" w:hAnsi="Arial"/>
          <w:sz w:val="17"/>
          <w:szCs w:val="17"/>
          <w:i w:val="1"/>
          <w:iCs w:val="1"/>
          <w:color w:val="auto"/>
        </w:rPr>
        <w:t>Misstatements in Current Year Financial Statements</w:t>
      </w:r>
      <w:r>
        <w:rPr>
          <w:rFonts w:ascii="Arial" w:cs="Arial" w:eastAsia="Arial" w:hAnsi="Arial"/>
          <w:sz w:val="17"/>
          <w:szCs w:val="17"/>
          <w:color w:val="auto"/>
        </w:rPr>
        <w:t>), we have corrected these misstatements for all prior periods presented by revising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and other consolidated financial information included herein. We have revised, and will revise for annual and interim periods in future filings, for certain amounts in the consolidated financial statements in order to correct these misstatements. See Note 14 in these Notes to Condensed Consolidated Financial Statements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Newly Adopted Accounting Standards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2016, the Financial Accounting Standards Board (the “FASB”) issued Accounting Standards Update (“ASU”) 2016-09, </w:t>
      </w:r>
      <w:r>
        <w:rPr>
          <w:rFonts w:ascii="Arial" w:cs="Arial" w:eastAsia="Arial" w:hAnsi="Arial"/>
          <w:sz w:val="17"/>
          <w:szCs w:val="17"/>
          <w:i w:val="1"/>
          <w:iCs w:val="1"/>
          <w:color w:val="auto"/>
        </w:rPr>
        <w:t>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The new standard changes how companies account for certain aspects of share-based payments to employees.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must recognize the income tax effects of awards in the statement of operations when the awards vest or are settled (i.e., additional paid-in capital pools were eliminated). The guidance changed regarding employers’ accounting for an employee’s use of shares to satisfy the employer’s statutory income tax withholding obligation and for forfeitures. The guidance was effective for public business entities for fiscal years beginning after December 15, 2016, and interim periods within those fiscal years. As of January 1, 2017, we adopted ASU 2016-09, and the effects of the standard are reflected in the three and six months ended June 30, 2017, balances. Upon adoption, $0.7 million in historical tax benefits were reclassified from deferred taxes to retained earnings. Prospective tax benefits will be recognized in income tax expense. Tax payments in respect of shares withheld for taxes are now classified in the financing section of the statement of cash flows. The calculation of diluted earnings per share now excludes tax benefits that would have generated more dilutive shares. The effects of the adoption were not material to the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New Accounting Standards</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In May 2014, the FASB issued a new standard that provides a single, comprehensive revenue recognition model for all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supersedes most of the existing revenue recognition requirements. Under the new guidance, revenue is recognized when a customer obtains control of promised goods or services in an amount that reflects the consideration the entity expects to receive in exchange for those goods or services. In</w:t>
      </w:r>
    </w:p>
    <w:p>
      <w:pPr>
        <w:sectPr>
          <w:pgSz w:w="11900" w:h="16838" w:orient="portrait"/>
          <w:cols w:equalWidth="0" w:num="1">
            <w:col w:w="11420"/>
          </w:cols>
          <w:pgMar w:left="240" w:top="459" w:right="239" w:bottom="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addition, the standard requires disclosure of the nature, amount, timing and uncertainty of revenue and cash flows arising from contracts with customers. Factors that will affect pre-and post-implementation include, but are not limited to, identifying all the contracts that exist and whether incidental obligations or marketing incentives included in some of those contracts are performance obligations. Additionally, we are evaluating the transfer of control of certain consignment contracts which may impact the timing of revenue recognition under the new standard.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125"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standard will be effective for us beginning January 1, 2018, with early adoption permitted. We believe the most appropriate approach for us to adopt the standard effective January 1, 2018, would be to utilize the full retrospective transition method to restate each prior reporting period presented. We continue to evaluate the adoption method as we progress through each phase of implementation.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our ability to adopt the standard using the full retrospective method depends on system readiness and completing our analysis of information necessary to restate prior period consolidated financial statements, we remain on schedule. We have completed a diagnostic accounting assessment, including an analysis of a representative sample of contracts, to identify areas that will be most significantly impacted by implementation of the new standard. We have also completed an initial training phase to educate contract managers of the technical aspects of the new standard. We are in the process of concluding on and documenting our assessments related to the standard as well as potential system and procedural changes. We are evaluating the impact the new standard will have on our financial condition, results of operations and cash flows. Our final evaluation of the impact of adopting the new standard is expected to be completed during 2017.</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ASU 2016-02 creates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in the ASC and supersedes ASC 840,</w:t>
      </w:r>
      <w:r>
        <w:rPr>
          <w:rFonts w:ascii="Arial" w:cs="Arial" w:eastAsia="Arial" w:hAnsi="Arial"/>
          <w:sz w:val="18"/>
          <w:szCs w:val="18"/>
          <w:i w:val="1"/>
          <w:iCs w:val="1"/>
          <w:color w:val="auto"/>
        </w:rPr>
        <w:t xml:space="preserve"> Leases. </w:t>
      </w:r>
      <w:r>
        <w:rPr>
          <w:rFonts w:ascii="Arial" w:cs="Arial" w:eastAsia="Arial" w:hAnsi="Arial"/>
          <w:sz w:val="18"/>
          <w:szCs w:val="18"/>
          <w:color w:val="auto"/>
        </w:rPr>
        <w:t>Entities that hold numerous equipment and real estate leases, in particular those with numerous operating leases, will be most affected by the new guidance. The lease accounting standard is effective for public companies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have performed inquiries within segment locations and compiled information on operating and capital leases. We are currently evaluating the impacts of the lease accounting standard on our financial position, results of operations, and related disclosures.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In August 2016, the FASB issued ASU 2016-15,</w:t>
      </w:r>
      <w:r>
        <w:rPr>
          <w:rFonts w:ascii="Arial" w:cs="Arial" w:eastAsia="Arial" w:hAnsi="Arial"/>
          <w:sz w:val="18"/>
          <w:szCs w:val="18"/>
          <w:i w:val="1"/>
          <w:iCs w:val="1"/>
          <w:color w:val="auto"/>
        </w:rPr>
        <w:t xml:space="preserve"> Classification of Certain Cash Receipts and Cash Payments</w:t>
      </w:r>
      <w:r>
        <w:rPr>
          <w:rFonts w:ascii="Arial" w:cs="Arial" w:eastAsia="Arial" w:hAnsi="Arial"/>
          <w:sz w:val="18"/>
          <w:szCs w:val="18"/>
          <w:color w:val="auto"/>
        </w:rPr>
        <w:t>. 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clarification on how certain cash receipts and cash payments are presented and classified on the statement of cash flows. The standard is effective for us beginning January 1, 2018, and is required to be adopted using a retrospective approach if practicable, with early adoption permitted. We are in the process of assessing the effects of the standard on prior periods.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June 30,</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34,786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31,348</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34,298</w:t>
            </w:r>
          </w:p>
        </w:tc>
        <w:tc>
          <w:tcPr>
            <w:tcW w:w="6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123,702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114,851</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Inventories on consignment at customer locations as of June 30, 2017, and December 31, 2016 totaled $6.2 million and $5.0 million, respectively.</w:t>
      </w:r>
    </w:p>
    <w:p>
      <w:pPr>
        <w:spacing w:after="0" w:line="23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Inventories are stated at the lower of cost or net realizable value.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(21,529)</w:t>
            </w:r>
          </w:p>
        </w:tc>
        <w:tc>
          <w:tcPr>
            <w:tcW w:w="5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27,468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27,024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27,358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26,923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27,187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27,358</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(0.78</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both the three and six month periods ended June 30, 2016, approximately 0.9 million potentially dilutive stock options had the effect of being anti-dilutive and were excluded from the calculation of diluted net income per share. Given the net loss for the three and six months ended June 30, 2017, all options are considered anti-dilutive and were excluded from the calculation of diluted net loss per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Consolidated Financial Statements entitled “Segment Information” and “Summary of Significant Accounting Policies and Practices,” respectively, included in our 2016 Annual Report. Our business is aggregated into three reportable segments- the Precision Bearing Components Group, the Precision Engineered Products Group, and the Autocam Precision Components Group. We did not have any significant inter-segment transactions during the three and six month periods ended June 30, 2017 and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Autocam</w:t>
            </w: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Precision</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Bearing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Precision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Products</w:t>
            </w:r>
          </w:p>
        </w:tc>
        <w:tc>
          <w:tcPr>
            <w:tcW w:w="12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Group</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June 30, 2017</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67,928</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86,658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71,289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Six Months ended June 30, 2017</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142,398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16,752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21,514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240,666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723,122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1,405,816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Three Months ended June 30, 2016</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65,157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66,124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6,474</w:t>
            </w:r>
          </w:p>
        </w:tc>
        <w:tc>
          <w:tcPr>
            <w:tcW w:w="18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10,782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(7,724)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17,302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Six Months ended June 30, 2016</w:t>
            </w:r>
          </w:p>
        </w:tc>
        <w:tc>
          <w:tcPr>
            <w:tcW w:w="1700" w:type="dxa"/>
            <w:vAlign w:val="bottom"/>
            <w:tcBorders>
              <w:bottom w:val="single" w:sz="8" w:color="CCEEFF"/>
            </w:tcBorders>
            <w:gridSpan w:val="2"/>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129,902</w:t>
            </w:r>
          </w:p>
        </w:tc>
        <w:tc>
          <w:tcPr>
            <w:tcW w:w="18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166,981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129,615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226,943</w:t>
            </w:r>
          </w:p>
        </w:tc>
        <w:tc>
          <w:tcPr>
            <w:tcW w:w="180" w:type="dxa"/>
            <w:vAlign w:val="bottom"/>
          </w:tcPr>
          <w:p>
            <w:pPr>
              <w:spacing w:after="0"/>
              <w:rPr>
                <w:sz w:val="20"/>
                <w:szCs w:val="20"/>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418,664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740,475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8,651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1,394,733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and short-term debt at June 30, 2017, and December 31, 2016, consisted of the following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94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$545.0 million Senior Secured Term Loan B (“Senior Secured Term Loan”) bearing interest at the greater of 0.75% or 1</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month LIBOR (1.22% at June 30, 2017), plus an applicable margin of 4.25% at June 30, 2017, expiring October 19, 2022,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debt issuance costs of $17.7 million at June 30, 2017, and $19.0 million at December 31, 2016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$523,030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524,539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5"/>
              </w:rPr>
              <w:t>$300.0 million Incremental Term Loan (“Incremental Term Loan”) bearing interest at the greater of 0.75% or 1 month LIBOR</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(1.22% at June 30, 2017), plus an applicable margin of 3.75% at June 30, 2017, expiring April 3, 2021, net of debt issuance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costs of $3.0 million at June 30, 2017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294,023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$143.0 million Senior Secured Revolver (“Senior Secured Revolver”) bearing interest at LIBOR (1.22% at June 30, 2017)</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plus an applicable margin of 3.5% at June 30, 2017, expiring October 19, 2020, net of debt issuance costs of $2.3 million at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 and $2.7 million at December 31, 2016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30,999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rPr>
              <w:t>$250.0 million Senior Notes (“Senior Notes”) bearing interest at 10.25%, net of debt issuance costs of $4.9 million at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245,077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 (Autocam)</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Chinese line of credit (Autocam)</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798,464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827,390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785,713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3, 2017, we redeemed our Senior Notes for $281.6 million resulting in a loss on debt extinguishment of $36.3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our existing credit facility. The Incremental Term Loan bears interest at the lower of 0.75% or one-month LIBOR, plus 3.75%, and matures on April 3, 2021, with payments of $3.0 million due quarterly. Concurrent with the amendment, the Senior Secured Revolver was reduced from $143.0 million to $100.0 million until such time as a certain leverage ratio covenant threshold has been met for four consecutive fiscal quarters. Upon satisfaction of the ratio threshold, the Senior Secured Revolver may be restored to $143.0 million. In connection with the amendment, we paid $6.5 million in debt issuance costs of which $4.0 million was recorded as a direct reduction to the carrying amount of the associated debt and $2.5 million was recognized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16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Incremental Term Loan is subject to a call premium in an amount equal to 1.0% of the aggregate principal amount outstanding at the time of any repricing event occurring prior to October 3, 2017. A repricing event is any prepayment or repayment of principal with the proceeds of any indebtedness bearing interest with an effective yield that is less than the effective yield applicable to the initial Incremental Term Loan.</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part of our acquisition of Autocam, we assumed certain foreign credit facilities. These facilities relate to local borrowings in France, Brazil, and China. These facilities are with financial institutions in the countries in which foreign plants operate and are used to fund working capital and equipment purchases in those countries. The following paragraphs describe these foreign credit facilities.</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June 30, 2017, to those creditors opting to be paid over a 10-year period totaled $0.4 million, of which $0.1 million is included in current maturities of long-term debt and $0.3 million is included in long-term debt, net of current portion, on the Condensed Consolidated Balance Sheet.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Brazilian equipment notes represent borrowings from certain Brazilian banks to fund equipment purchases for Autocam’s Brazilian plants. These credit facilities have annual interest rates ranging from 2.5% to 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Chinese line of credit is a working capital line of credit with a Chinese bank bearing an annual interest rate of approximately 4.6%.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six months ended June 30, 2017,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Precision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Autocam</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Precision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Bearing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Engineered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Products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Group</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Group</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Group</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70,717</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$ 370,685</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$ 450,311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474</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1,323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71,191</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$ 372,008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goodwill balances are tested for impairment on an annual basis during the fourth quarter and more often if a triggering event occurs. As of June 30, 2017, there were no indications of impairment at the reporting units with goodwill balances.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intangible assets, net, for the six months ended June 30, 2017,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Autocam</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Products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42,928</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$ 211,335</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$255,981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(1,748)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(9,933)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June 30, 2017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41,178</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$ 201,402</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Shared-Based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during the three and six months ended June 30, 2017 and 2016, consisted of the following amounts: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3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Restricted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1,358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1,484</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2,218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six months ended June 30, 2017, we granted 125,700 option awards to officers and certain other key employees. The weighted average grant date fair value of options granted during the six months ended June 30, 2017, was $11.84 per share. The fair value of our options cannot be determined by market value, because our options are not traded in an open market. Accordingly, we utilized the Black Scholes financial pricing model to estimate the fair value. The weighted average assumptions relevant to determining the fair value of the 2017 stock option grants are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820" w:type="dxa"/>
            <w:vAlign w:val="bottom"/>
            <w:gridSpan w:val="2"/>
          </w:tcPr>
          <w:p>
            <w:pPr>
              <w:jc w:val="center"/>
              <w:ind w:left="3895"/>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r>
      <w:tr>
        <w:trPr>
          <w:trHeight w:val="149"/>
        </w:trPr>
        <w:tc>
          <w:tcPr>
            <w:tcW w:w="2740" w:type="dxa"/>
            <w:vAlign w:val="bottom"/>
          </w:tcPr>
          <w:p>
            <w:pPr>
              <w:spacing w:after="0"/>
              <w:rPr>
                <w:sz w:val="12"/>
                <w:szCs w:val="12"/>
                <w:color w:val="auto"/>
              </w:rPr>
            </w:pPr>
          </w:p>
        </w:tc>
        <w:tc>
          <w:tcPr>
            <w:tcW w:w="5020" w:type="dxa"/>
            <w:vAlign w:val="bottom"/>
            <w:gridSpan w:val="3"/>
          </w:tcPr>
          <w:p>
            <w:pPr>
              <w:jc w:val="center"/>
              <w:ind w:left="3675"/>
              <w:spacing w:after="0" w:line="149" w:lineRule="exact"/>
              <w:rPr>
                <w:sz w:val="20"/>
                <w:szCs w:val="20"/>
                <w:color w:val="auto"/>
              </w:rPr>
            </w:pPr>
            <w:r>
              <w:rPr>
                <w:rFonts w:ascii="Arial" w:cs="Arial" w:eastAsia="Arial" w:hAnsi="Arial"/>
                <w:sz w:val="14"/>
                <w:szCs w:val="14"/>
                <w:b w:val="1"/>
                <w:bCs w:val="1"/>
                <w:color w:val="auto"/>
                <w:w w:val="94"/>
              </w:rPr>
              <w:t>Stock Option</w:t>
            </w:r>
          </w:p>
        </w:tc>
      </w:tr>
      <w:tr>
        <w:trPr>
          <w:trHeight w:val="171"/>
        </w:trPr>
        <w:tc>
          <w:tcPr>
            <w:tcW w:w="2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w:t>
            </w:r>
          </w:p>
        </w:tc>
        <w:tc>
          <w:tcPr>
            <w:tcW w:w="4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6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02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Expected volatility</w:t>
            </w:r>
          </w:p>
        </w:tc>
        <w:tc>
          <w:tcPr>
            <w:tcW w:w="5020" w:type="dxa"/>
            <w:vAlign w:val="bottom"/>
            <w:gridSpan w:val="3"/>
          </w:tcPr>
          <w:p>
            <w:pPr>
              <w:jc w:val="right"/>
              <w:ind w:right="60"/>
              <w:spacing w:after="0"/>
              <w:rPr>
                <w:sz w:val="20"/>
                <w:szCs w:val="20"/>
                <w:color w:val="auto"/>
              </w:rPr>
            </w:pPr>
            <w:r>
              <w:rPr>
                <w:rFonts w:ascii="Arial" w:cs="Arial" w:eastAsia="Arial" w:hAnsi="Arial"/>
                <w:sz w:val="18"/>
                <w:szCs w:val="18"/>
                <w:color w:val="auto"/>
              </w:rPr>
              <w:t>56.56%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5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365"/>
        </w:trPr>
        <w:tc>
          <w:tcPr>
            <w:tcW w:w="2740" w:type="dxa"/>
            <w:vAlign w:val="bottom"/>
          </w:tcPr>
          <w:p>
            <w:pPr>
              <w:spacing w:after="0"/>
              <w:rPr>
                <w:sz w:val="24"/>
                <w:szCs w:val="24"/>
                <w:color w:val="auto"/>
              </w:rPr>
            </w:pPr>
          </w:p>
        </w:tc>
        <w:tc>
          <w:tcPr>
            <w:tcW w:w="4000" w:type="dxa"/>
            <w:vAlign w:val="bottom"/>
          </w:tcPr>
          <w:p>
            <w:pPr>
              <w:jc w:val="right"/>
              <w:ind w:right="2695"/>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months ended June 30,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Shares (000)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Term (years)</w:t>
            </w:r>
          </w:p>
        </w:tc>
        <w:tc>
          <w:tcPr>
            <w:tcW w:w="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360" w:type="dxa"/>
            <w:vAlign w:val="bottom"/>
            <w:tcBorders>
              <w:left w:val="single" w:sz="8" w:color="CCEEFF"/>
            </w:tcBorders>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24.20</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11.81</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7.72</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10,538(1)</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Exercisable at June 30,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six months ended June 30, 2017, we granted 85,393 restricted stock awards to non-executive directors, officers and certain other key employees. The shares of restricted stock granted during the six months ended June 30, 2017, vest pro-rata over three years for officers and certain other key employees and over one year for non-executive directors. The fair value of the shares issued was determined by using the closing price of our common stock as of the date of grant. The weighted average grant date value of restricted stock granted in the six months ended June 30, 2017, was $24.29 per share.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six months ended June 30, 2017, we granted 98,618 performance share units to officers and certain other key employees. The performance share units granted will be satisfied in the form of shares of common stock during 2020 if certain performance and/or market conditions are met. We are recognizing the compensation expense over the three-year period in which the performance and market conditions are measured. The fair value per share of the performance share units issued was determined by using the grant date closing price of our common stock for the units with a performance condition, or $24.20, and a Monte Carlo valuation model for the units that have a market condition, or $29.84.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effective tax rate was 29% for the three and six months ended June 30, 2017. Our effective tax rate was 48% and 2% for the three and six months ended June 30, 2016, respectively. The loss on extinguishment of our Senior Notes impacted the 2017 tax rate and was treated as a discrete item during the three months ended June 30, 2017. The 2016 effective rate was impacted by changes in forecasted income and loss and driven by the application of the three- and six-month results against the permanent book to tax differences. The effective tax rates for 2017 and 2016 differ from the U.S. federal statutory rate of 34% due primarily to our earnings outside the United States that are indefinitely reinvested and taxed at rates lower than the U.S. federal statutory rate.</w:t>
      </w:r>
    </w:p>
    <w:p>
      <w:pPr>
        <w:spacing w:after="0" w:line="15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Management believes that it is reasonably possible that the amount of unrecognized income tax benefits and interest may decrease during the next 12 months by approximately $0.6 million related to the expiration of the statutes of limitations, of which $0.5 million would reduce income tax expense.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June 30, 2017, for this matter. There was no material change in the status of this matter from December 31, 2016 to June 30, 2017.</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 in Non-Consolidated Joint Venture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part of the Autocam acquisition, we own a 49% investment in a joint venture with an unrelated entity called Wuxi Weifu Autocam Precision Machinery Company, Ltd. (the “JV”), a Chinese company located in Wuxi, China. The JV is jointly controlled and managed, and it is being accounted for under the equity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components of our JV investment balance and activity for the six months ended June 30, 2017:</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$36,008</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Our share of earnings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39,853</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balance sheet information for the JV:</w:t>
            </w: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24"/>
                <w:szCs w:val="24"/>
                <w:color w:val="auto"/>
              </w:rPr>
            </w:pPr>
          </w:p>
        </w:tc>
        <w:tc>
          <w:tcPr>
            <w:tcW w:w="1160" w:type="dxa"/>
            <w:vAlign w:val="bottom"/>
            <w:gridSpan w:val="5"/>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0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38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$40,712</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31,295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22,522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65,098</w:t>
            </w: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$16,522</w:t>
            </w:r>
          </w:p>
        </w:tc>
        <w:tc>
          <w:tcPr>
            <w:tcW w:w="540" w:type="dxa"/>
            <w:vAlign w:val="bottom"/>
            <w:gridSpan w:val="2"/>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gridSpan w:val="3"/>
          </w:tcPr>
          <w:p>
            <w:pPr>
              <w:ind w:left="138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16,528</w:t>
            </w:r>
          </w:p>
        </w:tc>
        <w:tc>
          <w:tcPr>
            <w:tcW w:w="54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had sales to the JV of approximately $0.1 and $0.1 million during the three and six months ended June 30, 2017. Amounts due to us from the JV were $0.1 million as of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the 2016 Annual Report.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At June 30, 2017, the carrying values of all of these financial instruments approximated fair value. The fair value of floating-rate debt approximates the carrying amount because the interest rates paid are based on short-term maturities. As of June 30, 2017, we had no significant fixed-rate debt outstanding.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measured at fair value on a recurring basis for our interest rate swap derivative financial instrument:</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5"/>
          </w:tcPr>
          <w:p>
            <w:pPr>
              <w:jc w:val="center"/>
              <w:ind w:left="795"/>
              <w:spacing w:after="0"/>
              <w:rPr>
                <w:sz w:val="20"/>
                <w:szCs w:val="20"/>
                <w:color w:val="auto"/>
              </w:rPr>
            </w:pPr>
            <w:r>
              <w:rPr>
                <w:rFonts w:ascii="Arial" w:cs="Arial" w:eastAsia="Arial" w:hAnsi="Arial"/>
                <w:sz w:val="14"/>
                <w:szCs w:val="14"/>
                <w:b w:val="1"/>
                <w:bCs w:val="1"/>
                <w:color w:val="auto"/>
                <w:w w:val="92"/>
              </w:rPr>
              <w:t>Fair Value Measurements at June 30, 2017</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00" w:type="dxa"/>
            <w:vAlign w:val="bottom"/>
          </w:tcPr>
          <w:p>
            <w:pPr>
              <w:spacing w:after="0"/>
              <w:rPr>
                <w:sz w:val="10"/>
                <w:szCs w:val="10"/>
                <w:color w:val="auto"/>
              </w:rPr>
            </w:pPr>
          </w:p>
        </w:tc>
        <w:tc>
          <w:tcPr>
            <w:tcW w:w="19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asset—current</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asset—noncurrent</w:t>
            </w:r>
          </w:p>
        </w:tc>
        <w:tc>
          <w:tcPr>
            <w:tcW w:w="12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liability—current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liability—noncurrent</w:t>
            </w:r>
          </w:p>
        </w:tc>
        <w:tc>
          <w:tcPr>
            <w:tcW w:w="1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700" w:type="dxa"/>
            <w:vAlign w:val="bottom"/>
          </w:tcPr>
          <w:p>
            <w:pPr>
              <w:spacing w:after="0"/>
              <w:rPr>
                <w:sz w:val="10"/>
                <w:szCs w:val="10"/>
                <w:color w:val="auto"/>
              </w:rPr>
            </w:pPr>
          </w:p>
        </w:tc>
        <w:tc>
          <w:tcPr>
            <w:tcW w:w="19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asset—current</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asset—noncurrent</w:t>
            </w:r>
          </w:p>
        </w:tc>
        <w:tc>
          <w:tcPr>
            <w:tcW w:w="12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liability—current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liability—noncurrent</w:t>
            </w:r>
          </w:p>
        </w:tc>
        <w:tc>
          <w:tcPr>
            <w:tcW w:w="1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elected to present the derivative contracts on a gross basis in the Condensed Consolidated Balance Sheet included within other current assets, other non-current assets, other current liabilities and other non-current liabilities. To the extent we presented the derivative contract on a net basis, we would have a derivative in a net liability position of $1.7 million as of June 30, 2017. We do not have any cash collateral due under such agreements.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2017, we reported no gains or losses in accumulated other comprehensive income related to the interest rate swaps. Additionally, during the three and six months ended June 30, 2016, when the interest rate swap was accounted for in accordance with hedge accounting, the periodic settlements and related reclassification of other comprehensive income was $0.5 million and $0.9 million, respectively, of net hedging losses on the interest rate swap in the interest expense line on the Condensed Consolidated Statements of Operations. We recognized $0.5 and $1.0 million of interest rate swap settlements during the three and six months ended June 30, 2017, in the “Derivative losses on change in interest rate swap fair value” line on the Condensed Consolidated Statements of Operations. If there are no changes in the interest rates for the next twelve months, we expect to make $1.3 million in cash payments related to the interest rate swap.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and Integration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Restructuring and integration costs totaling $0.3 million and $4.0 million were recognized in the three months ended June 30, 2017 and 2016. Restructuring and integration costs totaling $0.4 million and $6.6 million were recognized in the six months ended June 30, 2017 and 2016.</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Within the Precision Bearing Components Group, restructuring initiatives to optimize operations in the U.S., Italy, the Netherlands, Mexico and at segment headquarters resulted in a charge of $0.3 and $1.7 million for the three months ended June 30, 2017 and 2016, respectively, and $0.4 and $2.4 million for the six months ended June 30, 2017 and 2016. These charges consisted primarily of severance and other employee costs relating to personnel reductions.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Within the Autocam Precision Components Group, certain restructuring programs, including the closure of one facility, the Wheeling Plant, resulted in a charge of $6 thousand and $2.1 million for the three months ended June 30, 2017 and 2016, respectively, and $16 thousand and $3.6 million for the six months ended June 30, 2017 and 2016.</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Within the Precision Engineered Products Group, initiatives resulted in integration, site closure and employee costs of $0.2 million and $0.6 million for the three and six months ended June 30, 2016. There were no charges in the three and six months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restructuring and integration activity related to actions incurred for the three and six months ended June 30, 2017 and 2016:</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11"/>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2,938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Integration and other associated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$ 446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Reserve</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2016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June 30, 2017</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446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$(1,673)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1,012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Integration and other associated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0" w:type="dxa"/>
            <w:vAlign w:val="bottom"/>
            <w:tcBorders>
              <w:bottom w:val="single" w:sz="8" w:color="auto"/>
            </w:tcBorders>
          </w:tcPr>
          <w:p>
            <w:pPr>
              <w:spacing w:after="0"/>
              <w:rPr>
                <w:sz w:val="19"/>
                <w:szCs w:val="19"/>
                <w:color w:val="auto"/>
              </w:rPr>
            </w:pPr>
          </w:p>
        </w:tc>
        <w:tc>
          <w:tcPr>
            <w:tcW w:w="5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w w:val="79"/>
              </w:rPr>
              <w:t>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total restructuring and impairment costs are still being identified at the various segments; therefore, we are not able to estimate the ultimate costs at this time. We will include in future filings updates to these activities along with a reconciliation of beginning and ending liabilities recorded. The amounts recorded for the three and six months ended June 30, 2017, for restructuring charges that have been incurred are primarily expected to be paid out during 2017. Some amounts related to foreign locations extend through 2021.</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Prior Periods’ Financial Statement Revision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described in Note 1 in these Notes to Condensed Consolidated Financial Statements, we have corrected misstatements for all prior periods presented by revising the Condensed Consolidated Financial Statements and other financial information included herein. We have not revised our Consolidated Statements of Cash Flows for any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our Condensed Consolidated Statements of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Reported</w:t>
            </w:r>
          </w:p>
        </w:tc>
        <w:tc>
          <w:tcPr>
            <w:tcW w:w="134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80,266</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59,400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59,437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6"/>
              </w:rPr>
              <w:t>Income (loss) before provision (benefit) for income taxes and share of net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income from joint venture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(7,309)</w:t>
            </w:r>
          </w:p>
        </w:tc>
        <w:tc>
          <w:tcPr>
            <w:tcW w:w="22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7,942</w:t>
            </w:r>
          </w:p>
        </w:tc>
        <w:tc>
          <w:tcPr>
            <w:tcW w:w="2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4"/>
              </w:rPr>
              <w:t>September 30,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September 30,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0"/>
                <w:szCs w:val="10"/>
                <w:color w:val="auto"/>
              </w:rPr>
            </w:pP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Adjustment</w:t>
            </w:r>
          </w:p>
        </w:tc>
        <w:tc>
          <w:tcPr>
            <w:tcW w:w="8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32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4"/>
              </w:rPr>
              <w:t>Reported</w:t>
            </w:r>
          </w:p>
        </w:tc>
        <w:tc>
          <w:tcPr>
            <w:tcW w:w="3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18,347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60,651</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18,727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18,727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47,304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16,337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15,871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48,924</w:t>
            </w:r>
          </w:p>
        </w:tc>
        <w:tc>
          <w:tcPr>
            <w:tcW w:w="0" w:type="dxa"/>
            <w:vAlign w:val="bottom"/>
          </w:tcPr>
          <w:p>
            <w:pPr>
              <w:spacing w:after="0"/>
              <w:rPr>
                <w:sz w:val="1"/>
                <w:szCs w:val="1"/>
                <w:color w:val="auto"/>
              </w:rPr>
            </w:pP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w w:val="95"/>
              </w:rPr>
              <w:t>Income (loss) before provision (benefit) for income taxes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(3,703)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(6,423)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4,147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50"/>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220" w:type="dxa"/>
            <w:vAlign w:val="bottom"/>
          </w:tcPr>
          <w:p>
            <w:pPr>
              <w:spacing w:after="0"/>
              <w:rPr>
                <w:sz w:val="10"/>
                <w:szCs w:val="10"/>
                <w:color w:val="auto"/>
              </w:rPr>
            </w:pPr>
          </w:p>
        </w:tc>
        <w:tc>
          <w:tcPr>
            <w:tcW w:w="11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0"/>
              </w:rPr>
              <w:t>Adjustment</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20,993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17,302</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28,577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29,086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16,631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33,053</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(benefit) for income taxes 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share of net income from joint venture</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Reported</w:t>
            </w:r>
          </w:p>
        </w:tc>
        <w:tc>
          <w:tcPr>
            <w:tcW w:w="4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before provision (benefit) for income taxes and share of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joint venture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(3,419)</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473"/>
              <w:spacing w:after="0"/>
              <w:rPr>
                <w:sz w:val="20"/>
                <w:szCs w:val="20"/>
                <w:color w:val="auto"/>
              </w:rPr>
            </w:pPr>
            <w:r>
              <w:rPr>
                <w:rFonts w:ascii="Arial" w:cs="Arial" w:eastAsia="Arial" w:hAnsi="Arial"/>
                <w:sz w:val="14"/>
                <w:szCs w:val="14"/>
                <w:b w:val="1"/>
                <w:bCs w:val="1"/>
                <w:color w:val="auto"/>
                <w:w w:val="92"/>
              </w:rPr>
              <w:t>Year Ended December 31, 2015</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Reported</w:t>
            </w:r>
          </w:p>
        </w:tc>
        <w:tc>
          <w:tcPr>
            <w:tcW w:w="4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51,745</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26,797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26,760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6"/>
              </w:rPr>
              <w:t>Income (loss) before provision (benefit) for income taxes and share of net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income from joint venture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(22,950)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(23,487)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(11,698)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(7,431)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50"/>
        </w:trPr>
        <w:tc>
          <w:tcPr>
            <w:tcW w:w="5660" w:type="dxa"/>
            <w:vAlign w:val="bottom"/>
          </w:tcPr>
          <w:p>
            <w:pPr>
              <w:ind w:left="470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our Condensed Consolidated Statements of Comprehensive Income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11"/>
          </w:tcPr>
          <w:p>
            <w:pPr>
              <w:jc w:val="center"/>
              <w:ind w:right="456"/>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7"/>
          </w:tcPr>
          <w:p>
            <w:pPr>
              <w:jc w:val="center"/>
              <w:ind w:left="39"/>
              <w:spacing w:after="0"/>
              <w:rPr>
                <w:sz w:val="20"/>
                <w:szCs w:val="20"/>
                <w:color w:val="auto"/>
              </w:rPr>
            </w:pPr>
            <w:r>
              <w:rPr>
                <w:rFonts w:ascii="Arial" w:cs="Arial" w:eastAsia="Arial" w:hAnsi="Arial"/>
                <w:sz w:val="14"/>
                <w:szCs w:val="14"/>
                <w:b w:val="1"/>
                <w:bCs w:val="1"/>
                <w:color w:val="auto"/>
                <w:w w:val="94"/>
              </w:rPr>
              <w:t>March 31, 2017</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4"/>
              </w:rPr>
              <w:t>As Revised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7,407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right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7,407</w:t>
            </w:r>
          </w:p>
        </w:tc>
        <w:tc>
          <w:tcPr>
            <w:tcW w:w="24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4,706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298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w w:val="79"/>
              </w:rPr>
              <w:t>5,004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4,706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298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5,004</w:t>
            </w:r>
          </w:p>
        </w:tc>
        <w:tc>
          <w:tcPr>
            <w:tcW w:w="24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12,113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93"/>
              </w:rPr>
              <w:t>298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12,411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4"/>
          </w:tcPr>
          <w:p>
            <w:pPr>
              <w:ind w:left="320"/>
              <w:spacing w:after="0"/>
              <w:rPr>
                <w:sz w:val="20"/>
                <w:szCs w:val="20"/>
                <w:color w:val="auto"/>
              </w:rPr>
            </w:pPr>
            <w:r>
              <w:rPr>
                <w:rFonts w:ascii="Arial" w:cs="Arial" w:eastAsia="Arial" w:hAnsi="Arial"/>
                <w:sz w:val="14"/>
                <w:szCs w:val="14"/>
                <w:b w:val="1"/>
                <w:bCs w:val="1"/>
                <w:color w:val="auto"/>
              </w:rPr>
              <w:t>Year Ended December 31, 2016</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Adjustment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0"/>
              </w:rPr>
              <w:t>As Revised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7,942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w:t>
            </w:r>
          </w:p>
        </w:tc>
        <w:tc>
          <w:tcPr>
            <w:tcW w:w="24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3,015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center"/>
              <w:ind w:left="56"/>
              <w:spacing w:after="0"/>
              <w:rPr>
                <w:sz w:val="20"/>
                <w:szCs w:val="20"/>
                <w:color w:val="auto"/>
              </w:rPr>
            </w:pPr>
            <w:r>
              <w:rPr>
                <w:rFonts w:ascii="Arial" w:cs="Arial" w:eastAsia="Arial" w:hAnsi="Arial"/>
                <w:sz w:val="18"/>
                <w:szCs w:val="18"/>
                <w:color w:val="auto"/>
                <w:w w:val="91"/>
              </w:rPr>
              <w:t>(8,984)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(9,727)</w:t>
            </w:r>
          </w:p>
        </w:tc>
        <w:tc>
          <w:tcPr>
            <w:tcW w:w="24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(5,969)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7"/>
              </w:rPr>
              <w:t>(7,817)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1,973</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w:t>
            </w: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September 30, 2016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360" w:type="dxa"/>
            <w:vAlign w:val="bottom"/>
          </w:tcPr>
          <w:p>
            <w:pPr>
              <w:spacing w:after="0"/>
              <w:rPr>
                <w:sz w:val="10"/>
                <w:szCs w:val="10"/>
                <w:color w:val="auto"/>
              </w:rPr>
            </w:pPr>
          </w:p>
        </w:tc>
        <w:tc>
          <w:tcPr>
            <w:tcW w:w="90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w w:val="90"/>
              </w:rPr>
              <w:t>Adjustment</w:t>
            </w:r>
          </w:p>
        </w:tc>
        <w:tc>
          <w:tcPr>
            <w:tcW w:w="220" w:type="dxa"/>
            <w:vAlign w:val="bottom"/>
          </w:tcPr>
          <w:p>
            <w:pPr>
              <w:spacing w:after="0"/>
              <w:rPr>
                <w:sz w:val="10"/>
                <w:szCs w:val="10"/>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As Revised</w:t>
            </w:r>
          </w:p>
        </w:tc>
        <w:tc>
          <w:tcPr>
            <w:tcW w:w="320" w:type="dxa"/>
            <w:vAlign w:val="bottom"/>
          </w:tcPr>
          <w:p>
            <w:pPr>
              <w:spacing w:after="0"/>
              <w:rPr>
                <w:sz w:val="10"/>
                <w:szCs w:val="10"/>
                <w:color w:val="auto"/>
              </w:rPr>
            </w:pPr>
          </w:p>
        </w:tc>
        <w:tc>
          <w:tcPr>
            <w:tcW w:w="86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340" w:type="dxa"/>
            <w:vAlign w:val="bottom"/>
          </w:tcPr>
          <w:p>
            <w:pPr>
              <w:spacing w:after="0"/>
              <w:rPr>
                <w:sz w:val="10"/>
                <w:szCs w:val="10"/>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0"/>
                <w:szCs w:val="10"/>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Reported</w:t>
            </w:r>
          </w:p>
        </w:tc>
        <w:tc>
          <w:tcPr>
            <w:tcW w:w="3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Reported</w:t>
            </w:r>
          </w:p>
        </w:tc>
        <w:tc>
          <w:tcPr>
            <w:tcW w:w="34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4,879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60" w:type="dxa"/>
            <w:vAlign w:val="bottom"/>
            <w:gridSpan w:val="3"/>
          </w:tcPr>
          <w:p>
            <w:pPr>
              <w:spacing w:after="0"/>
              <w:rPr>
                <w:sz w:val="20"/>
                <w:szCs w:val="20"/>
                <w:color w:val="auto"/>
              </w:rPr>
            </w:pPr>
            <w:r>
              <w:rPr>
                <w:rFonts w:ascii="Arial" w:cs="Arial" w:eastAsia="Arial" w:hAnsi="Arial"/>
                <w:sz w:val="18"/>
                <w:szCs w:val="18"/>
                <w:color w:val="auto"/>
              </w:rPr>
              <w:t>Change in fair value of interest rate hedge</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39"/>
              <w:spacing w:after="0"/>
              <w:rPr>
                <w:sz w:val="20"/>
                <w:szCs w:val="20"/>
                <w:color w:val="auto"/>
              </w:rPr>
            </w:pPr>
            <w:r>
              <w:rPr>
                <w:rFonts w:ascii="Arial" w:cs="Arial" w:eastAsia="Arial" w:hAnsi="Arial"/>
                <w:sz w:val="18"/>
                <w:szCs w:val="18"/>
                <w:color w:val="auto"/>
              </w:rPr>
              <w:t>(1,967)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3,130</w:t>
            </w:r>
          </w:p>
        </w:tc>
        <w:tc>
          <w:tcPr>
            <w:tcW w:w="1220" w:type="dxa"/>
            <w:vAlign w:val="bottom"/>
            <w:gridSpan w:val="6"/>
          </w:tcPr>
          <w:p>
            <w:pPr>
              <w:jc w:val="right"/>
              <w:ind w:right="100"/>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8"/>
              </w:rPr>
              <w:t>4,176</w:t>
            </w:r>
          </w:p>
        </w:tc>
        <w:tc>
          <w:tcPr>
            <w:tcW w:w="122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(2,727)</w:t>
            </w:r>
          </w:p>
        </w:tc>
        <w:tc>
          <w:tcPr>
            <w:tcW w:w="1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8"/>
              </w:rPr>
              <w:t>7,306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(3,507)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(2,419)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12,185</w:t>
            </w:r>
          </w:p>
        </w:tc>
        <w:tc>
          <w:tcPr>
            <w:tcW w:w="122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(3,171)</w:t>
            </w:r>
          </w:p>
        </w:tc>
        <w:tc>
          <w:tcPr>
            <w:tcW w:w="420" w:type="dxa"/>
            <w:vAlign w:val="bottom"/>
            <w:tcBorders>
              <w:lef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 2016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240" w:type="dxa"/>
            <w:vAlign w:val="bottom"/>
          </w:tcPr>
          <w:p>
            <w:pPr>
              <w:spacing w:after="0"/>
              <w:rPr>
                <w:sz w:val="10"/>
                <w:szCs w:val="10"/>
                <w:color w:val="auto"/>
              </w:rPr>
            </w:pP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Adjustment</w:t>
            </w:r>
          </w:p>
        </w:tc>
        <w:tc>
          <w:tcPr>
            <w:tcW w:w="8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3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hedge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862</w:t>
            </w:r>
          </w:p>
        </w:tc>
        <w:tc>
          <w:tcPr>
            <w:tcW w:w="2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(5,071)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(1,651)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(4,655)</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(973)</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5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Reported</w:t>
            </w: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8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4,418</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(2,584)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(25,011)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(2,128)</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(31,951)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(33,436)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 2014</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26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Reported</w:t>
            </w:r>
          </w:p>
        </w:tc>
        <w:tc>
          <w:tcPr>
            <w:tcW w:w="2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Change in fair value of interest rate hedge</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(18,599)</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(9,945)</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(10,655)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60" w:type="dxa"/>
            <w:vAlign w:val="bottom"/>
            <w:vMerge w:val="restart"/>
          </w:tcPr>
          <w:p>
            <w:pPr>
              <w:jc w:val="right"/>
              <w:ind w:right="105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revision on our Condensed Consolidated Balance Sheets: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2017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(4,388)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1,391,043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1,386,655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327,879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323,491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1,391,043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1,386,655</w:t>
            </w:r>
          </w:p>
        </w:tc>
        <w:tc>
          <w:tcPr>
            <w:tcW w:w="0" w:type="dxa"/>
            <w:vAlign w:val="bottom"/>
          </w:tcPr>
          <w:p>
            <w:pPr>
              <w:spacing w:after="0"/>
              <w:rPr>
                <w:sz w:val="1"/>
                <w:szCs w:val="1"/>
                <w:color w:val="auto"/>
              </w:rPr>
            </w:pPr>
          </w:p>
        </w:tc>
      </w:tr>
      <w:tr>
        <w:trPr>
          <w:trHeight w:val="392"/>
        </w:trPr>
        <w:tc>
          <w:tcPr>
            <w:tcW w:w="4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As of December 31, 2016</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8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(4,686)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1,360,386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1,355,700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(25,122)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315,199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310,513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1,360,386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1,355,700</w:t>
            </w:r>
          </w:p>
        </w:tc>
        <w:tc>
          <w:tcPr>
            <w:tcW w:w="0" w:type="dxa"/>
            <w:vAlign w:val="bottom"/>
          </w:tcPr>
          <w:p>
            <w:pPr>
              <w:spacing w:after="0"/>
              <w:rPr>
                <w:sz w:val="1"/>
                <w:szCs w:val="1"/>
                <w:color w:val="auto"/>
              </w:rPr>
            </w:pPr>
          </w:p>
        </w:tc>
      </w:tr>
      <w:tr>
        <w:trPr>
          <w:trHeight w:val="608"/>
        </w:trPr>
        <w:tc>
          <w:tcPr>
            <w:tcW w:w="4120" w:type="dxa"/>
            <w:vAlign w:val="bottom"/>
          </w:tcPr>
          <w:p>
            <w:pPr>
              <w:spacing w:after="0"/>
              <w:rPr>
                <w:sz w:val="24"/>
                <w:szCs w:val="24"/>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As of December 31, 2015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3"/>
              </w:rPr>
              <w:t>Adjustment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3,707</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280,181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3,707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283,888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318,968</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318,639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449,898</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5,072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454,970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38,462</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1,380,567</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6,238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1,386,805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21,125</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5,350</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133,351</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133,095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117,459</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8,176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125,635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4,746</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1,066,686</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8,098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1,074,784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277,582</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277,917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55,151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643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55,794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(19,153)</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313,881</w:t>
            </w: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(1,861)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312,020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1,380,567</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6,238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1,386,805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effect of the revision on our Condensed Consolidated Statements of Changes in Stockholders’ Equity:</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w:t>
            </w:r>
          </w:p>
        </w:tc>
        <w:tc>
          <w:tcPr>
            <w:tcW w:w="2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and for the year ended December 31, 2014</w:t>
            </w:r>
          </w:p>
        </w:tc>
        <w:tc>
          <w:tcPr>
            <w:tcW w:w="1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Change in fair value of interest rate hedge</w:t>
            </w:r>
          </w:p>
        </w:tc>
        <w:tc>
          <w:tcPr>
            <w:tcW w:w="720" w:type="dxa"/>
            <w:vAlign w:val="bottom"/>
            <w:tcBorders>
              <w:top w:val="single" w:sz="8" w:color="CCEEFF"/>
            </w:tcBorders>
            <w:gridSpan w:val="2"/>
          </w:tcPr>
          <w:p>
            <w:pPr>
              <w:spacing w:after="0"/>
              <w:rPr>
                <w:sz w:val="24"/>
                <w:szCs w:val="24"/>
                <w:color w:val="auto"/>
              </w:rPr>
            </w:pPr>
          </w:p>
        </w:tc>
        <w:tc>
          <w:tcPr>
            <w:tcW w:w="1620" w:type="dxa"/>
            <w:vAlign w:val="bottom"/>
            <w:tcBorders>
              <w:top w:val="single" w:sz="8" w:color="CCEEFF"/>
            </w:tcBorders>
            <w:gridSpan w:val="2"/>
          </w:tcPr>
          <w:p>
            <w:pPr>
              <w:ind w:left="150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(431)</w:t>
            </w:r>
          </w:p>
        </w:tc>
        <w:tc>
          <w:tcPr>
            <w:tcW w:w="46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158</w:t>
            </w:r>
          </w:p>
        </w:tc>
        <w:tc>
          <w:tcPr>
            <w:tcW w:w="8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   (273)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172,989</w:t>
            </w:r>
          </w:p>
        </w:tc>
        <w:tc>
          <w:tcPr>
            <w:tcW w:w="0" w:type="dxa"/>
            <w:vAlign w:val="bottom"/>
          </w:tcPr>
          <w:p>
            <w:pPr>
              <w:spacing w:after="0"/>
              <w:rPr>
                <w:sz w:val="1"/>
                <w:szCs w:val="1"/>
                <w:color w:val="auto"/>
              </w:rPr>
            </w:pPr>
          </w:p>
        </w:tc>
      </w:tr>
      <w:tr>
        <w:trPr>
          <w:trHeight w:val="28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As of and for the year ended December 31, 2015</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Change in fair value of interest rate hedge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947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(25,011)</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(19,153)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(2,839)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277,917</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313,881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(1,861)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312,020</w:t>
            </w:r>
          </w:p>
        </w:tc>
        <w:tc>
          <w:tcPr>
            <w:tcW w:w="0" w:type="dxa"/>
            <w:vAlign w:val="bottom"/>
          </w:tcPr>
          <w:p>
            <w:pPr>
              <w:spacing w:after="0"/>
              <w:rPr>
                <w:sz w:val="1"/>
                <w:szCs w:val="1"/>
                <w:color w:val="auto"/>
              </w:rPr>
            </w:pPr>
          </w:p>
        </w:tc>
      </w:tr>
      <w:tr>
        <w:trPr>
          <w:trHeight w:val="94"/>
        </w:trPr>
        <w:tc>
          <w:tcPr>
            <w:tcW w:w="3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and for the year ended December 31, 2016</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CCEEFF"/>
            </w:tcBorders>
            <w:gridSpan w:val="2"/>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7,942</w:t>
            </w:r>
          </w:p>
        </w:tc>
        <w:tc>
          <w:tcPr>
            <w:tcW w:w="3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(643)</w:t>
            </w:r>
          </w:p>
        </w:tc>
        <w:tc>
          <w:tcPr>
            <w:tcW w:w="8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fair value of interest rate hedge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Foreign currency translation gain (loss)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315,199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(4,686)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310,513</w:t>
            </w:r>
          </w:p>
        </w:tc>
        <w:tc>
          <w:tcPr>
            <w:tcW w:w="0" w:type="dxa"/>
            <w:vAlign w:val="bottom"/>
          </w:tcPr>
          <w:p>
            <w:pPr>
              <w:spacing w:after="0"/>
              <w:rPr>
                <w:sz w:val="1"/>
                <w:szCs w:val="1"/>
                <w:color w:val="auto"/>
              </w:rPr>
            </w:pPr>
          </w:p>
        </w:tc>
      </w:tr>
      <w:tr>
        <w:trPr>
          <w:trHeight w:val="94"/>
        </w:trPr>
        <w:tc>
          <w:tcPr>
            <w:tcW w:w="3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As of and for the three-months ended March 31, 2017</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4,706</w:t>
            </w:r>
          </w:p>
        </w:tc>
        <w:tc>
          <w:tcPr>
            <w:tcW w:w="3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298</w:t>
            </w:r>
          </w:p>
        </w:tc>
        <w:tc>
          <w:tcPr>
            <w:tcW w:w="8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(4,388)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327,879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(4,388)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323,491</w:t>
            </w:r>
          </w:p>
        </w:tc>
        <w:tc>
          <w:tcPr>
            <w:tcW w:w="0" w:type="dxa"/>
            <w:vAlign w:val="bottom"/>
          </w:tcPr>
          <w:p>
            <w:pPr>
              <w:spacing w:after="0"/>
              <w:rPr>
                <w:sz w:val="1"/>
                <w:szCs w:val="1"/>
                <w:color w:val="auto"/>
              </w:rPr>
            </w:pPr>
          </w:p>
        </w:tc>
      </w:tr>
      <w:tr>
        <w:trPr>
          <w:trHeight w:val="350"/>
        </w:trPr>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9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10, 2017, we entered into a definitive agreement to sell our Precision Bearing Components Group for $375 million in cash, subject to certain adjustments, to TSUBAKI NAKASHIMA Co., Ltd. The transaction is expected to be completed in the second half of 2017 and is subject to regulatory and customary closing conditions. Net proceeds are expected to be approximately $270 million. Precision Bearing Components Group results will be reported as discontinued operations in our financial statements after the transaction closes.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inability to consummate the proposed transaction with TSUBAKI NAKASHIMA Co. Ltd. (“Tsubaki”), on the terms contemplated, or at all, and the timing of the closing for the proposed transaction,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additional information concerning such risk factors and cautionary statements, please see the section titled “Item 1A. Risk Factors” in our 2016 Annual Report on Form 10-K for the fiscal year ended December 31, 2016, which we filed with the SEC on March 16, 2017 (the “2016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Influence Results of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paragraphs describe factors that have influenced results of operations for the six months ended June 30, 2017, that we believe are important to provide an understanding of our business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3, 2017, we redeemed our Senior Notes for $281.6 million resulting in a loss on debt extinguishment of $36.3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our existing credit facility. The Incremental Term Loan bears interest at the lower of 0.75% or one-month LIBOR, plus 3.75%, and matures on April 3, 2021, with payments of $3.0 million due quarterly. Concurrent with the amendment, the Senior Secured Revolver was reduced from $143.0 million to $100.0 million until such time as a certain leverage ratio covenant threshold has been met for four consecutive fiscal quarters. Upon satisfaction of the ratio threshold, the Senior Secured Revolver may be restored to $143.0 million. In connection with the amendment, we paid $6.5 million in debt issuance costs of which $4.0 million was recorded as a direct reduction to the carrying amount of the associated debt and $2.5 million was recognized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 Periods’ Financial Statement Revision</w:t>
      </w:r>
    </w:p>
    <w:p>
      <w:pPr>
        <w:spacing w:after="0" w:line="12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Certain prior period amounts have been revised to reflect the impact of adjustments made to our joint venture investment and to correct the timing of previously recorded out-of-period adjustments. Refer to Note 1 and Note 14 in the Notes to Condensed Consolidated Financial Statements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10, 2017, we entered into a definitive agreement to sell our Precision Bearing Components Group (“PBC”) for $375 million in cash, subject to certain adjustments, to Tsubaki. The transaction is expected to be completed in the second half of 2017 and is subject to regulatory and customary closing conditions. Net proceeds are expected to be approximately $270 million. Precision Bearing Components Group results will be reported as discontinued operations in our financial statements after the transaction closes. The sale of PBC furthers our long-term strategy to build a diversified industrial business with a comprehensive geographic footprint in attractive high-growth market segments. We intend to deploy the proceeds into higher-growth, higher-margin end markets, while also accelerating our focus on deleveraging.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580"/>
        <w:spacing w:after="0" w:line="407" w:lineRule="auto"/>
        <w:rPr>
          <w:sz w:val="20"/>
          <w:szCs w:val="20"/>
          <w:color w:val="auto"/>
        </w:rPr>
      </w:pPr>
      <w:r>
        <w:rPr>
          <w:rFonts w:ascii="Arial" w:cs="Arial" w:eastAsia="Arial" w:hAnsi="Arial"/>
          <w:sz w:val="18"/>
          <w:szCs w:val="18"/>
          <w:b w:val="1"/>
          <w:bCs w:val="1"/>
          <w:color w:val="auto"/>
        </w:rPr>
        <w:t>Three Months Ended June 30, 2017 Compared to the Three Months Ended June 30, 2016 OVERALL RESULTS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w w:val="95"/>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$225,875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214,272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11,603</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166,040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156,794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9,246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projects/other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20,993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Infrastructure and staffing costs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15,136</w:t>
            </w:r>
          </w:p>
        </w:tc>
        <w:tc>
          <w:tcPr>
            <w:tcW w:w="1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4,047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17,302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39,639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8"/>
              </w:rPr>
              <w:t>39,639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(824)</w:t>
            </w:r>
          </w:p>
        </w:tc>
        <w:tc>
          <w:tcPr>
            <w:tcW w:w="1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 and share of net income from joint venture</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(32,201)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89"/>
              </w:rPr>
              <w:t>(33,696)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gridSpan w:val="4"/>
          </w:tcPr>
          <w:p>
            <w:pPr>
              <w:jc w:val="right"/>
              <w:ind w:right="88"/>
              <w:spacing w:after="0"/>
              <w:rPr>
                <w:sz w:val="20"/>
                <w:szCs w:val="20"/>
                <w:color w:val="auto"/>
              </w:rPr>
            </w:pPr>
            <w:r>
              <w:rPr>
                <w:rFonts w:ascii="Arial" w:cs="Arial" w:eastAsia="Arial" w:hAnsi="Arial"/>
                <w:sz w:val="18"/>
                <w:szCs w:val="18"/>
                <w:b w:val="1"/>
                <w:bCs w:val="1"/>
                <w:color w:val="auto"/>
              </w:rPr>
              <w:t>(9,428)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9"/>
              </w:rPr>
              <w:t>(10,147)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(21,529</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(23,648</w:t>
            </w:r>
          </w:p>
        </w:tc>
        <w:tc>
          <w:tcPr>
            <w:tcW w:w="780" w:type="dxa"/>
            <w:vAlign w:val="bottom"/>
          </w:tcPr>
          <w:p>
            <w:pPr>
              <w:jc w:val="right"/>
              <w:ind w:right="6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second quarter of 2017 from the second quarter of 2016 by $11.6 million, principally due to higher volumes.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volumes were primarily due to demand improvements within the automotive, industrial and medical markets. Overall, sales were ahead of prior year by $2.8 million, $3.7 million and $5.1 million for PBC, the Autocam Precision Components Group (“APC”), and the Precision Engineered Products Group (“PEP”), respectively. These increases were partially offset by the impact of devaluation of the euro and other foreign currency denominated sales.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Cost of Products Sold. </w:t>
      </w:r>
      <w:r>
        <w:rPr>
          <w:rFonts w:ascii="Arial" w:cs="Arial" w:eastAsia="Arial" w:hAnsi="Arial"/>
          <w:sz w:val="18"/>
          <w:szCs w:val="18"/>
          <w:color w:val="auto"/>
        </w:rPr>
        <w:t>The increase in cost of products sold was primarily due to the increase in demand and production volumes. These increases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the impact of the devaluation of the euro and other foreign currency denominated costs. Additionally, increases were partially offset by cost savings from production process improvement projects.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during the second quarter of 2017 from the second quarter of 2016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staffing costs incurred related to our strategic initiatives.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decrease in restructuring and integration expense was primarily due to limited spending on restructuring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2017 compared to the second quarter of 2016. The second quarter of 2016 included $2.1 million of cost incurred to close the Wheeling Plant and $1.7 million of cost for headcount reduction in PBC.</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$4.2 million due to the redemption of the Senior Notes at the beginning of the second quarter of 2017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Incremental Term Loan, which bears a lower interest rate based on LIBOR.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w:t>
            </w:r>
          </w:p>
        </w:tc>
        <w:tc>
          <w:tcPr>
            <w:tcW w:w="20" w:type="dxa"/>
            <w:vAlign w:val="bottom"/>
          </w:tcPr>
          <w:p>
            <w:pPr>
              <w:spacing w:after="0"/>
              <w:rPr>
                <w:sz w:val="14"/>
                <w:szCs w:val="14"/>
                <w:color w:val="auto"/>
              </w:rPr>
            </w:pPr>
          </w:p>
        </w:tc>
        <w:tc>
          <w:tcPr>
            <w:tcW w:w="1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Interest</w:t>
            </w:r>
          </w:p>
        </w:tc>
        <w:tc>
          <w:tcPr>
            <w:tcW w:w="6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$11,451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Interest rate swaps settlements</w:t>
            </w:r>
          </w:p>
        </w:tc>
        <w:tc>
          <w:tcPr>
            <w:tcW w:w="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Capital lease interest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Capitalized interest primarily relates to the equipment construction efforts at the various plants.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 </w:t>
      </w:r>
      <w:r>
        <w:rPr>
          <w:rFonts w:ascii="Arial" w:cs="Arial" w:eastAsia="Arial" w:hAnsi="Arial"/>
          <w:sz w:val="18"/>
          <w:szCs w:val="18"/>
          <w:color w:val="auto"/>
        </w:rPr>
        <w:t>The $39.6 million write-off resulted from the extinguishment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modification of the credit facility on April 3, 2017.</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expenses was primarily due to foreign currency exchange effects related to the Brazilian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euro.</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The $39.6 million loss on extinguishment of debt and write-off of unamortized debt issuance cost was the primary reason for the 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2017. This loss was partially offset by a $3.3 million increase in income from operations, a $4.2 million reduction in interest expense, and a $10.1 million decrease in income tax expense. Significant components of the changes in income from operations and interest expense were presented in the preceding paragraphs. The decrease in tax expense includes the tax effect of the loss on extinguishment of debt and write-off of unamortized debt issuance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142"/>
        </w:trPr>
        <w:tc>
          <w:tcPr>
            <w:tcW w:w="5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67,928</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65,157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$2,771</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2,789</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(1,596)</w:t>
            </w: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1,578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6,474</w:t>
            </w:r>
          </w:p>
        </w:tc>
        <w:tc>
          <w:tcPr>
            <w:tcW w:w="15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increased by $2.8 million during the second quarter of 2017 from the second quarter of 2016 due to higher demand volumes. The higher volumes were primarily due to demand improvements within the industrial and automotive markets.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primary driver of the improvement in income from operations was a $1.4 million reduction in restructuring costs compared to the second quarter of 2016, primarily related to headcount reductions in the prior year. The remaining increase in income from operations was consistent with the increase in net sales.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142"/>
        </w:trPr>
        <w:tc>
          <w:tcPr>
            <w:tcW w:w="72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$86,658</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82,991</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$3,667</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4,229</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(77)</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(485)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10,688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7,770</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increased by $3.7 million during the second quarter of 2017 from the second quarter of 2016 due to increased demand in the industrial market in the US and Asia and new automotive program launches in the US, Asia and Brazil.</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primary driver of the improvement in income from operations was a $2.1 million reduction in restructuring costs compared to the second quarter of 2016, primarily related to the closure of the Wheeling Plant in the prior year. The additional increase in income from operations was consistent with the increase in net 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5"/>
              </w:rPr>
              <w:t>Three Months Ended June 30,</w:t>
            </w:r>
          </w:p>
        </w:tc>
      </w:tr>
      <w:tr>
        <w:trPr>
          <w:trHeight w:val="142"/>
        </w:trPr>
        <w:tc>
          <w:tcPr>
            <w:tcW w:w="714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left="222"/>
              <w:spacing w:after="0" w:line="142"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$71,289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$66,124</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$5,165</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5,819</w:t>
            </w: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(360)</w:t>
            </w: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(294)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10,600</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10,782</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(182)</w:t>
            </w:r>
          </w:p>
        </w:tc>
        <w:tc>
          <w:tcPr>
            <w:tcW w:w="100" w:type="dxa"/>
            <w:vAlign w:val="bottom"/>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sales increased by $5.2 million during the second quarter of 2017 from the second quarter of 2016 primarily due to the overall improvement in demand across the medical end market and sales to new customers within the aerospace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income from operations was primarily due to a shift in product mix.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to the Six Months Ended June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w w:val="95"/>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$452,189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426,498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$ 25,691</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316,548</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16,446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projects/other</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41,795</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Infrastructure and staffing costs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31,468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32,484</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i w:val="1"/>
                <w:iCs w:val="1"/>
                <w:color w:val="auto"/>
              </w:rPr>
              <w:t>Backlog/unfavorable leasehold</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6,585</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(6,139)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29,086</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13,665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33,053</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(5,688)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39,639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(1,953)</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w w:val="96"/>
              </w:rPr>
              <w:t>Income (loss) before provision (benefit) for income taxes and share of net income from joint venture</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(2,014)</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(22,173)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(7,097)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2,743</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(14,122)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760</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half of 2017 from the first half of 2016 by $25.7 million, principally due to higher volumes. The higher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due to demand improvements within the industrial end market, medical end market, and the automotive market. Overall, sales were ahead of prior year by $6.8 million, $6.1 million and $12.8 million for PBC, APC and PEP, respectively. These increases were partially offset by the impact of devaluation of the euro and other foreign currency denominated sales.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Cost of Products Sold. </w:t>
      </w:r>
      <w:r>
        <w:rPr>
          <w:rFonts w:ascii="Arial" w:cs="Arial" w:eastAsia="Arial" w:hAnsi="Arial"/>
          <w:sz w:val="18"/>
          <w:szCs w:val="18"/>
          <w:color w:val="auto"/>
        </w:rPr>
        <w:t>The increase in cost of products sold was primarily due to the increase in demand and production volumes as well as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mix. These increases were partially offset by the impact of the devaluation of the euro and other foreign currency denominated costs. Additionally, increases were partially offset by cost savings from production process improvement projects.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the first half of 2017 from the first half of 2016 was due to the infrastructure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costs incurred related to our strategic initiatives.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decrease in depreciation and amortization during the first half of 2017 from the first half of 2016 is principally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backlog and unfavorable leasehold intangibles during the first half of 2016. Expected increases in expense consistent with additions to property, plant and equipment partially offset the overall decrease in depreciation and amortization.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decrease in restructuring and integration expense was primarily due to limited spending on restructuring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 compared to the first half of 2016. The first half of 2016 included $3.6 million of cost incurred to close the Wheeling Plant and $2.4 million of cost for headcount reduction in PBC.</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$5.7 million due to the redemption of the Senior Notes at the beginning of second quarter of 2017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Incremental Term Loan, which bears a lower interest rate based on LIBOR. Further interest savings resulted from the refinancing of the Senior Secured Term Loan and Senior Secured Revolver in the third quarter of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Interest</w:t>
            </w: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Interest rate swaps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Capital lease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Capitalized interest primarily relates to the equipment construction efforts at the various plants.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 </w:t>
      </w:r>
      <w:r>
        <w:rPr>
          <w:rFonts w:ascii="Arial" w:cs="Arial" w:eastAsia="Arial" w:hAnsi="Arial"/>
          <w:sz w:val="18"/>
          <w:szCs w:val="18"/>
          <w:color w:val="auto"/>
        </w:rPr>
        <w:t>The $39.6 million write-off resulted from the extinguishment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modification of the credit facility.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decreased $1.9 million during the first half of 2017 compared to the first half of 2016, primarily due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effects related to the Brazilian real and the euro.</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The $39.6 million loss on extinguishment of debt and write-off of unamortized debt issuance cost was the primary reason for the 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half of 2017. This loss was partially offset by a $13.7 million increase in income from operations, a $5.7 million reduction in interest expense, and a $7.1 million decrease in income tax expense. Significant components of the changes in income from operations and interest expense were presented in the preceding paragraphs. The decrease in tax expense includes the tax effect of the loss on extinguishment of debt and write-off of unamortized debt issuance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136,687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129,902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$6,785</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6,763</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(3,747)</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3,769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12,800</w:t>
            </w:r>
          </w:p>
        </w:tc>
        <w:tc>
          <w:tcPr>
            <w:tcW w:w="15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increased by $6.8 million during the first half of 2017 from the first half of 2016 due to higher demand volumes and changes to product mix. The higher volumes were primarily due to demand improvements within the industrial and automotive markets. These increases were partially offset by the effects of foreign currency exchange.</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primary driver of the improvement in income from operations was a $2.0 million reduction in restructuring costs compared to the first half of 2016, primarily related to headcount reductions in the prior year. The remaining increase in income from operations was consistent with the increase in net sales.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7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173,104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166,981</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$6,123</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6,678</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414</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(969)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14,297</w:t>
            </w: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6,992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increased by $6.1 million during the first half of 2017 from the first half of 2016 due to industrial market demand improvements in the US and Asia and new automotive program launches in the US Asia and Brazil.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primary driver of the improvement in income from operations was a $3.6 million reduction in restructuring costs compared to the first half of 2016, primarily related to the closure of the Wheeling Plant in the prior year. The remaining increase in income from operations was consistent with the increase in net 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5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980"/>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142,398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129,615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12,783</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13,528</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(734)</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increased by $12.8 million during the first half of 2017 from the first half of 2016 primarily due to the overall improvement in demand across the medical end market and sales to new customers within the aerospace market.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income from operations was driven by the increase in net sales. Additionally, depreciation and amortization decreased by $2.4 million due to the amortization of backlog and unfavorable leasehold intangibles during the first quarter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2016 to June 30, 2017.</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From December 31, 2016 to June 30, 2017, total assets increased by $50.1 million, of which $47.1 million related to current assets. The increase in current assets was primarily due to increases in accounts receivable and inventories as well as an increase in income tax receivable. The increase in accounts receivable is consistent with increased sales. Despite the increase in net sales, we held inventory levels relatively flat with days inventory outstanding decreasing by approximately two days. The income tax receivable resulted from a net taxable loss for the six months ended June 30, 2017.</w:t>
      </w:r>
    </w:p>
    <w:p>
      <w:pPr>
        <w:spacing w:after="0" w:line="15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From December 31, 2016 to June 30, 2017, total liabilities increased by $48.8 million due to a $53.7 million increase in total debt. The increase in debt resulted from the redemption of our Senior Notes with the proceeds of a new $300.0 million Incremental Term Loan in April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accrued payroll costs, and current maturities of long-term debt, was $180.6 million at June 30, 2017, compared to $141.9 million at December 31, 2016. The increase in working capital was due primarily to the increase in accounts receivable and inventories, as discussed above.</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used by operations was $15.6 million for the six months ended June 30, 2017, compared with cash provided by operations of $11.8 million for the six months ended June 30, 2016. The difference was primarily due to $31.6 million paid for the call premium on the redemption of the Senior Notes, partially offset by increased operating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Cash used by investing activities was $20.3 million for the six months ended June 30, 2017, compared with cash used by investing activities of $16.4 million for the six months ended June 30, 2016. The primary difference was capital spending related to growth programs and China’s improvement projects.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financing activities was $39.8 million for the six months ended June 30, 2017, compared with cash provided by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$6.8 million for the six months ended June 30, 2016. The driver in 2017 was primarily related to net proceeds of debt to fund the Senior Notes call premium.</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April 3, 2017, we redeemed our Senior Notes for $281.6 million resulting in a loss on debt extinguishment of $36.3 million, including $31.6 million cash paid for the call premium and $4.7 million non-cash write-off of unamortized debt issuance costs. The Senior Notes were redeemed and the call premium was paid with the proceeds of a new $300.0 million Incremental Term Loan that was added by amendment to our existing credit facility. The Incremental Term Loan bears interest at the lower of 0.75% or one-month LIBOR, plus 3.75%, and matures on April 3, 2021, with payments of $3.0 million due quarterly. Concurrent with the amendment, the Senior Secured Revolver was reduced from $143.0 million to $100.0 million until such time as a certain leverage ratio covenant threshold has been met for four consecutive fiscal quarters. Upon satisfaction of the ratio threshold, the Senior Secured Revolver may be restored to $143.0 million. In connection with the amendment, we paid $6.5 million in debt issuance costs of which $4.0 million was recorded as a direct reduction to the carrying amount of the associated debt and $2.5 million was recognized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Aggregate amounts outstanding under our Senior Secured Term Loan, Incremental Term Loan, and our Senior Secured Revolver as of June 30, 2017, were $871.0 million (without regard to debt issuance costs). As of June 30, 2017, we could borrow up to $56.2 million under our Senior Secured Revolver, subject to certain limitations. The $56.2 million of availability is net of $10.4 million of outstanding letters of credit at June 30, 2017, which are considered as usage of the Senior Secured Revolver.</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Senior Secured Term Loan requires us to pay quarterly 0.25% (or $1.4 million) of the initial principal amount through September 30, 2022 with the remaining principal amount due on the maturity date. Additionally, if LIBOR is less than 0.75%, we pay 5.00% per annum in interest. If the LIBOR exceeds 0.75%, then the rate will be the variable LIBOR rate plus an applicable margin of 4.25%. Based on the outstanding balance at June 30, 2017, annual interest payments would have been $29.6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Incremental Term Loan requires us to make quarterly payments of $3.0 million through March 31, 2021. If LIBOR is less than 0.75%, then we pay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4.50% per annum in interest. If LIBOR exceeds 0.75%, then we pay the variable LIBOR rate plus an applicable margin of 3.75%. Based on the outstanding balance at June 30, 2017, annual interest payments would have been $14.8 million.</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Senior Secured Revolver requires us to pay interest at a rate of LIBOR plus an applicable margin of 3.50%. Based on the outstanding balance at June 30, 2017, annual interest payments would have been $1.6 million.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Senior Notes required us to pay annual interest of 10.25% payable semi-annually in arrears on May 1 and November 1 of each year. Upon redemption of the Senior Notes, we paid interest of $10.8 million for the period November 1, 2016 through April 3, 2017.</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funds generated from our consolidated operations will provide sufficient cash flow to service the required debt and interest payments under these facilities.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June 30, 2017, no currency hedges were in place. In addition, a strengthening of the U.S. dollar and/or euro against foreign currencies could impair our ability to compete with international competitors for foreign as well as domestic sales.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next twelve months, we expect capital expenditures to remain relatively consistent,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$56.2 million and our forecasted positive cash flow from operations for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medical device sales are often stronger in the fourth calendar quarter, and sales to original equipment manufacturers are often stronger immediately preceding and following the launch of new products. However, as a whole, we are not subject to material seasonality.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2016 Annual Report, including those policies as discussed in Note 1 to the Notes to Consolidated Financial Statements included in the 2016 Annual Report. There have been no changes to these policies during the six months ended June 30, 2017, except as discussed in Note 1 to the Notes to Condensed Consolidated Financial Statements included in this Quarterly Report on Form 10-Q.</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June 30, 2017, we had $33.3 million outstanding under our variable rate revolving credit facilities, without regard to debt issuance costs. At June 30, 2017, a one-percent increase in the interest rate charged on our outstanding variable rate borrowings under our Senior Secured Revolver would result in interest expense increasing annually by approximately $0.3 million.</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June 30, 2017, we had $540.7 million outstanding under our variable rate Senior Secured Term Loan B, without regard to debt issuance costs. At June 30, 2017, a one-percent increase in the interest rate charged on this outstanding variable rate borrowings under the Senior Secured Term Loan B would result in interest expense increasing annually by approximately $5.4 million.</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At June 30, 2017, we had $297.0 million outstanding under our Incremental Term Loan, without regard to debt issuance costs. At June 30, 2017, a one-percent increase in the interest rate charged on this outstanding variable rate borrowings under the Incremental Term Loan would result in interest expense increasing annually by approximately $3.0 million.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policy is to manage interest expense using a mix of fixed and variable rate debt. As such, we entered into a $150.0 million interest rate swap that went into effect on December 29, 2015, which was amended and restated on September 30, 2016 to change the LIBOR indexed floor from 1.0% to 0.75%, and fix our interest rate at 6.466% for a portion of our Senior Secured Term Loan B. The nature and amount of our borrowings may vary as a result of future business requirements, market conditions and other factors.</w:t>
      </w:r>
    </w:p>
    <w:p>
      <w:pPr>
        <w:spacing w:after="0" w:line="18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hold a position in any foreign currency hedging instruments as of June 30, 2017.</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as a result of the material weaknesses in internal control over financial reporting described below, our Chief Executive Officer and Chief Financial Officer concluded that our disclosure controls and procedures were not effective as of June 30, 2017 to ensure that information required to be disclosed in the reports that we file under the Exchange Act is</w:t>
      </w:r>
    </w:p>
    <w:p>
      <w:pPr>
        <w:sectPr>
          <w:pgSz w:w="11900" w:h="16838" w:orient="portrait"/>
          <w:cols w:equalWidth="0" w:num="1">
            <w:col w:w="11380"/>
          </w:cols>
          <w:pgMar w:left="240" w:top="459" w:right="279" w:bottom="1440" w:gutter="0" w:footer="0" w:header="0"/>
        </w:sectPr>
      </w:pP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recorded, processed, summarized and reported within the time periods specified in the SEC’s rules and forms, and that such information is accumulated and communicated to management, including our Chief Executive Officer and Chief Financial Officer, as appropriate, to allow for timely decisions regarding required disclosure.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previously disclosed in the 2016 Annual Report the following material weaknesses, which still existed as of June 30, 2017. We did not maintain an effective control environment due to a lack of a sufficient complement of personnel with an appropriate level of knowledge, experience and training commensurate with our financial reporting requirements. This material weakness in the control environment contributed to the following material weaknesses: we did not design and maintain effective internal control over: (i) the accounting for business combinations, which specifically included not designing and maintaining controls over the (a) accuracy, valuation and presentation and disclosure for allocating goodwill to our international businesses and</w:t>
      </w:r>
    </w:p>
    <w:p>
      <w:pPr>
        <w:spacing w:after="0" w:line="2" w:lineRule="exact"/>
        <w:rPr>
          <w:sz w:val="20"/>
          <w:szCs w:val="20"/>
          <w:color w:val="auto"/>
        </w:rPr>
      </w:pPr>
    </w:p>
    <w:p>
      <w:pPr>
        <w:ind w:right="3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completeness, accuracy and valuation of deferred income taxes recorded in connection with business combinations; and (ii)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material weaknesses resulted in immaterial errors to property, plant and equipment, net; goodwill, net; investment in joint venture; accrued salaries, wages and benefits; other liabilities; deferred tax assets and liabilities; provision for income taxes; and other comprehensive income in our consolidated financial statements for the years ended December 31, 2016, 2015 and 2014. These immaterial errors resulted in a revision to previously issued financial statements as discussed in Note 1 and Note 14 in the accompanying Notes to Condensed Consolidated Financial Statements.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 Notwithstanding such material weaknesses, our Chief Executive Officer and Chief Financial Officer have concluded that our consolidated financial statements in this Quarterly Report on Form 10-Q present fairly, and in all material respects, our financial position, results of operations and cash flows for the periods presented in conformity with GAAP.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Building on our efforts during 2016, with the oversight of the Audit Committee of our board of directors, we continued in the first half of 2017 to dedicate significant resources and efforts to improve our control environment and take steps to remediate the material weaknesses identified above. While certain remedial actions have been completed, we continue to actively plan for and implement additional control procedures. The 2017 remediation efforts outlined below are intended both to address the identified material weaknesses and to enhance our overall financial control environment.</w:t>
      </w:r>
    </w:p>
    <w:p>
      <w:pPr>
        <w:spacing w:after="0" w:line="60" w:lineRule="exact"/>
        <w:rPr>
          <w:sz w:val="20"/>
          <w:szCs w:val="20"/>
          <w:color w:val="auto"/>
        </w:rPr>
      </w:pPr>
    </w:p>
    <w:p>
      <w:pPr>
        <w:ind w:left="900" w:right="5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Augmented the personnel within our finance and accounting organization by hiring two additional tax personnel and adding two additional personnel to address SEC accounting and reporting;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Implemented automated tax software;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Instituted, and will continue to provide, additional training programs for our finance and accounting personnel;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Strengthened our business combination and income tax control process with improved accounting policies, documentation standards, technical oversight and training, as well as the recent hires noted above.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material weaknesses will not be considered remediated until the applicable remedial controls operate for a sufficient period of time and management has concluded, through testing, that these controls are operating effectively.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determine to take additional measures to address control deficiencies or determine to modify, or in appropriate circumstances not to complete, certain of the remediation measures described above.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Except as noted above in the “Remediation Plan for Material Weaknesses” section above, there were no changes in the fiscal quarter ended June 30, 2017 in our internal control over financial reporting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June 30, 2017 for this matter. There was no material change in the status of this matter from December 31, 2016 to June 30, 2017.</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Except as noted below, there have been no material changes to the risk factors disclosed in our 2016 Annual Report on Form 10-K for the fiscal year ended December 31, 2016, which was filed with the SEC on March 16, 2017 under Item 1A. “Risk Factors.”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pending sale of the Precision Bearing Components Group to Tsubaki may not be completed within the currently contemplated time frame or at all, or may be completed on different terms.</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can provide no assurance that the pending sale of the Precision Bearing Components Group to Tsubaki will be completed or completed on a timely basis. Unforeseen developments outside of our control, including possible delays in obtaining applicable regulatory consents and approvals, could delay or prevent the proposed transaction, or cause them to occur on terms and conditions that are less favorable, or at a higher cost, than expected.</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failure to complete the proposed transaction could have a negative impact on our business, financial results and stock price, as well as on our relationships with our customers, suppliers and employees. Moreover, after the closing of the proposed transaction, we will be smaller and less diversified, with a narrower business focus and may be more vulnerable to changing market conditions, which could adversely affect our business, results of operations or financial condition.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and financial results could be adversely impacted during the pendency of the sale of the Precision Bearing Components Group to Tsubaki, particularly if there is a delay in the completion of the proposed transaction.</w:t>
      </w:r>
    </w:p>
    <w:p>
      <w:pPr>
        <w:spacing w:after="0" w:line="17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pending sale of the Precision Bearing Components Group to Tsubaki may cause disruptions to our business or business relationships, and may create uncertainty surrounding our ongoing business operations, which could materially and adversely affect our business, results of operations or financial condition, regardless of whether the proposed transaction is completed, including as a result of the following:</w:t>
      </w:r>
    </w:p>
    <w:p>
      <w:pPr>
        <w:spacing w:after="0" w:line="71" w:lineRule="exact"/>
        <w:rPr>
          <w:sz w:val="20"/>
          <w:szCs w:val="20"/>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attention of our management may be directed to transaction-related considerations and may be diverted from the day-to-day operations of our business;</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the future of our organization may adversely affect our ability to hire, retain and motivate key personnel and other employees; and</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customers, suppliers or other parties which we maintain business relationships may experience uncertainty prior to the closing of the proposed transaction and seek alternative relationships with third parties or seek to terminate or renegotiate their relationships with us.</w:t>
      </w:r>
    </w:p>
    <w:p>
      <w:pPr>
        <w:sectPr>
          <w:pgSz w:w="11900" w:h="16838" w:orient="portrait"/>
          <w:cols w:equalWidth="0" w:num="1">
            <w:col w:w="11400"/>
          </w:cols>
          <w:pgMar w:left="240" w:top="459"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the definitive agreement restricts us from engaging in certain actions without the consent of Tsubaki, which could prevent us from pursuing business opportunities that may arise prior to the consummation of the proposed transaction.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incurred, and will continue to incur, transaction costs in connection with the proposed transaction, and many of these fees and costs are payable regardless of whether or not the sale is completed.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66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Unregistered Sales of Equity Securities and Use of Proceeds</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74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w:t>
            </w:r>
          </w:p>
        </w:tc>
        <w:tc>
          <w:tcPr>
            <w:tcW w:w="740" w:type="dxa"/>
            <w:vAlign w:val="bottom"/>
          </w:tcPr>
          <w:p>
            <w:pPr>
              <w:spacing w:after="0"/>
              <w:rPr>
                <w:sz w:val="12"/>
                <w:szCs w:val="12"/>
                <w:color w:val="auto"/>
              </w:rPr>
            </w:pPr>
          </w:p>
        </w:tc>
        <w:tc>
          <w:tcPr>
            <w:tcW w:w="216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91"/>
              </w:rPr>
              <w:t>Average Price Paid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74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19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74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Under the Plan or</w:t>
            </w:r>
          </w:p>
        </w:tc>
        <w:tc>
          <w:tcPr>
            <w:tcW w:w="0" w:type="dxa"/>
            <w:vAlign w:val="bottom"/>
          </w:tcPr>
          <w:p>
            <w:pPr>
              <w:spacing w:after="0"/>
              <w:rPr>
                <w:sz w:val="1"/>
                <w:szCs w:val="1"/>
                <w:color w:val="auto"/>
              </w:rPr>
            </w:pPr>
          </w:p>
        </w:tc>
      </w:tr>
      <w:tr>
        <w:trPr>
          <w:trHeight w:val="171"/>
        </w:trPr>
        <w:tc>
          <w:tcPr>
            <w:tcW w:w="960" w:type="dxa"/>
            <w:vAlign w:val="bottom"/>
            <w:gridSpan w:val="3"/>
            <w:vMerge w:val="continue"/>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12"/>
                <w:szCs w:val="12"/>
                <w:b w:val="1"/>
                <w:bCs w:val="1"/>
                <w:color w:val="auto"/>
              </w:rPr>
              <w:t>(1)</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tcPr>
          <w:p>
            <w:pPr>
              <w:jc w:val="right"/>
              <w:ind w:right="19"/>
              <w:spacing w:after="0"/>
              <w:rPr>
                <w:sz w:val="20"/>
                <w:szCs w:val="20"/>
                <w:color w:val="auto"/>
              </w:rPr>
            </w:pPr>
            <w:r>
              <w:rPr>
                <w:rFonts w:ascii="Arial" w:cs="Arial" w:eastAsia="Arial" w:hAnsi="Arial"/>
                <w:sz w:val="14"/>
                <w:szCs w:val="14"/>
                <w:b w:val="1"/>
                <w:bCs w:val="1"/>
                <w:color w:val="auto"/>
                <w:w w:val="97"/>
              </w:rPr>
              <w:t>Plans or Programs</w:t>
            </w:r>
            <w:r>
              <w:rPr>
                <w:rFonts w:ascii="Arial" w:cs="Arial" w:eastAsia="Arial" w:hAnsi="Arial"/>
                <w:sz w:val="12"/>
                <w:szCs w:val="12"/>
                <w:b w:val="1"/>
                <w:bCs w:val="1"/>
                <w:color w:val="auto"/>
                <w:w w:val="97"/>
              </w:rPr>
              <w:t>(1)</w:t>
            </w:r>
          </w:p>
        </w:tc>
        <w:tc>
          <w:tcPr>
            <w:tcW w:w="74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2020" w:type="dxa"/>
            <w:vAlign w:val="bottom"/>
            <w:tcBorders>
              <w:top w:val="single" w:sz="8" w:color="CCEEFF"/>
            </w:tcBorders>
            <w:gridSpan w:val="2"/>
            <w:shd w:val="clear" w:color="auto" w:fill="CCEEFF"/>
          </w:tcPr>
          <w:p>
            <w:pPr>
              <w:jc w:val="right"/>
              <w:ind w:right="1550"/>
              <w:spacing w:after="0"/>
              <w:rPr>
                <w:sz w:val="20"/>
                <w:szCs w:val="20"/>
                <w:color w:val="auto"/>
              </w:rPr>
            </w:pPr>
            <w:r>
              <w:rPr>
                <w:rFonts w:ascii="Arial" w:cs="Arial" w:eastAsia="Arial" w:hAnsi="Arial"/>
                <w:sz w:val="18"/>
                <w:szCs w:val="18"/>
                <w:color w:val="auto"/>
                <w:w w:val="89"/>
              </w:rPr>
              <w:t>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7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8"/>
                <w:szCs w:val="18"/>
                <w:color w:val="auto"/>
              </w:rPr>
              <w:t>May 2017</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6"/>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2017</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6"/>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9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740" w:type="dxa"/>
            <w:vAlign w:val="bottom"/>
          </w:tcPr>
          <w:p>
            <w:pPr>
              <w:spacing w:after="0"/>
              <w:rPr>
                <w:sz w:val="19"/>
                <w:szCs w:val="19"/>
                <w:color w:val="auto"/>
              </w:rPr>
            </w:pPr>
          </w:p>
        </w:tc>
        <w:tc>
          <w:tcPr>
            <w:tcW w:w="500" w:type="dxa"/>
            <w:vAlign w:val="bottom"/>
            <w:tcBorders>
              <w:top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740" w:type="dxa"/>
            <w:vAlign w:val="bottom"/>
          </w:tcPr>
          <w:p>
            <w:pPr>
              <w:spacing w:after="0"/>
              <w:rPr>
                <w:sz w:val="19"/>
                <w:szCs w:val="19"/>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4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accompanying Exhibit Index are filed, furnished or incorporated by reference as part of this Quarterly Report on Form 10-Q.</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NN, Inc.</w:t>
            </w:r>
          </w:p>
        </w:tc>
      </w:tr>
      <w:tr>
        <w:trPr>
          <w:trHeight w:val="224"/>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 August 14, 2017</w:t>
            </w:r>
          </w:p>
        </w:tc>
        <w:tc>
          <w:tcPr>
            <w:tcW w:w="244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August 14, 2017</w:t>
            </w:r>
          </w:p>
        </w:tc>
        <w:tc>
          <w:tcPr>
            <w:tcW w:w="244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365"/>
        </w:trPr>
        <w:tc>
          <w:tcPr>
            <w:tcW w:w="3640" w:type="dxa"/>
            <w:vAlign w:val="bottom"/>
          </w:tcPr>
          <w:p>
            <w:pPr>
              <w:spacing w:after="0"/>
              <w:rPr>
                <w:sz w:val="24"/>
                <w:szCs w:val="24"/>
                <w:color w:val="auto"/>
              </w:rPr>
            </w:pPr>
          </w:p>
        </w:tc>
        <w:tc>
          <w:tcPr>
            <w:tcW w:w="244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85"/>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420" w:type="dxa"/>
            <w:vAlign w:val="bottom"/>
            <w:gridSpan w:val="3"/>
          </w:tcPr>
          <w:p>
            <w:pPr>
              <w:ind w:left="50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77"/>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1"/>
              </w:rPr>
              <w:t>Purchase Agreement, dated as of July 10, 2017, by and between NN, Inc. and TSUBAKI NAKASHIMA Co., Ltd. (incorporated by reference</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to Exhibit 2.1 to NN, Inc.’s Current Report on Form 8-K filed on July 10, 2017)</w:t>
            </w:r>
          </w:p>
        </w:tc>
      </w:tr>
      <w:tr>
        <w:trPr>
          <w:trHeight w:val="310"/>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amended.</w:t>
            </w:r>
          </w:p>
        </w:tc>
      </w:tr>
      <w:tr>
        <w:trPr>
          <w:trHeight w:val="310"/>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6"/>
              </w:rPr>
              <w:t>Certification of Principal Financial Officer Pursuant to Rules 13a-14(a) and 15d-14(a) under the Securities Exchange Act of 1934, as</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amended.</w:t>
            </w: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14,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14,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14,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14,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2019-12-29T04:38:08Z</dcterms:created>
  <dcterms:modified xsi:type="dcterms:W3CDTF">2019-12-29T04:38:08Z</dcterms:modified>
</cp:coreProperties>
</file>