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NN, INC.</w:t>
      </w:r>
    </w:p>
    <w:p>
      <w:pPr>
        <w:spacing w:after="0" w:line="15"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i w:val="1"/>
          <w:iCs w:val="1"/>
          <w:color w:val="auto"/>
        </w:rPr>
        <w:t>2000 WATERS EDGE DRIVE BUILDING C, STE. 12 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0000156432_1</w:t>
      </w:r>
      <w:r>
        <w:rPr>
          <w:sz w:val="20"/>
          <w:szCs w:val="20"/>
          <w:color w:val="auto"/>
        </w:rPr>
        <w:tab/>
      </w:r>
      <w:r>
        <w:rPr>
          <w:rFonts w:ascii="Arial" w:cs="Arial" w:eastAsia="Arial" w:hAnsi="Arial"/>
          <w:sz w:val="15"/>
          <w:szCs w:val="15"/>
          <w:color w:val="auto"/>
        </w:rPr>
        <w:t>R1.0.0.51160</w:t>
      </w:r>
    </w:p>
    <w:p>
      <w:pPr>
        <w:spacing w:after="0" w:line="20" w:lineRule="exact"/>
        <w:rPr>
          <w:sz w:val="20"/>
          <w:szCs w:val="20"/>
          <w:color w:val="auto"/>
        </w:rPr>
      </w:pPr>
      <w:r>
        <w:rPr>
          <w:sz w:val="20"/>
          <w:szCs w:val="20"/>
          <w:color w:val="auto"/>
        </w:rPr>
        <w:br w:type="column"/>
      </w:r>
    </w:p>
    <w:p>
      <w:pPr>
        <w:jc w:val="center"/>
        <w:ind w:left="80" w:right="2980"/>
        <w:spacing w:after="0" w:line="262" w:lineRule="auto"/>
        <w:rPr>
          <w:sz w:val="20"/>
          <w:szCs w:val="20"/>
          <w:color w:val="auto"/>
        </w:rPr>
      </w:pPr>
      <w:r>
        <w:rPr>
          <w:rFonts w:ascii="Arial" w:cs="Arial" w:eastAsia="Arial" w:hAnsi="Arial"/>
          <w:sz w:val="18"/>
          <w:szCs w:val="18"/>
          <w:b w:val="1"/>
          <w:bCs w:val="1"/>
          <w:color w:val="auto"/>
        </w:rPr>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-514985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CCCCCC"/>
              <w:right w:val="single" w:sz="8" w:color="auto"/>
            </w:tcBorders>
            <w:shd w:val="clear" w:color="auto" w:fill="CCCCCC"/>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Meeting Information</w:t>
            </w:r>
          </w:p>
        </w:tc>
        <w:tc>
          <w:tcPr>
            <w:tcW w:w="20" w:type="dxa"/>
            <w:vAlign w:val="bottom"/>
            <w:tcBorders>
              <w:top w:val="single" w:sz="8" w:color="auto"/>
            </w:tcBorders>
            <w:shd w:val="clear" w:color="auto" w:fill="000000"/>
          </w:tcPr>
          <w:p>
            <w:pPr>
              <w:spacing w:after="0"/>
              <w:rPr>
                <w:sz w:val="24"/>
                <w:szCs w:val="24"/>
                <w:color w:val="auto"/>
              </w:rPr>
            </w:pPr>
          </w:p>
        </w:tc>
      </w:tr>
      <w:tr>
        <w:trPr>
          <w:trHeight w:val="20"/>
        </w:trPr>
        <w:tc>
          <w:tcPr>
            <w:tcW w:w="2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CCCCC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4"/>
        </w:trPr>
        <w:tc>
          <w:tcPr>
            <w:tcW w:w="2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right w:val="single" w:sz="8" w:color="auto"/>
            </w:tcBorders>
            <w:shd w:val="clear" w:color="auto" w:fill="CCCCCC"/>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Meeting Type:</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Annual Meeting</w:t>
            </w:r>
          </w:p>
        </w:tc>
        <w:tc>
          <w:tcPr>
            <w:tcW w:w="20" w:type="dxa"/>
            <w:vAlign w:val="bottom"/>
            <w:shd w:val="clear" w:color="auto" w:fill="000000"/>
          </w:tcPr>
          <w:p>
            <w:pPr>
              <w:spacing w:after="0"/>
              <w:rPr>
                <w:sz w:val="24"/>
                <w:szCs w:val="24"/>
                <w:color w:val="auto"/>
              </w:rPr>
            </w:pPr>
          </w:p>
        </w:tc>
      </w:tr>
      <w:tr>
        <w:trPr>
          <w:trHeight w:val="228"/>
        </w:trPr>
        <w:tc>
          <w:tcPr>
            <w:tcW w:w="2060" w:type="dxa"/>
            <w:vAlign w:val="bottom"/>
          </w:tcPr>
          <w:p>
            <w:pPr>
              <w:spacing w:after="0"/>
              <w:rPr>
                <w:sz w:val="20"/>
                <w:szCs w:val="20"/>
                <w:color w:val="auto"/>
              </w:rPr>
            </w:pPr>
            <w:r>
              <w:rPr>
                <w:rFonts w:ascii="Arial" w:cs="Arial" w:eastAsia="Arial" w:hAnsi="Arial"/>
                <w:sz w:val="18"/>
                <w:szCs w:val="18"/>
                <w:b w:val="1"/>
                <w:bCs w:val="1"/>
                <w:i w:val="1"/>
                <w:iCs w:val="1"/>
                <w:color w:val="auto"/>
              </w:rPr>
              <w:t>NN, INC.</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auto"/>
            </w:tcBorders>
            <w:shd w:val="clear" w:color="auto" w:fill="CCCCCC"/>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For holders as of:</w:t>
            </w:r>
          </w:p>
        </w:tc>
        <w:tc>
          <w:tcPr>
            <w:tcW w:w="2780" w:type="dxa"/>
            <w:vAlign w:val="bottom"/>
            <w:gridSpan w:val="3"/>
          </w:tcPr>
          <w:p>
            <w:pPr>
              <w:ind w:left="180"/>
              <w:spacing w:after="0"/>
              <w:rPr>
                <w:sz w:val="20"/>
                <w:szCs w:val="20"/>
                <w:color w:val="auto"/>
              </w:rPr>
            </w:pPr>
            <w:r>
              <w:rPr>
                <w:rFonts w:ascii="Arial" w:cs="Arial" w:eastAsia="Arial" w:hAnsi="Arial"/>
                <w:sz w:val="18"/>
                <w:szCs w:val="18"/>
                <w:color w:val="auto"/>
              </w:rPr>
              <w:t>March 22, 2013</w:t>
            </w:r>
          </w:p>
        </w:tc>
        <w:tc>
          <w:tcPr>
            <w:tcW w:w="20" w:type="dxa"/>
            <w:vAlign w:val="bottom"/>
            <w:shd w:val="clear" w:color="auto" w:fill="000000"/>
          </w:tcPr>
          <w:p>
            <w:pPr>
              <w:spacing w:after="0"/>
              <w:rPr>
                <w:sz w:val="19"/>
                <w:szCs w:val="19"/>
                <w:color w:val="auto"/>
              </w:rPr>
            </w:pPr>
          </w:p>
        </w:tc>
      </w:tr>
      <w:tr>
        <w:trPr>
          <w:trHeight w:val="243"/>
        </w:trPr>
        <w:tc>
          <w:tcPr>
            <w:tcW w:w="2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right w:val="single" w:sz="8" w:color="auto"/>
            </w:tcBorders>
            <w:shd w:val="clear" w:color="auto" w:fill="CCCCCC"/>
          </w:tcPr>
          <w:p>
            <w:pPr>
              <w:spacing w:after="0"/>
              <w:rPr>
                <w:sz w:val="21"/>
                <w:szCs w:val="21"/>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16, 2013</w:t>
            </w:r>
          </w:p>
        </w:tc>
        <w:tc>
          <w:tcPr>
            <w:tcW w:w="2780" w:type="dxa"/>
            <w:vAlign w:val="bottom"/>
            <w:gridSpan w:val="3"/>
          </w:tcPr>
          <w:p>
            <w:pPr>
              <w:ind w:left="18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EDT</w:t>
            </w:r>
          </w:p>
        </w:tc>
        <w:tc>
          <w:tcPr>
            <w:tcW w:w="20" w:type="dxa"/>
            <w:vAlign w:val="bottom"/>
            <w:shd w:val="clear" w:color="auto" w:fill="000000"/>
          </w:tcPr>
          <w:p>
            <w:pPr>
              <w:spacing w:after="0"/>
              <w:rPr>
                <w:sz w:val="21"/>
                <w:szCs w:val="21"/>
                <w:color w:val="auto"/>
              </w:rPr>
            </w:pPr>
          </w:p>
        </w:tc>
      </w:tr>
      <w:tr>
        <w:trPr>
          <w:trHeight w:val="257"/>
        </w:trPr>
        <w:tc>
          <w:tcPr>
            <w:tcW w:w="2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right w:val="single" w:sz="8" w:color="auto"/>
            </w:tcBorders>
            <w:shd w:val="clear" w:color="auto" w:fill="CCCCCC"/>
          </w:tcPr>
          <w:p>
            <w:pPr>
              <w:spacing w:after="0"/>
              <w:rPr>
                <w:sz w:val="22"/>
                <w:szCs w:val="22"/>
                <w:color w:val="auto"/>
              </w:rPr>
            </w:pPr>
          </w:p>
        </w:tc>
        <w:tc>
          <w:tcPr>
            <w:tcW w:w="4580" w:type="dxa"/>
            <w:vAlign w:val="bottom"/>
            <w:gridSpan w:val="5"/>
          </w:tcPr>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RENAISSANCE</w:t>
            </w:r>
          </w:p>
        </w:tc>
        <w:tc>
          <w:tcPr>
            <w:tcW w:w="20" w:type="dxa"/>
            <w:vAlign w:val="bottom"/>
            <w:shd w:val="clear" w:color="auto" w:fill="000000"/>
          </w:tcPr>
          <w:p>
            <w:pPr>
              <w:spacing w:after="0"/>
              <w:rPr>
                <w:sz w:val="22"/>
                <w:szCs w:val="22"/>
                <w:color w:val="auto"/>
              </w:rPr>
            </w:pPr>
          </w:p>
        </w:tc>
      </w:tr>
      <w:tr>
        <w:trPr>
          <w:trHeight w:val="223"/>
        </w:trPr>
        <w:tc>
          <w:tcPr>
            <w:tcW w:w="2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auto"/>
            </w:tcBorders>
            <w:shd w:val="clear" w:color="auto" w:fill="CCCCCC"/>
          </w:tcPr>
          <w:p>
            <w:pPr>
              <w:spacing w:after="0"/>
              <w:rPr>
                <w:sz w:val="19"/>
                <w:szCs w:val="19"/>
                <w:color w:val="auto"/>
              </w:rPr>
            </w:pPr>
          </w:p>
        </w:tc>
        <w:tc>
          <w:tcPr>
            <w:tcW w:w="4580" w:type="dxa"/>
            <w:vAlign w:val="bottom"/>
            <w:gridSpan w:val="5"/>
          </w:tcPr>
          <w:p>
            <w:pPr>
              <w:ind w:left="1000"/>
              <w:spacing w:after="0"/>
              <w:rPr>
                <w:sz w:val="20"/>
                <w:szCs w:val="20"/>
                <w:color w:val="auto"/>
              </w:rPr>
            </w:pPr>
            <w:r>
              <w:rPr>
                <w:rFonts w:ascii="Arial" w:cs="Arial" w:eastAsia="Arial" w:hAnsi="Arial"/>
                <w:sz w:val="18"/>
                <w:szCs w:val="18"/>
                <w:color w:val="auto"/>
              </w:rPr>
              <w:t>CHARLESTON HOTEL</w:t>
            </w:r>
          </w:p>
        </w:tc>
        <w:tc>
          <w:tcPr>
            <w:tcW w:w="20" w:type="dxa"/>
            <w:vAlign w:val="bottom"/>
            <w:shd w:val="clear" w:color="auto" w:fill="000000"/>
          </w:tcPr>
          <w:p>
            <w:pPr>
              <w:spacing w:after="0"/>
              <w:rPr>
                <w:sz w:val="19"/>
                <w:szCs w:val="19"/>
                <w:color w:val="auto"/>
              </w:rPr>
            </w:pPr>
          </w:p>
        </w:tc>
      </w:tr>
      <w:tr>
        <w:trPr>
          <w:trHeight w:val="216"/>
        </w:trPr>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right w:val="single" w:sz="8" w:color="auto"/>
            </w:tcBorders>
            <w:shd w:val="clear" w:color="auto" w:fill="CCCCCC"/>
          </w:tcPr>
          <w:p>
            <w:pPr>
              <w:spacing w:after="0"/>
              <w:rPr>
                <w:sz w:val="18"/>
                <w:szCs w:val="18"/>
                <w:color w:val="auto"/>
              </w:rPr>
            </w:pPr>
          </w:p>
        </w:tc>
        <w:tc>
          <w:tcPr>
            <w:tcW w:w="4580" w:type="dxa"/>
            <w:vAlign w:val="bottom"/>
            <w:gridSpan w:val="5"/>
          </w:tcPr>
          <w:p>
            <w:pPr>
              <w:ind w:left="1000"/>
              <w:spacing w:after="0"/>
              <w:rPr>
                <w:sz w:val="20"/>
                <w:szCs w:val="20"/>
                <w:color w:val="auto"/>
              </w:rPr>
            </w:pPr>
            <w:r>
              <w:rPr>
                <w:rFonts w:ascii="Arial" w:cs="Arial" w:eastAsia="Arial" w:hAnsi="Arial"/>
                <w:sz w:val="18"/>
                <w:szCs w:val="18"/>
                <w:color w:val="auto"/>
              </w:rPr>
              <w:t>68 WENTWORTH STREET</w:t>
            </w:r>
          </w:p>
        </w:tc>
        <w:tc>
          <w:tcPr>
            <w:tcW w:w="20" w:type="dxa"/>
            <w:vAlign w:val="bottom"/>
            <w:shd w:val="clear" w:color="auto" w:fill="000000"/>
          </w:tcPr>
          <w:p>
            <w:pPr>
              <w:spacing w:after="0"/>
              <w:rPr>
                <w:sz w:val="18"/>
                <w:szCs w:val="18"/>
                <w:color w:val="auto"/>
              </w:rPr>
            </w:pPr>
          </w:p>
        </w:tc>
      </w:tr>
      <w:tr>
        <w:trPr>
          <w:trHeight w:val="231"/>
        </w:trPr>
        <w:tc>
          <w:tcPr>
            <w:tcW w:w="2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CCCCCC"/>
              <w:right w:val="single" w:sz="8" w:color="auto"/>
            </w:tcBorders>
            <w:shd w:val="clear" w:color="auto" w:fill="CCCCCC"/>
          </w:tcPr>
          <w:p>
            <w:pPr>
              <w:spacing w:after="0"/>
              <w:rPr>
                <w:sz w:val="20"/>
                <w:szCs w:val="20"/>
                <w:color w:val="auto"/>
              </w:rPr>
            </w:pPr>
          </w:p>
        </w:tc>
        <w:tc>
          <w:tcPr>
            <w:tcW w:w="458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color w:val="auto"/>
              </w:rPr>
              <w:t>CHARLESTON, SC 29401</w:t>
            </w:r>
          </w:p>
        </w:tc>
        <w:tc>
          <w:tcPr>
            <w:tcW w:w="20" w:type="dxa"/>
            <w:vAlign w:val="bottom"/>
            <w:tcBorders>
              <w:bottom w:val="single" w:sz="8" w:color="auto"/>
            </w:tcBorders>
            <w:shd w:val="clear" w:color="auto" w:fill="000000"/>
          </w:tcPr>
          <w:p>
            <w:pPr>
              <w:spacing w:after="0"/>
              <w:rPr>
                <w:sz w:val="20"/>
                <w:szCs w:val="20"/>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CCCCCC"/>
            </w:tcBorders>
            <w:shd w:val="clear" w:color="auto" w:fill="CCCCCC"/>
          </w:tcPr>
          <w:p>
            <w:pPr>
              <w:spacing w:after="0"/>
              <w:rPr>
                <w:sz w:val="12"/>
                <w:szCs w:val="12"/>
                <w:color w:val="auto"/>
              </w:rPr>
            </w:pPr>
          </w:p>
        </w:tc>
        <w:tc>
          <w:tcPr>
            <w:tcW w:w="116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1600" w:type="dxa"/>
            <w:vAlign w:val="bottom"/>
            <w:shd w:val="clear" w:color="auto" w:fill="CCCCCC"/>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9"/>
        </w:trPr>
        <w:tc>
          <w:tcPr>
            <w:tcW w:w="2060" w:type="dxa"/>
            <w:vAlign w:val="bottom"/>
          </w:tcPr>
          <w:p>
            <w:pPr>
              <w:spacing w:after="0"/>
              <w:rPr>
                <w:sz w:val="24"/>
                <w:szCs w:val="24"/>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w w:val="90"/>
              </w:rPr>
              <w:t>You are receiving this communication because you hold shares in the</w:t>
            </w:r>
          </w:p>
        </w:tc>
      </w:tr>
      <w:tr>
        <w:trPr>
          <w:trHeight w:val="222"/>
        </w:trPr>
        <w:tc>
          <w:tcPr>
            <w:tcW w:w="2060" w:type="dxa"/>
            <w:vAlign w:val="bottom"/>
          </w:tcPr>
          <w:p>
            <w:pPr>
              <w:spacing w:after="0"/>
              <w:rPr>
                <w:sz w:val="19"/>
                <w:szCs w:val="19"/>
                <w:color w:val="auto"/>
              </w:rPr>
            </w:pPr>
          </w:p>
        </w:tc>
        <w:tc>
          <w:tcPr>
            <w:tcW w:w="3600" w:type="dxa"/>
            <w:vAlign w:val="bottom"/>
            <w:gridSpan w:val="5"/>
          </w:tcPr>
          <w:p>
            <w:pPr>
              <w:ind w:left="1360"/>
              <w:spacing w:after="0"/>
              <w:rPr>
                <w:sz w:val="20"/>
                <w:szCs w:val="20"/>
                <w:color w:val="auto"/>
              </w:rPr>
            </w:pPr>
            <w:r>
              <w:rPr>
                <w:rFonts w:ascii="Arial" w:cs="Arial" w:eastAsia="Arial" w:hAnsi="Arial"/>
                <w:sz w:val="18"/>
                <w:szCs w:val="18"/>
                <w:color w:val="auto"/>
              </w:rPr>
              <w:t>above named company.</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2060" w:type="dxa"/>
            <w:vAlign w:val="bottom"/>
          </w:tcPr>
          <w:p>
            <w:pPr>
              <w:spacing w:after="0"/>
              <w:rPr>
                <w:sz w:val="24"/>
                <w:szCs w:val="24"/>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w w:val="93"/>
              </w:rPr>
              <w:t>This is not a ballot. You cannot use this notice to vote these shares.</w:t>
            </w:r>
          </w:p>
        </w:tc>
      </w:tr>
      <w:tr>
        <w:trPr>
          <w:trHeight w:val="216"/>
        </w:trPr>
        <w:tc>
          <w:tcPr>
            <w:tcW w:w="2060" w:type="dxa"/>
            <w:vAlign w:val="bottom"/>
          </w:tcPr>
          <w:p>
            <w:pPr>
              <w:spacing w:after="0"/>
              <w:rPr>
                <w:sz w:val="18"/>
                <w:szCs w:val="18"/>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w w:val="91"/>
              </w:rPr>
              <w:t>This communication presents only an overview of the more complete</w:t>
            </w:r>
          </w:p>
        </w:tc>
      </w:tr>
      <w:tr>
        <w:trPr>
          <w:trHeight w:val="216"/>
        </w:trPr>
        <w:tc>
          <w:tcPr>
            <w:tcW w:w="2060" w:type="dxa"/>
            <w:vAlign w:val="bottom"/>
          </w:tcPr>
          <w:p>
            <w:pPr>
              <w:spacing w:after="0"/>
              <w:rPr>
                <w:sz w:val="18"/>
                <w:szCs w:val="18"/>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w w:val="89"/>
              </w:rPr>
              <w:t>proxy materials that are available to you on the Internet. You may view</w:t>
            </w:r>
          </w:p>
        </w:tc>
      </w:tr>
      <w:tr>
        <w:trPr>
          <w:trHeight w:val="216"/>
        </w:trPr>
        <w:tc>
          <w:tcPr>
            <w:tcW w:w="2060" w:type="dxa"/>
            <w:vAlign w:val="bottom"/>
          </w:tcPr>
          <w:p>
            <w:pPr>
              <w:spacing w:after="0"/>
              <w:rPr>
                <w:sz w:val="18"/>
                <w:szCs w:val="18"/>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w w:val="92"/>
              </w:rPr>
              <w:t xml:space="preserve">the proxy materials online at </w:t>
            </w:r>
            <w:r>
              <w:rPr>
                <w:rFonts w:ascii="Arial" w:cs="Arial" w:eastAsia="Arial" w:hAnsi="Arial"/>
                <w:sz w:val="18"/>
                <w:szCs w:val="18"/>
                <w:i w:val="1"/>
                <w:iCs w:val="1"/>
                <w:color w:val="auto"/>
                <w:w w:val="92"/>
              </w:rPr>
              <w:t>www.proxyvote.com</w:t>
            </w:r>
            <w:r>
              <w:rPr>
                <w:rFonts w:ascii="Arial" w:cs="Arial" w:eastAsia="Arial" w:hAnsi="Arial"/>
                <w:sz w:val="18"/>
                <w:szCs w:val="18"/>
                <w:color w:val="auto"/>
                <w:w w:val="92"/>
              </w:rPr>
              <w:t xml:space="preserve"> or easily request a</w:t>
            </w:r>
          </w:p>
        </w:tc>
      </w:tr>
      <w:tr>
        <w:trPr>
          <w:trHeight w:val="222"/>
        </w:trPr>
        <w:tc>
          <w:tcPr>
            <w:tcW w:w="2060" w:type="dxa"/>
            <w:vAlign w:val="bottom"/>
          </w:tcPr>
          <w:p>
            <w:pPr>
              <w:spacing w:after="0"/>
              <w:rPr>
                <w:sz w:val="19"/>
                <w:szCs w:val="19"/>
                <w:color w:val="auto"/>
              </w:rPr>
            </w:pPr>
          </w:p>
        </w:tc>
        <w:tc>
          <w:tcPr>
            <w:tcW w:w="3600" w:type="dxa"/>
            <w:vAlign w:val="bottom"/>
            <w:gridSpan w:val="5"/>
          </w:tcPr>
          <w:p>
            <w:pPr>
              <w:ind w:left="1360"/>
              <w:spacing w:after="0"/>
              <w:rPr>
                <w:sz w:val="20"/>
                <w:szCs w:val="20"/>
                <w:color w:val="auto"/>
              </w:rPr>
            </w:pPr>
            <w:r>
              <w:rPr>
                <w:rFonts w:ascii="Arial" w:cs="Arial" w:eastAsia="Arial" w:hAnsi="Arial"/>
                <w:sz w:val="18"/>
                <w:szCs w:val="18"/>
                <w:color w:val="auto"/>
                <w:w w:val="91"/>
              </w:rPr>
              <w:t>paper copy (see reverse side).</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2060" w:type="dxa"/>
            <w:vAlign w:val="bottom"/>
          </w:tcPr>
          <w:p>
            <w:pPr>
              <w:spacing w:after="0"/>
              <w:rPr>
                <w:sz w:val="24"/>
                <w:szCs w:val="24"/>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rPr>
              <w:t>We encourage you to access and review all of the important</w:t>
            </w:r>
          </w:p>
        </w:tc>
      </w:tr>
      <w:tr>
        <w:trPr>
          <w:trHeight w:val="222"/>
        </w:trPr>
        <w:tc>
          <w:tcPr>
            <w:tcW w:w="2060" w:type="dxa"/>
            <w:vAlign w:val="bottom"/>
          </w:tcPr>
          <w:p>
            <w:pPr>
              <w:spacing w:after="0"/>
              <w:rPr>
                <w:sz w:val="19"/>
                <w:szCs w:val="19"/>
                <w:color w:val="auto"/>
              </w:rPr>
            </w:pPr>
          </w:p>
        </w:tc>
        <w:tc>
          <w:tcPr>
            <w:tcW w:w="6400" w:type="dxa"/>
            <w:vAlign w:val="bottom"/>
            <w:gridSpan w:val="9"/>
          </w:tcPr>
          <w:p>
            <w:pPr>
              <w:ind w:left="1360"/>
              <w:spacing w:after="0"/>
              <w:rPr>
                <w:sz w:val="20"/>
                <w:szCs w:val="20"/>
                <w:color w:val="auto"/>
              </w:rPr>
            </w:pPr>
            <w:r>
              <w:rPr>
                <w:rFonts w:ascii="Arial" w:cs="Arial" w:eastAsia="Arial" w:hAnsi="Arial"/>
                <w:sz w:val="18"/>
                <w:szCs w:val="18"/>
                <w:color w:val="auto"/>
              </w:rPr>
              <w:t>information contained in the proxy materials before voting.</w:t>
            </w:r>
          </w:p>
        </w:tc>
      </w:tr>
      <w:tr>
        <w:trPr>
          <w:trHeight w:val="164"/>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3"/>
          </w:tcPr>
          <w:p>
            <w:pPr>
              <w:spacing w:after="0"/>
              <w:rPr>
                <w:sz w:val="14"/>
                <w:szCs w:val="14"/>
                <w:color w:val="auto"/>
              </w:rPr>
            </w:pPr>
          </w:p>
        </w:tc>
        <w:tc>
          <w:tcPr>
            <w:tcW w:w="1560" w:type="dxa"/>
            <w:vAlign w:val="bottom"/>
            <w:gridSpan w:val="2"/>
          </w:tcPr>
          <w:p>
            <w:pPr>
              <w:spacing w:after="0"/>
              <w:rPr>
                <w:sz w:val="14"/>
                <w:szCs w:val="14"/>
                <w:color w:val="auto"/>
              </w:rPr>
            </w:pPr>
          </w:p>
        </w:tc>
        <w:tc>
          <w:tcPr>
            <w:tcW w:w="1880" w:type="dxa"/>
            <w:vAlign w:val="bottom"/>
            <w:gridSpan w:val="3"/>
          </w:tcPr>
          <w:p>
            <w:pPr>
              <w:spacing w:after="0"/>
              <w:rPr>
                <w:sz w:val="14"/>
                <w:szCs w:val="14"/>
                <w:color w:val="auto"/>
              </w:rPr>
            </w:pPr>
          </w:p>
        </w:tc>
      </w:tr>
      <w:tr>
        <w:trPr>
          <w:trHeight w:val="256"/>
        </w:trPr>
        <w:tc>
          <w:tcPr>
            <w:tcW w:w="2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020" w:type="dxa"/>
            <w:vAlign w:val="bottom"/>
            <w:gridSpan w:val="7"/>
            <w:shd w:val="clear" w:color="auto" w:fill="000000"/>
          </w:tcPr>
          <w:p>
            <w:pPr>
              <w:ind w:left="120"/>
              <w:spacing w:after="0"/>
              <w:rPr>
                <w:sz w:val="20"/>
                <w:szCs w:val="20"/>
                <w:color w:val="auto"/>
              </w:rPr>
            </w:pPr>
            <w:r>
              <w:rPr>
                <w:rFonts w:ascii="Arial" w:cs="Arial" w:eastAsia="Arial" w:hAnsi="Arial"/>
                <w:sz w:val="18"/>
                <w:szCs w:val="18"/>
                <w:b w:val="1"/>
                <w:bCs w:val="1"/>
                <w:color w:val="FFFFFF"/>
                <w:w w:val="89"/>
              </w:rPr>
              <w:t>See the reverse side of this notice to obtain proxy materials and</w:t>
            </w:r>
          </w:p>
        </w:tc>
        <w:tc>
          <w:tcPr>
            <w:tcW w:w="20" w:type="dxa"/>
            <w:vAlign w:val="bottom"/>
          </w:tcPr>
          <w:p>
            <w:pPr>
              <w:spacing w:after="0"/>
              <w:rPr>
                <w:sz w:val="22"/>
                <w:szCs w:val="22"/>
                <w:color w:val="auto"/>
              </w:rPr>
            </w:pPr>
          </w:p>
        </w:tc>
      </w:tr>
      <w:tr>
        <w:trPr>
          <w:trHeight w:val="228"/>
        </w:trPr>
        <w:tc>
          <w:tcPr>
            <w:tcW w:w="2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40" w:type="dxa"/>
            <w:vAlign w:val="bottom"/>
            <w:gridSpan w:val="4"/>
            <w:shd w:val="clear" w:color="auto" w:fill="000000"/>
          </w:tcPr>
          <w:p>
            <w:pPr>
              <w:ind w:left="120"/>
              <w:spacing w:after="0"/>
              <w:rPr>
                <w:sz w:val="20"/>
                <w:szCs w:val="20"/>
                <w:color w:val="auto"/>
              </w:rPr>
            </w:pPr>
            <w:r>
              <w:rPr>
                <w:rFonts w:ascii="Arial" w:cs="Arial" w:eastAsia="Arial" w:hAnsi="Arial"/>
                <w:sz w:val="18"/>
                <w:szCs w:val="18"/>
                <w:b w:val="1"/>
                <w:bCs w:val="1"/>
                <w:color w:val="FFFFFF"/>
              </w:rPr>
              <w:t>voting instructions.</w:t>
            </w:r>
          </w:p>
        </w:tc>
        <w:tc>
          <w:tcPr>
            <w:tcW w:w="920" w:type="dxa"/>
            <w:vAlign w:val="bottom"/>
            <w:shd w:val="clear" w:color="auto" w:fill="000000"/>
          </w:tcPr>
          <w:p>
            <w:pPr>
              <w:spacing w:after="0"/>
              <w:rPr>
                <w:sz w:val="19"/>
                <w:szCs w:val="19"/>
                <w:color w:val="auto"/>
              </w:rPr>
            </w:pPr>
          </w:p>
        </w:tc>
        <w:tc>
          <w:tcPr>
            <w:tcW w:w="1600" w:type="dxa"/>
            <w:vAlign w:val="bottom"/>
            <w:shd w:val="clear" w:color="auto" w:fill="000000"/>
          </w:tcPr>
          <w:p>
            <w:pPr>
              <w:spacing w:after="0"/>
              <w:rPr>
                <w:sz w:val="19"/>
                <w:szCs w:val="19"/>
                <w:color w:val="auto"/>
              </w:rPr>
            </w:pPr>
          </w:p>
        </w:tc>
        <w:tc>
          <w:tcPr>
            <w:tcW w:w="26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r>
      <w:tr>
        <w:trPr>
          <w:trHeight w:val="164"/>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180" w:type="dxa"/>
            <w:vAlign w:val="bottom"/>
            <w:tcBorders>
              <w:right w:val="single" w:sz="8" w:color="auto"/>
            </w:tcBorders>
            <w:shd w:val="clear" w:color="auto" w:fill="000000"/>
          </w:tcPr>
          <w:p>
            <w:pPr>
              <w:spacing w:after="0"/>
              <w:rPr>
                <w:sz w:val="14"/>
                <w:szCs w:val="14"/>
                <w:color w:val="auto"/>
              </w:rPr>
            </w:pPr>
          </w:p>
        </w:tc>
        <w:tc>
          <w:tcPr>
            <w:tcW w:w="116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60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r>
    </w:tbl>
    <w:p>
      <w:pPr>
        <w:sectPr>
          <w:pgSz w:w="11900" w:h="16838" w:orient="portrait"/>
          <w:cols w:equalWidth="0" w:num="2">
            <w:col w:w="2400" w:space="580"/>
            <w:col w:w="8460"/>
          </w:cols>
          <w:pgMar w:left="240" w:top="274"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27"/>
        </w:trPr>
        <w:tc>
          <w:tcPr>
            <w:tcW w:w="17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rPr>
              <w:t>Before You Vote</w:t>
            </w:r>
          </w:p>
        </w:tc>
        <w:tc>
          <w:tcPr>
            <w:tcW w:w="440" w:type="dxa"/>
            <w:vAlign w:val="bottom"/>
            <w:tcBorders>
              <w:bottom w:val="single" w:sz="8" w:color="auto"/>
            </w:tcBorders>
          </w:tcPr>
          <w:p>
            <w:pPr>
              <w:spacing w:after="0"/>
              <w:rPr>
                <w:sz w:val="19"/>
                <w:szCs w:val="19"/>
                <w:color w:val="auto"/>
              </w:rPr>
            </w:pPr>
          </w:p>
        </w:tc>
        <w:tc>
          <w:tcPr>
            <w:tcW w:w="4340" w:type="dxa"/>
            <w:vAlign w:val="bottom"/>
          </w:tcPr>
          <w:p>
            <w:pPr>
              <w:spacing w:after="0"/>
              <w:rPr>
                <w:sz w:val="19"/>
                <w:szCs w:val="19"/>
                <w:color w:val="auto"/>
              </w:rPr>
            </w:pPr>
          </w:p>
        </w:tc>
      </w:tr>
      <w:tr>
        <w:trPr>
          <w:trHeight w:val="410"/>
        </w:trPr>
        <w:tc>
          <w:tcPr>
            <w:tcW w:w="1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w w:val="94"/>
              </w:rPr>
              <w:t>How to Access the Proxy Materials</w:t>
            </w:r>
          </w:p>
        </w:tc>
        <w:tc>
          <w:tcPr>
            <w:tcW w:w="4340" w:type="dxa"/>
            <w:vAlign w:val="bottom"/>
          </w:tcPr>
          <w:p>
            <w:pPr>
              <w:spacing w:after="0"/>
              <w:rPr>
                <w:sz w:val="24"/>
                <w:szCs w:val="24"/>
                <w:color w:val="auto"/>
              </w:rPr>
            </w:pPr>
          </w:p>
        </w:tc>
      </w:tr>
      <w:tr>
        <w:trPr>
          <w:trHeight w:val="56"/>
        </w:trPr>
        <w:tc>
          <w:tcPr>
            <w:tcW w:w="6920" w:type="dxa"/>
            <w:vAlign w:val="bottom"/>
            <w:tcBorders>
              <w:bottom w:val="single" w:sz="8" w:color="auto"/>
            </w:tcBorders>
            <w:gridSpan w:val="5"/>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r>
      <w:tr>
        <w:trPr>
          <w:trHeight w:val="222"/>
        </w:trPr>
        <w:tc>
          <w:tcPr>
            <w:tcW w:w="6920" w:type="dxa"/>
            <w:vAlign w:val="bottom"/>
            <w:gridSpan w:val="5"/>
          </w:tcPr>
          <w:p>
            <w:pPr>
              <w:ind w:left="180"/>
              <w:spacing w:after="0"/>
              <w:rPr>
                <w:sz w:val="20"/>
                <w:szCs w:val="20"/>
                <w:color w:val="auto"/>
              </w:rPr>
            </w:pPr>
            <w:r>
              <w:rPr>
                <w:rFonts w:ascii="Arial" w:cs="Arial" w:eastAsia="Arial" w:hAnsi="Arial"/>
                <w:sz w:val="18"/>
                <w:szCs w:val="18"/>
                <w:b w:val="1"/>
                <w:bCs w:val="1"/>
                <w:color w:val="auto"/>
              </w:rPr>
              <w:t>Proxy Materials Available to VIEW or RECEIVE:</w:t>
            </w:r>
          </w:p>
        </w:tc>
        <w:tc>
          <w:tcPr>
            <w:tcW w:w="4340" w:type="dxa"/>
            <w:vAlign w:val="bottom"/>
          </w:tcPr>
          <w:p>
            <w:pPr>
              <w:spacing w:after="0"/>
              <w:rPr>
                <w:sz w:val="19"/>
                <w:szCs w:val="19"/>
                <w:color w:val="auto"/>
              </w:rPr>
            </w:pPr>
          </w:p>
        </w:tc>
      </w:tr>
      <w:tr>
        <w:trPr>
          <w:trHeight w:val="283"/>
        </w:trPr>
        <w:tc>
          <w:tcPr>
            <w:tcW w:w="1760" w:type="dxa"/>
            <w:vAlign w:val="bottom"/>
          </w:tcPr>
          <w:p>
            <w:pPr>
              <w:ind w:left="180"/>
              <w:spacing w:after="0"/>
              <w:rPr>
                <w:sz w:val="20"/>
                <w:szCs w:val="20"/>
                <w:color w:val="auto"/>
              </w:rPr>
            </w:pPr>
            <w:r>
              <w:rPr>
                <w:rFonts w:ascii="Arial" w:cs="Arial" w:eastAsia="Arial" w:hAnsi="Arial"/>
                <w:sz w:val="18"/>
                <w:szCs w:val="18"/>
                <w:color w:val="auto"/>
              </w:rPr>
              <w:t>1. Annual Report</w:t>
            </w:r>
          </w:p>
        </w:tc>
        <w:tc>
          <w:tcPr>
            <w:tcW w:w="5160" w:type="dxa"/>
            <w:vAlign w:val="bottom"/>
            <w:gridSpan w:val="4"/>
          </w:tcPr>
          <w:p>
            <w:pPr>
              <w:ind w:left="20"/>
              <w:spacing w:after="0"/>
              <w:rPr>
                <w:sz w:val="20"/>
                <w:szCs w:val="20"/>
                <w:color w:val="auto"/>
              </w:rPr>
            </w:pPr>
            <w:r>
              <w:rPr>
                <w:rFonts w:ascii="Arial" w:cs="Arial" w:eastAsia="Arial" w:hAnsi="Arial"/>
                <w:sz w:val="18"/>
                <w:szCs w:val="18"/>
                <w:color w:val="auto"/>
              </w:rPr>
              <w:t>2. Notice &amp; Proxy Statement</w:t>
            </w:r>
          </w:p>
        </w:tc>
        <w:tc>
          <w:tcPr>
            <w:tcW w:w="4340" w:type="dxa"/>
            <w:vAlign w:val="bottom"/>
          </w:tcPr>
          <w:p>
            <w:pPr>
              <w:spacing w:after="0"/>
              <w:rPr>
                <w:sz w:val="24"/>
                <w:szCs w:val="24"/>
                <w:color w:val="auto"/>
              </w:rPr>
            </w:pPr>
          </w:p>
        </w:tc>
      </w:tr>
      <w:tr>
        <w:trPr>
          <w:trHeight w:val="297"/>
        </w:trPr>
        <w:tc>
          <w:tcPr>
            <w:tcW w:w="1760" w:type="dxa"/>
            <w:vAlign w:val="bottom"/>
          </w:tcPr>
          <w:p>
            <w:pPr>
              <w:ind w:left="180"/>
              <w:spacing w:after="0"/>
              <w:rPr>
                <w:sz w:val="20"/>
                <w:szCs w:val="20"/>
                <w:color w:val="auto"/>
              </w:rPr>
            </w:pPr>
            <w:r>
              <w:rPr>
                <w:rFonts w:ascii="Arial" w:cs="Arial" w:eastAsia="Arial" w:hAnsi="Arial"/>
                <w:sz w:val="18"/>
                <w:szCs w:val="18"/>
                <w:b w:val="1"/>
                <w:bCs w:val="1"/>
                <w:color w:val="auto"/>
                <w:w w:val="90"/>
              </w:rPr>
              <w:t>How to View Online:</w:t>
            </w: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318"/>
        </w:trPr>
        <w:tc>
          <w:tcPr>
            <w:tcW w:w="6920" w:type="dxa"/>
            <w:vAlign w:val="bottom"/>
            <w:gridSpan w:val="5"/>
          </w:tcPr>
          <w:p>
            <w:pPr>
              <w:ind w:left="200"/>
              <w:spacing w:after="0"/>
              <w:rPr>
                <w:sz w:val="20"/>
                <w:szCs w:val="20"/>
                <w:color w:val="auto"/>
              </w:rPr>
            </w:pPr>
            <w:r>
              <w:rPr>
                <w:rFonts w:ascii="Arial" w:cs="Arial" w:eastAsia="Arial" w:hAnsi="Arial"/>
                <w:sz w:val="18"/>
                <w:szCs w:val="18"/>
                <w:color w:val="auto"/>
              </w:rPr>
              <w:t>Have the information that is printed in the box marked by the arrow</w:t>
            </w:r>
          </w:p>
        </w:tc>
        <w:tc>
          <w:tcPr>
            <w:tcW w:w="4340" w:type="dxa"/>
            <w:vAlign w:val="bottom"/>
          </w:tcPr>
          <w:p>
            <w:pPr>
              <w:ind w:left="80"/>
              <w:spacing w:after="0"/>
              <w:rPr>
                <w:sz w:val="20"/>
                <w:szCs w:val="20"/>
                <w:color w:val="auto"/>
              </w:rPr>
            </w:pPr>
            <w:r>
              <w:rPr>
                <w:rFonts w:ascii="Arial" w:cs="Arial" w:eastAsia="Arial" w:hAnsi="Arial"/>
                <w:sz w:val="18"/>
                <w:szCs w:val="18"/>
                <w:color w:val="auto"/>
              </w:rPr>
              <w:t>(located on the following page) and visit:</w:t>
            </w:r>
          </w:p>
        </w:tc>
      </w:tr>
      <w:tr>
        <w:trPr>
          <w:trHeight w:val="222"/>
        </w:trPr>
        <w:tc>
          <w:tcPr>
            <w:tcW w:w="1760" w:type="dxa"/>
            <w:vAlign w:val="bottom"/>
          </w:tcPr>
          <w:p>
            <w:pPr>
              <w:ind w:left="200"/>
              <w:spacing w:after="0"/>
              <w:rPr>
                <w:sz w:val="20"/>
                <w:szCs w:val="20"/>
                <w:color w:val="auto"/>
              </w:rPr>
            </w:pPr>
            <w:r>
              <w:rPr>
                <w:rFonts w:ascii="Arial" w:cs="Arial" w:eastAsia="Arial" w:hAnsi="Arial"/>
                <w:sz w:val="18"/>
                <w:szCs w:val="18"/>
                <w:i w:val="1"/>
                <w:iCs w:val="1"/>
                <w:color w:val="auto"/>
                <w:w w:val="92"/>
              </w:rPr>
              <w:t>www.proxyvote.com.</w:t>
            </w:r>
          </w:p>
        </w:tc>
        <w:tc>
          <w:tcPr>
            <w:tcW w:w="2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-864235</wp:posOffset>
            </wp:positionV>
            <wp:extent cx="7254875" cy="2718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71843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9" w:lineRule="exact"/>
        <w:rPr>
          <w:sz w:val="20"/>
          <w:szCs w:val="20"/>
          <w:color w:val="auto"/>
        </w:rPr>
      </w:pPr>
    </w:p>
    <w:p>
      <w:pPr>
        <w:ind w:left="380" w:right="380"/>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42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420" w:type="dxa"/>
            <w:vAlign w:val="bottom"/>
          </w:tcPr>
          <w:p>
            <w:pPr>
              <w:ind w:left="20"/>
              <w:spacing w:after="0"/>
              <w:rPr>
                <w:sz w:val="20"/>
                <w:szCs w:val="20"/>
                <w:color w:val="auto"/>
              </w:rPr>
            </w:pPr>
            <w:r>
              <w:rPr>
                <w:rFonts w:ascii="Arial" w:cs="Arial" w:eastAsia="Arial" w:hAnsi="Arial"/>
                <w:sz w:val="18"/>
                <w:szCs w:val="18"/>
                <w:i w:val="1"/>
                <w:iCs w:val="1"/>
                <w:color w:val="auto"/>
                <w:w w:val="96"/>
              </w:rPr>
              <w:t>BY TELEPHONE</w:t>
            </w:r>
            <w:r>
              <w:rPr>
                <w:rFonts w:ascii="Arial" w:cs="Arial" w:eastAsia="Arial" w:hAnsi="Arial"/>
                <w:sz w:val="18"/>
                <w:szCs w:val="18"/>
                <w:color w:val="auto"/>
                <w:w w:val="96"/>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1-800-579-1639</w:t>
            </w:r>
          </w:p>
        </w:tc>
      </w:t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42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260" w:type="dxa"/>
            <w:vAlign w:val="bottom"/>
          </w:tcPr>
          <w:p>
            <w:pPr>
              <w:ind w:left="140"/>
              <w:spacing w:after="0"/>
              <w:rPr>
                <w:sz w:val="20"/>
                <w:szCs w:val="20"/>
                <w:color w:val="auto"/>
              </w:rPr>
            </w:pPr>
            <w:r>
              <w:rPr>
                <w:rFonts w:ascii="Arial" w:cs="Arial" w:eastAsia="Arial" w:hAnsi="Arial"/>
                <w:sz w:val="18"/>
                <w:szCs w:val="18"/>
                <w:color w:val="auto"/>
                <w:w w:val="88"/>
              </w:rPr>
              <w:t>sendmaterial@proxyvote.com</w:t>
            </w:r>
          </w:p>
        </w:tc>
      </w:tr>
    </w:tbl>
    <w:p>
      <w:pPr>
        <w:spacing w:after="0" w:line="75" w:lineRule="exact"/>
        <w:rPr>
          <w:sz w:val="20"/>
          <w:szCs w:val="20"/>
          <w:color w:val="auto"/>
        </w:rPr>
      </w:pPr>
    </w:p>
    <w:p>
      <w:pPr>
        <w:ind w:left="400"/>
        <w:spacing w:after="0"/>
        <w:tabs>
          <w:tab w:leader="none" w:pos="68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 arrow</w:t>
      </w:r>
    </w:p>
    <w:p>
      <w:pPr>
        <w:spacing w:after="0" w:line="17" w:lineRule="exact"/>
        <w:rPr>
          <w:sz w:val="20"/>
          <w:szCs w:val="20"/>
          <w:color w:val="auto"/>
        </w:rPr>
      </w:pPr>
    </w:p>
    <w:p>
      <w:pPr>
        <w:ind w:left="700"/>
        <w:spacing w:after="0"/>
        <w:rPr>
          <w:sz w:val="20"/>
          <w:szCs w:val="20"/>
          <w:color w:val="auto"/>
        </w:rPr>
      </w:pPr>
      <w:r>
        <w:rPr>
          <w:sz w:val="1"/>
          <w:szCs w:val="1"/>
          <w:color w:val="auto"/>
        </w:rPr>
        <w:drawing>
          <wp:inline distT="0" distB="0" distL="0" distR="0">
            <wp:extent cx="124333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9" w:lineRule="exact"/>
        <w:rPr>
          <w:sz w:val="20"/>
          <w:szCs w:val="20"/>
          <w:color w:val="auto"/>
        </w:rPr>
      </w:pPr>
    </w:p>
    <w:p>
      <w:pPr>
        <w:ind w:left="380" w:right="74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02, 2013 to facilitate timely delivery.</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-19050</wp:posOffset>
            </wp:positionV>
            <wp:extent cx="283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-19050</wp:posOffset>
            </wp:positionV>
            <wp:extent cx="300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62230</wp:posOffset>
            </wp:positionV>
            <wp:extent cx="7169150" cy="1269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269365"/>
                    </a:xfrm>
                    <a:prstGeom prst="rect">
                      <a:avLst/>
                    </a:prstGeom>
                    <a:noFill/>
                  </pic:spPr>
                </pic:pic>
              </a:graphicData>
            </a:graphic>
          </wp:anchor>
        </w:drawing>
      </w:r>
    </w:p>
    <w:p>
      <w:pPr>
        <w:spacing w:after="0" w:line="226" w:lineRule="exact"/>
        <w:rPr>
          <w:sz w:val="20"/>
          <w:szCs w:val="20"/>
          <w:color w:val="auto"/>
        </w:rPr>
      </w:pPr>
    </w:p>
    <w:p>
      <w:pPr>
        <w:jc w:val="both"/>
        <w:ind w:left="340" w:right="360"/>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85725" cy="1166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p>
      <w:pPr>
        <w:spacing w:after="0" w:line="31" w:lineRule="exact"/>
        <w:rPr>
          <w:sz w:val="20"/>
          <w:szCs w:val="20"/>
          <w:color w:val="auto"/>
        </w:rPr>
      </w:pPr>
    </w:p>
    <w:p>
      <w:pPr>
        <w:ind w:left="340" w:right="1320"/>
        <w:spacing w:after="0" w:line="27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4333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3330" cy="13716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0" w:lineRule="exact"/>
        <w:rPr>
          <w:sz w:val="20"/>
          <w:szCs w:val="20"/>
          <w:color w:val="auto"/>
        </w:rPr>
      </w:pPr>
    </w:p>
    <w:p>
      <w:pPr>
        <w:spacing w:after="0" w:line="30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0000156432_2</w:t>
      </w:r>
      <w:r>
        <w:rPr>
          <w:sz w:val="20"/>
          <w:szCs w:val="20"/>
          <w:color w:val="auto"/>
        </w:rPr>
        <w:tab/>
      </w:r>
      <w:r>
        <w:rPr>
          <w:rFonts w:ascii="Arial" w:cs="Arial" w:eastAsia="Arial" w:hAnsi="Arial"/>
          <w:sz w:val="15"/>
          <w:szCs w:val="15"/>
          <w:color w:val="auto"/>
        </w:rPr>
        <w:t>R1.0.0.51160</w:t>
      </w:r>
    </w:p>
    <w:p>
      <w:pPr>
        <w:sectPr>
          <w:pgSz w:w="11900" w:h="16838" w:orient="portrait"/>
          <w:cols w:equalWidth="0" w:num="1">
            <w:col w:w="11440"/>
          </w:cols>
          <w:pgMar w:left="240" w:top="426" w:right="219" w:bottom="1440" w:gutter="0" w:footer="0" w:header="0"/>
        </w:sectPr>
      </w:pPr>
    </w:p>
    <w:bookmarkStart w:id="4" w:name="page5"/>
    <w:bookmarkEnd w:id="4"/>
    <w:p>
      <w:pPr>
        <w:ind w:left="13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72548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71450"/>
                    </a:xfrm>
                    <a:prstGeom prst="rect">
                      <a:avLst/>
                    </a:prstGeom>
                    <a:noFill/>
                  </pic:spPr>
                </pic:pic>
              </a:graphicData>
            </a:graphic>
          </wp:anchor>
        </w:drawing>
        <w:t>Voting items</w:t>
      </w:r>
    </w:p>
    <w:p>
      <w:pPr>
        <w:sectPr>
          <w:pgSz w:w="11900" w:h="16838" w:orient="portrait"/>
          <w:cols w:equalWidth="0" w:num="1">
            <w:col w:w="10219"/>
          </w:cols>
          <w:pgMar w:left="240" w:top="301" w:right="1440"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w:t>
      </w:r>
    </w:p>
    <w:p>
      <w:pPr>
        <w:spacing w:after="0" w:line="11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Election of Directors</w:t>
      </w:r>
    </w:p>
    <w:p>
      <w:pPr>
        <w:spacing w:after="0" w:line="97"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Nominees</w:t>
      </w:r>
    </w:p>
    <w:p>
      <w:pPr>
        <w:spacing w:after="0" w:line="110" w:lineRule="exact"/>
        <w:rPr>
          <w:sz w:val="20"/>
          <w:szCs w:val="20"/>
          <w:color w:val="auto"/>
        </w:rPr>
      </w:pPr>
    </w:p>
    <w:p>
      <w:pPr>
        <w:spacing w:after="0"/>
        <w:tabs>
          <w:tab w:leader="none" w:pos="380" w:val="left"/>
          <w:tab w:leader="none" w:pos="2220" w:val="left"/>
          <w:tab w:leader="none" w:pos="2560" w:val="left"/>
        </w:tabs>
        <w:rPr>
          <w:sz w:val="20"/>
          <w:szCs w:val="20"/>
          <w:color w:val="auto"/>
        </w:rPr>
      </w:pPr>
      <w:r>
        <w:rPr>
          <w:rFonts w:ascii="Arial" w:cs="Arial" w:eastAsia="Arial" w:hAnsi="Arial"/>
          <w:sz w:val="18"/>
          <w:szCs w:val="18"/>
          <w:color w:val="auto"/>
        </w:rPr>
        <w:t>01</w:t>
        <w:tab/>
        <w:t>Richard G. Fanelli</w:t>
      </w:r>
      <w:r>
        <w:rPr>
          <w:sz w:val="20"/>
          <w:szCs w:val="20"/>
          <w:color w:val="auto"/>
        </w:rPr>
        <w:tab/>
      </w:r>
      <w:r>
        <w:rPr>
          <w:rFonts w:ascii="Arial" w:cs="Arial" w:eastAsia="Arial" w:hAnsi="Arial"/>
          <w:sz w:val="18"/>
          <w:szCs w:val="18"/>
          <w:color w:val="auto"/>
        </w:rPr>
        <w:t>02</w:t>
      </w:r>
      <w:r>
        <w:rPr>
          <w:sz w:val="20"/>
          <w:szCs w:val="20"/>
          <w:color w:val="auto"/>
        </w:rPr>
        <w:tab/>
      </w:r>
      <w:r>
        <w:rPr>
          <w:rFonts w:ascii="Arial" w:cs="Arial" w:eastAsia="Arial" w:hAnsi="Arial"/>
          <w:sz w:val="16"/>
          <w:szCs w:val="16"/>
          <w:color w:val="auto"/>
        </w:rPr>
        <w:t>Michael E. Werner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proposals 2 and 3.</w:t>
      </w:r>
    </w:p>
    <w:p>
      <w:pPr>
        <w:spacing w:after="0" w:line="110"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approve an advisory resolution on executive compensation.</w:t>
      </w:r>
    </w:p>
    <w:p>
      <w:pPr>
        <w:spacing w:after="0" w:line="104" w:lineRule="exact"/>
        <w:rPr>
          <w:sz w:val="20"/>
          <w:szCs w:val="20"/>
          <w:color w:val="auto"/>
        </w:rPr>
      </w:pPr>
    </w:p>
    <w:p>
      <w:pPr>
        <w:ind w:right="1039" w:firstLine="8"/>
        <w:spacing w:after="0" w:line="455" w:lineRule="auto"/>
        <w:tabs>
          <w:tab w:leader="none" w:pos="439"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 xml:space="preserve">For ratification of the selection of PRICEWATERHOUSECOOPERS LLP as registered independent public accounting firm. </w:t>
      </w:r>
      <w:r>
        <w:rPr>
          <w:rFonts w:ascii="Arial" w:cs="Arial" w:eastAsia="Arial" w:hAnsi="Arial"/>
          <w:sz w:val="16"/>
          <w:szCs w:val="16"/>
          <w:b w:val="1"/>
          <w:bCs w:val="1"/>
          <w:color w:val="auto"/>
        </w:rPr>
        <w:t xml:space="preserve">NOTE: </w:t>
      </w:r>
      <w:r>
        <w:rPr>
          <w:rFonts w:ascii="Arial" w:cs="Arial" w:eastAsia="Arial" w:hAnsi="Arial"/>
          <w:sz w:val="16"/>
          <w:szCs w:val="16"/>
          <w:color w:val="auto"/>
        </w:rPr>
        <w:t>Such other business as may properly come before the meeting or any adjournment thereof.</w:t>
      </w:r>
    </w:p>
    <w:p>
      <w:pPr>
        <w:spacing w:after="0" w:line="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0000156432_3</w:t>
      </w:r>
      <w:r>
        <w:rPr>
          <w:sz w:val="20"/>
          <w:szCs w:val="20"/>
          <w:color w:val="auto"/>
        </w:rPr>
        <w:tab/>
      </w:r>
      <w:r>
        <w:rPr>
          <w:rFonts w:ascii="Arial" w:cs="Arial" w:eastAsia="Arial" w:hAnsi="Arial"/>
          <w:sz w:val="15"/>
          <w:szCs w:val="15"/>
          <w:color w:val="auto"/>
        </w:rPr>
        <w:t>R1.0.0.51160</w:t>
      </w:r>
    </w:p>
    <w:p>
      <w:pPr>
        <w:sectPr>
          <w:pgSz w:w="11900" w:h="16838" w:orient="portrait"/>
          <w:cols w:equalWidth="0" w:num="1">
            <w:col w:w="10219"/>
          </w:cols>
          <w:pgMar w:left="240" w:top="301" w:right="1440"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1383665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1426845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0000156432_4</w:t>
      </w:r>
      <w:r>
        <w:rPr>
          <w:sz w:val="20"/>
          <w:szCs w:val="20"/>
          <w:color w:val="auto"/>
        </w:rPr>
        <w:tab/>
      </w:r>
      <w:r>
        <w:rPr>
          <w:rFonts w:ascii="Arial" w:cs="Arial" w:eastAsia="Arial" w:hAnsi="Arial"/>
          <w:sz w:val="15"/>
          <w:szCs w:val="15"/>
          <w:color w:val="auto"/>
        </w:rPr>
        <w:t>R1.0.0.51160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2019-12-06T11:01:19Z</dcterms:created>
  <dcterms:modified xsi:type="dcterms:W3CDTF">2019-12-06T11:01:19Z</dcterms:modified>
</cp:coreProperties>
</file>