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285115</wp:posOffset>
            </wp:positionH>
            <wp:positionV relativeFrom="page">
              <wp:posOffset>671830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697230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55245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86995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4" w:lineRule="exact"/>
        <w:rPr>
          <w:sz w:val="24"/>
          <w:szCs w:val="24"/>
          <w:color w:val="auto"/>
        </w:rPr>
      </w:pPr>
    </w:p>
    <w:p>
      <w:pPr>
        <w:ind w:left="1320" w:hanging="336"/>
        <w:spacing w:after="0"/>
        <w:tabs>
          <w:tab w:leader="none" w:pos="13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6" w:lineRule="exact"/>
        <w:rPr>
          <w:sz w:val="24"/>
          <w:szCs w:val="24"/>
          <w:color w:val="auto"/>
        </w:rPr>
      </w:pPr>
    </w:p>
    <w:p>
      <w:pPr>
        <w:ind w:left="1320" w:hanging="336"/>
        <w:spacing w:after="0"/>
        <w:tabs>
          <w:tab w:leader="none" w:pos="1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55"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001-39268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71120</wp:posOffset>
            </wp:positionV>
            <wp:extent cx="2597150"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90170</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sectPr>
      </w:pPr>
    </w:p>
    <w:p>
      <w:pPr>
        <w:spacing w:after="0" w:line="269"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54" w:lineRule="exact"/>
        <w:rPr>
          <w:sz w:val="24"/>
          <w:szCs w:val="24"/>
          <w:color w:val="auto"/>
        </w:rPr>
      </w:pPr>
    </w:p>
    <w:p>
      <w:pPr>
        <w:sectPr>
          <w:pgSz w:w="11900" w:h="16838" w:orient="portrait"/>
          <w:cols w:equalWidth="0" w:num="2">
            <w:col w:w="6880" w:space="720"/>
            <w:col w:w="3500"/>
          </w:cols>
          <w:pgMar w:left="320" w:top="1276" w:right="47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p>
      <w:pPr>
        <w:ind w:left="218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(I.R.S. Employer</w:t>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80" w:lineRule="exact"/>
        <w:rPr>
          <w:sz w:val="24"/>
          <w:szCs w:val="24"/>
          <w:color w:val="auto"/>
        </w:rPr>
      </w:pPr>
    </w:p>
    <w:p>
      <w:pPr>
        <w:sectPr>
          <w:pgSz w:w="11900" w:h="16838" w:orient="portrait"/>
          <w:cols w:equalWidth="0" w:num="2">
            <w:col w:w="6640" w:space="720"/>
            <w:col w:w="3740"/>
          </w:cols>
          <w:pgMar w:left="320" w:top="1276" w:right="47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11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1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100"/>
          </w:cols>
          <w:pgMar w:left="320" w:top="1276" w:right="479" w:bottom="1440" w:gutter="0" w:footer="0" w:header="0"/>
          <w:type w:val="continuous"/>
        </w:sectPr>
      </w:pPr>
    </w:p>
    <w:p>
      <w:pPr>
        <w:spacing w:after="0" w:line="45"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71" w:lineRule="exact"/>
        <w:rPr>
          <w:sz w:val="24"/>
          <w:szCs w:val="24"/>
          <w:color w:val="auto"/>
        </w:rPr>
      </w:pPr>
    </w:p>
    <w:p>
      <w:pPr>
        <w:sectPr>
          <w:pgSz w:w="11900" w:h="16838" w:orient="portrait"/>
          <w:cols w:equalWidth="0" w:num="3">
            <w:col w:w="4480" w:space="720"/>
            <w:col w:w="1520" w:space="720"/>
            <w:col w:w="3660"/>
          </w:cols>
          <w:pgMar w:left="320" w:top="1276" w:right="47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680" w:space="720"/>
            <w:col w:w="1380" w:space="720"/>
            <w:col w:w="3600"/>
          </w:cols>
          <w:pgMar w:left="320" w:top="1276" w:right="479" w:bottom="1440" w:gutter="0" w:footer="0" w:header="0"/>
          <w:type w:val="continuous"/>
        </w:sectPr>
      </w:pPr>
    </w:p>
    <w:p>
      <w:pPr>
        <w:spacing w:after="0" w:line="27"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80" w:type="dxa"/>
        <w:tblCellMar>
          <w:top w:w="0" w:type="dxa"/>
          <w:left w:w="0" w:type="dxa"/>
          <w:bottom w:w="0" w:type="dxa"/>
          <w:right w:w="0" w:type="dxa"/>
        </w:tblCellMar>
      </w:tblPr>
      <w:tr>
        <w:trPr>
          <w:trHeight w:val="25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58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21, 2024, there were 49,946,337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117" w:lineRule="exact"/>
        <w:rPr>
          <w:sz w:val="20"/>
          <w:szCs w:val="20"/>
          <w:color w:val="auto"/>
        </w:rPr>
      </w:pPr>
    </w:p>
    <w:p>
      <w:pPr>
        <w:ind w:left="1380"/>
        <w:spacing w:after="0"/>
        <w:tabs>
          <w:tab w:leader="none" w:pos="23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0000FF"/>
        </w:rPr>
        <w:t>Financial Statements</w:t>
      </w:r>
    </w:p>
    <w:p>
      <w:pPr>
        <w:spacing w:after="0" w:line="1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Operations and Comprehensive Income (Loss)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(Unaudited)</w:t>
      </w:r>
    </w:p>
    <w:p>
      <w:pPr>
        <w:spacing w:after="0" w:line="3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Equity (Unaudited)</w:t>
      </w:r>
    </w:p>
    <w:p>
      <w:pPr>
        <w:spacing w:after="0" w:line="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 (Unaudited)</w:t>
      </w:r>
    </w:p>
    <w:p>
      <w:pPr>
        <w:spacing w:after="0" w:line="5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 Interim Financial Statements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2. Segment Information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3. Revenue from Contracts with Customers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4. Inventories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5. Intangible Assets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6. Investment in Joint Venture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7. Debt</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8. Preferred Stock</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9. Leases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10. Commitments and Contingencies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11. Income Taxes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12. Net Loss Per Common Share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13. Share-Based Compensation</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14. Accumulated Other Comprehensive Income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15. Fair Value Measurements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16. Divestiture</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u w:val="single" w:color="auto"/>
          <w:color w:val="0000FF"/>
        </w:rPr>
        <w:t>Note 17. Plant Optimization Activities</w:t>
      </w:r>
    </w:p>
    <w:p>
      <w:pPr>
        <w:spacing w:after="0" w:line="131" w:lineRule="exact"/>
        <w:rPr>
          <w:sz w:val="20"/>
          <w:szCs w:val="20"/>
          <w:color w:val="auto"/>
        </w:rPr>
      </w:pPr>
    </w:p>
    <w:p>
      <w:pPr>
        <w:jc w:val="right"/>
        <w:ind w:right="140"/>
        <w:spacing w:after="0"/>
        <w:tabs>
          <w:tab w:leader="none" w:pos="65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117" w:lineRule="exact"/>
        <w:rPr>
          <w:sz w:val="20"/>
          <w:szCs w:val="20"/>
          <w:color w:val="auto"/>
        </w:rPr>
      </w:pPr>
    </w:p>
    <w:p>
      <w:pPr>
        <w:ind w:left="1220"/>
        <w:spacing w:after="0"/>
        <w:tabs>
          <w:tab w:leader="none" w:pos="23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0000FF"/>
        </w:rPr>
        <w:t>Controls and Procedures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104"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21"/>
                <w:szCs w:val="21"/>
                <w:color w:val="auto"/>
              </w:rPr>
            </w:pPr>
          </w:p>
        </w:tc>
        <w:tc>
          <w:tcPr>
            <w:tcW w:w="3020" w:type="dxa"/>
            <w:vAlign w:val="bottom"/>
            <w:gridSpan w:val="3"/>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2580" w:type="dxa"/>
            <w:vAlign w:val="bottom"/>
            <w:gridSpan w:val="2"/>
          </w:tcPr>
          <w:p>
            <w:pPr>
              <w:spacing w:after="0"/>
              <w:rPr>
                <w:sz w:val="21"/>
                <w:szCs w:val="21"/>
                <w:color w:val="auto"/>
              </w:rPr>
            </w:pP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4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50"/>
        </w:trPr>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3040" w:type="dxa"/>
            <w:vAlign w:val="bottom"/>
            <w:gridSpan w:val="4"/>
          </w:tcPr>
          <w:p>
            <w:pPr>
              <w:spacing w:after="0"/>
              <w:rPr>
                <w:sz w:val="21"/>
                <w:szCs w:val="21"/>
                <w:color w:val="auto"/>
              </w:rPr>
            </w:pPr>
          </w:p>
        </w:tc>
      </w:tr>
      <w:tr>
        <w:trPr>
          <w:trHeight w:val="25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14</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15</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17</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18</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19</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20</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26</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26</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FF"/>
        </w:rPr>
        <w:t>28</w:t>
      </w:r>
    </w:p>
    <w:p>
      <w:pPr>
        <w:spacing w:after="0" w:line="200" w:lineRule="exact"/>
        <w:rPr>
          <w:sz w:val="20"/>
          <w:szCs w:val="20"/>
          <w:color w:val="auto"/>
        </w:rPr>
      </w:pPr>
    </w:p>
    <w:p>
      <w:pPr>
        <w:sectPr>
          <w:pgSz w:w="11900" w:h="16838" w:orient="portrait"/>
          <w:cols w:equalWidth="0" w:num="2">
            <w:col w:w="8980" w:space="720"/>
            <w:col w:w="520"/>
          </w:cols>
          <w:pgMar w:left="320" w:top="47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477" w:right="1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376,737</w:t>
            </w:r>
          </w:p>
        </w:tc>
      </w:tr>
      <w:tr>
        <w:trPr>
          <w:trHeight w:val="175"/>
        </w:trPr>
        <w:tc>
          <w:tcPr>
            <w:tcW w:w="5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below)</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320,648</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35,833</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34,643</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156"/>
        </w:trPr>
        <w:tc>
          <w:tcPr>
            <w:tcW w:w="5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before benefit (provision) for income taxes and share of net income</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4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 joint venture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(29,609)</w:t>
            </w:r>
          </w:p>
        </w:tc>
      </w:tr>
      <w:tr>
        <w:trPr>
          <w:trHeight w:val="20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30"/>
        </w:trPr>
        <w:tc>
          <w:tcPr>
            <w:tcW w:w="5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rate swap:</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Change in fair value, net of tax</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5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Reclassification adjustments included in net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46,410</w:t>
            </w: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$1,913 and $1,241 at September 30, 2024 and December 31, 2023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71,563</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receivable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182,554</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$248,473 and $254,013 at September 30, 2024</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December 31, 2023</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45,480</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 and current maturities of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308,084</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D perpetual preferred stock - $0.01 par value per share, 65 shares authorized, issued and outstanding at</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 $0.01 par value per share, 90,000 shares authorized, 49,950 and 47,269 shares issued and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outstanding at September 30, 2024 and December 31, 2023</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510,885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4"/>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8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(29,609)</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34,643</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Paid-in-kind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 loss, net of cash settlements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 net of cash dividends received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r>
      <w:tr>
        <w:trPr>
          <w:trHeight w:val="229"/>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operating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w:t>
            </w: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9"/>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30"/>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received from sale of business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land and buildings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financing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12,808</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2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(310,088)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108,436</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720" w:type="dxa"/>
            <w:vAlign w:val="bottom"/>
          </w:tcPr>
          <w:p>
            <w:pPr>
              <w:spacing w:after="0"/>
              <w:rPr>
                <w:sz w:val="24"/>
                <w:szCs w:val="24"/>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(269,750)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154,444</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and 2023</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right"/>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2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125,002</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warrants 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184"/>
        </w:trPr>
        <w:tc>
          <w:tcPr>
            <w:tcW w:w="47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106,574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(245,198)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186,264</w:t>
            </w: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0" w:type="dxa"/>
            <w:vAlign w:val="bottom"/>
          </w:tcPr>
          <w:p>
            <w:pPr>
              <w:spacing w:after="0"/>
              <w:rPr>
                <w:sz w:val="1"/>
                <w:szCs w:val="1"/>
                <w:color w:val="auto"/>
              </w:rPr>
            </w:pPr>
          </w:p>
        </w:tc>
      </w:tr>
      <w:tr>
        <w:trPr>
          <w:trHeight w:val="175"/>
        </w:trPr>
        <w:tc>
          <w:tcPr>
            <w:tcW w:w="4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tax withholdings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176"/>
        </w:trPr>
        <w:tc>
          <w:tcPr>
            <w:tcW w:w="4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460,382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(274,807)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6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of September 30, 2024, we had 26 facilities in North America, Europe, South America, and Asia. As used in this Quarterly Report on Form 10-Q (this “Quarterly Report”), the terms “NN,” the “Company,” “we,” “our,” or “us” refer to NN, Inc. and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The Condensed Consolidated Balance Sheet as of December 31, 2023, was derived from the audited consolidated financial statements included in our Annual Report on Form 10-K for the year ended December 31, 2023 (the “2023 Annual Report”), which we filed with the U.S. Securities and Exchange Commission (the “SEC”) on March 12, 2024. In management’s opinion, the accompanying unaudited condensed consolidated financial statements reflect all adjustments necessary to fairly state our results of operations for the three and nine months ended September 30, 2024 and 2023; financial position as of September 30, 2024 and December 31, 2023; and cash flows for the nine months ended September 30, 2024 and 2023, on a basis consistent with our audited consolidated financial statements. These adjustments are of a normal recurring nature and are, in the opinion of management, necessary to state fairly the Company’s financial position and operating results for the interim periods. Certain prior period amounts have been reclassified to conform to the current year’s presentation.</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2023 Annual Report. The results for the three and nine months ended September 30, 2024, are not necessarily indicative of results for the year ending December 31, 2024, or any other future periods.</w:t>
      </w:r>
    </w:p>
    <w:p>
      <w:pPr>
        <w:spacing w:after="0" w:line="7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6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2023-07, </w:t>
      </w:r>
      <w:r>
        <w:rPr>
          <w:rFonts w:ascii="Times New Roman" w:cs="Times New Roman" w:eastAsia="Times New Roman" w:hAnsi="Times New Roman"/>
          <w:sz w:val="18"/>
          <w:szCs w:val="18"/>
          <w:i w:val="1"/>
          <w:iCs w:val="1"/>
          <w:color w:val="auto"/>
        </w:rPr>
        <w:t>Segment Reporting (Topic 832):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requires additional disclosures related to reportable segments,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segment expenses and other segment items. ASU 2023-07 also permits entities to disclose more than one measure of a segment’s profit or loss and requires quarterly disclosure of certain information that is now only required annually. The new segment disclosures are effective for fiscal years beginning after December 15, 2023, and interim periods within fiscal years beginning after December 15, 2024. We plan to adopt ASU 2023-07 in our Form 10-K for the year ended December 31, 2024 on a retrospective basis and are in the process of assessing the impact on our disclosures.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During the nine months ended September 30, 2024 and 2023, we incurred fees of $0.9 million and $0.8 million, respectively, related to the sale of receivables, which is recorded in the Other expense (income), net line item on the Condensed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6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Solutions, which is focused on growth in the automotive, general industrial, and medical end markets;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Solutions, which is focused on growth in the electrical, general industrial, automotive, and medical end markets.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These components are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financial performance by reportable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216,593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234,132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Intersegment sales eliminations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0" w:type="dxa"/>
            <w:vAlign w:val="bottom"/>
          </w:tcPr>
          <w:p>
            <w:pPr>
              <w:spacing w:after="0"/>
              <w:rPr>
                <w:sz w:val="1"/>
                <w:szCs w:val="1"/>
                <w:color w:val="auto"/>
              </w:rPr>
            </w:pPr>
          </w:p>
        </w:tc>
      </w:tr>
      <w:tr>
        <w:trPr>
          <w:trHeight w:val="229"/>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(13,861)</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 The other category includes products sold in aerospace, defense, medical, and other industries.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56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56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The balance of deferred revenue was $0.2 million and $0.4 million as of September 30, 2024 and December 31, 2023, respectively. Revenue recognized for performance obligations satisfied or partially satisfied during the nine months ended September 30, 2024 included $0.4 million that was included in deferred revenue as of December 31,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6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September 30, 2024, unless our contracts meet one of the practical expedients. Our contracts met the practical expedient for a performance obligation that is part of a contract that has an original expected duration of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25,456</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69,600</w:t>
            </w:r>
          </w:p>
        </w:tc>
        <w:tc>
          <w:tcPr>
            <w:tcW w:w="1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71,563</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Intangible Assets</w:t>
            </w: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6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58,724</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Intangible assets sold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31,328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500" w:right="460" w:hanging="330"/>
        <w:spacing w:after="0" w:line="282" w:lineRule="auto"/>
        <w:tabs>
          <w:tab w:leader="none" w:pos="5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customer relationships associated with the Industrial Molding Corporation business, which was sold during the nine months ended September 30, 2024 (see Note 16).</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There were no impairment charges for the nine months ended September 30, 2024 and 2023.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 in Joint Venture</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 with the share of net income from the joint venture recorded in the Mobile Solutions segment.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changes in our investment in the JV.</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9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earnings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39,843</w:t>
            </w:r>
          </w:p>
        </w:tc>
      </w:tr>
      <w:tr>
        <w:trPr>
          <w:trHeight w:val="21"/>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March 22, 2021, we entered into a $150.0 million term loan facility (as amended from time to time, the “Term Loan Facility”) and a $50.0 million asset backed credit facility (as amended from time to time, the “ABL Facility”). On March 3, 2023, we amended the Term Loan Facility and ABL Facility to adjust certain covenants under the agreements, as well as to replace references to LIBOR with Secured Overnight Financing Rate (“SOFR”) for interest rate calculations. The following table presents the outstanding debt balances.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 from sale-leaseback transactions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loans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 (1)</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r>
      <w:tr>
        <w:trPr>
          <w:trHeight w:val="24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00" w:right="640" w:hanging="330"/>
        <w:spacing w:after="0" w:line="282" w:lineRule="auto"/>
        <w:tabs>
          <w:tab w:leader="none" w:pos="5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$0.3 million and $0.5 million related to the ABL Facility were recorded in other non-current assets as of September 30, 2024 and December 31, 2023, respectively.</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capitalized interest costs of $1.0 million and $1.1 million in the nine months ended September 30, 2024 and 2023, respectively, related to construction in progress.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65"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Outstanding borrowings under the Term Loan Facility bear interest at either: 1) one-month, three-month, or six-month term SOFR with a duration adjustment (“Adjusted Term SOFR”), subject to a 1.00% floor, plus an applicable margin of 6.875%; or 2) the greater of various benchmark rates plus an applicable margin of 5.875%. Beginning in the second quarter of 2023, interest was increased on a paid-in-kind basis at a rate between 1.00% and 2.00% (“PIK interest”), dependent on our net leverage ratio for the most recently reported fiscal quarter and subject to reduction upon the occurrence of certain conditions as set forth in the credit agreement governing the Term Loan Facility. The PIK interest is payable on the loan maturity date of September 22, 2026. At September 30, 2024, the Term Loan Facility bore interest, including PIK interest, based on one-month Adjusted Term SOFR, at 13.820%.</w:t>
      </w:r>
    </w:p>
    <w:p>
      <w:pPr>
        <w:spacing w:after="0" w:line="6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at the loan maturity date. We may be required to make additional principal payments annually that are calculated as a percentage of our excess cash flow, as defined by the lender, based on our net leverage ratio. The Term Loan Facility is collateralized by all of our assets. The Term Loan Facility has a first lien on all domestic assets, other than accounts receivable and inventory and has a second lien on domestic accounts receivable and inventory. We were in compliance with all requirements under the Term Loan Facility as of September 30, 2024.</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Term Loan Facility was issued at a $3.8 million discount and we have capitalized an additional $5.5 million in debt issuance costs. These costs are recorded as a direct reduction to the carrying amount of the associated long-term debt and amortized over the term of the debt.</w:t>
      </w:r>
    </w:p>
    <w:p>
      <w:pPr>
        <w:spacing w:after="0" w:line="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had an interest rate swap that changed the one-month LIBOR to a fixed rate of 1.291% on $60.0 million of the outstanding balance of the Term Loan Facility. During the first quarter of 2023, we terminated the interest rate swap and received cash proceeds of $2.5 million, which was equal to its then fair value.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6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ABL Facility provides for a senior secured revolving credit facility, with an original commitment amount of $50.0 million, of which a maximum of $30.0 million is available in the form of letters of credit and a maximum of $5.0 million is available for</w:t>
      </w:r>
    </w:p>
    <w:p>
      <w:pPr>
        <w:sectPr>
          <w:pgSz w:w="11900" w:h="16838" w:orient="portrait"/>
          <w:cols w:equalWidth="0" w:num="1">
            <w:col w:w="11240"/>
          </w:cols>
          <w:pgMar w:left="320" w:top="47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issuance of short-term swingline loans. The availability of credit under the ABL Facility is limited by a borrowing base calculation derived from accounts receivable and inventory held in the United States. The maximum commitment amount may be increased or decreased from time to time based on the terms of conditions of the ABL Facility. Outstanding borrowings under the ABL Facility bear interest on a variable rate structure plus an interest rate spread that is based on the average amount of aggregate revolving commitment available. The variable borrowing rate is either: 1) Adjusted Term SOFR plus an applicable margin of 1.75% or 2.00%, depending on availability; or 2) the greater of the federal funds rate or prime, plus an applicable margin of 0.75% or 1.00%, depending on availability. We may elect whether to use one-month, three-month, or six-month Adjusted Term SOFR. At September 30,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using one-month Adjusted Term SOFR plus a 2.00% margin, the interest rate on outstanding borrowings under the ABL Facility would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7.197%. We pay a commitment fee of 0.375% for unused capacity under the ABL Facility and a 2.125% fee on the amount of letters of credit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maturity date of the ABL Facility is March 22, 2026.</w:t>
      </w:r>
    </w:p>
    <w:p>
      <w:pPr>
        <w:spacing w:after="0" w:line="9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As of September 30, 2024, we had no outstanding borrowings under the ABL Facility, $9.9 million of outstanding letters of credit, and $21.9 million available for future borrowings under the ABL Facility. The ABL Facility has a first lien on domestic accounts receivable and inventory. We were in compliance with all requirements under the ABL Facility as of September 30,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Transactions</w:t>
      </w:r>
    </w:p>
    <w:p>
      <w:pPr>
        <w:spacing w:after="0" w:line="5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 March 2024, we sold three of our properties for an aggregate sales price of $16.9 million, with the net proceeds used to repay a portion of the outstanding borrowings under the Term Loan Facility. Concurrent with the sale, we entered into a 20-year lease agreement for these properties. Since the lease agreement allows for us to exercise renewal options that extend for substantially all of the remaining economic life, we have the ability to maintain the risks and rewards of ownership. Since the transaction did not transfer control of the assets, it cannot be accounted for as a sale under ASC 606. As a result, the properties remain on our Condensed Consolidated Balance Sheets and the non-land assets will continue to be depreciated over their remaining useful lives. The $16.9 million of gross proceeds was recognized as a financing obligation as a component of long-term debt. The monthly lease payments, which increase 3.0% each year, are being amortized as principal payments and interest expense based on an effective interest rate of 9.715%. We incurred $0.6 million in debt issuance costs related to this transaction, which are being amortized over the term of the debt.</w:t>
      </w:r>
    </w:p>
    <w:p>
      <w:pPr>
        <w:spacing w:after="0" w:line="7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In March 2024, we sold multiple pieces of manufacturing equipment for an aggregate sales price of $4.9 million. Concurrent with the sale, we entered into a 5-year lease agreement that includes a repurchase option for this equipment. In May 2024, we sold additional pieces of manufacturing equipment for an aggregate sales price of $3.4 million and entered into 5-year and 6-year lease agreements for the equipment. Since the three lease agreements allow for us to exercise an early buyout option, we have the ability to maintain the risks and rewards of ownership. Since the transactions did not transfer control of the assets, they cannot be accounted for as sales under ASC 606. As a result, the assets remain on our Condensed Consolidated Balance Sheets and will continue to be depreciated over their remaining useful lives. The $8.3 million of gross proceeds was recognized as a financing obligation as a component of long-term debt. The monthly lease payments are being amortized as principal payments and interest expense on a weighted average effective interest rate of 10.540%.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Preferred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Perpetual Preferred Stock</w:t>
      </w:r>
    </w:p>
    <w:p>
      <w:pPr>
        <w:spacing w:after="0" w:line="6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22, 2021, we completed a private placement of 65,000 shares of newly designated Series D Perpetual Preferred Stock, with a par value of $0.01 per share (the “Series D Preferred Stock”), at a price of $1,000 per share, together with detachable warrants (the “2021 Warrants”) to purchase up to</w:t>
      </w:r>
    </w:p>
    <w:p>
      <w:pPr>
        <w:ind w:right="60"/>
        <w:spacing w:after="0" w:line="253" w:lineRule="auto"/>
        <w:rPr>
          <w:sz w:val="20"/>
          <w:szCs w:val="20"/>
          <w:color w:val="auto"/>
        </w:rPr>
      </w:pPr>
      <w:r>
        <w:rPr>
          <w:rFonts w:ascii="Times New Roman" w:cs="Times New Roman" w:eastAsia="Times New Roman" w:hAnsi="Times New Roman"/>
          <w:sz w:val="18"/>
          <w:szCs w:val="18"/>
          <w:color w:val="auto"/>
        </w:rPr>
        <w:t>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Beginning March 22, 2026, the cash dividend rate and in-kind dividend rate increase by 2.5% per year. Cash dividends are required beginning on September 30, 2027.</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additional paid-in capital due to the absence of retained earnings.</w:t>
      </w:r>
    </w:p>
    <w:p>
      <w:pPr>
        <w:spacing w:after="0" w:line="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certain features of the Series D Preferred Stock were bifurcated and accounted for as derivatives separately. Note 15 discusses the accounting for these features.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September 30, 2024, the carrying value of the Series D Preferred Stock shares was $89.3 million, which included $42.6 million of accumulated unpaid and deemed dividends. The following table presents the change in the Series D Preferred Stock carrying value during the nine months ended September 30, 2024.</w:t>
      </w:r>
    </w:p>
    <w:p>
      <w:pPr>
        <w:sectPr>
          <w:pgSz w:w="11900" w:h="16838" w:orient="portrait"/>
          <w:cols w:equalWidth="0" w:num="1">
            <w:col w:w="11240"/>
          </w:cols>
          <w:pgMar w:left="320" w:top="477"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contains supplemental cash flow information related to leases.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1860" w:hanging="1285"/>
        <w:spacing w:after="0"/>
        <w:tabs>
          <w:tab w:leader="none" w:pos="1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77,799</w:t>
      </w:r>
    </w:p>
    <w:p>
      <w:pPr>
        <w:spacing w:after="0" w:line="38" w:lineRule="exact"/>
        <w:rPr>
          <w:rFonts w:ascii="Times New Roman" w:cs="Times New Roman" w:eastAsia="Times New Roman" w:hAnsi="Times New Roman"/>
          <w:sz w:val="17"/>
          <w:szCs w:val="17"/>
          <w:color w:val="auto"/>
        </w:rPr>
      </w:pPr>
    </w:p>
    <w:p>
      <w:pPr>
        <w:ind w:left="1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8,386</w:t>
      </w:r>
    </w:p>
    <w:p>
      <w:pPr>
        <w:spacing w:after="0" w:line="34" w:lineRule="exact"/>
        <w:rPr>
          <w:rFonts w:ascii="Times New Roman" w:cs="Times New Roman" w:eastAsia="Times New Roman" w:hAnsi="Times New Roman"/>
          <w:sz w:val="17"/>
          <w:szCs w:val="17"/>
          <w:color w:val="auto"/>
        </w:rPr>
      </w:pPr>
    </w:p>
    <w:p>
      <w:pPr>
        <w:ind w:left="19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21590</wp:posOffset>
            </wp:positionV>
            <wp:extent cx="11830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3" w:lineRule="exact"/>
        <w:rPr>
          <w:sz w:val="20"/>
          <w:szCs w:val="20"/>
          <w:color w:val="auto"/>
        </w:rPr>
      </w:pPr>
    </w:p>
    <w:p>
      <w:pPr>
        <w:ind w:left="1860" w:hanging="1285"/>
        <w:spacing w:after="0"/>
        <w:tabs>
          <w:tab w:leader="none" w:pos="18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24765</wp:posOffset>
            </wp:positionV>
            <wp:extent cx="11830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50165</wp:posOffset>
            </wp:positionV>
            <wp:extent cx="1183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22225</wp:posOffset>
            </wp:positionV>
            <wp:extent cx="1903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8100" w:space="720"/>
            <w:col w:w="2420"/>
          </w:cols>
          <w:pgMar w:left="320" w:top="47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2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117"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recognized sublease income of $2.9 million and $1.4 million in the nine months ended September 30, 2024 and 2023, respectively, which is recognized in the “Other operating income, net” line in the Condensed Consolidated Statements of Operations and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finance lease-related assets and liabilities recorded on the balance sheet.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9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04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r>
      <w:tr>
        <w:trPr>
          <w:trHeight w:val="270"/>
        </w:trPr>
        <w:tc>
          <w:tcPr>
            <w:tcW w:w="40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current liabilities</w:t>
            </w: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decision. For the remaining open lawsuits, we currently believe the cumulative potential liability in the event of unfavorable decisions on all matters will be less than $5.0 million, inclusive of interest and penalties.</w:t>
      </w:r>
    </w:p>
    <w:p>
      <w:pPr>
        <w:spacing w:after="0" w:line="5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September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6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effective tax rate was (23.5)% and (5.3)% for the three and nine months ended September 30, 2024, respectively, and 3.5% and (4.4)% for the three and nine months ended September 30, 2023, respectively. The effective tax rates for the three and nine months ended September 30, 2024 differ from the U.S. federal statutory tax rate of 21% primarily due to the accrual of tax on non-permanently reinvested unremitted earnings of foreign subsidiaries, favorable return to provision and amended return adjustments in certain foreign and state jurisdictions and by limitation on the amount of tax benefit recorded for losses in certain jurisdictions where we believe it is more likely than not that a future tax benefit may not be realized.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common share.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(29,609)</w:t>
            </w:r>
          </w:p>
        </w:tc>
      </w:tr>
      <w:tr>
        <w:trPr>
          <w:trHeight w:val="176"/>
        </w:trPr>
        <w:tc>
          <w:tcPr>
            <w:tcW w:w="56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 for preferred stock cumulative dividends and deemed</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dividends</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(39,203)</w:t>
            </w:r>
          </w:p>
        </w:tc>
      </w:tr>
      <w:tr>
        <w:trPr>
          <w:trHeight w:val="216"/>
        </w:trPr>
        <w:tc>
          <w:tcPr>
            <w:tcW w:w="5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45,793</w:t>
            </w:r>
          </w:p>
        </w:tc>
      </w:tr>
      <w:tr>
        <w:trPr>
          <w:trHeight w:val="23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participating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warrants outstanding (1)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share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48,997</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48,522</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46,410</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980" w:right="160" w:hanging="324"/>
        <w:spacing w:after="0" w:line="282" w:lineRule="auto"/>
        <w:tabs>
          <w:tab w:leader="none" w:pos="10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that are exercisable at an exercise price of $0.01 per share, are included in shares outstanding for calculation of basic earnings per share (see Note 15).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8"/>
          <w:szCs w:val="18"/>
          <w:color w:val="auto"/>
        </w:rPr>
        <w:t>The following table presents securities that could be potentially dilutive in the future that were excluded from the calculation of diluted net loss per common share because they had an anti-dilutive effect.</w:t>
      </w: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2240" w:type="dxa"/>
            <w:vAlign w:val="bottom"/>
            <w:gridSpan w:val="4"/>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2,525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2,065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0"/>
        </w:trPr>
        <w:tc>
          <w:tcPr>
            <w:tcW w:w="5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Stock options excluded from the calculations of diluted net loss per share have a per share exercise price ranging from $7.93 to $25.16 for the three and nine months ended September 30, 2024. Warrants excluded from the calculation of diluted net loss per share have a per share exercise price of $11.03 (see Note 15). Performance share units are potentially dilutive when the related performance criterion has been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Share-Based Compensation</w:t>
      </w:r>
    </w:p>
    <w:p>
      <w:pPr>
        <w:spacing w:after="0" w:line="121" w:lineRule="exact"/>
        <w:rPr>
          <w:sz w:val="20"/>
          <w:szCs w:val="20"/>
          <w:color w:val="auto"/>
        </w:rPr>
      </w:pPr>
    </w:p>
    <w:p>
      <w:pPr>
        <w:ind w:right="700"/>
        <w:spacing w:after="0" w:line="293" w:lineRule="auto"/>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tbl>
      <w:tblPr>
        <w:tblLayout w:type="fixed"/>
        <w:tblInd w:w="0" w:type="dxa"/>
        <w:tblCellMar>
          <w:top w:w="0" w:type="dxa"/>
          <w:left w:w="0" w:type="dxa"/>
          <w:bottom w:w="0" w:type="dxa"/>
          <w:right w:w="0" w:type="dxa"/>
        </w:tblCellMar>
      </w:tblPr>
      <w:tr>
        <w:trPr>
          <w:trHeight w:val="150"/>
        </w:trPr>
        <w:tc>
          <w:tcPr>
            <w:tcW w:w="4820" w:type="dxa"/>
            <w:vAlign w:val="bottom"/>
          </w:tcPr>
          <w:p>
            <w:pPr>
              <w:spacing w:after="0"/>
              <w:rPr>
                <w:sz w:val="13"/>
                <w:szCs w:val="13"/>
                <w:color w:val="auto"/>
              </w:rPr>
            </w:pPr>
          </w:p>
        </w:tc>
        <w:tc>
          <w:tcPr>
            <w:tcW w:w="2600" w:type="dxa"/>
            <w:vAlign w:val="bottom"/>
            <w:gridSpan w:val="4"/>
          </w:tcPr>
          <w:p>
            <w:pPr>
              <w:jc w:val="right"/>
              <w:ind w:right="316"/>
              <w:spacing w:after="0" w:line="15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gridSpan w:val="3"/>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r>
      <w:tr>
        <w:trPr>
          <w:trHeight w:val="195"/>
        </w:trPr>
        <w:tc>
          <w:tcPr>
            <w:tcW w:w="4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1"/>
        </w:trPr>
        <w:tc>
          <w:tcPr>
            <w:tcW w:w="4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September 30, 2024, and activity during the nine months then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37"/>
        </w:trPr>
        <w:tc>
          <w:tcPr>
            <w:tcW w:w="7820" w:type="dxa"/>
            <w:vAlign w:val="bottom"/>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7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r>
      <w:tr>
        <w:trPr>
          <w:trHeight w:val="190"/>
        </w:trPr>
        <w:tc>
          <w:tcPr>
            <w:tcW w:w="78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8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we granted 390,000 shares of restricted stock to non-executive directors, officers and certain other employees. The shares of these restricted stock awards vest pro-rata generally over three years for employees and over one year for non-executive directors. During the nine months ended September 30, 2024, we granted 270,000 shares of restricted stock to new executive officers as inducement awards, which vest pro-rata over five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grant date fair value of restricted stock that vested in the nine months ended September 30, 2024, was $1.9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65"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The following table presents the status of unvested PSUs as of September 30, 2024, and activity during the nine months then ended.</w:t>
      </w:r>
    </w:p>
    <w:tbl>
      <w:tblPr>
        <w:tblLayout w:type="fixed"/>
        <w:tblInd w:w="0" w:type="dxa"/>
        <w:tblCellMar>
          <w:top w:w="0" w:type="dxa"/>
          <w:left w:w="0" w:type="dxa"/>
          <w:bottom w:w="0" w:type="dxa"/>
          <w:right w:w="0" w:type="dxa"/>
        </w:tblCellMar>
      </w:tblPr>
      <w:tr>
        <w:trPr>
          <w:trHeight w:val="150"/>
        </w:trPr>
        <w:tc>
          <w:tcPr>
            <w:tcW w:w="7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6"/>
        </w:trPr>
        <w:tc>
          <w:tcPr>
            <w:tcW w:w="7840" w:type="dxa"/>
            <w:vAlign w:val="bottom"/>
          </w:tcPr>
          <w:p>
            <w:pPr>
              <w:spacing w:after="0"/>
              <w:rPr>
                <w:sz w:val="12"/>
                <w:szCs w:val="12"/>
                <w:color w:val="auto"/>
              </w:rPr>
            </w:pPr>
          </w:p>
        </w:tc>
        <w:tc>
          <w:tcPr>
            <w:tcW w:w="16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Nonvested PSU Awards</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right"/>
              <w:ind w:right="596"/>
              <w:spacing w:after="0" w:line="146"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2024</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During the nine months ended September 30, 2024, we granted 175,000 PSUs to certain executive officers, which vest, if at all, upon our achieving a specified relative total shareholder return, which will be measured against the total shareholder return of a specified index during the three-year performance period that ends December 31, 2026. During the nine months ended September 30, 2024, we granted 415,000 PSUs to new executive officers as inducement awards. These inducement awards cliff-vest after five years and are contingent on the Company’s stock price meeting specified thresholds.</w:t>
      </w:r>
    </w:p>
    <w:p>
      <w:pPr>
        <w:spacing w:after="0" w:line="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We estimated the grant date fair value of the PSU awards using the Monte Carlo simulation model, as the total shareholder return metric and changes in stock price are considered market conditions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(“AOCI”).</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(44,386)</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left="79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9"/>
              </w:rPr>
              <w:t>(97)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9"/>
              </w:rPr>
              <w:t>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left="792"/>
              <w:spacing w:after="0"/>
              <w:rPr>
                <w:sz w:val="20"/>
                <w:szCs w:val="20"/>
                <w:color w:val="auto"/>
              </w:rPr>
            </w:pPr>
            <w:r>
              <w:rPr>
                <w:rFonts w:ascii="Times New Roman" w:cs="Times New Roman" w:eastAsia="Times New Roman" w:hAnsi="Times New Roman"/>
                <w:sz w:val="18"/>
                <w:szCs w:val="18"/>
                <w:color w:val="auto"/>
                <w:w w:val="99"/>
              </w:rPr>
              <w:t>97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79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17" w:lineRule="exact"/>
        <w:rPr>
          <w:sz w:val="20"/>
          <w:szCs w:val="20"/>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of changes in interest rate swap.</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 recognized in interest expense on effective interest rate swap.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2023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6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certain features of our preferred stock and long-term debt were bifurcated and accounted for as derivatives separately.</w:t>
      </w:r>
    </w:p>
    <w:p>
      <w:pPr>
        <w:spacing w:after="0" w:line="5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In conjunction with an amendment to our Term Loan in 2023, we issued warrants to purchase up to 2.0 million shares of our common stock at an exercise price of $0.01 per share (the “2023 Warrants”). The 2023 Warrants are exercisable, in full or in part, at any time prior to June 30, 2033. The 2023 Warrants include anti-dilution adjustments in the event of certain future equity issuances, stock splits, stock dividends, combinations or similar events. During the nine months ended September 30, 2024, 500,000 of the 2023 Warrants were exercised on a cashless basis, resulting in the issuance of 499,000 shares.</w:t>
      </w:r>
    </w:p>
    <w:p>
      <w:pPr>
        <w:spacing w:after="0" w:line="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conjunction with our placement of the Series D Preferred Stock, we issued the 2021 Warrants to purchase up to 1.9 million shares of our common stock. The 2021 Warrants were exercisable, in full or in part, at an exercise price of $0.01 per share, subject to anti-dilution adjustments in the event of certain future equity issuances, stock splits, stock dividends, combinations or similar events. During the nine months ended September 30, 2024, all of the 2021 Warrants were exercised on a cashless basis, resulting in the issuance of 1,896,000 shares.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conjunction with our placement of Series B Preferred Stock in 2019, we issued detachable warrants to purchase up to 1.5 million shares of our common stock (the “2019 Warrants”). The 2019 Warrants, are exercisable, in full or in part, at any time prior to December 11, 2026, at an exercise price of $11.03 per share, and are subject to anti-dilution adjustments in the event of future below market issuances, stock splits, stock dividends, combinations or similar events.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the liability balance of the embedded derivatives during the nine months ended September 30, 2024.</w:t>
      </w:r>
    </w:p>
    <w:p>
      <w:pPr>
        <w:sectPr>
          <w:pgSz w:w="11900" w:h="16838" w:orient="portrait"/>
          <w:cols w:equalWidth="0" w:num="1">
            <w:col w:w="11240"/>
          </w:cols>
          <w:pgMar w:left="320" w:top="477"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Settlements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as of September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860" w:hanging="853"/>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16,556</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940" w:hanging="933"/>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086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2">
            <w:col w:w="9100" w:space="720"/>
            <w:col w:w="1420"/>
          </w:cols>
          <w:pgMar w:left="320" w:top="477" w:right="339" w:bottom="1440" w:gutter="0" w:footer="0" w:header="0"/>
          <w:type w:val="continuous"/>
        </w:sectPr>
      </w:pPr>
    </w:p>
    <w:p>
      <w:pPr>
        <w:ind w:left="660" w:right="160" w:hanging="328"/>
        <w:spacing w:after="0" w:line="282" w:lineRule="auto"/>
        <w:tabs>
          <w:tab w:leader="none" w:pos="7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expense (income), net” line in the Condensed Consolidated Statements of Operations and Comprehensive Income (Loss).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fair values of the embedded derivatives within the fair value hierarchy.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32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32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24"/>
                <w:szCs w:val="24"/>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1"/>
                <w:szCs w:val="11"/>
                <w:color w:val="auto"/>
              </w:rPr>
            </w:pPr>
          </w:p>
        </w:tc>
        <w:tc>
          <w:tcPr>
            <w:tcW w:w="16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1"/>
                <w:szCs w:val="11"/>
                <w:color w:val="auto"/>
              </w:rPr>
            </w:pPr>
          </w:p>
        </w:tc>
        <w:tc>
          <w:tcPr>
            <w:tcW w:w="1320" w:type="dxa"/>
            <w:vAlign w:val="bottom"/>
          </w:tcPr>
          <w:p>
            <w:pPr>
              <w:jc w:val="center"/>
              <w:ind w:right="242"/>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1320" w:type="dxa"/>
            <w:vAlign w:val="bottom"/>
          </w:tcPr>
          <w:p>
            <w:pPr>
              <w:jc w:val="center"/>
              <w:ind w:right="262"/>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fair value of the 2023 Warrants and 2021 Warrants is determined using the observable market price of a share of our common stock, less the $0.01 per share exercise price (Level 1).</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(Level 3). The probabilities resulted in a weighted average term of 2.9 years as of September 30, 2024 and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then fair value of the 2021 Swap. Since the 2021 Swap was an effective cash flow hedge and the forecasted interest payments remain probable of occurring, the gain was recognized as a reduction to interest expense through the original maturity date of July 31, 2024.</w:t>
      </w:r>
    </w:p>
    <w:p>
      <w:pPr>
        <w:spacing w:after="0" w:line="79"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effects of the interest rate swap on the Condensed Consolidated Statements of Operations and Comprehensive Income (Loss).</w:t>
      </w: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2260" w:type="dxa"/>
            <w:vAlign w:val="bottom"/>
            <w:gridSpan w:val="4"/>
          </w:tcPr>
          <w:p>
            <w:pPr>
              <w:jc w:val="center"/>
              <w:ind w:left="342"/>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gridSpan w:val="4"/>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benefit (1)</w:t>
            </w:r>
          </w:p>
        </w:tc>
        <w:tc>
          <w:tcPr>
            <w:tcW w:w="8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Represents gain recognized in interest expense on effective interest rate swap.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Disclosures</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and debt. As of September 30, 2024 and December 31, 2023, the carrying values of these financial instruments, except for debt, approximated fair value. The fair value of our debt was $145.4 million and $162.2 million, with a carrying amount of $143.6 million and $153.3 million, as of September 30, 2024 and December 31, 2023, respectively. The fair value of debt was calculated by discounting the future cash flows to its present value using prevailing market interest rates for debt with similar creditworthiness, terms and maturities (Level 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Divestiture</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July 2, 2024, we completed the sale of our Lubbock operations, known as Industrial Molding Corporation (“IMC”), for $17.0 million in cash, subject to customary purchase price adjustments. We received net proceeds of $15.4 million after paying certain transaction costs, which was used to repay a portion of the outstanding borrowings under the Term Loan Facility. We determined that the sale of IMC did not represent a strategic shift that will have a major effect on the consolidated results of operations, therefore the results of this business will continue to be reported within our Power Solutions segment. The gain on sale of business is recognized in the “Other expense (income), net” line in the Condensed Consolidated Statements of Operations and Comprehensive Income (Loss).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8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20"/>
        </w:trPr>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net gain recognized in connection with the divestiture:</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1"/>
        </w:trPr>
        <w:tc>
          <w:tcPr>
            <w:tcW w:w="9580" w:type="dxa"/>
            <w:vAlign w:val="bottom"/>
            <w:gridSpan w:val="2"/>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30"/>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9"/>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assets disposed</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r>
      <w:tr>
        <w:trPr>
          <w:trHeight w:val="229"/>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to sell</w:t>
            </w:r>
          </w:p>
        </w:tc>
        <w:tc>
          <w:tcPr>
            <w:tcW w:w="6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28"/>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Plant Optimization Activities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we took specific steps to consolidate our footprint by identifying a manufacturing facility to close to reduce costs and improve operational efficiency. In addition, we implemented operational and cost optimization actions to reduce indirect and overhead costs. We expect the facility closure and organizational changes to be completed in the first half of 2025. We estimate incurring $1.9 million in charges which will be recognized in 2024 and 2025. Once fully implemented, we expect to recognize annual benefits of approximately $2.8 million. All costs incurred have been recognized in Mobile Solutions segment.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costs incurred and amounts accrued during the three months ended September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Costs associated with</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exit or disposal</w:t>
            </w:r>
          </w:p>
        </w:tc>
        <w:tc>
          <w:tcPr>
            <w:tcW w:w="340" w:type="dxa"/>
            <w:vAlign w:val="bottom"/>
          </w:tcPr>
          <w:p>
            <w:pPr>
              <w:spacing w:after="0"/>
              <w:rPr>
                <w:sz w:val="12"/>
                <w:szCs w:val="12"/>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employee related</w:t>
            </w:r>
          </w:p>
        </w:tc>
        <w:tc>
          <w:tcPr>
            <w:tcW w:w="18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center"/>
              <w:ind w:left="83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paid</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36"/>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836"/>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Of the $1.0 million incurred during the nine months ended September 30, 2024, $0.6 million and are recognized in the “Cost of sales” line and $0.3 million in the “Selling, general, and administrative expense” line in the Condensed Consolidated Statements of Operations and Comprehensive Income (Loss).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Subsequent to September 30, 2024, we began identifying certain manufacturing equipment that we plan to discontinue use of and may sell in 2025 as part of our plant optimization activities. The equipment, which is currently being used in production activities, has a net book value of approximately $11.0 million as of September 30, 2024. The expected proceeds from any planned sales may be significantly lower than the carrying value of the equipment, which would cause us to recognize an impairment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is intended to help the reader understand the results of operations and financial condition of NN, Inc. and its consolidated subsidiaries for the three and nine months ended September 30, 2024. The financial information as of September 30, 2024, should be read in conjunction with the consolidated financial statements for the year ended December 31, 2023, contained in our 2023 Annual Report, and the Condensed Consolidated Financial Statements included in this Quarterly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used in this Quarterly Report, the terms “NN,” the “Company,” “we,” “our,” or “us” refer to NN, Inc. and its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and cyber liability or potential liability for breaches of our or our service providers’ information technology systems or business operations disruptions. Any forward-looking statement speaks only as of the date of this Quarterly Report,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spacing w:after="0" w:line="9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sections titled “Item 1A. Risk Factors” in the 2023 Annual Report and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nine months ended September 30, 2024, that management believes are important to provide an understanding of the business and results of operations or that may influence operations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w:t>
      </w:r>
    </w:p>
    <w:p>
      <w:pPr>
        <w:spacing w:after="0" w:line="6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continue to monitor the ongoing impacts of current macroeconomic and geopolitical events, including changing conditions from ongoing military conflicts, inflationary cost pressures, elevated interest rates, supply chain disruptions, and labor shortages and disruptions.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Ongoing military conflicts continue to create volatility in global financial and energy markets, creating energy and supply chain shortages, which has added to the inflationary pressures experienced by the global economy. We continue to actively work with our suppliers to minimize impacts of supply shortages on our manufacturing capabilities. Although our business has not been materially impacted by these ongoing military conflicts as of the date of this filing, we cannot reasonably predict the extent to which our operations, or those of our customers or suppliers, will be impacted in the future, or the ways in which the conflicts may impact our business, financial condition, results of operations and cash flows.</w:t>
      </w:r>
    </w:p>
    <w:p>
      <w:pPr>
        <w:spacing w:after="0" w:line="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U.S. economy has experienced inflationary increases and elevated interest rates, as well as supply issues in materials, services, and labor due to economic policy and military conflicts. We cannot predict the future impact on our end-markets or input costs nor our ability to recover cost increases through pricing.</w:t>
      </w:r>
    </w:p>
    <w:p>
      <w:pPr>
        <w:spacing w:after="0" w:line="120" w:lineRule="exact"/>
        <w:rPr>
          <w:sz w:val="20"/>
          <w:szCs w:val="20"/>
          <w:color w:val="auto"/>
        </w:rPr>
      </w:pPr>
    </w:p>
    <w:p>
      <w:pPr>
        <w:ind w:right="4020"/>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Three Months Ended September 30, 2024 compared to the Three Months Ended September 30, 2023 </w:t>
      </w:r>
      <w:r>
        <w:rPr>
          <w:rFonts w:ascii="Times New Roman" w:cs="Times New Roman" w:eastAsia="Times New Roman" w:hAnsi="Times New Roman"/>
          <w:sz w:val="18"/>
          <w:szCs w:val="18"/>
          <w:u w:val="single" w:color="auto"/>
          <w:color w:val="auto"/>
        </w:rPr>
        <w:t>Consolidated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9"/>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(3,852)</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benefit (provision) for income taxes and share of net income from joint venture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$10.9 million, or 8.7%, during the three months ended September 30,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primarily due to the sale of our Lubbock operations, rationalized volume at plants undergoing turnarounds, a customer settlement received in 2023 and unfavorable foreign exchange effects of $1.1 million.</w:t>
      </w:r>
    </w:p>
    <w:p>
      <w:pPr>
        <w:spacing w:after="0" w:line="6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$7.4 million, or 7.1%, during the three months ended September 30,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primarily due to the decrease in sales.</w:t>
      </w:r>
    </w:p>
    <w:p>
      <w:pPr>
        <w:spacing w:after="0" w:line="50"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$1.4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the three months ended September 30, 2023, primarily due to lower incentive compensation expense.</w:t>
      </w:r>
    </w:p>
    <w:p>
      <w:pPr>
        <w:spacing w:after="0" w:line="50"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Net. </w:t>
      </w:r>
      <w:r>
        <w:rPr>
          <w:rFonts w:ascii="Times New Roman" w:cs="Times New Roman" w:eastAsia="Times New Roman" w:hAnsi="Times New Roman"/>
          <w:sz w:val="18"/>
          <w:szCs w:val="18"/>
          <w:color w:val="auto"/>
        </w:rPr>
        <w:t>Other operating income, net changed favorably by $0.3 million during the three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2023, primarily due the loss on sales of machinery and equipment recognized in 2023.</w:t>
      </w:r>
    </w:p>
    <w:p>
      <w:pPr>
        <w:spacing w:after="0" w:line="5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$0.3 million during the three months ended September 30,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primarily due to a reduction in the Term Loan balance due to the partial pay down of the outstanding balance with proceeds from the sale of our Lubbock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on interest rate swap</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6"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increased by $3.9 million during the three months ended September 30, 2024,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primarily due to the $7.2 million gain on sale of our Lubbock operations, partially offset by noncash derivative mark-to-market loses recognized during the current quarter compared to derivative gains recognized in the third quarter of 2023.</w:t>
      </w:r>
    </w:p>
    <w:p>
      <w:pPr>
        <w:spacing w:after="0" w:line="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Benefit (Provision) For Income Taxes</w:t>
      </w:r>
      <w:r>
        <w:rPr>
          <w:rFonts w:ascii="Times New Roman" w:cs="Times New Roman" w:eastAsia="Times New Roman" w:hAnsi="Times New Roman"/>
          <w:sz w:val="18"/>
          <w:szCs w:val="18"/>
          <w:color w:val="auto"/>
        </w:rPr>
        <w:t>. Our effective tax rate was (23.5)% for the three months ended September 30, 2024, compared to 3.5%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The rate for the three months ended September 30, 2024 was unfavorably impacted due to the accrual of tax on non-permanently reinvested unremitted earnings of foreign subsidiaries and by the limitation on the amount of tax benefit recorded for losses in certain jurisdictions where we believe it is more likely than not that a future tax benefit may not be realized.</w:t>
      </w:r>
    </w:p>
    <w:p>
      <w:pPr>
        <w:spacing w:after="0" w:line="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increased by $0.5 million during the three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2023, primarily due to higher sales and increased gross margins, partially offset by higher fixed costs. The JV, in which we own a 49% investment, recognized net sales of $32.4 million and $30.3 million for the three months ended September 30, 2024 and 2023,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9"/>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70,678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78,961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(1,283)</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bl>
    <w:p>
      <w:pPr>
        <w:spacing w:after="0" w:line="1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sales decreased by $8.3 million, or 10.5%, during the three months ended September 30, 2024, compared to the three months ended September 30, 2023, primarily due to rationalized volume at plants undergoing turnarounds, contractual reduction in customer pass-through material pricing, a customer settlement received in 2023 and unfavorable foreign exchange effects of $1.0 million.</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Loss from operations changed unfavorably by $0.2 million during the three months ended September 30, 2024, compared to the same period in the prior year, primarily due to the lower revenue and impact of the customer settlement in the 2023, partially offset by lower depreciation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9"/>
              </w:rPr>
              <w:t>$ Change</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r>
    </w:tbl>
    <w:p>
      <w:pPr>
        <w:spacing w:after="0" w:line="1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sales decreased by $2.5 million, or 5.6%, during the three months ended September 30, 2024 compared to the three months ended September 30, 2023, primarily due to the sale of our Lubbock operations, partially offset by higher precious metals pass-through pricing and pricing.</w:t>
      </w:r>
    </w:p>
    <w:p>
      <w:pPr>
        <w:spacing w:after="0" w:line="6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Income from operations decreased by $1.4 million during the three months ended September 30, 2024 compared to the same period in the prior year, primarily due to the lower revenue resulting from the sale of the Lubbock operations and unfavorable product mix.</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right="4160"/>
        <w:spacing w:after="0" w:line="302" w:lineRule="auto"/>
        <w:rPr>
          <w:sz w:val="20"/>
          <w:szCs w:val="20"/>
          <w:color w:val="auto"/>
        </w:rPr>
      </w:pPr>
      <w:r>
        <w:rPr>
          <w:rFonts w:ascii="Times New Roman" w:cs="Times New Roman" w:eastAsia="Times New Roman" w:hAnsi="Times New Roman"/>
          <w:sz w:val="18"/>
          <w:szCs w:val="18"/>
          <w:i w:val="1"/>
          <w:iCs w:val="1"/>
          <w:color w:val="auto"/>
        </w:rPr>
        <w:t xml:space="preserve">Nine Months Ended September 30, 2024 compared to the Nine Months Ended September 30, 2023 </w:t>
      </w:r>
      <w:r>
        <w:rPr>
          <w:rFonts w:ascii="Times New Roman" w:cs="Times New Roman" w:eastAsia="Times New Roman" w:hAnsi="Times New Roman"/>
          <w:sz w:val="18"/>
          <w:szCs w:val="18"/>
          <w:u w:val="single" w:color="auto"/>
          <w:color w:val="auto"/>
        </w:rPr>
        <w:t>Consolidated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12,312</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$19.0 million, or 5.0%, during the nine months ended September 30, 2024,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primarily due to he sale of our Lubbock operations, customer settlements received in 2023, rationalized volume at plants undergoing turnarounds and unfavorable foreign exchange effects of $1.9 million. These decreases were partially offset by the net impact of contractual pass-through material pricing provisions.</w:t>
      </w:r>
    </w:p>
    <w:p>
      <w:pPr>
        <w:spacing w:after="0" w:line="72"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decreased by $21.2 million, or 6.6%, during the nine months ended September 30, 2024,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primarily due to lower sales volume and lower labor costs associated with facility closures.</w:t>
      </w:r>
    </w:p>
    <w:p>
      <w:pPr>
        <w:spacing w:after="0" w:line="5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$1.3 million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the nine months ended September 30, 2023, primarily due to higher travel and stock compensation expense, partially offset by lower salaries due to a reduction in headcount.</w:t>
      </w:r>
    </w:p>
    <w:p>
      <w:pPr>
        <w:spacing w:after="0" w:line="6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Net. </w:t>
      </w:r>
      <w:r>
        <w:rPr>
          <w:rFonts w:ascii="Times New Roman" w:cs="Times New Roman" w:eastAsia="Times New Roman" w:hAnsi="Times New Roman"/>
          <w:sz w:val="18"/>
          <w:szCs w:val="18"/>
          <w:color w:val="auto"/>
        </w:rPr>
        <w:t>Other operating income, net changed favorably by $2.8 million primarily due to increased sublease income earned on 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w:t>
      </w:r>
    </w:p>
    <w:p>
      <w:pPr>
        <w:spacing w:after="0" w:line="50"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$1.2 million during the nine months ended September 30, 2024,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primarily due to higher average interest rates, a decrease in the gain recognized on interest rate swap and an increase in the amortization of debt issuance costs.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recognized on interest rate swap</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16,643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15,484</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Other expense (income), net changed favorably by $6.6 million during the nine months ended September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nine months ended September 30, 2023, primarily due to the $7.2 million gain on sale of the Lubbock operations, partially offset by unfavorable foreign exchange effects associated with intercompany borrowings.</w:t>
      </w:r>
    </w:p>
    <w:p>
      <w:pPr>
        <w:spacing w:after="0" w:line="6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Benefit (Provision) for Income Taxes. </w:t>
      </w:r>
      <w:r>
        <w:rPr>
          <w:rFonts w:ascii="Times New Roman" w:cs="Times New Roman" w:eastAsia="Times New Roman" w:hAnsi="Times New Roman"/>
          <w:sz w:val="18"/>
          <w:szCs w:val="18"/>
          <w:color w:val="auto"/>
        </w:rPr>
        <w:t>Our effective tax rate was (5.3)% for the nine months ended September 30, 2024, compared to (4.4)%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The rate for the nine months ended September 30, 2024 was unfavorably impacted due to the accrual of tax on non-permanently reinvested unremitted earnings of foreign subsidiaries and by the limitation on the amount of tax benefit recorded for losses in certain jurisdictions where we believe it is more likely than not that a future tax benefit may not be realized. The effective tax rate was favorably impacted by return to provision adjustments in certain foreign jurisdictions and an amended return in a state jurisdiction.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increased by $3.5 million during the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nine months ended September 30, 2023, primarily due to higher sales and increased margin partially offset by higher fixed costs, depreciation and interest expense. The JV, in which we own a 49% investment, recognized net sales of $95.1 million and $75.9 million for the nine months ended September 30, 2024 and 2023,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(17,539)</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bl>
    <w:p>
      <w:pPr>
        <w:spacing w:after="0" w:line="2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sales decreased by $17.5 million, or 7.5%, during the nine months ended September 30, 2024, compared to the nine months ended September 30, 2023, primarily due rationalized volume at plants undergoing turnarounds, contractual reduction in customer pass-through material pricing, a customer settlement received in 2023 and unfavorable foreign exchange effects of $1.8 million.</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Loss from operations changed favorably by $0.8 million during the nine months ended September 30, 2024 compared to the same period in the prior year, primarily due to a reduction of indirect manufacturing costs related to actions taken in 2023 to optimize plant operations. These decreases were partially offset by the impact of lower sales, impact of the customer settlement in the 2023 and higher depreciation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r>
    </w:tbl>
    <w:p>
      <w:pPr>
        <w:spacing w:after="0" w:line="2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sales decreased by $1.3 million, or 0.9%, during the nine months ended September 30, 2024, compared to the nine months ended September 30, 2023, primarily due to the sale of our Lubbock operation and premium pricing received on a certain customer project during the first quarter of 2023. These decreases were partially offset by higher precious metals pass-through pricing and higher volumes.</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Income from operations increased by $3.5 million during the nine months ended September 30, 2024 compared to the same period in the prior year, primarily due to lower costs associated with the facilities that closed in the second quarter of 2023 and increased sublease income earned on those closed facilities in 2024.</w:t>
      </w:r>
    </w:p>
    <w:p>
      <w:pPr>
        <w:spacing w:after="0" w:line="172" w:lineRule="exact"/>
        <w:rPr>
          <w:sz w:val="20"/>
          <w:szCs w:val="20"/>
          <w:color w:val="auto"/>
        </w:rPr>
      </w:pPr>
    </w:p>
    <w:p>
      <w:pPr>
        <w:ind w:right="514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2023 to September 30, 2024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December 31, 2023 to September 30, 2024, total assets decreased by $27.8 million primarily due to decreases in property, plant and equipment and intangible assets due to depreciation and amortization. Additionally, accounts receivable, inventory and property, plant and equipment decreased due to the sale of our Lubbock operations during the quarter. These decreases were partially offset by increases in our investment in a joint venture.</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From December 31, 2023 to September 30, 2024, total liabilities decreased by $20.8 million, primarily due to a decrease in other non-current liabilities due to the exercise of warrants in 2024 and a reduction in long-term debt due to the partial pay down of the outstanding balance with proceeds from the sale of our Lubbock operations. These decreases were partially offset by an increase in other current liabilities.</w:t>
      </w:r>
    </w:p>
    <w:p>
      <w:pPr>
        <w:spacing w:after="0" w:line="68"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was $85.3 million as of September 30, 2024, compared to $100.9 million as of December 31, 2023. The decrease in working capital was primarily due to increases in the current maturities of long-term debt and an increase in other current liabilities.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6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Cash provided by operations was $4.4 million for the nine months ended September 30, 2024, compared with $23.9 million for the nine months ended September 30, 2023. The decrease was due to an increase in accounts receivable, a decrease in inventory during the first half of 2023 and an increase in accounts payable during the first half of 2023. In addition, the Company received a $3.9 million dividend from the JV in the third quarter of 2023.</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$1.9 million for the nine months ended September 30, 2024, compared with cash used in investing activities of $13.4 million for the nine months ended September 30, 2023. The favorable change is primarily due to the $17.0 million received for the sale of the Lubbock operations during 2024.</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increased by $14.4 million during the nine months ended September 30, 2024 compared to the same period in 2023, primarily due to higher repayments of long-term debt and debt issuance costs in 2024, partially offset by proceeds from the sale-leaseback transactions in 2024 and proceeds from international loans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65"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7"/>
          <w:szCs w:val="17"/>
          <w:color w:val="auto"/>
        </w:rPr>
        <w:t>The principal amount outstanding under our Term Loan Facility as of September 30, 2024, was $114.2 million, without regard to unamortized debt issuance costs and discount. As of September 30, 2024, we had $21.9 million available for future borrowings under the ABL Facility. This amount of borrowing capacity is net of $9.9 million of outstanding letters of credit at September 30, 2024, which are considered as usage of the ABL Facility.</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We may be required to make additional principal payments annually that are calculated as a percentage of our excess cash flow, as defined by the lender, based on our net leverage ratio. Outstanding borrowings under the Term Loan Facility bear interest at either: 1) one-month, three-month, or six-month Adjusted Term SOFR, subject to a 1.00% floor, plus an applicable margin of 6.875%; or 2) the greater of various benchmark rates plus an applicable margin of 5.875%. Beginning with the second quarter of 2023, interest is increased on a paid-in-kind basis at a rate between 1.00% and</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2.00%, dependent on our net leverage ratio, for the most recently reported fiscal quarter and subject to reduction upon the occurrence of certain conditions as set forth in the credit agreement governing the Term Loan Facility. Based on the interest rate in effect at September 30, 2024, annual cash interest payments would be approximately $16.9 million.</w:t>
      </w:r>
    </w:p>
    <w:p>
      <w:pPr>
        <w:spacing w:after="0" w:line="7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ABL Facility bears interest on a variable borrowing rate based on either: 1) Adjusted Term SOFR plus an applicable margin of 1.75% or 2.00%, depending on availability; or 2) the greater of the federal funds rate or prime, plus an applicable margin of 0.75% or 1.00%, depending on availability. We pay a commitment fee of 0.375% for unused capacity under the ABL Facility.</w:t>
      </w:r>
    </w:p>
    <w:p>
      <w:pPr>
        <w:spacing w:after="0" w:line="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were in compliance with all requirements under our Term Loan Facility and ABL Facility as of September 30, 2024. Both credit facilities allow for optional expansion of available borrowings, subject to certain terms and conditions.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Leaseback Transactions</w:t>
      </w:r>
    </w:p>
    <w:p>
      <w:pPr>
        <w:spacing w:after="0" w:line="5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During the nine months ended September 30, 2024, we entered into several sale-leaseback transactions. We received $16.9 million from the sale and leaseback of three properties, with the net proceeds used to repay a portion of the outstanding borrowings under the Term Loan Facility. The effective interest rate of the transaction, which terminates in 20 years, is lower than the current borrowings on the Term Loan Facility. We received $8.3 million from the sale and leaseback of equipment, with $3.4 million of the net proceeds used to repay a portion of the outstanding borrowings under the Term Loan Facility and the balance used for ongoing operational investments.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at the same or lower interest rates as available on our ABL Facility.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2021, we filed a refund claim with the IRS as a result of the Coronavirus Aid, Relief, and Economic Security Act. Including interest accrued on the initial refund amount, we have a $12.1 million tax refund receivable at September 30, 2024, which is in the process of IRS review and approval. The timing of the receipt of the refund is expected in the first half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including the assumptions and judgments underlying them, are disclosed in Note 1 of the Notes to Consolidated Financial Statements included in the 2023 Annual Report. Our most critical accounting estimates are discussed in the Management’s Discussion and Analysis of Financial Condition and Results of Operations included in the 2023 Annual Report. There have been no material changes to our significant accounting policies or critical accounting estimates during the nine months ended September 30, 2024.</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subject to interest rate risk due to our variable rate debt, which comprises a majority of our outstanding indebtedness. The nature and amount of borrowings may vary as a result of future business requirements, market conditions, and other factors. To manage interest rate risk, we have used, and may in the future use, interest rate swap agreements.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September 30, 2024, we had $114.2 million of principal outstanding under the Term Loan Facility, without regard to unamortized debt issuance costs and discount. A one-percent increase in one-month SOFR would have resulted in a net increase in interest expense of $1.1 million on an annualized basis.</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September 30, 2024, using Adjusted Term SOFR plus a 2.00% spread, any borrowings under the ABL Facility would have been at a 7.197% interest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To help reduce exposure to foreign currency fluctuation, we have incurred debt in euros in the past. Various strategies to manage this risk are available to management, including producing and selling in local currencies and hedging programs. We did not hold a position in any foreign currency derivatives as of September 30, 2024.</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7"/>
          <w:szCs w:val="17"/>
          <w:color w:val="auto"/>
        </w:rPr>
        <w:t>Under the supervision and with the participation of management, including our Chief Executive Officer and Chief Financial Officer, we evaluated the effectiveness of disclosure controls and procedures (as defined in Rule 13a-15(e) and 15d-15(e) of the Exchange Act). Based upon that evaluation, our Chief Executive Officer and Chief Financial Officer concluded that our disclosure controls and procedures were effective as of September 30, 2024,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fiscal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6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disclosed in Note 10 in the Notes to Condensed Consolidated Financial Statements included in this Quarterly Report, we are engaged in certain legal proceedings, and the disclosure set forth in Note 10 relating to legal proceedings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2023 Annual Report under Item 1A, “Risk Factors.”</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or Termination of Trading Arrangements</w:t>
      </w:r>
    </w:p>
    <w:p>
      <w:pPr>
        <w:spacing w:after="0" w:line="6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none of the Company’s directors or executive officers adopted or terminated any Rule 10b5-1 trading arrangement or non-Rule 10b5-1 trading arrangement, as defined in Item 408 of Regulation S-K.</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40" w:type="dxa"/>
            <w:vAlign w:val="bottom"/>
            <w:gridSpan w:val="11"/>
            <w:vMerge w:val="restart"/>
          </w:tcPr>
          <w:p>
            <w:pPr>
              <w:ind w:left="36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4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12"/>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Amendment No. 4 to Term Loan Credit Agreement, dated as of August 29, 2024, by and among NN, Inc., certain subsidiaries of NN,</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Inc., the lenders party thereto and Oaktree Fund Administration, LLC, as administrative agent (Filed as Exhibit 10.1 to the Registrant’s</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Current Report on Form 8-K filed on August 30, 2024 and incorporated herein by reference).</w:t>
              </w:r>
            </w:hyperlink>
          </w:p>
        </w:tc>
        <w:tc>
          <w:tcPr>
            <w:tcW w:w="300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2"/>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Amendment No. 3 to Credit Agreement, dated as of August 29, 2024, by and among NN, Inc., certain subsidiaries of NN, Inc.,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gridSpan w:val="12"/>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lenders party thereto and JPMorgan Chase Bank, N.A., as administrative agent (Filed as Exhibit 10.2 to the Registrant’s Current Report</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on Form 8-K filed on August 30, 2024 and incorporated herein by reference).</w:t>
              </w:r>
            </w:hyperlink>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20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40" w:type="dxa"/>
            <w:vAlign w:val="bottom"/>
            <w:tcBorders>
              <w:top w:val="single" w:sz="8" w:color="0000FF"/>
            </w:tcBorders>
          </w:tcPr>
          <w:p>
            <w:pPr>
              <w:spacing w:after="0"/>
              <w:rPr>
                <w:sz w:val="18"/>
                <w:szCs w:val="18"/>
                <w:color w:val="auto"/>
              </w:rPr>
            </w:pPr>
          </w:p>
        </w:tc>
        <w:tc>
          <w:tcPr>
            <w:tcW w:w="24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7"/>
                <w:szCs w:val="17"/>
                <w:color w:val="auto"/>
              </w:rPr>
            </w:pPr>
          </w:p>
        </w:tc>
        <w:tc>
          <w:tcPr>
            <w:tcW w:w="99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0"/>
                <w:szCs w:val="20"/>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0"/>
                <w:szCs w:val="20"/>
                <w:color w:val="auto"/>
              </w:rPr>
            </w:pPr>
          </w:p>
        </w:tc>
        <w:tc>
          <w:tcPr>
            <w:tcW w:w="9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bl>
    <w:p>
      <w:pPr>
        <w:ind w:left="1140" w:hanging="1114"/>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77"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left="1020" w:right="39"/>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2922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306" w:lineRule="exact"/>
        <w:rPr>
          <w:sz w:val="20"/>
          <w:szCs w:val="20"/>
          <w:color w:val="auto"/>
        </w:rPr>
      </w:pPr>
    </w:p>
    <w:p>
      <w:pPr>
        <w:ind w:left="1040"/>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29229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Harold C. Bevis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93" w:lineRule="exact"/>
        <w:rPr>
          <w:sz w:val="20"/>
          <w:szCs w:val="20"/>
          <w:color w:val="auto"/>
        </w:rPr>
      </w:pPr>
    </w:p>
    <w:p>
      <w:pPr>
        <w:ind w:left="1040"/>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/s/ Christopher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2922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139"/>
          </w:cols>
          <w:pgMar w:left="320" w:top="477"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C. Bevis, certify that:</w:t>
      </w:r>
    </w:p>
    <w:p>
      <w:pPr>
        <w:spacing w:after="0" w:line="171"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H. Bohnert, certify that:</w:t>
      </w:r>
    </w:p>
    <w:p>
      <w:pPr>
        <w:spacing w:after="0" w:line="171"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September 30, 2024,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September 30, 2024,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2024</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04"/>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4" Type="http://schemas.openxmlformats.org/officeDocument/2006/relationships/hyperlink" Target="https://www.sec.gov/Archives/edgar/data/918541/000091854124000129/oaktreetermloanfourthamend.htm" TargetMode="External"/><Relationship Id="rId55" Type="http://schemas.openxmlformats.org/officeDocument/2006/relationships/hyperlink" Target="https://www.sec.gov/Archives/edgar/data/918541/000091854124000129/jpmablagreementthirdamend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2024-10-31T05:17:10Z</dcterms:created>
  <dcterms:modified xsi:type="dcterms:W3CDTF">2024-10-31T05:17:10Z</dcterms:modified>
</cp:coreProperties>
</file>