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19"/>
        <w:spacing w:after="0"/>
        <w:rPr>
          <w:sz w:val="20"/>
          <w:szCs w:val="20"/>
          <w:color w:val="auto"/>
        </w:rPr>
      </w:pPr>
      <w:r>
        <w:rPr>
          <w:rFonts w:ascii="Arial" w:cs="Arial" w:eastAsia="Arial" w:hAnsi="Arial"/>
          <w:sz w:val="32"/>
          <w:szCs w:val="32"/>
          <w:b w:val="1"/>
          <w:bCs w:val="1"/>
          <w:color w:val="auto"/>
        </w:rPr>
        <w:t>SECURITIES AND EXCHANGE COMMISSION</w:t>
      </w:r>
    </w:p>
    <w:p>
      <w:pPr>
        <w:ind w:left="44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6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99"/>
        <w:spacing w:after="0"/>
        <w:rPr>
          <w:sz w:val="20"/>
          <w:szCs w:val="20"/>
          <w:color w:val="auto"/>
        </w:rPr>
      </w:pPr>
      <w:r>
        <w:rPr>
          <w:rFonts w:ascii="Arial" w:cs="Arial" w:eastAsia="Arial" w:hAnsi="Arial"/>
          <w:sz w:val="22"/>
          <w:szCs w:val="22"/>
          <w:b w:val="1"/>
          <w:bCs w:val="1"/>
          <w:color w:val="auto"/>
        </w:rPr>
        <w:t>PURSUANT TO SECTION 13 OR 15(d)</w:t>
      </w:r>
    </w:p>
    <w:p>
      <w:pPr>
        <w:jc w:val="center"/>
        <w:ind w:right="-6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ind w:left="2140"/>
        <w:spacing w:after="0"/>
        <w:rPr>
          <w:sz w:val="20"/>
          <w:szCs w:val="20"/>
          <w:color w:val="auto"/>
        </w:rPr>
      </w:pPr>
      <w:r>
        <w:rPr>
          <w:rFonts w:ascii="Arial" w:cs="Arial" w:eastAsia="Arial" w:hAnsi="Arial"/>
          <w:sz w:val="22"/>
          <w:szCs w:val="22"/>
          <w:b w:val="1"/>
          <w:bCs w:val="1"/>
          <w:color w:val="auto"/>
        </w:rPr>
        <w:t>Date of Report (Date of earliest event reported): May 13, 2016 (May 12,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3324225</wp:posOffset>
            </wp:positionH>
            <wp:positionV relativeFrom="paragraph">
              <wp:posOffset>422910</wp:posOffset>
            </wp:positionV>
            <wp:extent cx="608965" cy="617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965"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p>
      <w:pPr>
        <w:jc w:val="center"/>
        <w:ind w:right="-619"/>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20" w:type="dxa"/>
            <w:vAlign w:val="bottom"/>
          </w:tcPr>
          <w:p>
            <w:pPr>
              <w:jc w:val="center"/>
              <w:ind w:right="2359"/>
              <w:spacing w:after="0"/>
              <w:rPr>
                <w:sz w:val="20"/>
                <w:szCs w:val="20"/>
                <w:color w:val="auto"/>
              </w:rPr>
            </w:pPr>
            <w:r>
              <w:rPr>
                <w:rFonts w:ascii="Arial" w:cs="Arial" w:eastAsia="Arial" w:hAnsi="Arial"/>
                <w:sz w:val="18"/>
                <w:szCs w:val="18"/>
                <w:b w:val="1"/>
                <w:bCs w:val="1"/>
                <w:color w:val="auto"/>
                <w:w w:val="91"/>
              </w:rPr>
              <w:t>Delaware</w:t>
            </w:r>
          </w:p>
        </w:tc>
        <w:tc>
          <w:tcPr>
            <w:tcW w:w="2420" w:type="dxa"/>
            <w:vAlign w:val="bottom"/>
          </w:tcPr>
          <w:p>
            <w:pPr>
              <w:ind w:left="240"/>
              <w:spacing w:after="0"/>
              <w:rPr>
                <w:sz w:val="20"/>
                <w:szCs w:val="20"/>
                <w:color w:val="auto"/>
              </w:rPr>
            </w:pPr>
            <w:r>
              <w:rPr>
                <w:rFonts w:ascii="Arial" w:cs="Arial" w:eastAsia="Arial" w:hAnsi="Arial"/>
                <w:sz w:val="18"/>
                <w:szCs w:val="18"/>
                <w:b w:val="1"/>
                <w:bCs w:val="1"/>
                <w:color w:val="auto"/>
              </w:rPr>
              <w:t>000-23486</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62-1096725</w:t>
            </w:r>
          </w:p>
        </w:tc>
      </w:tr>
      <w:tr>
        <w:trPr>
          <w:trHeight w:val="149"/>
        </w:trPr>
        <w:tc>
          <w:tcPr>
            <w:tcW w:w="4120" w:type="dxa"/>
            <w:vAlign w:val="bottom"/>
          </w:tcPr>
          <w:p>
            <w:pPr>
              <w:jc w:val="center"/>
              <w:ind w:right="233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20" w:type="dxa"/>
            <w:vAlign w:val="bottom"/>
          </w:tcPr>
          <w:p>
            <w:pPr>
              <w:ind w:left="220"/>
              <w:spacing w:after="0" w:line="149" w:lineRule="exact"/>
              <w:rPr>
                <w:sz w:val="20"/>
                <w:szCs w:val="20"/>
                <w:color w:val="auto"/>
              </w:rPr>
            </w:pPr>
            <w:r>
              <w:rPr>
                <w:rFonts w:ascii="Arial" w:cs="Arial" w:eastAsia="Arial" w:hAnsi="Arial"/>
                <w:sz w:val="14"/>
                <w:szCs w:val="14"/>
                <w:b w:val="1"/>
                <w:bCs w:val="1"/>
                <w:color w:val="auto"/>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20" w:type="dxa"/>
            <w:vAlign w:val="bottom"/>
          </w:tcPr>
          <w:p>
            <w:pPr>
              <w:jc w:val="center"/>
              <w:ind w:right="2339"/>
              <w:spacing w:after="0"/>
              <w:rPr>
                <w:sz w:val="20"/>
                <w:szCs w:val="20"/>
                <w:color w:val="auto"/>
              </w:rPr>
            </w:pPr>
            <w:r>
              <w:rPr>
                <w:rFonts w:ascii="Arial" w:cs="Arial" w:eastAsia="Arial" w:hAnsi="Arial"/>
                <w:sz w:val="14"/>
                <w:szCs w:val="14"/>
                <w:b w:val="1"/>
                <w:bCs w:val="1"/>
                <w:color w:val="auto"/>
                <w:w w:val="94"/>
              </w:rPr>
              <w:t>of Incorporation)</w:t>
            </w:r>
          </w:p>
        </w:tc>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39"/>
        </w:trPr>
        <w:tc>
          <w:tcPr>
            <w:tcW w:w="4120" w:type="dxa"/>
            <w:vAlign w:val="bottom"/>
          </w:tcPr>
          <w:p>
            <w:pPr>
              <w:jc w:val="center"/>
              <w:ind w:left="1279"/>
              <w:spacing w:after="0"/>
              <w:rPr>
                <w:sz w:val="20"/>
                <w:szCs w:val="20"/>
                <w:color w:val="auto"/>
              </w:rPr>
            </w:pPr>
            <w:r>
              <w:rPr>
                <w:rFonts w:ascii="Arial" w:cs="Arial" w:eastAsia="Arial" w:hAnsi="Arial"/>
                <w:sz w:val="18"/>
                <w:szCs w:val="18"/>
                <w:b w:val="1"/>
                <w:bCs w:val="1"/>
                <w:color w:val="auto"/>
                <w:w w:val="93"/>
              </w:rPr>
              <w:t>207 Mockingbird Lane</w:t>
            </w:r>
          </w:p>
        </w:tc>
        <w:tc>
          <w:tcPr>
            <w:tcW w:w="2420" w:type="dxa"/>
            <w:vAlign w:val="bottom"/>
          </w:tcPr>
          <w:p>
            <w:pPr>
              <w:spacing w:after="0"/>
              <w:rPr>
                <w:sz w:val="24"/>
                <w:szCs w:val="24"/>
                <w:color w:val="auto"/>
              </w:rPr>
            </w:pPr>
          </w:p>
        </w:tc>
        <w:tc>
          <w:tcPr>
            <w:tcW w:w="2520" w:type="dxa"/>
            <w:vAlign w:val="bottom"/>
          </w:tcPr>
          <w:p>
            <w:pPr>
              <w:spacing w:after="0"/>
              <w:rPr>
                <w:sz w:val="24"/>
                <w:szCs w:val="24"/>
                <w:color w:val="auto"/>
              </w:rPr>
            </w:pPr>
          </w:p>
        </w:tc>
      </w:tr>
      <w:tr>
        <w:trPr>
          <w:trHeight w:val="225"/>
        </w:trPr>
        <w:tc>
          <w:tcPr>
            <w:tcW w:w="4120" w:type="dxa"/>
            <w:vAlign w:val="bottom"/>
          </w:tcPr>
          <w:p>
            <w:pPr>
              <w:jc w:val="center"/>
              <w:ind w:left="1259"/>
              <w:spacing w:after="0"/>
              <w:rPr>
                <w:sz w:val="20"/>
                <w:szCs w:val="20"/>
                <w:color w:val="auto"/>
              </w:rPr>
            </w:pPr>
            <w:r>
              <w:rPr>
                <w:rFonts w:ascii="Arial" w:cs="Arial" w:eastAsia="Arial" w:hAnsi="Arial"/>
                <w:sz w:val="18"/>
                <w:szCs w:val="18"/>
                <w:b w:val="1"/>
                <w:bCs w:val="1"/>
                <w:color w:val="auto"/>
                <w:w w:val="85"/>
              </w:rPr>
              <w:t>Johnson City, Tennessee</w:t>
            </w:r>
          </w:p>
        </w:tc>
        <w:tc>
          <w:tcPr>
            <w:tcW w:w="2420" w:type="dxa"/>
            <w:vAlign w:val="bottom"/>
          </w:tcPr>
          <w:p>
            <w:pPr>
              <w:spacing w:after="0"/>
              <w:rPr>
                <w:sz w:val="19"/>
                <w:szCs w:val="19"/>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37604</w:t>
            </w:r>
          </w:p>
        </w:tc>
      </w:tr>
      <w:tr>
        <w:trPr>
          <w:trHeight w:val="186"/>
        </w:trPr>
        <w:tc>
          <w:tcPr>
            <w:tcW w:w="4120" w:type="dxa"/>
            <w:vAlign w:val="bottom"/>
          </w:tcPr>
          <w:p>
            <w:pPr>
              <w:jc w:val="center"/>
              <w:ind w:left="12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42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(423) 434-8310</w:t>
      </w:r>
    </w:p>
    <w:p>
      <w:pPr>
        <w:spacing w:after="0" w:line="27" w:lineRule="exact"/>
        <w:rPr>
          <w:sz w:val="24"/>
          <w:szCs w:val="24"/>
          <w:color w:val="auto"/>
        </w:rPr>
      </w:pPr>
    </w:p>
    <w:p>
      <w:pPr>
        <w:jc w:val="center"/>
        <w:ind w:right="-619"/>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29" w:lineRule="exact"/>
        <w:rPr>
          <w:sz w:val="24"/>
          <w:szCs w:val="24"/>
          <w:color w:val="auto"/>
        </w:rPr>
      </w:pPr>
    </w:p>
    <w:p>
      <w:pPr>
        <w:ind w:left="38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229235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7"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20"/>
          </w:cols>
          <w:pgMar w:left="240" w:top="368" w:right="8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5.07. SUBMISSIONOF MATTERS TO A VOTE OF SECURITY HOLDERS</w:t>
      </w:r>
    </w:p>
    <w:p>
      <w:pPr>
        <w:spacing w:after="0" w:line="121"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2016 annual meeting of the stockholders (the “Annual Meeting”) of NN, Inc. (the “Corporation”) was held on May 12, 2016. At the Annual Meeting, the following proposals were considered:</w:t>
      </w:r>
    </w:p>
    <w:p>
      <w:pPr>
        <w:spacing w:after="0" w:line="7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election of two Class III directors to serve for a term of three years;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advisory (non-binding) vote to approve the executive compensation of the Corporation’s named executive officers;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ratification of the selection of PricewaterhouseCoopers LLP as the Corporation’s registered independent public accounting firm for the fiscal year ending December 31, 2016; and</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approval of the Amended and Restated 2011 Stock Incentive Plan.</w:t>
      </w:r>
    </w:p>
    <w:p>
      <w:pPr>
        <w:spacing w:after="0" w:line="225" w:lineRule="exact"/>
        <w:rPr>
          <w:sz w:val="20"/>
          <w:szCs w:val="20"/>
          <w:color w:val="auto"/>
        </w:rPr>
      </w:pPr>
    </w:p>
    <w:p>
      <w:pPr>
        <w:jc w:val="both"/>
        <w:ind w:right="200" w:firstLine="456"/>
        <w:spacing w:after="0" w:line="264" w:lineRule="auto"/>
        <w:rPr>
          <w:sz w:val="20"/>
          <w:szCs w:val="20"/>
          <w:color w:val="auto"/>
        </w:rPr>
      </w:pPr>
      <w:r>
        <w:rPr>
          <w:rFonts w:ascii="Arial" w:cs="Arial" w:eastAsia="Arial" w:hAnsi="Arial"/>
          <w:sz w:val="18"/>
          <w:szCs w:val="18"/>
          <w:color w:val="auto"/>
        </w:rPr>
        <w:t>The final voting results for each proposal are described below. For beneficial owners holding the Corporation’s common stock at a bank or brokerage institution, a “broker non-vote” occurred if the owner failed to give voting instructions, and the bank or broker was otherwise restricted from voting on the owner’s behalf.</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Two Class III directors were elected, and the aggregate votes cast for or against, as well as votes withheld and broker non-votes were as follows:</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900" w:type="dxa"/>
            <w:vAlign w:val="bottom"/>
          </w:tcPr>
          <w:p>
            <w:pPr>
              <w:spacing w:after="0"/>
              <w:rPr>
                <w:sz w:val="14"/>
                <w:szCs w:val="14"/>
                <w:color w:val="auto"/>
              </w:rPr>
            </w:pPr>
          </w:p>
        </w:tc>
        <w:tc>
          <w:tcPr>
            <w:tcW w:w="13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For</w:t>
            </w:r>
          </w:p>
        </w:tc>
        <w:tc>
          <w:tcPr>
            <w:tcW w:w="9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85"/>
              </w:rPr>
              <w:t>Against</w:t>
            </w: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Withheld</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Broker Non-Votes</w:t>
            </w:r>
          </w:p>
        </w:tc>
      </w:t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William Dries</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21,322,378</w:t>
            </w:r>
          </w:p>
        </w:tc>
        <w:tc>
          <w:tcPr>
            <w:tcW w:w="4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575,780</w:t>
            </w:r>
          </w:p>
        </w:tc>
        <w:tc>
          <w:tcPr>
            <w:tcW w:w="4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2,372,081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900" w:type="dxa"/>
            <w:vAlign w:val="bottom"/>
          </w:tcPr>
          <w:p>
            <w:pPr>
              <w:spacing w:after="0"/>
              <w:rPr>
                <w:sz w:val="20"/>
                <w:szCs w:val="20"/>
                <w:color w:val="auto"/>
              </w:rPr>
            </w:pPr>
            <w:r>
              <w:rPr>
                <w:rFonts w:ascii="Arial" w:cs="Arial" w:eastAsia="Arial" w:hAnsi="Arial"/>
                <w:sz w:val="18"/>
                <w:szCs w:val="18"/>
                <w:color w:val="auto"/>
              </w:rPr>
              <w:t>David K. Floyd</w:t>
            </w:r>
          </w:p>
        </w:tc>
        <w:tc>
          <w:tcPr>
            <w:tcW w:w="1340" w:type="dxa"/>
            <w:vAlign w:val="bottom"/>
            <w:gridSpan w:val="2"/>
          </w:tcPr>
          <w:p>
            <w:pPr>
              <w:jc w:val="right"/>
              <w:ind w:right="480"/>
              <w:spacing w:after="0"/>
              <w:rPr>
                <w:sz w:val="20"/>
                <w:szCs w:val="20"/>
                <w:color w:val="auto"/>
              </w:rPr>
            </w:pPr>
            <w:r>
              <w:rPr>
                <w:rFonts w:ascii="Arial" w:cs="Arial" w:eastAsia="Arial" w:hAnsi="Arial"/>
                <w:sz w:val="18"/>
                <w:szCs w:val="18"/>
                <w:color w:val="auto"/>
                <w:w w:val="93"/>
              </w:rPr>
              <w:t>21,402,700</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480"/>
              <w:spacing w:after="0"/>
              <w:rPr>
                <w:sz w:val="20"/>
                <w:szCs w:val="20"/>
                <w:color w:val="auto"/>
              </w:rPr>
            </w:pPr>
            <w:r>
              <w:rPr>
                <w:rFonts w:ascii="Arial" w:cs="Arial" w:eastAsia="Arial" w:hAnsi="Arial"/>
                <w:sz w:val="18"/>
                <w:szCs w:val="18"/>
                <w:color w:val="auto"/>
                <w:w w:val="95"/>
              </w:rPr>
              <w:t>495,458</w:t>
            </w:r>
          </w:p>
        </w:tc>
        <w:tc>
          <w:tcPr>
            <w:tcW w:w="1100" w:type="dxa"/>
            <w:vAlign w:val="bottom"/>
          </w:tcPr>
          <w:p>
            <w:pPr>
              <w:jc w:val="right"/>
              <w:spacing w:after="0"/>
              <w:rPr>
                <w:sz w:val="20"/>
                <w:szCs w:val="20"/>
                <w:color w:val="auto"/>
              </w:rPr>
            </w:pPr>
            <w:r>
              <w:rPr>
                <w:rFonts w:ascii="Arial" w:cs="Arial" w:eastAsia="Arial" w:hAnsi="Arial"/>
                <w:sz w:val="18"/>
                <w:szCs w:val="18"/>
                <w:color w:val="auto"/>
              </w:rPr>
              <w:t>2,372,081</w:t>
            </w:r>
          </w:p>
        </w:tc>
        <w:tc>
          <w:tcPr>
            <w:tcW w:w="10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The advisory (non-binding) vote on the executive compensation of the Corporation’s named executive officers was approved, and the aggregate votes cast for or against, as well as abstentions and broker non-votes, were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1040" w:type="dxa"/>
            <w:vAlign w:val="bottom"/>
          </w:tcPr>
          <w:p>
            <w:pPr>
              <w:spacing w:after="0"/>
              <w:rPr>
                <w:sz w:val="14"/>
                <w:szCs w:val="14"/>
                <w:color w:val="auto"/>
              </w:rPr>
            </w:pPr>
          </w:p>
        </w:tc>
        <w:tc>
          <w:tcPr>
            <w:tcW w:w="2720" w:type="dxa"/>
            <w:vAlign w:val="bottom"/>
            <w:gridSpan w:val="2"/>
          </w:tcPr>
          <w:p>
            <w:pPr>
              <w:jc w:val="center"/>
              <w:ind w:right="2500"/>
              <w:spacing w:after="0"/>
              <w:rPr>
                <w:sz w:val="20"/>
                <w:szCs w:val="20"/>
                <w:color w:val="auto"/>
              </w:rPr>
            </w:pPr>
            <w:r>
              <w:rPr>
                <w:rFonts w:ascii="Arial" w:cs="Arial" w:eastAsia="Arial" w:hAnsi="Arial"/>
                <w:sz w:val="14"/>
                <w:szCs w:val="14"/>
                <w:b w:val="1"/>
                <w:bCs w:val="1"/>
                <w:color w:val="auto"/>
                <w:w w:val="97"/>
              </w:rPr>
              <w:t>For</w:t>
            </w:r>
          </w:p>
        </w:tc>
        <w:tc>
          <w:tcPr>
            <w:tcW w:w="2340" w:type="dxa"/>
            <w:vAlign w:val="bottom"/>
            <w:gridSpan w:val="2"/>
          </w:tcPr>
          <w:p>
            <w:pPr>
              <w:ind w:left="160"/>
              <w:spacing w:after="0"/>
              <w:rPr>
                <w:sz w:val="20"/>
                <w:szCs w:val="20"/>
                <w:color w:val="auto"/>
              </w:rPr>
            </w:pPr>
            <w:r>
              <w:rPr>
                <w:rFonts w:ascii="Arial" w:cs="Arial" w:eastAsia="Arial" w:hAnsi="Arial"/>
                <w:sz w:val="14"/>
                <w:szCs w:val="14"/>
                <w:b w:val="1"/>
                <w:bCs w:val="1"/>
                <w:color w:val="auto"/>
              </w:rPr>
              <w:t>Against</w:t>
            </w:r>
          </w:p>
        </w:tc>
        <w:tc>
          <w:tcPr>
            <w:tcW w:w="2280" w:type="dxa"/>
            <w:vAlign w:val="bottom"/>
            <w:gridSpan w:val="2"/>
          </w:tcPr>
          <w:p>
            <w:pPr>
              <w:jc w:val="right"/>
              <w:ind w:right="1560"/>
              <w:spacing w:after="0"/>
              <w:rPr>
                <w:sz w:val="20"/>
                <w:szCs w:val="20"/>
                <w:color w:val="auto"/>
              </w:rPr>
            </w:pPr>
            <w:r>
              <w:rPr>
                <w:rFonts w:ascii="Arial" w:cs="Arial" w:eastAsia="Arial" w:hAnsi="Arial"/>
                <w:sz w:val="14"/>
                <w:szCs w:val="14"/>
                <w:b w:val="1"/>
                <w:bCs w:val="1"/>
                <w:color w:val="auto"/>
                <w:w w:val="86"/>
              </w:rPr>
              <w:t>Abstentions</w:t>
            </w:r>
          </w:p>
        </w:tc>
        <w:tc>
          <w:tcPr>
            <w:tcW w:w="12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Broker Non-Votes</w:t>
            </w:r>
          </w:p>
        </w:tc>
      </w:tr>
      <w:tr>
        <w:trPr>
          <w:trHeight w:val="20"/>
        </w:trPr>
        <w:tc>
          <w:tcPr>
            <w:tcW w:w="1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3760" w:type="dxa"/>
            <w:vAlign w:val="bottom"/>
            <w:gridSpan w:val="3"/>
            <w:shd w:val="clear" w:color="auto" w:fill="CCEEFF"/>
          </w:tcPr>
          <w:p>
            <w:pPr>
              <w:jc w:val="right"/>
              <w:ind w:right="2200"/>
              <w:spacing w:after="0" w:line="203" w:lineRule="exact"/>
              <w:rPr>
                <w:sz w:val="20"/>
                <w:szCs w:val="20"/>
                <w:color w:val="auto"/>
              </w:rPr>
            </w:pPr>
            <w:r>
              <w:rPr>
                <w:rFonts w:ascii="Arial" w:cs="Arial" w:eastAsia="Arial" w:hAnsi="Arial"/>
                <w:sz w:val="18"/>
                <w:szCs w:val="18"/>
                <w:color w:val="auto"/>
              </w:rPr>
              <w:t>13,729,595</w:t>
            </w:r>
          </w:p>
        </w:tc>
        <w:tc>
          <w:tcPr>
            <w:tcW w:w="7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7,968,084</w:t>
            </w:r>
          </w:p>
        </w:tc>
        <w:tc>
          <w:tcPr>
            <w:tcW w:w="15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200,479</w:t>
            </w:r>
          </w:p>
        </w:tc>
        <w:tc>
          <w:tcPr>
            <w:tcW w:w="15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2,372,081</w:t>
            </w:r>
          </w:p>
        </w:tc>
        <w:tc>
          <w:tcPr>
            <w:tcW w:w="100" w:type="dxa"/>
            <w:vAlign w:val="bottom"/>
            <w:shd w:val="clear" w:color="auto" w:fill="CCEEFF"/>
          </w:tcPr>
          <w:p>
            <w:pPr>
              <w:spacing w:after="0"/>
              <w:rPr>
                <w:sz w:val="17"/>
                <w:szCs w:val="17"/>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Audit Committee’s selection of PricewaterhouseCoopers LLP as the Corporation’s registered independent public accounting firm for the fiscal year ending December 31, 2016 was ratified, and the aggregate votes cast for, against and abstentions, were as follows:</w:t>
      </w:r>
    </w:p>
    <w:p>
      <w:pPr>
        <w:sectPr>
          <w:pgSz w:w="11900" w:h="16838" w:orient="portrait"/>
          <w:cols w:equalWidth="0" w:num="1">
            <w:col w:w="11420"/>
          </w:cols>
          <w:pgMar w:left="240" w:top="270" w:right="239" w:bottom="1440" w:gutter="0" w:footer="0" w:header="0"/>
        </w:sectPr>
      </w:pPr>
    </w:p>
    <w:bookmarkStart w:id="2" w:name="page3"/>
    <w:bookmarkEnd w:id="2"/>
    <w:tbl>
      <w:tblPr>
        <w:tblLayout w:type="fixed"/>
        <w:tblInd w:w="1380" w:type="dxa"/>
        <w:tblCellMar>
          <w:top w:w="0" w:type="dxa"/>
          <w:left w:w="0" w:type="dxa"/>
          <w:bottom w:w="0" w:type="dxa"/>
          <w:right w:w="0" w:type="dxa"/>
        </w:tblCellMar>
      </w:tblPr>
      <w:tr>
        <w:trPr>
          <w:trHeight w:val="171"/>
        </w:trPr>
        <w:tc>
          <w:tcPr>
            <w:tcW w:w="1320" w:type="dxa"/>
            <w:vAlign w:val="bottom"/>
          </w:tcPr>
          <w:p>
            <w:pPr>
              <w:spacing w:after="0"/>
              <w:rPr>
                <w:sz w:val="14"/>
                <w:szCs w:val="14"/>
                <w:color w:val="auto"/>
              </w:rPr>
            </w:pPr>
          </w:p>
        </w:tc>
        <w:tc>
          <w:tcPr>
            <w:tcW w:w="3660" w:type="dxa"/>
            <w:vAlign w:val="bottom"/>
            <w:gridSpan w:val="2"/>
          </w:tcPr>
          <w:p>
            <w:pPr>
              <w:jc w:val="center"/>
              <w:ind w:right="3440"/>
              <w:spacing w:after="0"/>
              <w:rPr>
                <w:sz w:val="20"/>
                <w:szCs w:val="20"/>
                <w:color w:val="auto"/>
              </w:rPr>
            </w:pPr>
            <w:r>
              <w:rPr>
                <w:rFonts w:ascii="Arial" w:cs="Arial" w:eastAsia="Arial" w:hAnsi="Arial"/>
                <w:sz w:val="14"/>
                <w:szCs w:val="14"/>
                <w:b w:val="1"/>
                <w:bCs w:val="1"/>
                <w:color w:val="auto"/>
                <w:w w:val="97"/>
              </w:rPr>
              <w:t>For</w:t>
            </w:r>
          </w:p>
        </w:tc>
        <w:tc>
          <w:tcPr>
            <w:tcW w:w="660" w:type="dxa"/>
            <w:vAlign w:val="bottom"/>
          </w:tcPr>
          <w:p>
            <w:pPr>
              <w:jc w:val="right"/>
              <w:ind w:right="19"/>
              <w:spacing w:after="0"/>
              <w:rPr>
                <w:sz w:val="20"/>
                <w:szCs w:val="20"/>
                <w:color w:val="auto"/>
              </w:rPr>
            </w:pPr>
            <w:r>
              <w:rPr>
                <w:rFonts w:ascii="Arial" w:cs="Arial" w:eastAsia="Arial" w:hAnsi="Arial"/>
                <w:sz w:val="14"/>
                <w:szCs w:val="14"/>
                <w:b w:val="1"/>
                <w:bCs w:val="1"/>
                <w:color w:val="auto"/>
              </w:rPr>
              <w:t>Against</w:t>
            </w:r>
          </w:p>
        </w:tc>
        <w:tc>
          <w:tcPr>
            <w:tcW w:w="30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Abstentions</w:t>
            </w:r>
          </w:p>
        </w:tc>
      </w:tr>
      <w:tr>
        <w:trPr>
          <w:trHeight w:val="20"/>
        </w:trPr>
        <w:tc>
          <w:tcPr>
            <w:tcW w:w="13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shd w:val="clear" w:color="auto" w:fill="000000"/>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r>
      <w:tr>
        <w:trPr>
          <w:trHeight w:val="203"/>
        </w:trPr>
        <w:tc>
          <w:tcPr>
            <w:tcW w:w="4980" w:type="dxa"/>
            <w:vAlign w:val="bottom"/>
            <w:gridSpan w:val="3"/>
            <w:shd w:val="clear" w:color="auto" w:fill="CCEEFF"/>
          </w:tcPr>
          <w:p>
            <w:pPr>
              <w:jc w:val="right"/>
              <w:ind w:right="3140"/>
              <w:spacing w:after="0" w:line="203" w:lineRule="exact"/>
              <w:rPr>
                <w:sz w:val="20"/>
                <w:szCs w:val="20"/>
                <w:color w:val="auto"/>
              </w:rPr>
            </w:pPr>
            <w:r>
              <w:rPr>
                <w:rFonts w:ascii="Arial" w:cs="Arial" w:eastAsia="Arial" w:hAnsi="Arial"/>
                <w:sz w:val="18"/>
                <w:szCs w:val="18"/>
                <w:color w:val="auto"/>
              </w:rPr>
              <w:t>23,589,655</w:t>
            </w:r>
          </w:p>
        </w:tc>
        <w:tc>
          <w:tcPr>
            <w:tcW w:w="6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657,301</w:t>
            </w:r>
          </w:p>
        </w:tc>
        <w:tc>
          <w:tcPr>
            <w:tcW w:w="2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23,283</w:t>
            </w:r>
          </w:p>
        </w:tc>
        <w:tc>
          <w:tcPr>
            <w:tcW w:w="100" w:type="dxa"/>
            <w:vAlign w:val="bottom"/>
            <w:shd w:val="clear" w:color="auto" w:fill="CCEEFF"/>
          </w:tcPr>
          <w:p>
            <w:pPr>
              <w:spacing w:after="0"/>
              <w:rPr>
                <w:sz w:val="17"/>
                <w:szCs w:val="17"/>
                <w:color w:val="auto"/>
              </w:rPr>
            </w:pPr>
          </w:p>
        </w:tc>
      </w:tr>
    </w:tbl>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i w:val="1"/>
          <w:iCs w:val="1"/>
          <w:color w:val="auto"/>
        </w:rPr>
        <w:t>Proposal 4</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Corporation’s Amended and Restated 2011 Stock Incentive Plan was approved, and the aggregate votes cast for or against, as well as abstentions and broker non-votes, were as follows:</w:t>
      </w:r>
    </w:p>
    <w:p>
      <w:pPr>
        <w:spacing w:after="0" w:line="17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w:t>
            </w:r>
          </w:p>
        </w:tc>
        <w:tc>
          <w:tcPr>
            <w:tcW w:w="2620" w:type="dxa"/>
            <w:vAlign w:val="bottom"/>
            <w:vMerge w:val="restart"/>
          </w:tcPr>
          <w:p>
            <w:pPr>
              <w:spacing w:after="0"/>
              <w:rPr>
                <w:sz w:val="14"/>
                <w:szCs w:val="14"/>
                <w:color w:val="auto"/>
              </w:rPr>
            </w:pPr>
          </w:p>
        </w:tc>
        <w:tc>
          <w:tcPr>
            <w:tcW w:w="23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Against</w:t>
            </w:r>
          </w:p>
        </w:tc>
        <w:tc>
          <w:tcPr>
            <w:tcW w:w="2320" w:type="dxa"/>
            <w:vAlign w:val="bottom"/>
            <w:gridSpan w:val="2"/>
            <w:vMerge w:val="restart"/>
          </w:tcPr>
          <w:p>
            <w:pPr>
              <w:jc w:val="right"/>
              <w:ind w:right="1600"/>
              <w:spacing w:after="0"/>
              <w:rPr>
                <w:sz w:val="20"/>
                <w:szCs w:val="20"/>
                <w:color w:val="auto"/>
              </w:rPr>
            </w:pPr>
            <w:r>
              <w:rPr>
                <w:rFonts w:ascii="Arial" w:cs="Arial" w:eastAsia="Arial" w:hAnsi="Arial"/>
                <w:sz w:val="14"/>
                <w:szCs w:val="14"/>
                <w:b w:val="1"/>
                <w:bCs w:val="1"/>
                <w:color w:val="auto"/>
                <w:w w:val="86"/>
              </w:rPr>
              <w:t>Abstentions</w:t>
            </w:r>
          </w:p>
        </w:tc>
        <w:tc>
          <w:tcPr>
            <w:tcW w:w="880" w:type="dxa"/>
            <w:vAlign w:val="bottom"/>
            <w:gridSpan w:val="2"/>
          </w:tcPr>
          <w:p>
            <w:pPr>
              <w:ind w:left="180"/>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8"/>
        </w:trPr>
        <w:tc>
          <w:tcPr>
            <w:tcW w:w="1140" w:type="dxa"/>
            <w:vAlign w:val="bottom"/>
          </w:tcPr>
          <w:p>
            <w:pPr>
              <w:spacing w:after="0"/>
              <w:rPr>
                <w:sz w:val="15"/>
                <w:szCs w:val="15"/>
                <w:color w:val="auto"/>
              </w:rPr>
            </w:pPr>
          </w:p>
        </w:tc>
        <w:tc>
          <w:tcPr>
            <w:tcW w:w="240" w:type="dxa"/>
            <w:vAlign w:val="bottom"/>
            <w:tcBorders>
              <w:bottom w:val="single" w:sz="8" w:color="auto"/>
            </w:tcBorders>
            <w:vMerge w:val="continue"/>
          </w:tcPr>
          <w:p>
            <w:pPr>
              <w:spacing w:after="0"/>
              <w:rPr>
                <w:sz w:val="15"/>
                <w:szCs w:val="15"/>
                <w:color w:val="auto"/>
              </w:rPr>
            </w:pPr>
          </w:p>
        </w:tc>
        <w:tc>
          <w:tcPr>
            <w:tcW w:w="2620" w:type="dxa"/>
            <w:vAlign w:val="bottom"/>
            <w:vMerge w:val="continue"/>
          </w:tcPr>
          <w:p>
            <w:pPr>
              <w:spacing w:after="0"/>
              <w:rPr>
                <w:sz w:val="15"/>
                <w:szCs w:val="15"/>
                <w:color w:val="auto"/>
              </w:rPr>
            </w:pPr>
          </w:p>
        </w:tc>
        <w:tc>
          <w:tcPr>
            <w:tcW w:w="2380" w:type="dxa"/>
            <w:vAlign w:val="bottom"/>
            <w:gridSpan w:val="2"/>
            <w:vMerge w:val="continue"/>
          </w:tcPr>
          <w:p>
            <w:pPr>
              <w:spacing w:after="0"/>
              <w:rPr>
                <w:sz w:val="15"/>
                <w:szCs w:val="15"/>
                <w:color w:val="auto"/>
              </w:rPr>
            </w:pPr>
          </w:p>
        </w:tc>
        <w:tc>
          <w:tcPr>
            <w:tcW w:w="2320" w:type="dxa"/>
            <w:vAlign w:val="bottom"/>
            <w:gridSpan w:val="2"/>
            <w:vMerge w:val="continue"/>
          </w:tcPr>
          <w:p>
            <w:pPr>
              <w:spacing w:after="0"/>
              <w:rPr>
                <w:sz w:val="15"/>
                <w:szCs w:val="15"/>
                <w:color w:val="auto"/>
              </w:rPr>
            </w:pPr>
          </w:p>
        </w:tc>
        <w:tc>
          <w:tcPr>
            <w:tcW w:w="88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03"/>
        </w:trPr>
        <w:tc>
          <w:tcPr>
            <w:tcW w:w="4000" w:type="dxa"/>
            <w:vAlign w:val="bottom"/>
            <w:tcBorders>
              <w:top w:val="single" w:sz="8" w:color="CCEEFF"/>
            </w:tcBorders>
            <w:gridSpan w:val="3"/>
            <w:shd w:val="clear" w:color="auto" w:fill="CCEEFF"/>
          </w:tcPr>
          <w:p>
            <w:pPr>
              <w:jc w:val="right"/>
              <w:ind w:right="2340"/>
              <w:spacing w:after="0" w:line="203" w:lineRule="exact"/>
              <w:rPr>
                <w:sz w:val="20"/>
                <w:szCs w:val="20"/>
                <w:color w:val="auto"/>
              </w:rPr>
            </w:pPr>
            <w:r>
              <w:rPr>
                <w:rFonts w:ascii="Arial" w:cs="Arial" w:eastAsia="Arial" w:hAnsi="Arial"/>
                <w:sz w:val="18"/>
                <w:szCs w:val="18"/>
                <w:color w:val="auto"/>
              </w:rPr>
              <w:t>19,053,295</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2,796,877</w:t>
            </w:r>
          </w:p>
        </w:tc>
        <w:tc>
          <w:tcPr>
            <w:tcW w:w="16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47,986</w:t>
            </w:r>
          </w:p>
        </w:tc>
        <w:tc>
          <w:tcPr>
            <w:tcW w:w="15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2,372,081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240" w:top="265" w:right="439" w:bottom="1440" w:gutter="0" w:footer="0" w:header="0"/>
        </w:sectPr>
      </w:pPr>
    </w:p>
    <w:bookmarkStart w:id="3" w:name="page4"/>
    <w:bookmarkEnd w:id="3"/>
    <w:p>
      <w:pPr>
        <w:jc w:val="center"/>
        <w:ind w:right="-6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2016</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Matthew S. Heiter</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Matthew S. Heiter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Title:  Senior Vice President and General Counsel</w:t>
      </w:r>
    </w:p>
    <w:sectPr>
      <w:pgSz w:w="11900" w:h="16838" w:orient="portrait"/>
      <w:cols w:equalWidth="0" w:num="1">
        <w:col w:w="10740"/>
      </w:cols>
      <w:pgMar w:left="240" w:top="27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2019-12-06T05:06:25Z</dcterms:created>
  <dcterms:modified xsi:type="dcterms:W3CDTF">2019-12-06T05:06:25Z</dcterms:modified>
</cp:coreProperties>
</file>