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20"/>
        <w:spacing w:after="0"/>
        <w:rPr>
          <w:sz w:val="20"/>
          <w:szCs w:val="20"/>
          <w:color w:val="auto"/>
        </w:rPr>
      </w:pPr>
      <w:r>
        <w:rPr>
          <w:rFonts w:ascii="Courier New" w:cs="Courier New" w:eastAsia="Courier New" w:hAnsi="Courier New"/>
          <w:sz w:val="14"/>
          <w:szCs w:val="14"/>
          <w:b w:val="1"/>
          <w:bCs w:val="1"/>
          <w:color w:val="auto"/>
        </w:rPr>
        <w:t>================================================================================</w:t>
      </w:r>
    </w:p>
    <w:p>
      <w:pPr>
        <w:spacing w:after="0" w:line="170"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6"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Washington, D.C. 20549</w:t>
      </w:r>
    </w:p>
    <w:p>
      <w:pPr>
        <w:spacing w:after="0" w:line="335"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b w:val="1"/>
          <w:bCs w:val="1"/>
          <w:color w:val="auto"/>
        </w:rPr>
        <w:t>FORM 10-Q</w:t>
      </w:r>
    </w:p>
    <w:p>
      <w:pPr>
        <w:spacing w:after="0" w:line="170" w:lineRule="exact"/>
        <w:rPr>
          <w:sz w:val="24"/>
          <w:szCs w:val="24"/>
          <w:color w:val="auto"/>
        </w:rPr>
      </w:pPr>
    </w:p>
    <w:p>
      <w:pPr>
        <w:ind w:right="5460" w:firstLine="8"/>
        <w:spacing w:after="0" w:line="251" w:lineRule="auto"/>
        <w:tabs>
          <w:tab w:leader="none" w:pos="34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1" w:lineRule="exact"/>
        <w:rPr>
          <w:sz w:val="24"/>
          <w:szCs w:val="24"/>
          <w:color w:val="auto"/>
        </w:rPr>
      </w:pPr>
    </w:p>
    <w:p>
      <w:pPr>
        <w:ind w:left="1540"/>
        <w:spacing w:after="0"/>
        <w:rPr>
          <w:sz w:val="20"/>
          <w:szCs w:val="20"/>
          <w:color w:val="auto"/>
        </w:rPr>
      </w:pPr>
      <w:r>
        <w:rPr>
          <w:rFonts w:ascii="Courier New" w:cs="Courier New" w:eastAsia="Courier New" w:hAnsi="Courier New"/>
          <w:sz w:val="14"/>
          <w:szCs w:val="14"/>
          <w:color w:val="auto"/>
        </w:rPr>
        <w:t>For the quarterly period ended March 31, 2002</w:t>
      </w:r>
    </w:p>
    <w:p>
      <w:pPr>
        <w:spacing w:after="0" w:line="6" w:lineRule="exact"/>
        <w:rPr>
          <w:sz w:val="24"/>
          <w:szCs w:val="24"/>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4"/>
          <w:szCs w:val="24"/>
          <w:color w:val="auto"/>
        </w:rPr>
      </w:pPr>
    </w:p>
    <w:p>
      <w:pPr>
        <w:ind w:left="3340"/>
        <w:spacing w:after="0"/>
        <w:rPr>
          <w:sz w:val="20"/>
          <w:szCs w:val="20"/>
          <w:color w:val="auto"/>
        </w:rPr>
      </w:pPr>
      <w:r>
        <w:rPr>
          <w:rFonts w:ascii="Courier New" w:cs="Courier New" w:eastAsia="Courier New" w:hAnsi="Courier New"/>
          <w:sz w:val="14"/>
          <w:szCs w:val="14"/>
          <w:color w:val="auto"/>
        </w:rPr>
        <w:t>OR</w:t>
      </w:r>
    </w:p>
    <w:p>
      <w:pPr>
        <w:spacing w:after="0" w:line="170" w:lineRule="exact"/>
        <w:rPr>
          <w:sz w:val="24"/>
          <w:szCs w:val="24"/>
          <w:color w:val="auto"/>
        </w:rPr>
      </w:pPr>
    </w:p>
    <w:p>
      <w:pPr>
        <w:ind w:right="5380" w:firstLine="8"/>
        <w:spacing w:after="0" w:line="251" w:lineRule="auto"/>
        <w:tabs>
          <w:tab w:leader="none" w:pos="17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1"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335" w:lineRule="exact"/>
        <w:rPr>
          <w:sz w:val="24"/>
          <w:szCs w:val="24"/>
          <w:color w:val="auto"/>
        </w:rPr>
      </w:pPr>
    </w:p>
    <w:p>
      <w:pPr>
        <w:ind w:left="2140"/>
        <w:spacing w:after="0"/>
        <w:rPr>
          <w:sz w:val="20"/>
          <w:szCs w:val="20"/>
          <w:color w:val="auto"/>
        </w:rPr>
      </w:pPr>
      <w:r>
        <w:rPr>
          <w:rFonts w:ascii="Courier New" w:cs="Courier New" w:eastAsia="Courier New" w:hAnsi="Courier New"/>
          <w:sz w:val="14"/>
          <w:szCs w:val="14"/>
          <w:color w:val="auto"/>
        </w:rPr>
        <w:t>Commission File Number 0-23486</w:t>
      </w:r>
    </w:p>
    <w:p>
      <w:pPr>
        <w:spacing w:after="0" w:line="6" w:lineRule="exact"/>
        <w:rPr>
          <w:sz w:val="24"/>
          <w:szCs w:val="24"/>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35"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460"/>
          </w:cols>
          <w:pgMar w:left="220" w:top="393" w:right="219" w:bottom="0" w:gutter="0" w:footer="0" w:header="0"/>
        </w:sectPr>
      </w:pPr>
    </w:p>
    <w:p>
      <w:pPr>
        <w:spacing w:after="0" w:line="335"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b w:val="1"/>
          <w:bCs w:val="1"/>
          <w:color w:val="auto"/>
        </w:rPr>
        <w:t>Delaware</w:t>
      </w:r>
    </w:p>
    <w:p>
      <w:pPr>
        <w:spacing w:after="0" w:line="6"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(State or other jurisdiction of</w:t>
      </w:r>
    </w:p>
    <w:p>
      <w:pPr>
        <w:spacing w:after="0" w:line="6"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b w:val="1"/>
          <w:bCs w:val="1"/>
          <w:color w:val="auto"/>
        </w:rPr>
        <w:t>62-1096725</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0" w:lineRule="exact"/>
        <w:rPr>
          <w:sz w:val="24"/>
          <w:szCs w:val="24"/>
          <w:color w:val="auto"/>
        </w:rPr>
      </w:pPr>
    </w:p>
    <w:p>
      <w:pPr>
        <w:sectPr>
          <w:pgSz w:w="11900" w:h="16838" w:orient="portrait"/>
          <w:cols w:equalWidth="0" w:num="2">
            <w:col w:w="3860" w:space="500"/>
            <w:col w:w="7100"/>
          </w:cols>
          <w:pgMar w:left="220" w:top="393" w:right="219" w:bottom="0" w:gutter="0" w:footer="0" w:header="0"/>
          <w:type w:val="continuous"/>
        </w:sectPr>
      </w:pPr>
    </w:p>
    <w:p>
      <w:pPr>
        <w:ind w:left="2480"/>
        <w:spacing w:after="0"/>
        <w:rPr>
          <w:sz w:val="20"/>
          <w:szCs w:val="20"/>
          <w:color w:val="auto"/>
        </w:rPr>
      </w:pPr>
      <w:r>
        <w:rPr>
          <w:rFonts w:ascii="Courier New" w:cs="Courier New" w:eastAsia="Courier New" w:hAnsi="Courier New"/>
          <w:sz w:val="14"/>
          <w:szCs w:val="14"/>
          <w:b w:val="1"/>
          <w:bCs w:val="1"/>
          <w:color w:val="auto"/>
        </w:rPr>
        <w:t>2000 Waters Edge Drive</w:t>
      </w:r>
    </w:p>
    <w:p>
      <w:pPr>
        <w:spacing w:after="0" w:line="6" w:lineRule="exact"/>
        <w:rPr>
          <w:sz w:val="24"/>
          <w:szCs w:val="24"/>
          <w:color w:val="auto"/>
        </w:rPr>
      </w:pPr>
    </w:p>
    <w:p>
      <w:pPr>
        <w:ind w:left="2580"/>
        <w:spacing w:after="0"/>
        <w:rPr>
          <w:sz w:val="20"/>
          <w:szCs w:val="20"/>
          <w:color w:val="auto"/>
        </w:rPr>
      </w:pPr>
      <w:r>
        <w:rPr>
          <w:rFonts w:ascii="Courier New" w:cs="Courier New" w:eastAsia="Courier New" w:hAnsi="Courier New"/>
          <w:sz w:val="14"/>
          <w:szCs w:val="14"/>
          <w:b w:val="1"/>
          <w:bCs w:val="1"/>
          <w:color w:val="auto"/>
        </w:rPr>
        <w:t>Building C, Suite 12</w:t>
      </w:r>
    </w:p>
    <w:p>
      <w:pPr>
        <w:spacing w:after="0" w:line="6"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b w:val="1"/>
          <w:bCs w:val="1"/>
          <w:color w:val="auto"/>
        </w:rPr>
        <w:t>Johnson City, Tennessee 37604</w:t>
      </w:r>
    </w:p>
    <w:p>
      <w:pPr>
        <w:spacing w:after="0" w:line="6"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0" w:lineRule="exact"/>
        <w:rPr>
          <w:sz w:val="24"/>
          <w:szCs w:val="24"/>
          <w:color w:val="auto"/>
        </w:rPr>
      </w:pPr>
    </w:p>
    <w:p>
      <w:pPr>
        <w:jc w:val="center"/>
        <w:ind w:right="4600"/>
        <w:spacing w:after="0"/>
        <w:rPr>
          <w:sz w:val="20"/>
          <w:szCs w:val="20"/>
          <w:color w:val="auto"/>
        </w:rPr>
      </w:pPr>
      <w:r>
        <w:rPr>
          <w:rFonts w:ascii="Courier New" w:cs="Courier New" w:eastAsia="Courier New" w:hAnsi="Courier New"/>
          <w:sz w:val="14"/>
          <w:szCs w:val="14"/>
          <w:b w:val="1"/>
          <w:bCs w:val="1"/>
          <w:color w:val="auto"/>
        </w:rPr>
        <w:t>(423) 743-9151</w:t>
      </w:r>
    </w:p>
    <w:p>
      <w:pPr>
        <w:spacing w:after="0" w:line="6" w:lineRule="exact"/>
        <w:rPr>
          <w:sz w:val="24"/>
          <w:szCs w:val="24"/>
          <w:color w:val="auto"/>
        </w:rPr>
      </w:pPr>
    </w:p>
    <w:p>
      <w:pPr>
        <w:jc w:val="center"/>
        <w:ind w:right="46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5" w:lineRule="exact"/>
        <w:rPr>
          <w:sz w:val="24"/>
          <w:szCs w:val="24"/>
          <w:color w:val="auto"/>
        </w:rPr>
      </w:pPr>
    </w:p>
    <w:p>
      <w:pPr>
        <w:ind w:right="4620"/>
        <w:spacing w:after="0" w:line="249"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64" w:lineRule="exact"/>
        <w:rPr>
          <w:sz w:val="24"/>
          <w:szCs w:val="24"/>
          <w:color w:val="auto"/>
        </w:rPr>
      </w:pPr>
    </w:p>
    <w:p>
      <w:pPr>
        <w:ind w:right="5120"/>
        <w:spacing w:after="0" w:line="251" w:lineRule="auto"/>
        <w:rPr>
          <w:sz w:val="20"/>
          <w:szCs w:val="20"/>
          <w:color w:val="auto"/>
        </w:rPr>
      </w:pPr>
      <w:r>
        <w:rPr>
          <w:rFonts w:ascii="Courier New" w:cs="Courier New" w:eastAsia="Courier New" w:hAnsi="Courier New"/>
          <w:sz w:val="14"/>
          <w:szCs w:val="14"/>
          <w:color w:val="auto"/>
        </w:rPr>
        <w:t>As of May 10, 2002 there were 15,359,773 shares of the registrant's common stock, par value $0.01 per share, outstanding.</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b w:val="1"/>
          <w:bCs w:val="1"/>
          <w:color w:val="auto"/>
        </w:rPr>
        <w:t>INDEX</w:t>
      </w:r>
    </w:p>
    <w:p>
      <w:pPr>
        <w:spacing w:after="0" w:line="335" w:lineRule="exact"/>
        <w:rPr>
          <w:sz w:val="24"/>
          <w:szCs w:val="24"/>
          <w:color w:val="auto"/>
        </w:rPr>
      </w:pPr>
    </w:p>
    <w:p>
      <w:pPr>
        <w:ind w:left="8480"/>
        <w:spacing w:after="0"/>
        <w:rPr>
          <w:sz w:val="20"/>
          <w:szCs w:val="20"/>
          <w:color w:val="auto"/>
        </w:rPr>
      </w:pPr>
      <w:r>
        <w:rPr>
          <w:rFonts w:ascii="Courier New" w:cs="Courier New" w:eastAsia="Courier New" w:hAnsi="Courier New"/>
          <w:sz w:val="14"/>
          <w:szCs w:val="14"/>
          <w:u w:val="single" w:color="auto"/>
          <w:color w:val="auto"/>
        </w:rPr>
        <w:t>Page No.</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Part I. Financial Information</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3380" w:type="dxa"/>
            <w:vAlign w:val="bottom"/>
          </w:tcPr>
          <w:p>
            <w:pPr>
              <w:spacing w:after="0"/>
              <w:rPr>
                <w:sz w:val="13"/>
                <w:szCs w:val="13"/>
                <w:color w:val="auto"/>
              </w:rPr>
            </w:pPr>
          </w:p>
        </w:tc>
      </w:tr>
      <w:tr>
        <w:trPr>
          <w:trHeight w:val="329"/>
        </w:trPr>
        <w:tc>
          <w:tcPr>
            <w:tcW w:w="74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Consolidated</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Statements of Income and Comprehensive Income (Loss) for the three</w:t>
            </w:r>
          </w:p>
        </w:tc>
        <w:tc>
          <w:tcPr>
            <w:tcW w:w="3380" w:type="dxa"/>
            <w:vAlign w:val="bottom"/>
          </w:tcPr>
          <w:p>
            <w:pPr>
              <w:spacing w:after="0"/>
              <w:rPr>
                <w:sz w:val="24"/>
                <w:szCs w:val="24"/>
                <w:color w:val="auto"/>
              </w:rPr>
            </w:pPr>
          </w:p>
        </w:tc>
      </w:tr>
      <w:tr>
        <w:trPr>
          <w:trHeight w:val="164"/>
        </w:trPr>
        <w:tc>
          <w:tcPr>
            <w:tcW w:w="740" w:type="dxa"/>
            <w:vAlign w:val="bottom"/>
          </w:tcPr>
          <w:p>
            <w:pPr>
              <w:spacing w:after="0"/>
              <w:rPr>
                <w:sz w:val="14"/>
                <w:szCs w:val="14"/>
                <w:color w:val="auto"/>
              </w:rPr>
            </w:pPr>
          </w:p>
        </w:tc>
        <w:tc>
          <w:tcPr>
            <w:tcW w:w="7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months ended March 31, 2002 and 2001</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2</w:t>
            </w:r>
          </w:p>
        </w:tc>
      </w:tr>
      <w:tr>
        <w:trPr>
          <w:trHeight w:val="329"/>
        </w:trPr>
        <w:tc>
          <w:tcPr>
            <w:tcW w:w="740" w:type="dxa"/>
            <w:vAlign w:val="bottom"/>
          </w:tcPr>
          <w:p>
            <w:pPr>
              <w:spacing w:after="0"/>
              <w:rPr>
                <w:sz w:val="24"/>
                <w:szCs w:val="24"/>
                <w:color w:val="auto"/>
              </w:rPr>
            </w:pPr>
          </w:p>
        </w:tc>
        <w:tc>
          <w:tcPr>
            <w:tcW w:w="7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Condensed Consolidated Balance Sheets at March 31, 2002 and December 31, 2001</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3</w:t>
            </w:r>
          </w:p>
        </w:tc>
      </w:tr>
      <w:tr>
        <w:trPr>
          <w:trHeight w:val="329"/>
        </w:trPr>
        <w:tc>
          <w:tcPr>
            <w:tcW w:w="74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Consolidated</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Statements of Changes in Stockholders' Equity for the three</w:t>
            </w:r>
          </w:p>
        </w:tc>
        <w:tc>
          <w:tcPr>
            <w:tcW w:w="3380" w:type="dxa"/>
            <w:vAlign w:val="bottom"/>
          </w:tcPr>
          <w:p>
            <w:pPr>
              <w:spacing w:after="0"/>
              <w:rPr>
                <w:sz w:val="24"/>
                <w:szCs w:val="24"/>
                <w:color w:val="auto"/>
              </w:rPr>
            </w:pPr>
          </w:p>
        </w:tc>
      </w:tr>
      <w:tr>
        <w:trPr>
          <w:trHeight w:val="164"/>
        </w:trPr>
        <w:tc>
          <w:tcPr>
            <w:tcW w:w="740" w:type="dxa"/>
            <w:vAlign w:val="bottom"/>
          </w:tcPr>
          <w:p>
            <w:pPr>
              <w:spacing w:after="0"/>
              <w:rPr>
                <w:sz w:val="14"/>
                <w:szCs w:val="14"/>
                <w:color w:val="auto"/>
              </w:rPr>
            </w:pPr>
          </w:p>
        </w:tc>
        <w:tc>
          <w:tcPr>
            <w:tcW w:w="7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months ended March 31, 2002 and 2001</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4</w:t>
            </w:r>
          </w:p>
        </w:tc>
      </w:tr>
      <w:tr>
        <w:trPr>
          <w:trHeight w:val="329"/>
        </w:trPr>
        <w:tc>
          <w:tcPr>
            <w:tcW w:w="74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Consolidated</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Statements of Cash Flows for the three months ended</w:t>
            </w:r>
          </w:p>
        </w:tc>
        <w:tc>
          <w:tcPr>
            <w:tcW w:w="3380" w:type="dxa"/>
            <w:vAlign w:val="bottom"/>
          </w:tcPr>
          <w:p>
            <w:pPr>
              <w:spacing w:after="0"/>
              <w:rPr>
                <w:sz w:val="24"/>
                <w:szCs w:val="24"/>
                <w:color w:val="auto"/>
              </w:rPr>
            </w:pPr>
          </w:p>
        </w:tc>
      </w:tr>
      <w:tr>
        <w:trPr>
          <w:trHeight w:val="164"/>
        </w:trPr>
        <w:tc>
          <w:tcPr>
            <w:tcW w:w="7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4"/>
                <w:szCs w:val="14"/>
                <w:color w:val="auto"/>
              </w:rPr>
              <w:t>March 31,</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2002 and 2001</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5</w:t>
            </w:r>
          </w:p>
        </w:tc>
      </w:tr>
      <w:tr>
        <w:trPr>
          <w:trHeight w:val="329"/>
        </w:trPr>
        <w:tc>
          <w:tcPr>
            <w:tcW w:w="740" w:type="dxa"/>
            <w:vAlign w:val="bottom"/>
          </w:tcPr>
          <w:p>
            <w:pPr>
              <w:spacing w:after="0"/>
              <w:rPr>
                <w:sz w:val="24"/>
                <w:szCs w:val="24"/>
                <w:color w:val="auto"/>
              </w:rPr>
            </w:pPr>
          </w:p>
        </w:tc>
        <w:tc>
          <w:tcPr>
            <w:tcW w:w="7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6</w:t>
            </w:r>
          </w:p>
        </w:tc>
      </w:tr>
      <w:tr>
        <w:trPr>
          <w:trHeight w:val="329"/>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Management's</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Discussion and Analysis of Financial</w:t>
            </w:r>
          </w:p>
        </w:tc>
        <w:tc>
          <w:tcPr>
            <w:tcW w:w="3380" w:type="dxa"/>
            <w:vAlign w:val="bottom"/>
          </w:tcPr>
          <w:p>
            <w:pPr>
              <w:spacing w:after="0"/>
              <w:rPr>
                <w:sz w:val="24"/>
                <w:szCs w:val="24"/>
                <w:color w:val="auto"/>
              </w:rPr>
            </w:pPr>
          </w:p>
        </w:tc>
      </w:tr>
      <w:tr>
        <w:trPr>
          <w:trHeight w:val="164"/>
        </w:trPr>
        <w:tc>
          <w:tcPr>
            <w:tcW w:w="74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4"/>
                <w:szCs w:val="14"/>
                <w:color w:val="auto"/>
              </w:rPr>
              <w:t>Condition</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and Results of Operations</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11</w:t>
            </w:r>
          </w:p>
        </w:tc>
      </w:tr>
      <w:tr>
        <w:trPr>
          <w:trHeight w:val="329"/>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Quantitative</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and Qualitative Disclosures about Market Risk</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15</w:t>
            </w:r>
          </w:p>
        </w:tc>
      </w:tr>
      <w:tr>
        <w:trPr>
          <w:trHeight w:val="658"/>
        </w:trPr>
        <w:tc>
          <w:tcPr>
            <w:tcW w:w="740" w:type="dxa"/>
            <w:vAlign w:val="bottom"/>
          </w:tcPr>
          <w:p>
            <w:pPr>
              <w:spacing w:after="0"/>
              <w:rPr>
                <w:sz w:val="20"/>
                <w:szCs w:val="20"/>
                <w:color w:val="auto"/>
              </w:rPr>
            </w:pPr>
            <w:r>
              <w:rPr>
                <w:rFonts w:ascii="Courier New" w:cs="Courier New" w:eastAsia="Courier New" w:hAnsi="Courier New"/>
                <w:sz w:val="14"/>
                <w:szCs w:val="14"/>
                <w:b w:val="1"/>
                <w:bCs w:val="1"/>
                <w:color w:val="auto"/>
              </w:rPr>
              <w:t>Part II.</w:t>
            </w:r>
          </w:p>
        </w:tc>
        <w:tc>
          <w:tcPr>
            <w:tcW w:w="7340" w:type="dxa"/>
            <w:vAlign w:val="bottom"/>
            <w:gridSpan w:val="2"/>
          </w:tcPr>
          <w:p>
            <w:pPr>
              <w:ind w:left="40"/>
              <w:spacing w:after="0"/>
              <w:rPr>
                <w:sz w:val="20"/>
                <w:szCs w:val="20"/>
                <w:color w:val="auto"/>
              </w:rPr>
            </w:pPr>
            <w:r>
              <w:rPr>
                <w:rFonts w:ascii="Courier New" w:cs="Courier New" w:eastAsia="Courier New" w:hAnsi="Courier New"/>
                <w:sz w:val="14"/>
                <w:szCs w:val="14"/>
                <w:b w:val="1"/>
                <w:bCs w:val="1"/>
                <w:color w:val="auto"/>
              </w:rPr>
              <w:t>Other Information</w:t>
            </w:r>
          </w:p>
        </w:tc>
        <w:tc>
          <w:tcPr>
            <w:tcW w:w="3380" w:type="dxa"/>
            <w:vAlign w:val="bottom"/>
          </w:tcPr>
          <w:p>
            <w:pPr>
              <w:spacing w:after="0"/>
              <w:rPr>
                <w:sz w:val="24"/>
                <w:szCs w:val="24"/>
                <w:color w:val="auto"/>
              </w:rPr>
            </w:pPr>
          </w:p>
        </w:tc>
      </w:tr>
      <w:tr>
        <w:trPr>
          <w:trHeight w:val="329"/>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16</w:t>
            </w:r>
          </w:p>
        </w:tc>
      </w:tr>
      <w:tr>
        <w:trPr>
          <w:trHeight w:val="329"/>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Exhibits and</w:t>
            </w:r>
          </w:p>
        </w:tc>
        <w:tc>
          <w:tcPr>
            <w:tcW w:w="6240" w:type="dxa"/>
            <w:vAlign w:val="bottom"/>
          </w:tcPr>
          <w:p>
            <w:pPr>
              <w:ind w:left="40"/>
              <w:spacing w:after="0"/>
              <w:rPr>
                <w:sz w:val="20"/>
                <w:szCs w:val="20"/>
                <w:color w:val="auto"/>
              </w:rPr>
            </w:pPr>
            <w:r>
              <w:rPr>
                <w:rFonts w:ascii="Courier New" w:cs="Courier New" w:eastAsia="Courier New" w:hAnsi="Courier New"/>
                <w:sz w:val="14"/>
                <w:szCs w:val="14"/>
                <w:color w:val="auto"/>
              </w:rPr>
              <w:t>Reports on Form 8-K</w:t>
            </w: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16</w:t>
            </w:r>
          </w:p>
        </w:tc>
      </w:tr>
      <w:tr>
        <w:trPr>
          <w:trHeight w:val="329"/>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6240" w:type="dxa"/>
            <w:vAlign w:val="bottom"/>
          </w:tcPr>
          <w:p>
            <w:pPr>
              <w:spacing w:after="0"/>
              <w:rPr>
                <w:sz w:val="24"/>
                <w:szCs w:val="24"/>
                <w:color w:val="auto"/>
              </w:rPr>
            </w:pPr>
          </w:p>
        </w:tc>
        <w:tc>
          <w:tcPr>
            <w:tcW w:w="3380" w:type="dxa"/>
            <w:vAlign w:val="bottom"/>
          </w:tcPr>
          <w:p>
            <w:pPr>
              <w:jc w:val="right"/>
              <w:ind w:right="2569"/>
              <w:spacing w:after="0"/>
              <w:rPr>
                <w:sz w:val="20"/>
                <w:szCs w:val="20"/>
                <w:color w:val="auto"/>
              </w:rPr>
            </w:pPr>
            <w:r>
              <w:rPr>
                <w:rFonts w:ascii="Courier New" w:cs="Courier New" w:eastAsia="Courier New" w:hAnsi="Courier New"/>
                <w:sz w:val="14"/>
                <w:szCs w:val="14"/>
                <w:color w:val="auto"/>
              </w:rPr>
              <w:t>18</w:t>
            </w:r>
          </w:p>
        </w:tc>
      </w:tr>
      <w:tr>
        <w:trPr>
          <w:trHeight w:val="493"/>
        </w:trPr>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40" w:type="dxa"/>
            <w:vAlign w:val="bottom"/>
          </w:tcPr>
          <w:p>
            <w:pPr>
              <w:ind w:left="1500"/>
              <w:spacing w:after="0"/>
              <w:rPr>
                <w:sz w:val="20"/>
                <w:szCs w:val="20"/>
                <w:color w:val="auto"/>
              </w:rPr>
            </w:pPr>
            <w:r>
              <w:rPr>
                <w:rFonts w:ascii="Courier New" w:cs="Courier New" w:eastAsia="Courier New" w:hAnsi="Courier New"/>
                <w:sz w:val="14"/>
                <w:szCs w:val="14"/>
                <w:color w:val="auto"/>
              </w:rPr>
              <w:t>1</w:t>
            </w:r>
          </w:p>
        </w:tc>
        <w:tc>
          <w:tcPr>
            <w:tcW w:w="3380" w:type="dxa"/>
            <w:vAlign w:val="bottom"/>
          </w:tcPr>
          <w:p>
            <w:pPr>
              <w:spacing w:after="0"/>
              <w:rPr>
                <w:sz w:val="24"/>
                <w:szCs w:val="24"/>
                <w:color w:val="auto"/>
              </w:rPr>
            </w:pPr>
          </w:p>
        </w:tc>
      </w:tr>
      <w:tr>
        <w:trPr>
          <w:trHeight w:val="311"/>
        </w:trPr>
        <w:tc>
          <w:tcPr>
            <w:tcW w:w="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7257415</wp:posOffset>
            </wp:positionH>
            <wp:positionV relativeFrom="paragraph">
              <wp:posOffset>-26035</wp:posOffset>
            </wp:positionV>
            <wp:extent cx="3238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393" w:right="219" w:bottom="0" w:gutter="0" w:footer="0" w:header="0"/>
          <w:type w:val="continuous"/>
        </w:sectPr>
      </w:pPr>
    </w:p>
    <w:bookmarkStart w:id="1" w:name="page2"/>
    <w:bookmarkEnd w:id="1"/>
    <w:p>
      <w:pPr>
        <w:jc w:val="center"/>
        <w:ind w:right="3299"/>
        <w:spacing w:after="0"/>
        <w:rPr>
          <w:sz w:val="20"/>
          <w:szCs w:val="20"/>
          <w:color w:val="auto"/>
        </w:rPr>
      </w:pPr>
      <w:r>
        <w:rPr>
          <w:rFonts w:ascii="Courier New" w:cs="Courier New" w:eastAsia="Courier New" w:hAnsi="Courier New"/>
          <w:sz w:val="14"/>
          <w:szCs w:val="14"/>
          <w:b w:val="1"/>
          <w:bCs w:val="1"/>
          <w:color w:val="auto"/>
        </w:rPr>
        <w:t>PART I. FINANCIAL INFORMATION</w:t>
      </w:r>
    </w:p>
    <w:p>
      <w:pPr>
        <w:spacing w:after="0" w:line="17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b w:val="1"/>
          <w:bCs w:val="1"/>
          <w:color w:val="auto"/>
        </w:rPr>
        <w:t>Consolidated Statements of Income and Comprehensive Income (Loss)</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gridSpan w:val="4"/>
          </w:tcPr>
          <w:p>
            <w:pPr>
              <w:jc w:val="right"/>
              <w:ind w:right="420"/>
              <w:spacing w:after="0"/>
              <w:rPr>
                <w:sz w:val="20"/>
                <w:szCs w:val="20"/>
                <w:color w:val="auto"/>
              </w:rPr>
            </w:pPr>
            <w:r>
              <w:rPr>
                <w:rFonts w:ascii="Courier New" w:cs="Courier New" w:eastAsia="Courier New" w:hAnsi="Courier New"/>
                <w:sz w:val="14"/>
                <w:szCs w:val="14"/>
                <w:b w:val="1"/>
                <w:bCs w:val="1"/>
                <w:color w:val="auto"/>
              </w:rPr>
              <w:t>Three Months Ended</w:t>
            </w:r>
          </w:p>
        </w:tc>
      </w:tr>
      <w:tr>
        <w:trPr>
          <w:trHeight w:val="164"/>
        </w:trPr>
        <w:tc>
          <w:tcPr>
            <w:tcW w:w="4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b w:val="1"/>
                <w:bCs w:val="1"/>
                <w:color w:val="auto"/>
              </w:rPr>
              <w:t>March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33"/>
        </w:trPr>
        <w:tc>
          <w:tcPr>
            <w:tcW w:w="4320" w:type="dxa"/>
            <w:vAlign w:val="bottom"/>
            <w:tcBorders>
              <w:bottom w:val="single" w:sz="8" w:color="auto"/>
            </w:tcBorders>
          </w:tcPr>
          <w:p>
            <w:pPr>
              <w:spacing w:after="0" w:line="133" w:lineRule="exact"/>
              <w:rPr>
                <w:sz w:val="20"/>
                <w:szCs w:val="20"/>
                <w:color w:val="auto"/>
              </w:rPr>
            </w:pPr>
            <w:r>
              <w:rPr>
                <w:rFonts w:ascii="Courier New" w:cs="Courier New" w:eastAsia="Courier New" w:hAnsi="Courier New"/>
                <w:sz w:val="14"/>
                <w:szCs w:val="14"/>
                <w:b w:val="1"/>
                <w:bCs w:val="1"/>
                <w:color w:val="auto"/>
              </w:rPr>
              <w:t>Thousands of Dollars, Except Per Share Data</w:t>
            </w:r>
          </w:p>
        </w:tc>
        <w:tc>
          <w:tcPr>
            <w:tcW w:w="1760" w:type="dxa"/>
            <w:vAlign w:val="bottom"/>
            <w:tcBorders>
              <w:bottom w:val="single" w:sz="8" w:color="auto"/>
            </w:tcBorders>
            <w:gridSpan w:val="2"/>
          </w:tcPr>
          <w:p>
            <w:pPr>
              <w:ind w:left="900"/>
              <w:spacing w:after="0" w:line="133" w:lineRule="exact"/>
              <w:rPr>
                <w:sz w:val="20"/>
                <w:szCs w:val="20"/>
                <w:color w:val="auto"/>
              </w:rPr>
            </w:pPr>
            <w:r>
              <w:rPr>
                <w:rFonts w:ascii="Courier New" w:cs="Courier New" w:eastAsia="Courier New" w:hAnsi="Courier New"/>
                <w:sz w:val="14"/>
                <w:szCs w:val="14"/>
                <w:b w:val="1"/>
                <w:bCs w:val="1"/>
                <w:color w:val="auto"/>
              </w:rPr>
              <w:t>2002</w:t>
            </w:r>
          </w:p>
        </w:tc>
        <w:tc>
          <w:tcPr>
            <w:tcW w:w="6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Courier New" w:cs="Courier New" w:eastAsia="Courier New" w:hAnsi="Courier New"/>
                <w:sz w:val="14"/>
                <w:szCs w:val="14"/>
                <w:b w:val="1"/>
                <w:bCs w:val="1"/>
                <w:color w:val="auto"/>
                <w:w w:val="95"/>
              </w:rPr>
              <w:t>2001</w:t>
            </w:r>
          </w:p>
        </w:tc>
        <w:tc>
          <w:tcPr>
            <w:tcW w:w="260" w:type="dxa"/>
            <w:vAlign w:val="bottom"/>
          </w:tcPr>
          <w:p>
            <w:pPr>
              <w:spacing w:after="0"/>
              <w:rPr>
                <w:sz w:val="11"/>
                <w:szCs w:val="11"/>
                <w:color w:val="auto"/>
              </w:rPr>
            </w:pPr>
          </w:p>
        </w:tc>
      </w:tr>
      <w:tr>
        <w:trPr>
          <w:trHeight w:val="340"/>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$ 47,200</w:t>
            </w:r>
          </w:p>
        </w:tc>
        <w:tc>
          <w:tcPr>
            <w:tcW w:w="128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$ 50,227</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35,532</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w w:val="99"/>
              </w:rPr>
              <w:t>38,184</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11,668</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w w:val="99"/>
              </w:rPr>
              <w:t>12,043</w:t>
            </w:r>
          </w:p>
        </w:tc>
      </w:tr>
      <w:tr>
        <w:trPr>
          <w:trHeight w:val="329"/>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980" w:type="dxa"/>
            <w:vAlign w:val="bottom"/>
          </w:tcPr>
          <w:p>
            <w:pPr>
              <w:spacing w:after="0"/>
              <w:rPr>
                <w:sz w:val="24"/>
                <w:szCs w:val="2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4,498</w:t>
            </w:r>
          </w:p>
        </w:tc>
        <w:tc>
          <w:tcPr>
            <w:tcW w:w="68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4,014</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2,825</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3,310</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Restructuring costs</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4,267</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4,719</w:t>
            </w:r>
          </w:p>
        </w:tc>
      </w:tr>
      <w:tr>
        <w:trPr>
          <w:trHeight w:val="329"/>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980" w:type="dxa"/>
            <w:vAlign w:val="bottom"/>
          </w:tcPr>
          <w:p>
            <w:pPr>
              <w:spacing w:after="0"/>
              <w:rPr>
                <w:sz w:val="24"/>
                <w:szCs w:val="2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601</w:t>
            </w:r>
          </w:p>
        </w:tc>
        <w:tc>
          <w:tcPr>
            <w:tcW w:w="68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1,182</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Equity in earnings of unconsolidated</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affiliates</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(49)</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(355)</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(132)</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4,021</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3,718</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1,505</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1,636</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Minority interest of consolidated subsidiaries</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668</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536</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in accounting principle</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1,848</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1,546</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principle, net of income tax benefit of $112</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and related minority interest impact of $84</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98</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1,848</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1,448</w:t>
            </w:r>
          </w:p>
        </w:tc>
      </w:tr>
      <w:tr>
        <w:trPr>
          <w:trHeight w:val="329"/>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4"/>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w:t>
            </w:r>
          </w:p>
        </w:tc>
        <w:tc>
          <w:tcPr>
            <w:tcW w:w="128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(3,386)</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 (loss)</w:t>
            </w:r>
          </w:p>
        </w:tc>
        <w:tc>
          <w:tcPr>
            <w:tcW w:w="17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$ 1,768</w:t>
            </w:r>
          </w:p>
        </w:tc>
        <w:tc>
          <w:tcPr>
            <w:tcW w:w="128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 (1,938)</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3"/>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Basic income per common share: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in accounting principle</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0.12</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0.10</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principle</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0.12</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0.10</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980" w:type="dxa"/>
            <w:vAlign w:val="bottom"/>
          </w:tcPr>
          <w:p>
            <w:pPr>
              <w:spacing w:after="0"/>
              <w:rPr>
                <w:sz w:val="24"/>
                <w:szCs w:val="2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15,341</w:t>
            </w:r>
          </w:p>
        </w:tc>
        <w:tc>
          <w:tcPr>
            <w:tcW w:w="68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w w:val="99"/>
              </w:rPr>
              <w:t>15,247</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Diluted income per common share: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in accounting principle</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0.10</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principle</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w w:val="99"/>
              </w:rPr>
              <w:t>(0.01)</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0.09</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9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15,735</w:t>
            </w:r>
          </w:p>
        </w:tc>
        <w:tc>
          <w:tcPr>
            <w:tcW w:w="6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w w:val="99"/>
              </w:rPr>
              <w:t>15,396</w:t>
            </w:r>
          </w:p>
        </w:tc>
      </w:tr>
      <w:tr>
        <w:trPr>
          <w:trHeight w:val="164"/>
        </w:trPr>
        <w:tc>
          <w:tcPr>
            <w:tcW w:w="4320" w:type="dxa"/>
            <w:vAlign w:val="bottom"/>
          </w:tcPr>
          <w:p>
            <w:pPr>
              <w:spacing w:after="0"/>
              <w:rPr>
                <w:sz w:val="14"/>
                <w:szCs w:val="14"/>
                <w:color w:val="auto"/>
              </w:rPr>
            </w:pPr>
          </w:p>
        </w:tc>
        <w:tc>
          <w:tcPr>
            <w:tcW w:w="17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b w:val="1"/>
          <w:bCs w:val="1"/>
          <w:color w:val="auto"/>
        </w:rPr>
        <w:t>Condensed Consolidated Balance Sheets</w:t>
      </w:r>
    </w:p>
    <w:p>
      <w:pPr>
        <w:spacing w:after="0" w:line="170" w:lineRule="exact"/>
        <w:rPr>
          <w:sz w:val="20"/>
          <w:szCs w:val="20"/>
          <w:color w:val="auto"/>
        </w:rPr>
      </w:pPr>
    </w:p>
    <w:p>
      <w:pPr>
        <w:ind w:left="6240"/>
        <w:spacing w:after="0"/>
        <w:tabs>
          <w:tab w:leader="none" w:pos="8100" w:val="left"/>
        </w:tabs>
        <w:rPr>
          <w:sz w:val="20"/>
          <w:szCs w:val="20"/>
          <w:color w:val="auto"/>
        </w:rPr>
      </w:pPr>
      <w:r>
        <w:rPr>
          <w:rFonts w:ascii="Courier New" w:cs="Courier New" w:eastAsia="Courier New" w:hAnsi="Courier New"/>
          <w:sz w:val="14"/>
          <w:szCs w:val="14"/>
          <w:b w:val="1"/>
          <w:bCs w:val="1"/>
          <w:color w:val="auto"/>
        </w:rPr>
        <w:t>March, 31</w:t>
      </w:r>
      <w:r>
        <w:rPr>
          <w:sz w:val="20"/>
          <w:szCs w:val="20"/>
          <w:color w:val="auto"/>
        </w:rPr>
        <w:tab/>
      </w:r>
      <w:r>
        <w:rPr>
          <w:rFonts w:ascii="Courier New" w:cs="Courier New" w:eastAsia="Courier New" w:hAnsi="Courier New"/>
          <w:sz w:val="14"/>
          <w:szCs w:val="14"/>
          <w:b w:val="1"/>
          <w:bCs w:val="1"/>
          <w:color w:val="auto"/>
        </w:rPr>
        <w:t>December 31,</w:t>
      </w:r>
    </w:p>
    <w:p>
      <w:pPr>
        <w:spacing w:after="0" w:line="6" w:lineRule="exact"/>
        <w:rPr>
          <w:sz w:val="20"/>
          <w:szCs w:val="20"/>
          <w:color w:val="auto"/>
        </w:rPr>
      </w:pPr>
    </w:p>
    <w:p>
      <w:pPr>
        <w:ind w:left="6420"/>
        <w:spacing w:after="0"/>
        <w:tabs>
          <w:tab w:leader="none" w:pos="8460" w:val="left"/>
        </w:tabs>
        <w:rPr>
          <w:sz w:val="20"/>
          <w:szCs w:val="20"/>
          <w:color w:val="auto"/>
        </w:rPr>
      </w:pPr>
      <w:r>
        <w:rPr>
          <w:rFonts w:ascii="Courier New" w:cs="Courier New" w:eastAsia="Courier New" w:hAnsi="Courier New"/>
          <w:sz w:val="14"/>
          <w:szCs w:val="14"/>
          <w:b w:val="1"/>
          <w:bCs w:val="1"/>
          <w:color w:val="auto"/>
        </w:rPr>
        <w:t>2002</w:t>
      </w:r>
      <w:r>
        <w:rPr>
          <w:sz w:val="20"/>
          <w:szCs w:val="20"/>
          <w:color w:val="auto"/>
        </w:rPr>
        <w:tab/>
      </w:r>
      <w:r>
        <w:rPr>
          <w:rFonts w:ascii="Courier New" w:cs="Courier New" w:eastAsia="Courier New" w:hAnsi="Courier New"/>
          <w:sz w:val="14"/>
          <w:szCs w:val="14"/>
          <w:b w:val="1"/>
          <w:bCs w:val="1"/>
          <w:color w:val="auto"/>
        </w:rPr>
        <w:t>2001</w:t>
      </w:r>
    </w:p>
    <w:p>
      <w:pPr>
        <w:spacing w:after="0" w:line="6" w:lineRule="exact"/>
        <w:rPr>
          <w:sz w:val="20"/>
          <w:szCs w:val="20"/>
          <w:color w:val="auto"/>
        </w:rPr>
      </w:pPr>
    </w:p>
    <w:p>
      <w:pPr>
        <w:spacing w:after="0"/>
        <w:tabs>
          <w:tab w:leader="none" w:pos="1180" w:val="left"/>
          <w:tab w:leader="none" w:pos="6140" w:val="left"/>
        </w:tabs>
        <w:rPr>
          <w:sz w:val="20"/>
          <w:szCs w:val="20"/>
          <w:color w:val="auto"/>
        </w:rPr>
      </w:pPr>
      <w:r>
        <w:rPr>
          <w:rFonts w:ascii="Courier New" w:cs="Courier New" w:eastAsia="Courier New" w:hAnsi="Courier New"/>
          <w:sz w:val="14"/>
          <w:szCs w:val="14"/>
          <w:b w:val="1"/>
          <w:bCs w:val="1"/>
          <w:color w:val="auto"/>
        </w:rPr>
        <w:t>Thousands of</w:t>
        <w:tab/>
        <w:t>Dollars</w:t>
      </w:r>
      <w:r>
        <w:rPr>
          <w:sz w:val="20"/>
          <w:szCs w:val="20"/>
          <w:color w:val="auto"/>
        </w:rPr>
        <w:tab/>
      </w:r>
      <w:r>
        <w:rPr>
          <w:rFonts w:ascii="Courier New" w:cs="Courier New" w:eastAsia="Courier New" w:hAnsi="Courier New"/>
          <w:sz w:val="14"/>
          <w:szCs w:val="14"/>
          <w:b w:val="1"/>
          <w:bCs w:val="1"/>
          <w:color w:val="auto"/>
        </w:rPr>
        <w:t>(Unaudited)</w:t>
      </w:r>
    </w:p>
    <w:p>
      <w:pPr>
        <w:spacing w:after="0" w:line="6"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w:t>
      </w:r>
    </w:p>
    <w:p>
      <w:pPr>
        <w:spacing w:after="0" w:line="5" w:lineRule="exact"/>
        <w:rPr>
          <w:rFonts w:ascii="Courier New" w:cs="Courier New" w:eastAsia="Courier New" w:hAnsi="Courier New"/>
          <w:sz w:val="14"/>
          <w:szCs w:val="14"/>
          <w:b w:val="1"/>
          <w:bCs w:val="1"/>
          <w:color w:val="auto"/>
        </w:rPr>
      </w:pPr>
    </w:p>
    <w:p>
      <w:pPr>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Assets</w:t>
      </w:r>
    </w:p>
    <w:p>
      <w:pPr>
        <w:spacing w:after="0" w:line="5" w:lineRule="exact"/>
        <w:rPr>
          <w:rFonts w:ascii="Courier New" w:cs="Courier New" w:eastAsia="Courier New" w:hAnsi="Courier New"/>
          <w:sz w:val="14"/>
          <w:szCs w:val="14"/>
          <w:b w:val="1"/>
          <w:bCs w:val="1"/>
          <w:color w:val="auto"/>
        </w:rPr>
      </w:pPr>
    </w:p>
    <w:p>
      <w:pPr>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Current assets: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2,204</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3,024</w:t>
            </w:r>
          </w:p>
        </w:tc>
      </w:tr>
      <w:tr>
        <w:trPr>
          <w:trHeight w:val="164"/>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30,808</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24,832</w:t>
            </w:r>
          </w:p>
        </w:tc>
      </w:tr>
      <w:tr>
        <w:trPr>
          <w:trHeight w:val="164"/>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21,720</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23,418</w:t>
            </w:r>
          </w:p>
        </w:tc>
      </w:tr>
      <w:tr>
        <w:trPr>
          <w:trHeight w:val="164"/>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4,844</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4,343</w:t>
            </w:r>
          </w:p>
        </w:tc>
      </w:tr>
      <w:tr>
        <w:trPr>
          <w:trHeight w:val="164"/>
        </w:trPr>
        <w:tc>
          <w:tcPr>
            <w:tcW w:w="4540" w:type="dxa"/>
            <w:vAlign w:val="bottom"/>
          </w:tcPr>
          <w:p>
            <w:pPr>
              <w:spacing w:after="0"/>
              <w:rPr>
                <w:sz w:val="14"/>
                <w:szCs w:val="14"/>
                <w:color w:val="auto"/>
              </w:rPr>
            </w:pPr>
          </w:p>
        </w:tc>
        <w:tc>
          <w:tcPr>
            <w:tcW w:w="30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59,576</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55,617</w:t>
            </w:r>
          </w:p>
        </w:tc>
      </w:tr>
      <w:tr>
        <w:trPr>
          <w:trHeight w:val="329"/>
        </w:trPr>
        <w:tc>
          <w:tcPr>
            <w:tcW w:w="45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80,742</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82,770</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Assets held for sale</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3,929</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4,348</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39,666</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39,805</w:t>
            </w:r>
          </w:p>
        </w:tc>
      </w:tr>
      <w:tr>
        <w:trPr>
          <w:trHeight w:val="164"/>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5,507</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5,595</w:t>
            </w:r>
          </w:p>
        </w:tc>
      </w:tr>
    </w:tbl>
    <w:p>
      <w:pPr>
        <w:sectPr>
          <w:pgSz w:w="11900" w:h="16838" w:orient="portrait"/>
          <w:cols w:equalWidth="0" w:num="1">
            <w:col w:w="10239"/>
          </w:cols>
          <w:pgMar w:left="220" w:top="799" w:right="1440" w:bottom="0" w:gutter="0" w:footer="0" w:header="0"/>
        </w:sectPr>
      </w:pPr>
    </w:p>
    <w:bookmarkStart w:id="2" w:name="page3"/>
    <w:bookmarkEnd w:id="2"/>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3"/>
                <w:szCs w:val="13"/>
                <w:color w:val="auto"/>
              </w:rPr>
            </w:pPr>
          </w:p>
        </w:tc>
      </w:tr>
      <w:tr>
        <w:trPr>
          <w:trHeight w:val="164"/>
        </w:trPr>
        <w:tc>
          <w:tcPr>
            <w:tcW w:w="296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$ 189,420</w:t>
            </w:r>
          </w:p>
        </w:tc>
        <w:tc>
          <w:tcPr>
            <w:tcW w:w="82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98"/>
              </w:rPr>
              <w:t>188,135</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329"/>
        </w:trPr>
        <w:tc>
          <w:tcPr>
            <w:tcW w:w="518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Liabilities and Stockholders' Equity</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$ 14,446</w:t>
            </w:r>
          </w:p>
        </w:tc>
        <w:tc>
          <w:tcPr>
            <w:tcW w:w="8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14,552</w:t>
            </w:r>
          </w:p>
        </w:tc>
        <w:tc>
          <w:tcPr>
            <w:tcW w:w="1540" w:type="dxa"/>
            <w:vAlign w:val="bottom"/>
          </w:tcPr>
          <w:p>
            <w:pPr>
              <w:spacing w:after="0"/>
              <w:rPr>
                <w:sz w:val="14"/>
                <w:szCs w:val="14"/>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Bank overdraft</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646</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1,141</w:t>
            </w:r>
          </w:p>
        </w:tc>
        <w:tc>
          <w:tcPr>
            <w:tcW w:w="1540" w:type="dxa"/>
            <w:vAlign w:val="bottom"/>
          </w:tcPr>
          <w:p>
            <w:pPr>
              <w:spacing w:after="0"/>
              <w:rPr>
                <w:sz w:val="14"/>
                <w:szCs w:val="14"/>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Accrued salaries &amp; wages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3,826</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3,813</w:t>
            </w:r>
          </w:p>
        </w:tc>
        <w:tc>
          <w:tcPr>
            <w:tcW w:w="1540" w:type="dxa"/>
            <w:vAlign w:val="bottom"/>
          </w:tcPr>
          <w:p>
            <w:pPr>
              <w:spacing w:after="0"/>
              <w:rPr>
                <w:sz w:val="14"/>
                <w:szCs w:val="14"/>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3,799</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2,377</w:t>
            </w:r>
          </w:p>
        </w:tc>
        <w:tc>
          <w:tcPr>
            <w:tcW w:w="1540" w:type="dxa"/>
            <w:vAlign w:val="bottom"/>
          </w:tcPr>
          <w:p>
            <w:pPr>
              <w:spacing w:after="0"/>
              <w:rPr>
                <w:sz w:val="14"/>
                <w:szCs w:val="14"/>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Payable to affiliates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935</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1,277</w:t>
            </w:r>
          </w:p>
        </w:tc>
        <w:tc>
          <w:tcPr>
            <w:tcW w:w="1540" w:type="dxa"/>
            <w:vAlign w:val="bottom"/>
          </w:tcPr>
          <w:p>
            <w:pPr>
              <w:spacing w:after="0"/>
              <w:rPr>
                <w:sz w:val="14"/>
                <w:szCs w:val="14"/>
                <w:color w:val="auto"/>
              </w:rPr>
            </w:pPr>
          </w:p>
        </w:tc>
      </w:tr>
      <w:tr>
        <w:trPr>
          <w:trHeight w:val="164"/>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Short-term portion of long-term notes</w:t>
            </w: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7,000</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7,000</w:t>
            </w:r>
          </w:p>
        </w:tc>
        <w:tc>
          <w:tcPr>
            <w:tcW w:w="1540" w:type="dxa"/>
            <w:vAlign w:val="bottom"/>
          </w:tcPr>
          <w:p>
            <w:pPr>
              <w:spacing w:after="0"/>
              <w:rPr>
                <w:sz w:val="14"/>
                <w:szCs w:val="14"/>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8,232</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7,576</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4"/>
        </w:trPr>
        <w:tc>
          <w:tcPr>
            <w:tcW w:w="29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38,884</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37,736</w:t>
            </w:r>
          </w:p>
        </w:tc>
        <w:tc>
          <w:tcPr>
            <w:tcW w:w="1540" w:type="dxa"/>
            <w:vAlign w:val="bottom"/>
          </w:tcPr>
          <w:p>
            <w:pPr>
              <w:spacing w:after="0"/>
              <w:rPr>
                <w:sz w:val="14"/>
                <w:szCs w:val="14"/>
                <w:color w:val="auto"/>
              </w:rPr>
            </w:pPr>
          </w:p>
        </w:tc>
      </w:tr>
      <w:tr>
        <w:trPr>
          <w:trHeight w:val="329"/>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860" w:type="dxa"/>
            <w:vAlign w:val="bottom"/>
          </w:tcPr>
          <w:p>
            <w:pPr>
              <w:spacing w:after="0"/>
              <w:rPr>
                <w:sz w:val="24"/>
                <w:szCs w:val="2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31,186</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30,932</w:t>
            </w:r>
          </w:p>
        </w:tc>
        <w:tc>
          <w:tcPr>
            <w:tcW w:w="1540" w:type="dxa"/>
            <w:vAlign w:val="bottom"/>
          </w:tcPr>
          <w:p>
            <w:pPr>
              <w:spacing w:after="0"/>
              <w:rPr>
                <w:sz w:val="24"/>
                <w:szCs w:val="24"/>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liability</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6,482</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6,499</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47,047</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47,661</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Accrued pension</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2,292</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2,390</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801</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878</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4"/>
        </w:trPr>
        <w:tc>
          <w:tcPr>
            <w:tcW w:w="29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126,692</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98"/>
              </w:rPr>
              <w:t>126,096</w:t>
            </w:r>
          </w:p>
        </w:tc>
        <w:tc>
          <w:tcPr>
            <w:tcW w:w="1540" w:type="dxa"/>
            <w:vAlign w:val="bottom"/>
          </w:tcPr>
          <w:p>
            <w:pPr>
              <w:spacing w:after="0"/>
              <w:rPr>
                <w:sz w:val="14"/>
                <w:szCs w:val="14"/>
                <w:color w:val="auto"/>
              </w:rPr>
            </w:pPr>
          </w:p>
        </w:tc>
      </w:tr>
      <w:tr>
        <w:trPr>
          <w:trHeight w:val="329"/>
        </w:trPr>
        <w:tc>
          <w:tcPr>
            <w:tcW w:w="2960" w:type="dxa"/>
            <w:vAlign w:val="bottom"/>
          </w:tcPr>
          <w:p>
            <w:pPr>
              <w:ind w:left="440"/>
              <w:spacing w:after="0"/>
              <w:rPr>
                <w:sz w:val="20"/>
                <w:szCs w:val="20"/>
                <w:color w:val="auto"/>
              </w:rPr>
            </w:pPr>
            <w:r>
              <w:rPr>
                <w:rFonts w:ascii="Courier New" w:cs="Courier New" w:eastAsia="Courier New" w:hAnsi="Courier New"/>
                <w:sz w:val="14"/>
                <w:szCs w:val="14"/>
                <w:color w:val="auto"/>
              </w:rPr>
              <w:t>Total stockholders' equity</w:t>
            </w: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62,728</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62,039</w:t>
            </w:r>
          </w:p>
        </w:tc>
        <w:tc>
          <w:tcPr>
            <w:tcW w:w="1540" w:type="dxa"/>
            <w:vAlign w:val="bottom"/>
          </w:tcPr>
          <w:p>
            <w:pPr>
              <w:spacing w:after="0"/>
              <w:rPr>
                <w:sz w:val="24"/>
                <w:szCs w:val="2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4"/>
        </w:trPr>
        <w:tc>
          <w:tcPr>
            <w:tcW w:w="51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86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$189,420</w:t>
            </w:r>
          </w:p>
        </w:tc>
        <w:tc>
          <w:tcPr>
            <w:tcW w:w="8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98"/>
              </w:rPr>
              <w:t>188,135</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658"/>
        </w:trPr>
        <w:tc>
          <w:tcPr>
            <w:tcW w:w="5180" w:type="dxa"/>
            <w:vAlign w:val="bottom"/>
            <w:gridSpan w:val="2"/>
          </w:tcPr>
          <w:p>
            <w:pPr>
              <w:jc w:val="center"/>
              <w:ind w:left="1689"/>
              <w:spacing w:after="0"/>
              <w:rPr>
                <w:sz w:val="20"/>
                <w:szCs w:val="20"/>
                <w:color w:val="auto"/>
              </w:rPr>
            </w:pPr>
            <w:r>
              <w:rPr>
                <w:rFonts w:ascii="Courier New" w:cs="Courier New" w:eastAsia="Courier New" w:hAnsi="Courier New"/>
                <w:sz w:val="14"/>
                <w:szCs w:val="14"/>
                <w:b w:val="1"/>
                <w:bCs w:val="1"/>
                <w:color w:val="auto"/>
              </w:rPr>
              <w:t>See accompanying notes.</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93"/>
        </w:trPr>
        <w:tc>
          <w:tcPr>
            <w:tcW w:w="2960" w:type="dxa"/>
            <w:vAlign w:val="bottom"/>
          </w:tcPr>
          <w:p>
            <w:pPr>
              <w:spacing w:after="0"/>
              <w:rPr>
                <w:sz w:val="24"/>
                <w:szCs w:val="24"/>
                <w:color w:val="auto"/>
              </w:rPr>
            </w:pPr>
          </w:p>
        </w:tc>
        <w:tc>
          <w:tcPr>
            <w:tcW w:w="2220" w:type="dxa"/>
            <w:vAlign w:val="bottom"/>
          </w:tcPr>
          <w:p>
            <w:pPr>
              <w:jc w:val="right"/>
              <w:ind w:right="1689"/>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1"/>
        </w:trPr>
        <w:tc>
          <w:tcPr>
            <w:tcW w:w="29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r>
        <w:trPr>
          <w:trHeight w:val="469"/>
        </w:trPr>
        <w:tc>
          <w:tcPr>
            <w:tcW w:w="2960" w:type="dxa"/>
            <w:vAlign w:val="bottom"/>
          </w:tcPr>
          <w:p>
            <w:pPr>
              <w:spacing w:after="0"/>
              <w:rPr>
                <w:sz w:val="24"/>
                <w:szCs w:val="24"/>
                <w:color w:val="auto"/>
              </w:rPr>
            </w:pPr>
          </w:p>
        </w:tc>
        <w:tc>
          <w:tcPr>
            <w:tcW w:w="2220" w:type="dxa"/>
            <w:vAlign w:val="bottom"/>
          </w:tcPr>
          <w:p>
            <w:pPr>
              <w:jc w:val="center"/>
              <w:ind w:right="1229"/>
              <w:spacing w:after="0"/>
              <w:rPr>
                <w:sz w:val="20"/>
                <w:szCs w:val="20"/>
                <w:color w:val="auto"/>
              </w:rPr>
            </w:pPr>
            <w:r>
              <w:rPr>
                <w:rFonts w:ascii="Courier New" w:cs="Courier New" w:eastAsia="Courier New" w:hAnsi="Courier New"/>
                <w:sz w:val="14"/>
                <w:szCs w:val="14"/>
                <w:b w:val="1"/>
                <w:bCs w:val="1"/>
                <w:color w:val="auto"/>
              </w:rPr>
              <w:t>NN, Inc.</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4"/>
        </w:trPr>
        <w:tc>
          <w:tcPr>
            <w:tcW w:w="6040" w:type="dxa"/>
            <w:vAlign w:val="bottom"/>
            <w:gridSpan w:val="3"/>
          </w:tcPr>
          <w:p>
            <w:pPr>
              <w:jc w:val="center"/>
              <w:ind w:left="729"/>
              <w:spacing w:after="0"/>
              <w:rPr>
                <w:sz w:val="20"/>
                <w:szCs w:val="20"/>
                <w:color w:val="auto"/>
              </w:rPr>
            </w:pPr>
            <w:r>
              <w:rPr>
                <w:rFonts w:ascii="Courier New" w:cs="Courier New" w:eastAsia="Courier New" w:hAnsi="Courier New"/>
                <w:sz w:val="14"/>
                <w:szCs w:val="14"/>
                <w:b w:val="1"/>
                <w:bCs w:val="1"/>
                <w:color w:val="auto"/>
              </w:rPr>
              <w:t>Consolidated Statements of Changes in Stockholders' Equity</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jc w:val="center"/>
              <w:ind w:right="1129"/>
              <w:spacing w:after="0"/>
              <w:rPr>
                <w:sz w:val="20"/>
                <w:szCs w:val="20"/>
                <w:color w:val="auto"/>
              </w:rPr>
            </w:pPr>
            <w:r>
              <w:rPr>
                <w:rFonts w:ascii="Courier New" w:cs="Courier New" w:eastAsia="Courier New" w:hAnsi="Courier New"/>
                <w:sz w:val="14"/>
                <w:szCs w:val="14"/>
                <w:b w:val="1"/>
                <w:bCs w:val="1"/>
                <w:color w:val="auto"/>
              </w:rPr>
              <w:t>(Unaudited)</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29"/>
        </w:trPr>
        <w:tc>
          <w:tcPr>
            <w:tcW w:w="29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Common Stock</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4"/>
                <w:szCs w:val="14"/>
                <w:b w:val="1"/>
                <w:bCs w:val="1"/>
                <w:color w:val="auto"/>
              </w:rPr>
              <w:t>Accumulated</w:t>
            </w:r>
          </w:p>
        </w:tc>
        <w:tc>
          <w:tcPr>
            <w:tcW w:w="1540" w:type="dxa"/>
            <w:vAlign w:val="bottom"/>
          </w:tcPr>
          <w:p>
            <w:pPr>
              <w:spacing w:after="0"/>
              <w:rPr>
                <w:sz w:val="24"/>
                <w:szCs w:val="2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b w:val="1"/>
                <w:bCs w:val="1"/>
                <w:color w:val="auto"/>
              </w:rPr>
              <w:t>Additional</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b w:val="1"/>
                <w:bCs w:val="1"/>
                <w:color w:val="auto"/>
              </w:rPr>
              <w:t>Other</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b w:val="1"/>
                <w:bCs w:val="1"/>
                <w:color w:val="auto"/>
              </w:rPr>
              <w:t>Thousands of Dollars</w:t>
            </w:r>
          </w:p>
        </w:tc>
        <w:tc>
          <w:tcPr>
            <w:tcW w:w="2220" w:type="dxa"/>
            <w:vAlign w:val="bottom"/>
          </w:tcPr>
          <w:p>
            <w:pPr>
              <w:jc w:val="right"/>
              <w:ind w:right="909"/>
              <w:spacing w:after="0"/>
              <w:rPr>
                <w:sz w:val="20"/>
                <w:szCs w:val="20"/>
                <w:color w:val="auto"/>
              </w:rPr>
            </w:pPr>
            <w:r>
              <w:rPr>
                <w:rFonts w:ascii="Courier New" w:cs="Courier New" w:eastAsia="Courier New" w:hAnsi="Courier New"/>
                <w:sz w:val="14"/>
                <w:szCs w:val="14"/>
                <w:b w:val="1"/>
                <w:bCs w:val="1"/>
                <w:color w:val="auto"/>
              </w:rPr>
              <w:t>Number of</w:t>
            </w:r>
          </w:p>
        </w:tc>
        <w:tc>
          <w:tcPr>
            <w:tcW w:w="860" w:type="dxa"/>
            <w:vAlign w:val="bottom"/>
          </w:tcPr>
          <w:p>
            <w:pPr>
              <w:jc w:val="center"/>
              <w:ind w:right="289"/>
              <w:spacing w:after="0"/>
              <w:rPr>
                <w:sz w:val="20"/>
                <w:szCs w:val="20"/>
                <w:color w:val="auto"/>
              </w:rPr>
            </w:pPr>
            <w:r>
              <w:rPr>
                <w:rFonts w:ascii="Courier New" w:cs="Courier New" w:eastAsia="Courier New" w:hAnsi="Courier New"/>
                <w:sz w:val="14"/>
                <w:szCs w:val="14"/>
                <w:b w:val="1"/>
                <w:bCs w:val="1"/>
                <w:color w:val="auto"/>
              </w:rPr>
              <w:t>Par</w:t>
            </w:r>
          </w:p>
        </w:tc>
        <w:tc>
          <w:tcPr>
            <w:tcW w:w="136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paid in</w:t>
            </w:r>
          </w:p>
        </w:tc>
        <w:tc>
          <w:tcPr>
            <w:tcW w:w="820" w:type="dxa"/>
            <w:vAlign w:val="bottom"/>
          </w:tcPr>
          <w:p>
            <w:pPr>
              <w:ind w:left="140"/>
              <w:spacing w:after="0"/>
              <w:rPr>
                <w:sz w:val="20"/>
                <w:szCs w:val="20"/>
                <w:color w:val="auto"/>
              </w:rPr>
            </w:pPr>
            <w:r>
              <w:rPr>
                <w:rFonts w:ascii="Courier New" w:cs="Courier New" w:eastAsia="Courier New" w:hAnsi="Courier New"/>
                <w:sz w:val="14"/>
                <w:szCs w:val="14"/>
                <w:b w:val="1"/>
                <w:bCs w:val="1"/>
                <w:color w:val="auto"/>
                <w:w w:val="98"/>
              </w:rPr>
              <w:t>Retained</w:t>
            </w:r>
          </w:p>
        </w:tc>
        <w:tc>
          <w:tcPr>
            <w:tcW w:w="16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Courier New" w:cs="Courier New" w:eastAsia="Courier New" w:hAnsi="Courier New"/>
                <w:sz w:val="14"/>
                <w:szCs w:val="14"/>
                <w:b w:val="1"/>
                <w:bCs w:val="1"/>
                <w:color w:val="auto"/>
              </w:rPr>
              <w:t>Comprehensive</w:t>
            </w:r>
          </w:p>
        </w:tc>
        <w:tc>
          <w:tcPr>
            <w:tcW w:w="15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2220" w:type="dxa"/>
            <w:vAlign w:val="bottom"/>
          </w:tcPr>
          <w:p>
            <w:pPr>
              <w:jc w:val="right"/>
              <w:ind w:right="989"/>
              <w:spacing w:after="0"/>
              <w:rPr>
                <w:sz w:val="20"/>
                <w:szCs w:val="20"/>
                <w:color w:val="auto"/>
              </w:rPr>
            </w:pPr>
            <w:r>
              <w:rPr>
                <w:rFonts w:ascii="Courier New" w:cs="Courier New" w:eastAsia="Courier New" w:hAnsi="Courier New"/>
                <w:sz w:val="14"/>
                <w:szCs w:val="14"/>
                <w:b w:val="1"/>
                <w:bCs w:val="1"/>
                <w:color w:val="auto"/>
              </w:rPr>
              <w:t>Shares</w:t>
            </w:r>
          </w:p>
        </w:tc>
        <w:tc>
          <w:tcPr>
            <w:tcW w:w="860" w:type="dxa"/>
            <w:vAlign w:val="bottom"/>
          </w:tcPr>
          <w:p>
            <w:pPr>
              <w:jc w:val="center"/>
              <w:ind w:right="289"/>
              <w:spacing w:after="0"/>
              <w:rPr>
                <w:sz w:val="20"/>
                <w:szCs w:val="20"/>
                <w:color w:val="auto"/>
              </w:rPr>
            </w:pPr>
            <w:r>
              <w:rPr>
                <w:rFonts w:ascii="Courier New" w:cs="Courier New" w:eastAsia="Courier New" w:hAnsi="Courier New"/>
                <w:sz w:val="14"/>
                <w:szCs w:val="14"/>
                <w:b w:val="1"/>
                <w:bCs w:val="1"/>
                <w:color w:val="auto"/>
                <w:w w:val="99"/>
              </w:rPr>
              <w:t>value</w:t>
            </w:r>
          </w:p>
        </w:tc>
        <w:tc>
          <w:tcPr>
            <w:tcW w:w="136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capital</w:t>
            </w:r>
          </w:p>
        </w:tc>
        <w:tc>
          <w:tcPr>
            <w:tcW w:w="820" w:type="dxa"/>
            <w:vAlign w:val="bottom"/>
          </w:tcPr>
          <w:p>
            <w:pPr>
              <w:ind w:left="140"/>
              <w:spacing w:after="0"/>
              <w:rPr>
                <w:sz w:val="20"/>
                <w:szCs w:val="20"/>
                <w:color w:val="auto"/>
              </w:rPr>
            </w:pPr>
            <w:r>
              <w:rPr>
                <w:rFonts w:ascii="Courier New" w:cs="Courier New" w:eastAsia="Courier New" w:hAnsi="Courier New"/>
                <w:sz w:val="14"/>
                <w:szCs w:val="14"/>
                <w:b w:val="1"/>
                <w:bCs w:val="1"/>
                <w:color w:val="auto"/>
                <w:w w:val="98"/>
              </w:rPr>
              <w:t>Earnings</w:t>
            </w:r>
          </w:p>
        </w:tc>
        <w:tc>
          <w:tcPr>
            <w:tcW w:w="160" w:type="dxa"/>
            <w:vAlign w:val="bottom"/>
          </w:tcPr>
          <w:p>
            <w:pPr>
              <w:spacing w:after="0"/>
              <w:rPr>
                <w:sz w:val="14"/>
                <w:szCs w:val="14"/>
                <w:color w:val="auto"/>
              </w:rPr>
            </w:pP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b w:val="1"/>
                <w:bCs w:val="1"/>
                <w:color w:val="auto"/>
              </w:rPr>
              <w:t>Loss</w:t>
            </w:r>
          </w:p>
        </w:tc>
        <w:tc>
          <w:tcPr>
            <w:tcW w:w="1540" w:type="dxa"/>
            <w:vAlign w:val="bottom"/>
          </w:tcPr>
          <w:p>
            <w:pPr>
              <w:ind w:left="260"/>
              <w:spacing w:after="0"/>
              <w:rPr>
                <w:sz w:val="20"/>
                <w:szCs w:val="20"/>
                <w:color w:val="auto"/>
              </w:rPr>
            </w:pPr>
            <w:r>
              <w:rPr>
                <w:rFonts w:ascii="Courier New" w:cs="Courier New" w:eastAsia="Courier New" w:hAnsi="Courier New"/>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-1054735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-1054735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January 1, 2001</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15,247</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$153</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$ 30,414</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$ 36,364</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(1,685)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$ 65,246</w:t>
            </w:r>
          </w:p>
        </w:tc>
      </w:tr>
      <w:tr>
        <w:trPr>
          <w:trHeight w:val="164"/>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1,448</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1,448</w:t>
            </w:r>
          </w:p>
        </w:tc>
      </w:tr>
      <w:tr>
        <w:trPr>
          <w:trHeight w:val="164"/>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Dividends paid</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(1,220)</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(1,220)</w:t>
            </w:r>
          </w:p>
        </w:tc>
      </w:tr>
      <w:tr>
        <w:trPr>
          <w:trHeight w:val="164"/>
        </w:trPr>
        <w:tc>
          <w:tcPr>
            <w:tcW w:w="2820" w:type="dxa"/>
            <w:vAlign w:val="bottom"/>
          </w:tcPr>
          <w:p>
            <w:pPr>
              <w:ind w:left="340"/>
              <w:spacing w:after="0"/>
              <w:rPr>
                <w:sz w:val="20"/>
                <w:szCs w:val="20"/>
                <w:color w:val="auto"/>
              </w:rPr>
            </w:pPr>
            <w:r>
              <w:rPr>
                <w:rFonts w:ascii="Courier New" w:cs="Courier New" w:eastAsia="Courier New" w:hAnsi="Courier New"/>
                <w:sz w:val="14"/>
                <w:szCs w:val="14"/>
                <w:color w:val="auto"/>
              </w:rPr>
              <w:t>Other comprehensive loss</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(3,386)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(3,386)</w:t>
            </w:r>
          </w:p>
        </w:tc>
      </w:tr>
      <w:tr>
        <w:trPr>
          <w:trHeight w:val="164"/>
        </w:trPr>
        <w:tc>
          <w:tcPr>
            <w:tcW w:w="2820" w:type="dxa"/>
            <w:vAlign w:val="bottom"/>
          </w:tcPr>
          <w:p>
            <w:pPr>
              <w:spacing w:after="0"/>
              <w:rPr>
                <w:sz w:val="14"/>
                <w:szCs w:val="14"/>
                <w:color w:val="auto"/>
              </w:rPr>
            </w:pPr>
          </w:p>
        </w:tc>
        <w:tc>
          <w:tcPr>
            <w:tcW w:w="1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March 31, 2001</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15,247</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$153</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$ 30,414</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$ 36,592</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(5,071)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$ 62,088</w:t>
            </w:r>
          </w:p>
        </w:tc>
      </w:tr>
      <w:tr>
        <w:trPr>
          <w:trHeight w:val="164"/>
        </w:trPr>
        <w:tc>
          <w:tcPr>
            <w:tcW w:w="2820" w:type="dxa"/>
            <w:vAlign w:val="bottom"/>
          </w:tcPr>
          <w:p>
            <w:pPr>
              <w:spacing w:after="0"/>
              <w:rPr>
                <w:sz w:val="14"/>
                <w:szCs w:val="14"/>
                <w:color w:val="auto"/>
              </w:rPr>
            </w:pPr>
          </w:p>
        </w:tc>
        <w:tc>
          <w:tcPr>
            <w:tcW w:w="1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January 1, 2002</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15,317</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$154</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$ 30,841</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$ 36,139</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(5,095)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$ 62,039</w:t>
            </w:r>
          </w:p>
        </w:tc>
      </w:tr>
      <w:tr>
        <w:trPr>
          <w:trHeight w:val="164"/>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148</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148</w:t>
            </w:r>
          </w:p>
        </w:tc>
      </w:tr>
      <w:tr>
        <w:trPr>
          <w:trHeight w:val="164"/>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1,848</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1,848</w:t>
            </w:r>
          </w:p>
        </w:tc>
      </w:tr>
      <w:tr>
        <w:trPr>
          <w:trHeight w:val="164"/>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(1,227)</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(1,227)</w:t>
            </w:r>
          </w:p>
        </w:tc>
      </w:tr>
      <w:tr>
        <w:trPr>
          <w:trHeight w:val="164"/>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(80)</w:t>
            </w:r>
          </w:p>
        </w:tc>
      </w:tr>
      <w:tr>
        <w:trPr>
          <w:trHeight w:val="164"/>
        </w:trPr>
        <w:tc>
          <w:tcPr>
            <w:tcW w:w="2820" w:type="dxa"/>
            <w:vAlign w:val="bottom"/>
          </w:tcPr>
          <w:p>
            <w:pPr>
              <w:spacing w:after="0"/>
              <w:rPr>
                <w:sz w:val="14"/>
                <w:szCs w:val="14"/>
                <w:color w:val="auto"/>
              </w:rPr>
            </w:pPr>
          </w:p>
        </w:tc>
        <w:tc>
          <w:tcPr>
            <w:tcW w:w="1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March 31, 2002</w:t>
            </w: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15,341</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$154</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$ 30,989</w:t>
            </w:r>
          </w:p>
        </w:tc>
        <w:tc>
          <w:tcPr>
            <w:tcW w:w="13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$ 36,760</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(5,175)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$ 62,728</w:t>
            </w:r>
          </w:p>
        </w:tc>
      </w:tr>
      <w:tr>
        <w:trPr>
          <w:trHeight w:val="164"/>
        </w:trPr>
        <w:tc>
          <w:tcPr>
            <w:tcW w:w="2820" w:type="dxa"/>
            <w:vAlign w:val="bottom"/>
          </w:tcPr>
          <w:p>
            <w:pPr>
              <w:spacing w:after="0"/>
              <w:rPr>
                <w:sz w:val="14"/>
                <w:szCs w:val="14"/>
                <w:color w:val="auto"/>
              </w:rPr>
            </w:pPr>
          </w:p>
        </w:tc>
        <w:tc>
          <w:tcPr>
            <w:tcW w:w="1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600"/>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b w:val="1"/>
          <w:bCs w:val="1"/>
          <w:color w:val="auto"/>
        </w:rPr>
        <w:t>Consolidated Statements of Cash Flows</w:t>
      </w:r>
    </w:p>
    <w:p>
      <w:pPr>
        <w:spacing w:after="0" w:line="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900" w:type="dxa"/>
            <w:vAlign w:val="bottom"/>
          </w:tcPr>
          <w:p>
            <w:pPr>
              <w:ind w:left="2820"/>
              <w:spacing w:after="0"/>
              <w:rPr>
                <w:sz w:val="20"/>
                <w:szCs w:val="20"/>
                <w:color w:val="auto"/>
              </w:rPr>
            </w:pPr>
            <w:r>
              <w:rPr>
                <w:rFonts w:ascii="Courier New" w:cs="Courier New" w:eastAsia="Courier New" w:hAnsi="Courier New"/>
                <w:sz w:val="14"/>
                <w:szCs w:val="14"/>
                <w:b w:val="1"/>
                <w:bCs w:val="1"/>
                <w:color w:val="auto"/>
              </w:rPr>
              <w:t>Three Months</w:t>
            </w:r>
          </w:p>
        </w:tc>
        <w:tc>
          <w:tcPr>
            <w:tcW w:w="460" w:type="dxa"/>
            <w:vAlign w:val="bottom"/>
          </w:tcPr>
          <w:p>
            <w:pPr>
              <w:ind w:left="40"/>
              <w:spacing w:after="0"/>
              <w:rPr>
                <w:sz w:val="20"/>
                <w:szCs w:val="20"/>
                <w:color w:val="auto"/>
              </w:rPr>
            </w:pPr>
            <w:r>
              <w:rPr>
                <w:rFonts w:ascii="Courier New" w:cs="Courier New" w:eastAsia="Courier New" w:hAnsi="Courier New"/>
                <w:sz w:val="14"/>
                <w:szCs w:val="14"/>
                <w:b w:val="1"/>
                <w:bCs w:val="1"/>
                <w:color w:val="auto"/>
                <w:w w:val="95"/>
              </w:rPr>
              <w:t>Ended</w:t>
            </w:r>
          </w:p>
        </w:tc>
      </w:tr>
      <w:tr>
        <w:trPr>
          <w:trHeight w:val="164"/>
        </w:trPr>
        <w:tc>
          <w:tcPr>
            <w:tcW w:w="4620" w:type="dxa"/>
            <w:vAlign w:val="bottom"/>
          </w:tcPr>
          <w:p>
            <w:pPr>
              <w:spacing w:after="0"/>
              <w:rPr>
                <w:sz w:val="14"/>
                <w:szCs w:val="14"/>
                <w:color w:val="auto"/>
              </w:rPr>
            </w:pPr>
          </w:p>
        </w:tc>
        <w:tc>
          <w:tcPr>
            <w:tcW w:w="3900" w:type="dxa"/>
            <w:vAlign w:val="bottom"/>
          </w:tcPr>
          <w:p>
            <w:pPr>
              <w:ind w:left="3420"/>
              <w:spacing w:after="0"/>
              <w:rPr>
                <w:sz w:val="20"/>
                <w:szCs w:val="20"/>
                <w:color w:val="auto"/>
              </w:rPr>
            </w:pPr>
            <w:r>
              <w:rPr>
                <w:rFonts w:ascii="Courier New" w:cs="Courier New" w:eastAsia="Courier New" w:hAnsi="Courier New"/>
                <w:sz w:val="14"/>
                <w:szCs w:val="14"/>
                <w:b w:val="1"/>
                <w:bCs w:val="1"/>
                <w:color w:val="auto"/>
              </w:rPr>
              <w:t>March</w:t>
            </w:r>
          </w:p>
        </w:tc>
        <w:tc>
          <w:tcPr>
            <w:tcW w:w="460" w:type="dxa"/>
            <w:vAlign w:val="bottom"/>
          </w:tcPr>
          <w:p>
            <w:pPr>
              <w:ind w:left="40"/>
              <w:spacing w:after="0"/>
              <w:rPr>
                <w:sz w:val="20"/>
                <w:szCs w:val="20"/>
                <w:color w:val="auto"/>
              </w:rPr>
            </w:pPr>
            <w:r>
              <w:rPr>
                <w:rFonts w:ascii="Courier New" w:cs="Courier New" w:eastAsia="Courier New" w:hAnsi="Courier New"/>
                <w:sz w:val="14"/>
                <w:szCs w:val="14"/>
                <w:b w:val="1"/>
                <w:bCs w:val="1"/>
                <w:color w:val="auto"/>
              </w:rPr>
              <w:t>31,</w:t>
            </w:r>
          </w:p>
        </w:tc>
      </w:tr>
      <w:tr>
        <w:trPr>
          <w:trHeight w:val="164"/>
        </w:trPr>
        <w:tc>
          <w:tcPr>
            <w:tcW w:w="4620" w:type="dxa"/>
            <w:vAlign w:val="bottom"/>
          </w:tcPr>
          <w:p>
            <w:pPr>
              <w:spacing w:after="0"/>
              <w:rPr>
                <w:sz w:val="20"/>
                <w:szCs w:val="20"/>
                <w:color w:val="auto"/>
              </w:rPr>
            </w:pPr>
            <w:r>
              <w:rPr>
                <w:rFonts w:ascii="Courier New" w:cs="Courier New" w:eastAsia="Courier New" w:hAnsi="Courier New"/>
                <w:sz w:val="14"/>
                <w:szCs w:val="14"/>
                <w:b w:val="1"/>
                <w:bCs w:val="1"/>
                <w:color w:val="auto"/>
              </w:rPr>
              <w:t>Thousands of  Dollars</w:t>
            </w:r>
          </w:p>
        </w:tc>
        <w:tc>
          <w:tcPr>
            <w:tcW w:w="3900" w:type="dxa"/>
            <w:vAlign w:val="bottom"/>
          </w:tcPr>
          <w:p>
            <w:pPr>
              <w:ind w:left="2820"/>
              <w:spacing w:after="0"/>
              <w:rPr>
                <w:sz w:val="20"/>
                <w:szCs w:val="20"/>
                <w:color w:val="auto"/>
              </w:rPr>
            </w:pPr>
            <w:r>
              <w:rPr>
                <w:rFonts w:ascii="Courier New" w:cs="Courier New" w:eastAsia="Courier New" w:hAnsi="Courier New"/>
                <w:sz w:val="14"/>
                <w:szCs w:val="14"/>
                <w:b w:val="1"/>
                <w:bCs w:val="1"/>
                <w:color w:val="auto"/>
              </w:rPr>
              <w:t>2002</w:t>
            </w:r>
          </w:p>
        </w:tc>
        <w:tc>
          <w:tcPr>
            <w:tcW w:w="460" w:type="dxa"/>
            <w:vAlign w:val="bottom"/>
          </w:tcPr>
          <w:p>
            <w:pPr>
              <w:ind w:left="40"/>
              <w:spacing w:after="0"/>
              <w:rPr>
                <w:sz w:val="20"/>
                <w:szCs w:val="20"/>
                <w:color w:val="auto"/>
              </w:rPr>
            </w:pPr>
            <w:r>
              <w:rPr>
                <w:rFonts w:ascii="Courier New" w:cs="Courier New" w:eastAsia="Courier New" w:hAnsi="Courier New"/>
                <w:sz w:val="14"/>
                <w:szCs w:val="14"/>
                <w:b w:val="1"/>
                <w:bCs w:val="1"/>
                <w:color w:val="auto"/>
              </w:rPr>
              <w:t>2001</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w:t>
      </w: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b w:val="1"/>
          <w:bCs w:val="1"/>
          <w:color w:val="auto"/>
        </w:rPr>
      </w:pPr>
    </w:p>
    <w:p>
      <w:pPr>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Operating Activities:</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r>
      <w:tr>
        <w:trPr>
          <w:trHeight w:val="164"/>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w:t>
            </w: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98" w:orient="portrait"/>
          <w:cols w:equalWidth="0" w:num="1">
            <w:col w:w="11460"/>
          </w:cols>
          <w:pgMar w:left="220" w:top="141" w:right="2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Depreciation and amortization</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2,825</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3,310</w:t>
            </w:r>
          </w:p>
        </w:tc>
      </w:tr>
      <w:tr>
        <w:trPr>
          <w:trHeight w:val="164"/>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98</w:t>
            </w:r>
          </w:p>
        </w:tc>
      </w:tr>
      <w:tr>
        <w:trPr>
          <w:trHeight w:val="164"/>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Equity earnings of unconsolidated affiliate</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w:t>
            </w:r>
          </w:p>
        </w:tc>
      </w:tr>
      <w:tr>
        <w:trPr>
          <w:trHeight w:val="164"/>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Interest income on receivable from unconsolidated affiliate</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w:t>
            </w:r>
          </w:p>
        </w:tc>
      </w:tr>
      <w:tr>
        <w:trPr>
          <w:trHeight w:val="164"/>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536</w:t>
            </w:r>
          </w:p>
        </w:tc>
      </w:tr>
      <w:tr>
        <w:trPr>
          <w:trHeight w:val="164"/>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Restructuring costs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ind w:left="3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(5,996)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(6,363)</w:t>
            </w: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1,578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702</w:t>
            </w: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(558)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w:t>
            </w: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1,049</w:t>
            </w: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(1,371)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(2,251)</w:t>
            </w: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Income taxes payable</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1,421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1,675</w:t>
            </w:r>
          </w:p>
        </w:tc>
      </w:tr>
      <w:tr>
        <w:trPr>
          <w:trHeight w:val="164"/>
        </w:trPr>
        <w:tc>
          <w:tcPr>
            <w:tcW w:w="624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571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3,501</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3,477</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Investing Activities:</w:t>
            </w: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Delta Rubber Company, net of cash acquired</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(23,472)</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property, plant, and equipment</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(849)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(1,978)</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ind w:left="780"/>
              <w:spacing w:after="0"/>
              <w:rPr>
                <w:sz w:val="20"/>
                <w:szCs w:val="20"/>
                <w:color w:val="auto"/>
              </w:rPr>
            </w:pPr>
            <w:r>
              <w:rPr>
                <w:rFonts w:ascii="Courier New" w:cs="Courier New" w:eastAsia="Courier New" w:hAnsi="Courier New"/>
                <w:sz w:val="14"/>
                <w:szCs w:val="14"/>
                <w:color w:val="auto"/>
              </w:rPr>
              <w:t>Net cash used by investing activities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(849)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(25,450)</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Financing Activities:</w:t>
            </w: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Net proceeds under revolving credit facility</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24,642</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long-term debt</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1,710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Bank overdraft</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495</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3,081</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Repayment of long-term debt</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(2,132)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(4,731)</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Repayment of short-term debt</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(2,000)</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issuance of stock</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ind w:left="100"/>
              <w:spacing w:after="0"/>
              <w:rPr>
                <w:sz w:val="20"/>
                <w:szCs w:val="20"/>
                <w:color w:val="auto"/>
              </w:rPr>
            </w:pPr>
            <w:r>
              <w:rPr>
                <w:rFonts w:ascii="Courier New" w:cs="Courier New" w:eastAsia="Courier New" w:hAnsi="Courier New"/>
                <w:sz w:val="14"/>
                <w:szCs w:val="14"/>
                <w:color w:val="auto"/>
              </w:rPr>
              <w:t>Dividends paid</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(1,227)</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(1,220)</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19,772</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62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1,415</w:t>
            </w:r>
          </w:p>
        </w:tc>
      </w:tr>
      <w:tr>
        <w:trPr>
          <w:trHeight w:val="329"/>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Net Change in Cash and Cash Equivalents</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(820)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(786)</w:t>
            </w:r>
          </w:p>
        </w:tc>
      </w:tr>
      <w:tr>
        <w:trPr>
          <w:trHeight w:val="164"/>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Cash and Cash Equivalents at Beginning of Period</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3,024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8,273</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Cash and Cash Equivalents at End of Period</w:t>
            </w:r>
          </w:p>
        </w:tc>
        <w:tc>
          <w:tcPr>
            <w:tcW w:w="1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$2,204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$7,487</w:t>
            </w:r>
          </w:p>
        </w:tc>
      </w:tr>
      <w:tr>
        <w:trPr>
          <w:trHeight w:val="164"/>
        </w:trPr>
        <w:tc>
          <w:tcPr>
            <w:tcW w:w="6240" w:type="dxa"/>
            <w:vAlign w:val="bottom"/>
          </w:tcPr>
          <w:p>
            <w:pPr>
              <w:spacing w:after="0"/>
              <w:rPr>
                <w:sz w:val="14"/>
                <w:szCs w:val="14"/>
                <w:color w:val="auto"/>
              </w:rPr>
            </w:pP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b w:val="1"/>
          <w:bCs w:val="1"/>
          <w:color w:val="auto"/>
        </w:rPr>
        <w:t>NN, Inc.</w:t>
      </w:r>
    </w:p>
    <w:p>
      <w:pPr>
        <w:spacing w:after="0" w:line="6"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33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1.</w:t>
        <w:tab/>
        <w:t>Interim Financial Statements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accompanying consolidated financial statements of NN, Inc. (the "Company") have not been audited by independent accountants, except that the balance sheet at December 31, 2001 is derived from the Company's audited financial statements. In the opinion of the Company's management, the financial statements reflect all adjustments necessary to present fairly the results of operations for the three month periods ended March 31, 2002 and 2001, the Company's financial position at March 31, 2002 and December 31, 2001, and the cash flows for the three month periods ended March 31, 2002 and 2001. These adjustments are of a normal recurring nature and are, in the opinion of management, necessary for fair presentation of the financial position and operating results for the interim periods.</w:t>
      </w:r>
    </w:p>
    <w:p>
      <w:pPr>
        <w:spacing w:after="0" w:line="1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w:t>
      </w:r>
    </w:p>
    <w:p>
      <w:pPr>
        <w:spacing w:after="0" w:line="164"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4"/>
          <w:szCs w:val="14"/>
          <w:color w:val="auto"/>
        </w:rPr>
        <w:t>The results for the first quarter of 2002 are not necessarily indicative of future results.</w:t>
      </w:r>
    </w:p>
    <w:p>
      <w:pPr>
        <w:spacing w:after="0" w:line="161" w:lineRule="exact"/>
        <w:rPr>
          <w:sz w:val="20"/>
          <w:szCs w:val="20"/>
          <w:color w:val="auto"/>
        </w:rPr>
      </w:pPr>
    </w:p>
    <w:p>
      <w:pPr>
        <w:ind w:right="4419"/>
        <w:spacing w:after="0" w:line="251" w:lineRule="auto"/>
        <w:rPr>
          <w:sz w:val="20"/>
          <w:szCs w:val="20"/>
          <w:color w:val="auto"/>
        </w:rPr>
      </w:pPr>
      <w:r>
        <w:rPr>
          <w:rFonts w:ascii="Courier New" w:cs="Courier New" w:eastAsia="Courier New" w:hAnsi="Courier New"/>
          <w:sz w:val="14"/>
          <w:szCs w:val="14"/>
          <w:color w:val="auto"/>
        </w:rPr>
        <w:t>Certain 2001 amounts have been reclassified to conform with the 2002 presentation.</w:t>
      </w:r>
    </w:p>
    <w:p>
      <w:pPr>
        <w:spacing w:after="0" w:line="16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2.</w:t>
        <w:tab/>
        <w:t>Derivate Financial Instruments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connection with a variable Euribor rate debt financing in July 2000 the</w:t>
      </w:r>
    </w:p>
    <w:p>
      <w:pPr>
        <w:sectPr>
          <w:pgSz w:w="11900" w:h="16838" w:orient="portrait"/>
          <w:cols w:equalWidth="0" w:num="1">
            <w:col w:w="10239"/>
          </w:cols>
          <w:pgMar w:left="220" w:top="141" w:right="1440" w:bottom="0" w:gutter="0" w:footer="0" w:header="0"/>
        </w:sectPr>
      </w:pPr>
    </w:p>
    <w:bookmarkStart w:id="4" w:name="page5"/>
    <w:bookmarkEnd w:id="4"/>
    <w:p>
      <w:pPr>
        <w:ind w:right="3479"/>
        <w:spacing w:after="0" w:line="249" w:lineRule="auto"/>
        <w:rPr>
          <w:sz w:val="20"/>
          <w:szCs w:val="20"/>
          <w:color w:val="auto"/>
        </w:rPr>
      </w:pPr>
      <w:r>
        <w:rPr>
          <w:rFonts w:ascii="Courier New" w:cs="Courier New" w:eastAsia="Courier New" w:hAnsi="Courier New"/>
          <w:sz w:val="14"/>
          <w:szCs w:val="14"/>
          <w:color w:val="auto"/>
        </w:rPr>
        <w:t>Company's 54% owned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March 31, 2002, the fair value of the swap is a loss of approximately</w:t>
      </w:r>
    </w:p>
    <w:p>
      <w:pPr>
        <w:spacing w:after="0" w:line="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$312,000, which is recorded in other non-current liabilities. The change in fair value during the three month period ended March 31, 2002 and 2001 was a gain of approximately $56,000 and a loss of approximately $48,000, respectively, which have been included as a component of other income.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Courier New" w:cs="Courier New" w:eastAsia="Courier New" w:hAnsi="Courier New"/>
                <w:sz w:val="14"/>
                <w:szCs w:val="14"/>
                <w:b w:val="1"/>
                <w:bCs w:val="1"/>
                <w:color w:val="auto"/>
              </w:rPr>
              <w:t>Note 3.</w:t>
            </w:r>
          </w:p>
        </w:tc>
        <w:tc>
          <w:tcPr>
            <w:tcW w:w="6100" w:type="dxa"/>
            <w:vAlign w:val="bottom"/>
          </w:tcPr>
          <w:p>
            <w:pPr>
              <w:spacing w:after="0"/>
              <w:rPr>
                <w:sz w:val="20"/>
                <w:szCs w:val="20"/>
                <w:color w:val="auto"/>
              </w:rPr>
            </w:pPr>
            <w:r>
              <w:rPr>
                <w:rFonts w:ascii="Courier New" w:cs="Courier New" w:eastAsia="Courier New" w:hAnsi="Courier New"/>
                <w:sz w:val="14"/>
                <w:szCs w:val="14"/>
                <w:b w:val="1"/>
                <w:bCs w:val="1"/>
                <w:color w:val="auto"/>
              </w:rPr>
              <w:t>Inventories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29"/>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Inventories are stated at the lower of cost or market. Cost is being determined</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using the first-in, first-out method.</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29"/>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Inventories are comprised of the following (in thousands):</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9"/>
        </w:trPr>
        <w:tc>
          <w:tcPr>
            <w:tcW w:w="7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b w:val="1"/>
                <w:bCs w:val="1"/>
                <w:color w:val="auto"/>
              </w:rPr>
              <w:t>March 31,</w:t>
            </w:r>
          </w:p>
        </w:tc>
        <w:tc>
          <w:tcPr>
            <w:tcW w:w="1420" w:type="dxa"/>
            <w:vAlign w:val="bottom"/>
            <w:gridSpan w:val="2"/>
          </w:tcPr>
          <w:p>
            <w:pPr>
              <w:jc w:val="right"/>
              <w:ind w:right="369"/>
              <w:spacing w:after="0"/>
              <w:rPr>
                <w:sz w:val="20"/>
                <w:szCs w:val="20"/>
                <w:color w:val="auto"/>
              </w:rPr>
            </w:pPr>
            <w:r>
              <w:rPr>
                <w:rFonts w:ascii="Courier New" w:cs="Courier New" w:eastAsia="Courier New" w:hAnsi="Courier New"/>
                <w:sz w:val="14"/>
                <w:szCs w:val="14"/>
                <w:b w:val="1"/>
                <w:bCs w:val="1"/>
                <w:color w:val="auto"/>
              </w:rPr>
              <w:t>Dec. 31,</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w w:val="95"/>
              </w:rPr>
              <w:t>2002</w:t>
            </w:r>
          </w:p>
        </w:tc>
        <w:tc>
          <w:tcPr>
            <w:tcW w:w="1420" w:type="dxa"/>
            <w:vAlign w:val="bottom"/>
            <w:gridSpan w:val="2"/>
          </w:tcPr>
          <w:p>
            <w:pPr>
              <w:jc w:val="right"/>
              <w:ind w:right="529"/>
              <w:spacing w:after="0"/>
              <w:rPr>
                <w:sz w:val="20"/>
                <w:szCs w:val="20"/>
                <w:color w:val="auto"/>
              </w:rPr>
            </w:pPr>
            <w:r>
              <w:rPr>
                <w:rFonts w:ascii="Courier New" w:cs="Courier New" w:eastAsia="Courier New" w:hAnsi="Courier New"/>
                <w:sz w:val="14"/>
                <w:szCs w:val="14"/>
                <w:b w:val="1"/>
                <w:bCs w:val="1"/>
                <w:color w:val="auto"/>
              </w:rPr>
              <w:t>2001</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b w:val="1"/>
                <w:bCs w:val="1"/>
                <w:color w:val="auto"/>
              </w:rPr>
              <w:t>(Unaudited)</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b w:val="1"/>
                <w:bCs w:val="1"/>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b w:val="1"/>
                <w:bCs w:val="1"/>
                <w:color w:val="auto"/>
              </w:rPr>
              <w:t>--------------</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Raw materials</w:t>
            </w: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$ 5,083</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$ 5,494</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Work in process</w:t>
            </w:r>
          </w:p>
        </w:tc>
        <w:tc>
          <w:tcPr>
            <w:tcW w:w="6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4,453</w:t>
            </w:r>
          </w:p>
        </w:tc>
        <w:tc>
          <w:tcPr>
            <w:tcW w:w="72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5,016</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Finished goods</w:t>
            </w:r>
          </w:p>
        </w:tc>
        <w:tc>
          <w:tcPr>
            <w:tcW w:w="6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12,373</w:t>
            </w:r>
          </w:p>
        </w:tc>
        <w:tc>
          <w:tcPr>
            <w:tcW w:w="72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13,065</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Less inventory reserves</w:t>
            </w:r>
          </w:p>
        </w:tc>
        <w:tc>
          <w:tcPr>
            <w:tcW w:w="6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(189)</w:t>
            </w:r>
          </w:p>
        </w:tc>
        <w:tc>
          <w:tcPr>
            <w:tcW w:w="72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(157)</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$21,720</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$23,418</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b w:val="1"/>
                <w:bCs w:val="1"/>
                <w:color w:val="auto"/>
              </w:rPr>
              <w:t>Note 4.</w:t>
            </w:r>
          </w:p>
        </w:tc>
        <w:tc>
          <w:tcPr>
            <w:tcW w:w="6100" w:type="dxa"/>
            <w:vAlign w:val="bottom"/>
          </w:tcPr>
          <w:p>
            <w:pPr>
              <w:spacing w:after="0"/>
              <w:rPr>
                <w:sz w:val="20"/>
                <w:szCs w:val="20"/>
                <w:color w:val="auto"/>
              </w:rPr>
            </w:pPr>
            <w:r>
              <w:rPr>
                <w:rFonts w:ascii="Courier New" w:cs="Courier New" w:eastAsia="Courier New" w:hAnsi="Courier New"/>
                <w:sz w:val="14"/>
                <w:szCs w:val="14"/>
                <w:b w:val="1"/>
                <w:bCs w:val="1"/>
                <w:color w:val="auto"/>
              </w:rPr>
              <w:t>Net Income Per Share</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9"/>
        </w:trPr>
        <w:tc>
          <w:tcPr>
            <w:tcW w:w="7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w w:val="99"/>
              </w:rPr>
              <w:t>Three Months Ended</w:t>
            </w:r>
          </w:p>
        </w:tc>
        <w:tc>
          <w:tcPr>
            <w:tcW w:w="700" w:type="dxa"/>
            <w:vAlign w:val="bottom"/>
          </w:tcPr>
          <w:p>
            <w:pPr>
              <w:spacing w:after="0"/>
              <w:rPr>
                <w:sz w:val="24"/>
                <w:szCs w:val="24"/>
                <w:color w:val="auto"/>
              </w:rPr>
            </w:pP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2"/>
          </w:tcPr>
          <w:p>
            <w:pPr>
              <w:jc w:val="right"/>
              <w:ind w:right="349"/>
              <w:spacing w:after="0"/>
              <w:rPr>
                <w:sz w:val="20"/>
                <w:szCs w:val="20"/>
                <w:color w:val="auto"/>
              </w:rPr>
            </w:pPr>
            <w:r>
              <w:rPr>
                <w:rFonts w:ascii="Courier New" w:cs="Courier New" w:eastAsia="Courier New" w:hAnsi="Courier New"/>
                <w:sz w:val="14"/>
                <w:szCs w:val="14"/>
                <w:b w:val="1"/>
                <w:bCs w:val="1"/>
                <w:color w:val="auto"/>
              </w:rPr>
              <w:t>March 31,</w:t>
            </w:r>
          </w:p>
        </w:tc>
        <w:tc>
          <w:tcPr>
            <w:tcW w:w="700" w:type="dxa"/>
            <w:vAlign w:val="bottom"/>
          </w:tcPr>
          <w:p>
            <w:pPr>
              <w:spacing w:after="0"/>
              <w:rPr>
                <w:sz w:val="14"/>
                <w:szCs w:val="14"/>
                <w:color w:val="auto"/>
              </w:rPr>
            </w:pP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Thousands of Dollars, Except Share and Per Share Data</w:t>
            </w:r>
          </w:p>
        </w:tc>
        <w:tc>
          <w:tcPr>
            <w:tcW w:w="1460" w:type="dxa"/>
            <w:vAlign w:val="bottom"/>
            <w:gridSpan w:val="2"/>
          </w:tcPr>
          <w:p>
            <w:pPr>
              <w:jc w:val="right"/>
              <w:ind w:right="569"/>
              <w:spacing w:after="0"/>
              <w:rPr>
                <w:sz w:val="20"/>
                <w:szCs w:val="20"/>
                <w:color w:val="auto"/>
              </w:rPr>
            </w:pPr>
            <w:r>
              <w:rPr>
                <w:rFonts w:ascii="Courier New" w:cs="Courier New" w:eastAsia="Courier New" w:hAnsi="Courier New"/>
                <w:sz w:val="14"/>
                <w:szCs w:val="14"/>
                <w:b w:val="1"/>
                <w:bCs w:val="1"/>
                <w:color w:val="auto"/>
              </w:rPr>
              <w:t>2002</w:t>
            </w:r>
          </w:p>
        </w:tc>
        <w:tc>
          <w:tcPr>
            <w:tcW w:w="720" w:type="dxa"/>
            <w:vAlign w:val="bottom"/>
          </w:tcPr>
          <w:p>
            <w:pPr>
              <w:spacing w:after="0"/>
              <w:rPr>
                <w:sz w:val="14"/>
                <w:szCs w:val="14"/>
                <w:color w:val="auto"/>
              </w:rPr>
            </w:pPr>
          </w:p>
        </w:tc>
        <w:tc>
          <w:tcPr>
            <w:tcW w:w="70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2001</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$ 1,848</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$ 1,448</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net income</w:t>
            </w:r>
          </w:p>
        </w:tc>
        <w:tc>
          <w:tcPr>
            <w:tcW w:w="66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$ 1,848</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$ 1,448</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493"/>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basic shares</w:t>
            </w: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15,340,806</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15,246,909</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Effect of dilutive stock options</w:t>
            </w: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393,904</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149,543</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dilutive shares outstanding</w:t>
            </w:r>
          </w:p>
        </w:tc>
        <w:tc>
          <w:tcPr>
            <w:tcW w:w="14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15,734,710</w:t>
            </w:r>
          </w:p>
        </w:tc>
        <w:tc>
          <w:tcPr>
            <w:tcW w:w="1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15,396,452</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9"/>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Basic net income per share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0.10</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Diluted net income per share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0.09</w:t>
            </w:r>
          </w:p>
        </w:tc>
      </w:tr>
      <w:tr>
        <w:trPr>
          <w:trHeight w:val="164"/>
        </w:trPr>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493"/>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Excluded from the shares outstanding for each of the three month periods ended</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March 31, 2002 and 2001 were 0 and 10,750 antidilutive options, respectively,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6880" w:type="dxa"/>
            <w:vAlign w:val="bottom"/>
            <w:gridSpan w:val="2"/>
          </w:tcPr>
          <w:p>
            <w:pPr>
              <w:spacing w:after="0"/>
              <w:rPr>
                <w:sz w:val="20"/>
                <w:szCs w:val="20"/>
                <w:color w:val="auto"/>
              </w:rPr>
            </w:pPr>
            <w:r>
              <w:rPr>
                <w:rFonts w:ascii="Courier New" w:cs="Courier New" w:eastAsia="Courier New" w:hAnsi="Courier New"/>
                <w:sz w:val="14"/>
                <w:szCs w:val="14"/>
                <w:color w:val="auto"/>
              </w:rPr>
              <w:t>which had exercise prices ranging from $9.75 to $11.50 as of March 31, 2001.</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29"/>
        </w:trPr>
        <w:tc>
          <w:tcPr>
            <w:tcW w:w="780" w:type="dxa"/>
            <w:vAlign w:val="bottom"/>
          </w:tcPr>
          <w:p>
            <w:pPr>
              <w:spacing w:after="0"/>
              <w:rPr>
                <w:sz w:val="20"/>
                <w:szCs w:val="20"/>
                <w:color w:val="auto"/>
              </w:rPr>
            </w:pPr>
            <w:r>
              <w:rPr>
                <w:rFonts w:ascii="Courier New" w:cs="Courier New" w:eastAsia="Courier New" w:hAnsi="Courier New"/>
                <w:sz w:val="14"/>
                <w:szCs w:val="14"/>
                <w:b w:val="1"/>
                <w:bCs w:val="1"/>
                <w:color w:val="auto"/>
              </w:rPr>
              <w:t>Note 5.</w:t>
            </w:r>
          </w:p>
        </w:tc>
        <w:tc>
          <w:tcPr>
            <w:tcW w:w="6100" w:type="dxa"/>
            <w:vAlign w:val="bottom"/>
          </w:tcPr>
          <w:p>
            <w:pPr>
              <w:spacing w:after="0"/>
              <w:rPr>
                <w:sz w:val="20"/>
                <w:szCs w:val="20"/>
                <w:color w:val="auto"/>
              </w:rPr>
            </w:pPr>
            <w:r>
              <w:rPr>
                <w:rFonts w:ascii="Courier New" w:cs="Courier New" w:eastAsia="Courier New" w:hAnsi="Courier New"/>
                <w:sz w:val="14"/>
                <w:szCs w:val="14"/>
                <w:b w:val="1"/>
                <w:bCs w:val="1"/>
                <w:color w:val="auto"/>
              </w:rPr>
              <w:t>Segment Information</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68"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During 2002 and 2001, the Company's reportable segments are based on differences in product lines and geographic locations and are divided among Domestic Ball and Roller, European operations ("Euroball") and Plastics.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 are engaged in the production of precision balls and rollers used primarily in the bearing industry. The Plastics Segment is comprised of the Industrial Molding Corporation ("IMC") business, located in Lubbock, Texas, which was acquired in July 1999, NN Arte ("Arte") formed in August of 2000,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w:t>
      </w:r>
    </w:p>
    <w:p>
      <w:pPr>
        <w:spacing w:after="0" w:line="174"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The accounting policies of each segment are the same as those described in the summary of significant accounting policies in the December 31, 2001 Form 10-K/A including those policies as discussed in Note</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ectPr>
          <w:pgSz w:w="11900" w:h="16838" w:orient="portrait"/>
          <w:cols w:equalWidth="0" w:num="1">
            <w:col w:w="10239"/>
          </w:cols>
          <w:pgMar w:left="220" w:top="141" w:right="1440" w:bottom="214" w:gutter="0" w:footer="0" w:header="0"/>
        </w:sectPr>
      </w:pPr>
    </w:p>
    <w:bookmarkStart w:id="5" w:name="page6"/>
    <w:bookmarkEnd w:id="5"/>
    <w:p>
      <w:pPr>
        <w:ind w:right="4780" w:firstLine="8"/>
        <w:spacing w:after="0" w:line="249" w:lineRule="auto"/>
        <w:tabs>
          <w:tab w:leader="none" w:pos="25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evaluates segment 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month periods ended March 31, 2002 and 2001.</w:t>
      </w:r>
    </w:p>
    <w:p>
      <w:pPr>
        <w:spacing w:after="0" w:line="163"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b w:val="1"/>
          <w:bCs w:val="1"/>
          <w:color w:val="auto"/>
        </w:rPr>
        <w:t>Three Months Ended March 31,</w:t>
      </w:r>
    </w:p>
    <w:p>
      <w:pPr>
        <w:sectPr>
          <w:pgSz w:w="11900" w:h="16838" w:orient="portrait"/>
          <w:cols w:equalWidth="0" w:num="1">
            <w:col w:w="11540"/>
          </w:cols>
          <w:pgMar w:left="220" w:top="470" w:right="139" w:bottom="0" w:gutter="0" w:footer="0" w:header="0"/>
        </w:sectPr>
      </w:pPr>
    </w:p>
    <w:p>
      <w:pPr>
        <w:spacing w:after="0" w:line="6"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4"/>
          <w:szCs w:val="14"/>
          <w:b w:val="1"/>
          <w:bCs w:val="1"/>
          <w:color w:val="auto"/>
        </w:rPr>
        <w:t>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b w:val="1"/>
          <w:bCs w:val="1"/>
          <w:color w:val="auto"/>
        </w:rPr>
        <w:t>2001</w:t>
      </w:r>
    </w:p>
    <w:p>
      <w:pPr>
        <w:spacing w:after="0" w:line="6" w:lineRule="exact"/>
        <w:rPr>
          <w:sz w:val="20"/>
          <w:szCs w:val="20"/>
          <w:color w:val="auto"/>
        </w:rPr>
      </w:pPr>
    </w:p>
    <w:p>
      <w:pPr>
        <w:sectPr>
          <w:pgSz w:w="11900" w:h="16838" w:orient="portrait"/>
          <w:cols w:equalWidth="0" w:num="2">
            <w:col w:w="7920" w:space="720"/>
            <w:col w:w="2900"/>
          </w:cols>
          <w:pgMar w:left="220" w:top="470" w:right="139" w:bottom="0" w:gutter="0" w:footer="0" w:header="0"/>
          <w:type w:val="continuous"/>
        </w:sectPr>
      </w:pPr>
    </w:p>
    <w:p>
      <w:pPr>
        <w:ind w:left="2920"/>
        <w:spacing w:after="0"/>
        <w:tabs>
          <w:tab w:leader="none" w:pos="7340" w:val="left"/>
        </w:tabs>
        <w:rPr>
          <w:sz w:val="20"/>
          <w:szCs w:val="20"/>
          <w:color w:val="auto"/>
        </w:rPr>
      </w:pPr>
      <w:r>
        <w:rPr>
          <w:rFonts w:ascii="Courier New" w:cs="Courier New" w:eastAsia="Courier New" w:hAnsi="Courier New"/>
          <w:sz w:val="14"/>
          <w:szCs w:val="14"/>
          <w:b w:val="1"/>
          <w:bCs w:val="1"/>
          <w:color w:val="auto"/>
        </w:rPr>
        <w:t>Domestic</w:t>
      </w:r>
      <w:r>
        <w:rPr>
          <w:sz w:val="20"/>
          <w:szCs w:val="20"/>
          <w:color w:val="auto"/>
        </w:rPr>
        <w:tab/>
      </w:r>
      <w:r>
        <w:rPr>
          <w:rFonts w:ascii="Courier New" w:cs="Courier New" w:eastAsia="Courier New" w:hAnsi="Courier New"/>
          <w:sz w:val="14"/>
          <w:szCs w:val="14"/>
          <w:b w:val="1"/>
          <w:bCs w:val="1"/>
          <w:color w:val="auto"/>
        </w:rPr>
        <w:t>Domestic</w:t>
      </w:r>
    </w:p>
    <w:p>
      <w:pPr>
        <w:spacing w:after="0" w:line="6" w:lineRule="exact"/>
        <w:rPr>
          <w:sz w:val="20"/>
          <w:szCs w:val="20"/>
          <w:color w:val="auto"/>
        </w:rPr>
      </w:pPr>
    </w:p>
    <w:p>
      <w:pPr>
        <w:ind w:left="3000"/>
        <w:spacing w:after="0"/>
        <w:tabs>
          <w:tab w:leader="none" w:pos="7420" w:val="left"/>
        </w:tabs>
        <w:rPr>
          <w:sz w:val="20"/>
          <w:szCs w:val="20"/>
          <w:color w:val="auto"/>
        </w:rPr>
      </w:pPr>
      <w:r>
        <w:rPr>
          <w:rFonts w:ascii="Courier New" w:cs="Courier New" w:eastAsia="Courier New" w:hAnsi="Courier New"/>
          <w:sz w:val="14"/>
          <w:szCs w:val="14"/>
          <w:b w:val="1"/>
          <w:bCs w:val="1"/>
          <w:color w:val="auto"/>
        </w:rPr>
        <w:t>Ball &amp;</w:t>
      </w:r>
      <w:r>
        <w:rPr>
          <w:sz w:val="20"/>
          <w:szCs w:val="20"/>
          <w:color w:val="auto"/>
        </w:rPr>
        <w:tab/>
      </w:r>
      <w:r>
        <w:rPr>
          <w:rFonts w:ascii="Courier New" w:cs="Courier New" w:eastAsia="Courier New" w:hAnsi="Courier New"/>
          <w:sz w:val="14"/>
          <w:szCs w:val="14"/>
          <w:b w:val="1"/>
          <w:bCs w:val="1"/>
          <w:color w:val="auto"/>
        </w:rPr>
        <w:t>Ball &amp;</w:t>
      </w:r>
    </w:p>
    <w:p>
      <w:pPr>
        <w:spacing w:after="0" w:line="6" w:lineRule="exact"/>
        <w:rPr>
          <w:sz w:val="20"/>
          <w:szCs w:val="20"/>
          <w:color w:val="auto"/>
        </w:rPr>
      </w:pPr>
    </w:p>
    <w:p>
      <w:pPr>
        <w:spacing w:after="0"/>
        <w:tabs>
          <w:tab w:leader="none" w:pos="2980" w:val="left"/>
          <w:tab w:leader="none" w:pos="4260" w:val="left"/>
          <w:tab w:leader="none" w:pos="5540" w:val="left"/>
          <w:tab w:leader="none" w:pos="7420" w:val="left"/>
          <w:tab w:leader="none" w:pos="8540" w:val="left"/>
          <w:tab w:leader="none" w:pos="9740" w:val="left"/>
        </w:tabs>
        <w:rPr>
          <w:sz w:val="20"/>
          <w:szCs w:val="20"/>
          <w:color w:val="auto"/>
        </w:rPr>
      </w:pPr>
      <w:r>
        <w:rPr>
          <w:rFonts w:ascii="Courier New" w:cs="Courier New" w:eastAsia="Courier New" w:hAnsi="Courier New"/>
          <w:sz w:val="14"/>
          <w:szCs w:val="14"/>
          <w:b w:val="1"/>
          <w:bCs w:val="1"/>
          <w:color w:val="auto"/>
        </w:rPr>
        <w:t>Thousands of Dollars</w:t>
      </w:r>
      <w:r>
        <w:rPr>
          <w:sz w:val="20"/>
          <w:szCs w:val="20"/>
          <w:color w:val="auto"/>
        </w:rPr>
        <w:tab/>
      </w:r>
      <w:r>
        <w:rPr>
          <w:rFonts w:ascii="Courier New" w:cs="Courier New" w:eastAsia="Courier New" w:hAnsi="Courier New"/>
          <w:sz w:val="14"/>
          <w:szCs w:val="14"/>
          <w:b w:val="1"/>
          <w:bCs w:val="1"/>
          <w:color w:val="auto"/>
        </w:rPr>
        <w:t>Roller</w:t>
      </w:r>
      <w:r>
        <w:rPr>
          <w:sz w:val="20"/>
          <w:szCs w:val="20"/>
          <w:color w:val="auto"/>
        </w:rPr>
        <w:tab/>
      </w:r>
      <w:r>
        <w:rPr>
          <w:rFonts w:ascii="Courier New" w:cs="Courier New" w:eastAsia="Courier New" w:hAnsi="Courier New"/>
          <w:sz w:val="14"/>
          <w:szCs w:val="14"/>
          <w:b w:val="1"/>
          <w:bCs w:val="1"/>
          <w:color w:val="auto"/>
        </w:rPr>
        <w:t>Euroball</w:t>
      </w:r>
      <w:r>
        <w:rPr>
          <w:sz w:val="20"/>
          <w:szCs w:val="20"/>
          <w:color w:val="auto"/>
        </w:rPr>
        <w:tab/>
      </w:r>
      <w:r>
        <w:rPr>
          <w:rFonts w:ascii="Courier New" w:cs="Courier New" w:eastAsia="Courier New" w:hAnsi="Courier New"/>
          <w:sz w:val="14"/>
          <w:szCs w:val="14"/>
          <w:b w:val="1"/>
          <w:bCs w:val="1"/>
          <w:color w:val="auto"/>
        </w:rPr>
        <w:t>Plastics</w:t>
      </w:r>
      <w:r>
        <w:rPr>
          <w:sz w:val="20"/>
          <w:szCs w:val="20"/>
          <w:color w:val="auto"/>
        </w:rPr>
        <w:tab/>
      </w:r>
      <w:r>
        <w:rPr>
          <w:rFonts w:ascii="Courier New" w:cs="Courier New" w:eastAsia="Courier New" w:hAnsi="Courier New"/>
          <w:sz w:val="14"/>
          <w:szCs w:val="14"/>
          <w:b w:val="1"/>
          <w:bCs w:val="1"/>
          <w:color w:val="auto"/>
        </w:rPr>
        <w:t>Roller</w:t>
      </w:r>
      <w:r>
        <w:rPr>
          <w:sz w:val="20"/>
          <w:szCs w:val="20"/>
          <w:color w:val="auto"/>
        </w:rPr>
        <w:tab/>
      </w:r>
      <w:r>
        <w:rPr>
          <w:rFonts w:ascii="Courier New" w:cs="Courier New" w:eastAsia="Courier New" w:hAnsi="Courier New"/>
          <w:sz w:val="14"/>
          <w:szCs w:val="14"/>
          <w:b w:val="1"/>
          <w:bCs w:val="1"/>
          <w:color w:val="auto"/>
        </w:rPr>
        <w:t>Euroball</w:t>
      </w:r>
      <w:r>
        <w:rPr>
          <w:sz w:val="20"/>
          <w:szCs w:val="20"/>
          <w:color w:val="auto"/>
        </w:rPr>
        <w:tab/>
      </w:r>
      <w:r>
        <w:rPr>
          <w:rFonts w:ascii="Courier New" w:cs="Courier New" w:eastAsia="Courier New" w:hAnsi="Courier New"/>
          <w:sz w:val="14"/>
          <w:szCs w:val="14"/>
          <w:b w:val="1"/>
          <w:bCs w:val="1"/>
          <w:color w:val="auto"/>
        </w:rPr>
        <w:t>Plastics</w:t>
      </w:r>
    </w:p>
    <w:p>
      <w:pPr>
        <w:sectPr>
          <w:pgSz w:w="11900" w:h="16838" w:orient="portrait"/>
          <w:cols w:equalWidth="0" w:num="1">
            <w:col w:w="11540"/>
          </w:cols>
          <w:pgMar w:left="220" w:top="470" w:right="139" w:bottom="0" w:gutter="0" w:footer="0" w:header="0"/>
          <w:type w:val="continuous"/>
        </w:sectPr>
      </w:pPr>
    </w:p>
    <w:p>
      <w:pPr>
        <w:spacing w:after="0" w:line="6"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w:t>
      </w:r>
    </w:p>
    <w:p>
      <w:pPr>
        <w:spacing w:after="0" w:line="5" w:lineRule="exact"/>
        <w:rPr>
          <w:rFonts w:ascii="Courier New" w:cs="Courier New" w:eastAsia="Courier New" w:hAnsi="Courier New"/>
          <w:sz w:val="14"/>
          <w:szCs w:val="14"/>
          <w:b w:val="1"/>
          <w:bCs w:val="1"/>
          <w:color w:val="auto"/>
        </w:rPr>
      </w:pPr>
    </w:p>
    <w:p>
      <w:pPr>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Revenues from external</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customers</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$ 13,203</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$ 21,725</w:t>
            </w: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$ 12,272</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$ 15,799</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$ 25,337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$ 9,091</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pretax profit (loss)</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998</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2,351</w:t>
            </w: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672</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1,546</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65,982</w:t>
            </w:r>
          </w:p>
        </w:tc>
        <w:tc>
          <w:tcPr>
            <w:tcW w:w="12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66,412</w:t>
            </w: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57,026</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62,468</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86,955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59,904</w:t>
            </w:r>
          </w:p>
        </w:tc>
      </w:tr>
    </w:tbl>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6.</w:t>
        <w:tab/>
        <w:t>Acquisitions and Joint Ventures</w:t>
      </w:r>
    </w:p>
    <w:p>
      <w:pPr>
        <w:spacing w:after="0" w:line="170" w:lineRule="exact"/>
        <w:rPr>
          <w:sz w:val="20"/>
          <w:szCs w:val="20"/>
          <w:color w:val="auto"/>
        </w:rPr>
      </w:pPr>
    </w:p>
    <w:p>
      <w:pPr>
        <w:ind w:right="4780"/>
        <w:spacing w:after="0" w:line="249" w:lineRule="auto"/>
        <w:rPr>
          <w:sz w:val="20"/>
          <w:szCs w:val="20"/>
          <w:color w:val="auto"/>
        </w:rPr>
      </w:pPr>
      <w:r>
        <w:rPr>
          <w:rFonts w:ascii="Courier New" w:cs="Courier New" w:eastAsia="Courier New" w:hAnsi="Courier New"/>
          <w:sz w:val="14"/>
          <w:szCs w:val="14"/>
          <w:color w:val="auto"/>
        </w:rPr>
        <w:t>On February 16, 2001, the Company completed the acquisition of all of the outstanding stock of The Delta Rubber Company, a Connecticut corporation ("Delta") for $22.5 million in cash. Delta manufactures and sells high quality engineered bearing seals to original equipment manufacturers and operates a manufacturing facility in Danielson, Connecticut. The Company has accounted for this acquisition using the purchase method of accounting.</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7.</w:t>
        <w:tab/>
        <w:t>Restructuring Charges</w:t>
      </w:r>
    </w:p>
    <w:p>
      <w:pPr>
        <w:spacing w:after="0" w:line="170" w:lineRule="exact"/>
        <w:rPr>
          <w:sz w:val="20"/>
          <w:szCs w:val="20"/>
          <w:color w:val="auto"/>
        </w:rPr>
      </w:pPr>
    </w:p>
    <w:p>
      <w:pPr>
        <w:ind w:right="4700"/>
        <w:spacing w:after="0" w:line="249" w:lineRule="auto"/>
        <w:rPr>
          <w:sz w:val="20"/>
          <w:szCs w:val="20"/>
          <w:color w:val="auto"/>
        </w:rPr>
      </w:pPr>
      <w:r>
        <w:rPr>
          <w:rFonts w:ascii="Courier New" w:cs="Courier New" w:eastAsia="Courier New" w:hAnsi="Courier New"/>
          <w:sz w:val="14"/>
          <w:szCs w:val="14"/>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63" w:lineRule="exact"/>
        <w:rPr>
          <w:sz w:val="20"/>
          <w:szCs w:val="20"/>
          <w:color w:val="auto"/>
        </w:rPr>
      </w:pPr>
    </w:p>
    <w:p>
      <w:pPr>
        <w:ind w:right="4700"/>
        <w:spacing w:after="0" w:line="249" w:lineRule="auto"/>
        <w:rPr>
          <w:sz w:val="20"/>
          <w:szCs w:val="20"/>
          <w:color w:val="auto"/>
        </w:rPr>
      </w:pPr>
      <w:r>
        <w:rPr>
          <w:rFonts w:ascii="Courier New" w:cs="Courier New" w:eastAsia="Courier New" w:hAnsi="Courier New"/>
          <w:sz w:val="14"/>
          <w:szCs w:val="14"/>
          <w:color w:val="auto"/>
        </w:rPr>
        <w:t>Prior to December 31, 2001, production capacity and certain machinery and equipment were transferred from the Walterboro facility to the Company's two domestic ball facilities in Erwin, Tennessee and Mountain City, Tennessee. The Company has recorded restructuring costs of $62,000 for additional severance payments during the quarter ended March 31, 2002. Additionally, prior to December 31, 2001, the Company decided to sell the Walterboro land, building and certain machinery and incurred an impairment charge of approximately $1.1 million during 2001 to write down the land and building to its net realizable value of approximately $1.7 million, which was based upon fair market appraisals less costs to sell. The amounts the Company will ultimately realize upon disposition of these assets could differ materially from the amounts assumed in arriving at the 2001 impairment loss. The remaining equipment recorded at a historical net book value of $2.2 million is also held for sale. The Company anticipates selling the land, building and machinery during 2002.</w:t>
      </w:r>
    </w:p>
    <w:p>
      <w:pPr>
        <w:spacing w:after="0" w:line="162" w:lineRule="exact"/>
        <w:rPr>
          <w:sz w:val="20"/>
          <w:szCs w:val="20"/>
          <w:color w:val="auto"/>
        </w:rPr>
      </w:pPr>
    </w:p>
    <w:p>
      <w:pPr>
        <w:ind w:right="4860"/>
        <w:spacing w:after="0" w:line="249" w:lineRule="auto"/>
        <w:rPr>
          <w:sz w:val="20"/>
          <w:szCs w:val="20"/>
          <w:color w:val="auto"/>
        </w:rPr>
      </w:pPr>
      <w:r>
        <w:rPr>
          <w:rFonts w:ascii="Courier New" w:cs="Courier New" w:eastAsia="Courier New" w:hAnsi="Courier New"/>
          <w:sz w:val="14"/>
          <w:szCs w:val="14"/>
          <w:color w:val="auto"/>
        </w:rPr>
        <w:t>Accrued restructuring costs of $114,000 are included in other current liabilities as of March 31, 2002. The Company has charged expenses for moving machinery, equipment and inventory to other production facilities and other costs to close the facility which will benefit future operations in the period they are incurred.</w:t>
      </w:r>
    </w:p>
    <w:p>
      <w:pPr>
        <w:spacing w:after="0" w:line="164" w:lineRule="exact"/>
        <w:rPr>
          <w:sz w:val="20"/>
          <w:szCs w:val="20"/>
          <w:color w:val="auto"/>
        </w:rPr>
      </w:pPr>
    </w:p>
    <w:p>
      <w:pPr>
        <w:ind w:right="4780"/>
        <w:spacing w:after="0" w:line="249" w:lineRule="auto"/>
        <w:rPr>
          <w:sz w:val="20"/>
          <w:szCs w:val="20"/>
          <w:color w:val="auto"/>
        </w:rPr>
      </w:pPr>
      <w:r>
        <w:rPr>
          <w:rFonts w:ascii="Courier New" w:cs="Courier New" w:eastAsia="Courier New" w:hAnsi="Courier New"/>
          <w:sz w:val="14"/>
          <w:szCs w:val="14"/>
          <w:color w:val="auto"/>
        </w:rPr>
        <w:t>The Company's Euroball subsidiary incurred restructuring charges of $16,000 for the quarter ended March 31, 2002 for additional severance payments as a result of the termination of 15 hourly employees and 3 salaried employees at its Italy production facility. Approximately $69,000 of the severance payments were paid during the quarter ended March 31, 2002 and there are no remaining accrued restructuring costs included in other current liabilities as of March 31, 2002 related to Euroball.</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summarizes the 2002 activity related to the restructurings: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8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Accrual</w:t>
            </w:r>
          </w:p>
        </w:tc>
        <w:tc>
          <w:tcPr>
            <w:tcW w:w="1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Accrual</w:t>
            </w:r>
          </w:p>
        </w:tc>
      </w:tr>
      <w:tr>
        <w:trPr>
          <w:trHeight w:val="164"/>
        </w:trPr>
        <w:tc>
          <w:tcPr>
            <w:tcW w:w="2700" w:type="dxa"/>
            <w:vAlign w:val="bottom"/>
          </w:tcPr>
          <w:p>
            <w:pPr>
              <w:spacing w:after="0"/>
              <w:rPr>
                <w:sz w:val="14"/>
                <w:szCs w:val="14"/>
                <w:color w:val="auto"/>
              </w:rPr>
            </w:pPr>
          </w:p>
        </w:tc>
        <w:tc>
          <w:tcPr>
            <w:tcW w:w="18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Balance at</w:t>
            </w: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Balance at</w:t>
            </w:r>
          </w:p>
        </w:tc>
      </w:tr>
      <w:tr>
        <w:trPr>
          <w:trHeight w:val="164"/>
        </w:trPr>
        <w:tc>
          <w:tcPr>
            <w:tcW w:w="2700" w:type="dxa"/>
            <w:vAlign w:val="bottom"/>
          </w:tcPr>
          <w:p>
            <w:pPr>
              <w:spacing w:after="0"/>
              <w:rPr>
                <w:sz w:val="20"/>
                <w:szCs w:val="20"/>
                <w:color w:val="auto"/>
              </w:rPr>
            </w:pPr>
            <w:r>
              <w:rPr>
                <w:rFonts w:ascii="Courier New" w:cs="Courier New" w:eastAsia="Courier New" w:hAnsi="Courier New"/>
                <w:sz w:val="14"/>
                <w:szCs w:val="14"/>
                <w:color w:val="auto"/>
              </w:rPr>
              <w:t>Thousands of Dollars</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12/31/01</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Charges</w:t>
            </w:r>
          </w:p>
        </w:tc>
        <w:tc>
          <w:tcPr>
            <w:tcW w:w="1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Paid in 2002</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3/31/02</w:t>
            </w:r>
          </w:p>
        </w:tc>
      </w:tr>
      <w:tr>
        <w:trPr>
          <w:trHeight w:val="164"/>
        </w:trPr>
        <w:tc>
          <w:tcPr>
            <w:tcW w:w="27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8"/>
              </w:rPr>
              <w:t>-------</w:t>
            </w:r>
          </w:p>
        </w:tc>
        <w:tc>
          <w:tcPr>
            <w:tcW w:w="1640" w:type="dxa"/>
            <w:vAlign w:val="bottom"/>
          </w:tcPr>
          <w:p>
            <w:pPr>
              <w:jc w:val="center"/>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4"/>
        </w:trPr>
        <w:tc>
          <w:tcPr>
            <w:tcW w:w="2700" w:type="dxa"/>
            <w:vAlign w:val="bottom"/>
          </w:tcPr>
          <w:p>
            <w:pPr>
              <w:spacing w:after="0"/>
              <w:rPr>
                <w:sz w:val="20"/>
                <w:szCs w:val="20"/>
                <w:color w:val="auto"/>
              </w:rPr>
            </w:pPr>
            <w:r>
              <w:rPr>
                <w:rFonts w:ascii="Courier New" w:cs="Courier New" w:eastAsia="Courier New" w:hAnsi="Courier New"/>
                <w:sz w:val="14"/>
                <w:szCs w:val="14"/>
                <w:color w:val="auto"/>
              </w:rPr>
              <w:t>Severance and other employee</w:t>
            </w:r>
          </w:p>
        </w:tc>
        <w:tc>
          <w:tcPr>
            <w:tcW w:w="1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4"/>
        </w:trPr>
        <w:tc>
          <w:tcPr>
            <w:tcW w:w="2700" w:type="dxa"/>
            <w:vAlign w:val="bottom"/>
          </w:tcPr>
          <w:p>
            <w:pPr>
              <w:spacing w:after="0"/>
              <w:rPr>
                <w:sz w:val="20"/>
                <w:szCs w:val="20"/>
                <w:color w:val="auto"/>
              </w:rPr>
            </w:pPr>
            <w:r>
              <w:rPr>
                <w:rFonts w:ascii="Courier New" w:cs="Courier New" w:eastAsia="Courier New" w:hAnsi="Courier New"/>
                <w:sz w:val="14"/>
                <w:szCs w:val="14"/>
                <w:color w:val="auto"/>
              </w:rPr>
              <w:t>costs</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$513</w:t>
            </w:r>
          </w:p>
        </w:tc>
        <w:tc>
          <w:tcPr>
            <w:tcW w:w="1700" w:type="dxa"/>
            <w:vAlign w:val="bottom"/>
          </w:tcPr>
          <w:p>
            <w:pPr>
              <w:jc w:val="center"/>
              <w:ind w:right="9"/>
              <w:spacing w:after="0"/>
              <w:rPr>
                <w:sz w:val="20"/>
                <w:szCs w:val="20"/>
                <w:color w:val="auto"/>
              </w:rPr>
            </w:pPr>
            <w:r>
              <w:rPr>
                <w:rFonts w:ascii="Courier New" w:cs="Courier New" w:eastAsia="Courier New" w:hAnsi="Courier New"/>
                <w:sz w:val="14"/>
                <w:szCs w:val="14"/>
                <w:color w:val="auto"/>
              </w:rPr>
              <w:t>$78</w:t>
            </w:r>
          </w:p>
        </w:tc>
        <w:tc>
          <w:tcPr>
            <w:tcW w:w="164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$477</w:t>
            </w:r>
          </w:p>
        </w:tc>
        <w:tc>
          <w:tcPr>
            <w:tcW w:w="144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$114</w:t>
            </w:r>
          </w:p>
        </w:tc>
      </w:tr>
      <w:tr>
        <w:trPr>
          <w:trHeight w:val="164"/>
        </w:trPr>
        <w:tc>
          <w:tcPr>
            <w:tcW w:w="2700" w:type="dxa"/>
            <w:vAlign w:val="bottom"/>
          </w:tcPr>
          <w:p>
            <w:pPr>
              <w:spacing w:after="0"/>
              <w:rPr>
                <w:sz w:val="14"/>
                <w:szCs w:val="14"/>
                <w:color w:val="auto"/>
              </w:rPr>
            </w:pPr>
          </w:p>
        </w:tc>
        <w:tc>
          <w:tcPr>
            <w:tcW w:w="1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$513</w:t>
            </w:r>
          </w:p>
        </w:tc>
        <w:tc>
          <w:tcPr>
            <w:tcW w:w="1700" w:type="dxa"/>
            <w:vAlign w:val="bottom"/>
          </w:tcPr>
          <w:p>
            <w:pPr>
              <w:jc w:val="center"/>
              <w:ind w:right="9"/>
              <w:spacing w:after="0"/>
              <w:rPr>
                <w:sz w:val="20"/>
                <w:szCs w:val="20"/>
                <w:color w:val="auto"/>
              </w:rPr>
            </w:pPr>
            <w:r>
              <w:rPr>
                <w:rFonts w:ascii="Courier New" w:cs="Courier New" w:eastAsia="Courier New" w:hAnsi="Courier New"/>
                <w:sz w:val="14"/>
                <w:szCs w:val="14"/>
                <w:color w:val="auto"/>
              </w:rPr>
              <w:t>$78</w:t>
            </w:r>
          </w:p>
        </w:tc>
        <w:tc>
          <w:tcPr>
            <w:tcW w:w="164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$477</w:t>
            </w:r>
          </w:p>
        </w:tc>
        <w:tc>
          <w:tcPr>
            <w:tcW w:w="144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$114</w:t>
            </w:r>
          </w:p>
        </w:tc>
      </w:tr>
      <w:tr>
        <w:trPr>
          <w:trHeight w:val="164"/>
        </w:trPr>
        <w:tc>
          <w:tcPr>
            <w:tcW w:w="2700" w:type="dxa"/>
            <w:vAlign w:val="bottom"/>
          </w:tcPr>
          <w:p>
            <w:pPr>
              <w:spacing w:after="0"/>
              <w:rPr>
                <w:sz w:val="14"/>
                <w:szCs w:val="14"/>
                <w:color w:val="auto"/>
              </w:rPr>
            </w:pPr>
          </w:p>
        </w:tc>
        <w:tc>
          <w:tcPr>
            <w:tcW w:w="1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8.</w:t>
        <w:tab/>
        <w:t>New Accounting Pronouncements</w:t>
      </w:r>
    </w:p>
    <w:p>
      <w:pPr>
        <w:spacing w:after="0" w:line="170" w:lineRule="exact"/>
        <w:rPr>
          <w:sz w:val="20"/>
          <w:szCs w:val="20"/>
          <w:color w:val="auto"/>
        </w:rPr>
      </w:pPr>
    </w:p>
    <w:p>
      <w:pPr>
        <w:ind w:right="4700"/>
        <w:spacing w:after="0" w:line="249"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w:t>
      </w:r>
    </w:p>
    <w:p>
      <w:pPr>
        <w:sectPr>
          <w:pgSz w:w="11900" w:h="16838" w:orient="portrait"/>
          <w:cols w:equalWidth="0" w:num="1">
            <w:col w:w="11540"/>
          </w:cols>
          <w:pgMar w:left="220" w:top="470" w:right="139" w:bottom="0" w:gutter="0" w:footer="0" w:header="0"/>
          <w:type w:val="continuous"/>
        </w:sectPr>
      </w:pPr>
    </w:p>
    <w:bookmarkStart w:id="6" w:name="page7"/>
    <w:bookmarkEnd w:id="6"/>
    <w:p>
      <w:pPr>
        <w:ind w:right="3399"/>
        <w:spacing w:after="0" w:line="251" w:lineRule="auto"/>
        <w:rPr>
          <w:sz w:val="20"/>
          <w:szCs w:val="20"/>
          <w:color w:val="auto"/>
        </w:rPr>
      </w:pPr>
      <w:r>
        <w:rPr>
          <w:rFonts w:ascii="Courier New" w:cs="Courier New" w:eastAsia="Courier New" w:hAnsi="Courier New"/>
          <w:sz w:val="14"/>
          <w:szCs w:val="14"/>
          <w:color w:val="auto"/>
        </w:rPr>
        <w:t>had unamortized goodwill of approximately $39.8 million, which is subject to the provisions of Statement No. 142.</w:t>
      </w:r>
    </w:p>
    <w:p>
      <w:pPr>
        <w:spacing w:after="0" w:line="16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As a result of adopting these standards in the first quarter of 2002, the Company no longer amortizes goodwill. The Company estimates that amortization expense for goodwill would have been approximately $2.1 million (or $1.2 million net of tax and minority interest) for the year ended December 31, 2002.</w:t>
      </w:r>
    </w:p>
    <w:p>
      <w:pPr>
        <w:spacing w:after="0" w:line="164" w:lineRule="exact"/>
        <w:rPr>
          <w:sz w:val="20"/>
          <w:szCs w:val="20"/>
          <w:color w:val="auto"/>
        </w:rPr>
      </w:pPr>
    </w:p>
    <w:p>
      <w:pPr>
        <w:ind w:right="3559"/>
        <w:spacing w:after="0" w:line="250" w:lineRule="auto"/>
        <w:rPr>
          <w:sz w:val="20"/>
          <w:szCs w:val="20"/>
          <w:color w:val="auto"/>
        </w:rPr>
      </w:pPr>
      <w:r>
        <w:rPr>
          <w:rFonts w:ascii="Courier New" w:cs="Courier New" w:eastAsia="Courier New" w:hAnsi="Courier New"/>
          <w:sz w:val="14"/>
          <w:szCs w:val="14"/>
          <w:color w:val="auto"/>
        </w:rPr>
        <w:t>As a result of adopting these new standards, the Company's accounting policies for goodwill and other intangibles changed on January 1, 2002, as described below:</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Goodwill: The Company recognizes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63" w:lineRule="exact"/>
        <w:rPr>
          <w:sz w:val="20"/>
          <w:szCs w:val="20"/>
          <w:color w:val="auto"/>
        </w:rPr>
      </w:pPr>
    </w:p>
    <w:p>
      <w:pPr>
        <w:ind w:right="3479"/>
        <w:spacing w:after="0" w:line="250" w:lineRule="auto"/>
        <w:rPr>
          <w:sz w:val="20"/>
          <w:szCs w:val="20"/>
          <w:color w:val="auto"/>
        </w:rPr>
      </w:pPr>
      <w:r>
        <w:rPr>
          <w:rFonts w:ascii="Courier New" w:cs="Courier New" w:eastAsia="Courier New" w:hAnsi="Courier New"/>
          <w:sz w:val="14"/>
          <w:szCs w:val="14"/>
          <w:color w:val="auto"/>
        </w:rPr>
        <w:t>The Company is currently evaluating the impact of adoption of Statement No. 142 related to the transitional goodwill impairment review required by the new standards during the first six months after adoption.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739"/>
        <w:spacing w:after="0" w:line="248" w:lineRule="auto"/>
        <w:rPr>
          <w:sz w:val="20"/>
          <w:szCs w:val="20"/>
          <w:color w:val="auto"/>
        </w:rPr>
      </w:pPr>
      <w:r>
        <w:rPr>
          <w:rFonts w:ascii="Courier New" w:cs="Courier New" w:eastAsia="Courier New" w:hAnsi="Courier New"/>
          <w:sz w:val="14"/>
          <w:szCs w:val="14"/>
          <w:color w:val="auto"/>
        </w:rPr>
        <w:t>The table below describes the impact of the amortization of goodwill for the three months ended March 31, 2002 and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800" w:type="dxa"/>
            <w:vAlign w:val="bottom"/>
            <w:gridSpan w:val="4"/>
          </w:tcPr>
          <w:p>
            <w:pPr>
              <w:jc w:val="right"/>
              <w:ind w:right="449"/>
              <w:spacing w:after="0"/>
              <w:rPr>
                <w:sz w:val="20"/>
                <w:szCs w:val="20"/>
                <w:color w:val="auto"/>
              </w:rPr>
            </w:pPr>
            <w:r>
              <w:rPr>
                <w:rFonts w:ascii="Courier New" w:cs="Courier New" w:eastAsia="Courier New" w:hAnsi="Courier New"/>
                <w:sz w:val="14"/>
                <w:szCs w:val="14"/>
                <w:b w:val="1"/>
                <w:bCs w:val="1"/>
                <w:color w:val="auto"/>
              </w:rPr>
              <w:t>For the Quarter Ended</w:t>
            </w:r>
          </w:p>
        </w:tc>
      </w:tr>
      <w:tr>
        <w:trPr>
          <w:trHeight w:val="164"/>
        </w:trPr>
        <w:tc>
          <w:tcPr>
            <w:tcW w:w="4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gridSpan w:val="2"/>
          </w:tcPr>
          <w:p>
            <w:pPr>
              <w:jc w:val="right"/>
              <w:ind w:right="269"/>
              <w:spacing w:after="0"/>
              <w:rPr>
                <w:sz w:val="20"/>
                <w:szCs w:val="20"/>
                <w:color w:val="auto"/>
              </w:rPr>
            </w:pPr>
            <w:r>
              <w:rPr>
                <w:rFonts w:ascii="Courier New" w:cs="Courier New" w:eastAsia="Courier New" w:hAnsi="Courier New"/>
                <w:sz w:val="14"/>
                <w:szCs w:val="14"/>
                <w:b w:val="1"/>
                <w:bCs w:val="1"/>
                <w:color w:val="auto"/>
              </w:rPr>
              <w:t>March 31,</w:t>
            </w:r>
          </w:p>
        </w:tc>
        <w:tc>
          <w:tcPr>
            <w:tcW w:w="680" w:type="dxa"/>
            <w:vAlign w:val="bottom"/>
          </w:tcPr>
          <w:p>
            <w:pPr>
              <w:spacing w:after="0"/>
              <w:rPr>
                <w:sz w:val="14"/>
                <w:szCs w:val="14"/>
                <w:color w:val="auto"/>
              </w:rPr>
            </w:pP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(Thousands of Dollars except per-share data)</w:t>
            </w:r>
          </w:p>
        </w:tc>
        <w:tc>
          <w:tcPr>
            <w:tcW w:w="2420" w:type="dxa"/>
            <w:vAlign w:val="bottom"/>
            <w:gridSpan w:val="2"/>
          </w:tcPr>
          <w:p>
            <w:pPr>
              <w:ind w:left="1480"/>
              <w:spacing w:after="0"/>
              <w:rPr>
                <w:sz w:val="20"/>
                <w:szCs w:val="20"/>
                <w:color w:val="auto"/>
              </w:rPr>
            </w:pPr>
            <w:r>
              <w:rPr>
                <w:rFonts w:ascii="Courier New" w:cs="Courier New" w:eastAsia="Courier New" w:hAnsi="Courier New"/>
                <w:sz w:val="14"/>
                <w:szCs w:val="14"/>
                <w:b w:val="1"/>
                <w:bCs w:val="1"/>
                <w:color w:val="auto"/>
              </w:rPr>
              <w:t>2002</w:t>
            </w:r>
          </w:p>
        </w:tc>
        <w:tc>
          <w:tcPr>
            <w:tcW w:w="70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w w:val="95"/>
              </w:rPr>
              <w:t>2001</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Reported net income</w:t>
            </w:r>
          </w:p>
        </w:tc>
        <w:tc>
          <w:tcPr>
            <w:tcW w:w="2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$ 1,848</w:t>
            </w:r>
          </w:p>
        </w:tc>
        <w:tc>
          <w:tcPr>
            <w:tcW w:w="13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$ 1,448</w:t>
            </w: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Add back:  Goodwill amortization, net of tax</w:t>
            </w:r>
          </w:p>
        </w:tc>
        <w:tc>
          <w:tcPr>
            <w:tcW w:w="166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220</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Pro-forma net income</w:t>
            </w:r>
          </w:p>
        </w:tc>
        <w:tc>
          <w:tcPr>
            <w:tcW w:w="2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$ 1,848</w:t>
            </w:r>
          </w:p>
        </w:tc>
        <w:tc>
          <w:tcPr>
            <w:tcW w:w="13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$ 1,668</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Reported net income</w:t>
            </w:r>
          </w:p>
        </w:tc>
        <w:tc>
          <w:tcPr>
            <w:tcW w:w="166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0.10</w:t>
            </w: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Goodwill amortization</w:t>
            </w:r>
          </w:p>
        </w:tc>
        <w:tc>
          <w:tcPr>
            <w:tcW w:w="166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0.01</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Pro-forma net income</w:t>
            </w:r>
          </w:p>
        </w:tc>
        <w:tc>
          <w:tcPr>
            <w:tcW w:w="166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0.11</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Reported net income</w:t>
            </w:r>
          </w:p>
        </w:tc>
        <w:tc>
          <w:tcPr>
            <w:tcW w:w="166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0.09</w:t>
            </w: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Goodwill amortization</w:t>
            </w:r>
          </w:p>
        </w:tc>
        <w:tc>
          <w:tcPr>
            <w:tcW w:w="166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0.01</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Pro-forma net income</w:t>
            </w:r>
          </w:p>
        </w:tc>
        <w:tc>
          <w:tcPr>
            <w:tcW w:w="166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0.11</w:t>
            </w:r>
          </w:p>
        </w:tc>
      </w:tr>
      <w:tr>
        <w:trPr>
          <w:trHeight w:val="164"/>
        </w:trPr>
        <w:tc>
          <w:tcPr>
            <w:tcW w:w="4760" w:type="dxa"/>
            <w:vAlign w:val="bottom"/>
          </w:tcPr>
          <w:p>
            <w:pPr>
              <w:spacing w:after="0"/>
              <w:rPr>
                <w:sz w:val="14"/>
                <w:szCs w:val="14"/>
                <w:color w:val="auto"/>
              </w:rPr>
            </w:pPr>
          </w:p>
        </w:tc>
        <w:tc>
          <w:tcPr>
            <w:tcW w:w="24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8"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 June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this Statement is required for fiscal years beginning after June 15, 2002. The Company is currently evaluating the impact of adoption of Statement No. 143.</w:t>
      </w:r>
    </w:p>
    <w:p>
      <w:pPr>
        <w:spacing w:after="0" w:line="1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In August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has adopted Statement No. 144 effective January 1, 2002. Management believes that as of March 31, 2002 no asset impairment exists under the provisions of Statement No. 144.</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9.</w:t>
        <w:tab/>
        <w:t>Long-Term Debt</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(1.88% at March 31, 2002) plus an applicable margin of 0.75% to 2.00% based upon calculated financial ratios. The loan agreement contains customary financial and non-financial covenants. The Company was in compliance with all such covenants as of March 31, 2002.</w:t>
      </w:r>
    </w:p>
    <w:p>
      <w:pPr>
        <w:sectPr>
          <w:pgSz w:w="11900" w:h="16838" w:orient="portrait"/>
          <w:cols w:equalWidth="0" w:num="1">
            <w:col w:w="10239"/>
          </w:cols>
          <w:pgMar w:left="220" w:top="141" w:right="1440" w:bottom="0" w:gutter="0" w:footer="0" w:header="0"/>
        </w:sectPr>
      </w:pPr>
    </w:p>
    <w:bookmarkStart w:id="7" w:name="page8"/>
    <w:bookmarkEnd w:id="7"/>
    <w:p>
      <w:pPr>
        <w:ind w:right="3399"/>
        <w:spacing w:after="0" w:line="249" w:lineRule="auto"/>
        <w:rPr>
          <w:sz w:val="20"/>
          <w:szCs w:val="20"/>
          <w:color w:val="auto"/>
        </w:rPr>
      </w:pPr>
      <w:r>
        <w:rPr>
          <w:rFonts w:ascii="Courier New" w:cs="Courier New" w:eastAsia="Courier New" w:hAnsi="Courier New"/>
          <w:sz w:val="14"/>
          <w:szCs w:val="14"/>
          <w:color w:val="auto"/>
        </w:rPr>
        <w:t>In connection with the Euroball transaction the Company and NN Euroball ApS, entered into a Facility Agreement with a bank to provide up to Euro 36,000,000 in Term Loans and Euro 5,000,000 in revolving credit loans. The Company borrowed Euro 30,500,000 ($28,755,000) under the term loan facility and Euro 1,000,000 ($943,000) under the revolving credit facility. Amounts outstanding under the Facility Agreement are secured by inventory and accounts receivable and bear interest at EURIBOR (3.36% at March 31, 2002) plus an applicable margin between 1.125%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as of March 31, 2002.</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b w:val="1"/>
          <w:bCs w:val="1"/>
          <w:color w:val="auto"/>
        </w:rPr>
        <w:t>MANAGEMENT'S DISCUSSION AND ANALYSIS OF</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b w:val="1"/>
          <w:bCs w:val="1"/>
          <w:color w:val="auto"/>
        </w:rPr>
        <w:t>FINANCIAL CONDITION AND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Three Months Ended March 31, 2002 Compared to the Three Months Ended March 31, 2001</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i w:val="1"/>
          <w:iCs w:val="1"/>
          <w:color w:val="auto"/>
        </w:rPr>
        <w:t>Net Sales</w:t>
      </w:r>
      <w:r>
        <w:rPr>
          <w:rFonts w:ascii="Courier New" w:cs="Courier New" w:eastAsia="Courier New" w:hAnsi="Courier New"/>
          <w:sz w:val="14"/>
          <w:szCs w:val="14"/>
          <w:color w:val="auto"/>
        </w:rPr>
        <w:t>. Net sales decreased by approximately $3.0 million, or 6.0%, from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$50.2 million for the first quarter of 2001 to $47.2 million for the first quarter of 2002. By segment, sales decreased $2.6 million and $3.6 million for the Company's Domestic Ball and Roller and Euroball Segments, respectively. These decreases were due mainly to decreased demand for the Company's products as a result of the economic environment. Offsetting this decrease, the Plastics Segment's sales were $3.2 million higher versus the first quarter of 2001 resulting from the acquisition of Delta (incremental $2.4 million) as well as sales increases at NN Arte (incremental $0.4 million) and at IMC (incremental $0.4 million).</w:t>
      </w:r>
    </w:p>
    <w:p>
      <w:pPr>
        <w:spacing w:after="0" w:line="163" w:lineRule="exact"/>
        <w:rPr>
          <w:sz w:val="20"/>
          <w:szCs w:val="20"/>
          <w:color w:val="auto"/>
        </w:rPr>
      </w:pPr>
    </w:p>
    <w:p>
      <w:pPr>
        <w:ind w:right="3479"/>
        <w:spacing w:after="0" w:line="248" w:lineRule="auto"/>
        <w:rPr>
          <w:sz w:val="20"/>
          <w:szCs w:val="20"/>
          <w:color w:val="auto"/>
        </w:rPr>
      </w:pPr>
      <w:r>
        <w:rPr>
          <w:rFonts w:ascii="Courier New" w:cs="Courier New" w:eastAsia="Courier New" w:hAnsi="Courier New"/>
          <w:sz w:val="14"/>
          <w:szCs w:val="14"/>
          <w:i w:val="1"/>
          <w:iCs w:val="1"/>
          <w:color w:val="auto"/>
        </w:rPr>
        <w:t xml:space="preserve">Gross Profit. </w:t>
      </w:r>
      <w:r>
        <w:rPr>
          <w:rFonts w:ascii="Courier New" w:cs="Courier New" w:eastAsia="Courier New" w:hAnsi="Courier New"/>
          <w:sz w:val="14"/>
          <w:szCs w:val="14"/>
          <w:color w:val="auto"/>
        </w:rPr>
        <w:t>Gross profit decreased approximately $0.4 million or 3.1%, from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$12.1 million for the first quarter of 2001 to $11.7 million for the first quarter of 2002. Sales volume decreases in the Domestic Ball and Roller Segment were offset by cost savings associated with the closing of the South Carolina ball manufacturing facility netting a $0.6 million decrease. Sales volume decreases in the Euroball Segment were similarly offset by cost reductions, netting a $0.8 million decrease. Offsetting these decreases were improvements from IMC and NN Arte of $0.2 million and $0.3 million, respectively. The inclusion of a full quarter of Delta results in 2002 versus six weeks in 2001 accounted for $0.5 million of increases in 2002. As a percentage of net sales, gross profit increased from 24.0% in the first quarter of 2001 to 24.7% for the same period in 2002. This increase in gross profit as a percentage of sales was due primarily to cost savings associated with the closing of the South Carolina ball manufacturing facility as well as other cost reduction and containment programs initiated during 2001.</w:t>
      </w:r>
    </w:p>
    <w:p>
      <w:pPr>
        <w:spacing w:after="0" w:line="17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Selling, General and Administrative</w:t>
      </w:r>
      <w:r>
        <w:rPr>
          <w:rFonts w:ascii="Courier New" w:cs="Courier New" w:eastAsia="Courier New" w:hAnsi="Courier New"/>
          <w:sz w:val="14"/>
          <w:szCs w:val="14"/>
          <w:color w:val="auto"/>
        </w:rPr>
        <w:t>. Selling, general and administrative</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expenses increased by approximately $0.5 million or 12.1% from $4.0 million in the first quarter of 2001 to $4.5 million in the first quarter of 2002. The acquisition of Delta contributed $0.2 million of the increase. Advisory service expenses associated with the previously announced desire of certain original founders of the Company to diversify and thus liquidate their holdings in the Company's stock contributed $0.2 million of the increase. Strategic planning and information technology initiatives at Euroball contributed $0.3 million of the increase. Offsetting these increases were cost reduction and containment programs throughout the Company. As a percentage of net sales, selling, general and administrative expenses increased from 8.0% for the first quarter of 2001 to 9.5% for the same period in 2002.</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Depreciation and Amortization. </w:t>
      </w:r>
      <w:r>
        <w:rPr>
          <w:rFonts w:ascii="Courier New" w:cs="Courier New" w:eastAsia="Courier New" w:hAnsi="Courier New"/>
          <w:sz w:val="14"/>
          <w:szCs w:val="14"/>
          <w:color w:val="auto"/>
        </w:rPr>
        <w:t>Depreciation and amortization expense decreased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by approximately $0.5 million or 14.6% from $3.3 million for the first quarter of 2001 to $2.8 million for the same period in 2002. The adoption of Statement No. 142 eliminated the amortization of goodwill and contributed $0.4 million of the decrease. Additionally, the assets held for sale as a result of the closing of the Walterboro, South Carolina ball facility contributed $0.3 million of the decrease. This was offset by a full quarter of Delta in 2002 which resulted in a $0.2 million increase. As a percentage of net sales, depreciation and amortization expense decreased from 6.6% in the first quarter of 2001 to 6.0% in the first quarter of 2002.</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Restructuring costs. </w:t>
      </w:r>
      <w:r>
        <w:rPr>
          <w:rFonts w:ascii="Courier New" w:cs="Courier New" w:eastAsia="Courier New" w:hAnsi="Courier New"/>
          <w:sz w:val="14"/>
          <w:szCs w:val="14"/>
          <w:color w:val="auto"/>
        </w:rPr>
        <w:t>The Company recorded a restructuring charge of $0.1 million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in the first quarter of 2002. The restructuring costs principally pertain to the Company's decision and announcement to close the Walterboro, South Carolina ball facility in 2001. The $0.1 million charge primarily represents the accrual for additional severance costs related to the closing of this facility. As a percentage, restructuring costs represent 0.2% of net sales in the first quarter of 2002. There were no charges during the first quarter of 2001.</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Interest Expense</w:t>
      </w:r>
      <w:r>
        <w:rPr>
          <w:rFonts w:ascii="Courier New" w:cs="Courier New" w:eastAsia="Courier New" w:hAnsi="Courier New"/>
          <w:sz w:val="14"/>
          <w:szCs w:val="14"/>
          <w:color w:val="auto"/>
        </w:rPr>
        <w:t>. Interest expense, decreased by approximately $0.6 million from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$1.2 million in the first quarter of 2001 to $0.6 million during the same period in 2002. This was due to decreased interest rates on the Company's credit facilities as well as decreased amounts outstanding on the debt. Total debt decreased from $70.4 million at March 31, 2001 to $54.0 million at March 31, 2002. As a percentage of net sales, interest expense, decreased from 2.4% in the first quarter of 2001 to 1.3% for the same period in 2002.</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ectPr>
          <w:pgSz w:w="11900" w:h="16838" w:orient="portrait"/>
          <w:cols w:equalWidth="0" w:num="1">
            <w:col w:w="10239"/>
          </w:cols>
          <w:pgMar w:left="220" w:top="141" w:right="1440" w:bottom="378" w:gutter="0" w:footer="0" w:header="0"/>
        </w:sectPr>
      </w:pPr>
    </w:p>
    <w:bookmarkStart w:id="8" w:name="page9"/>
    <w:bookmarkEnd w:id="8"/>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Equity in Earnings of Unconsolidated Affiliates. </w:t>
      </w:r>
      <w:r>
        <w:rPr>
          <w:rFonts w:ascii="Courier New" w:cs="Courier New" w:eastAsia="Courier New" w:hAnsi="Courier New"/>
          <w:sz w:val="14"/>
          <w:szCs w:val="14"/>
          <w:color w:val="auto"/>
        </w:rPr>
        <w:t>Equity in earnings of</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unconsolidated affiliates decreased from earnings of $49,000 in the first quarter of 2001 to $0 during the same period of 2002. The decrease is due to the Company's sale of its minority interest in Jiangsu General Ball &amp; Roller Company, Ltd. effective December 31, 2001.</w:t>
      </w:r>
    </w:p>
    <w:p>
      <w:pPr>
        <w:spacing w:after="0" w:line="16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Minority Interest of Consolidated Subsidiaries. </w:t>
      </w:r>
      <w:r>
        <w:rPr>
          <w:rFonts w:ascii="Courier New" w:cs="Courier New" w:eastAsia="Courier New" w:hAnsi="Courier New"/>
          <w:sz w:val="14"/>
          <w:szCs w:val="14"/>
          <w:color w:val="auto"/>
        </w:rPr>
        <w:t>Minority interest of</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consolidated subsidiaries increased $0.2 million from $0.5 million for the first quarter of 2001 to $0.7 million for the first quarter of 2002. This increase is due to increased earnings at the Company's Euroball joint venture. The Company is required to consolidate this joint venture due to its majority ownership. The Company owns 54% of the shares of Euroball. Minority interest of consolidated subsidiary represents the combined interest of the minority partners of Euroball at 46%.</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Net Income</w:t>
      </w:r>
      <w:r>
        <w:rPr>
          <w:rFonts w:ascii="Courier New" w:cs="Courier New" w:eastAsia="Courier New" w:hAnsi="Courier New"/>
          <w:sz w:val="14"/>
          <w:szCs w:val="14"/>
          <w:color w:val="auto"/>
        </w:rPr>
        <w:t>. Net income increased by $0.4 million or 27.6%, from $1.5 million for</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the first quarter of 2001 to $1.9 million for the same period in 2002. As a percentage of net sales, net income increased from 2.9% in the first quarter of 2001 to 3.9% for the first quarter of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Liquidity and Capital Resources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(1.88% at March 31, 2002) plus an applicable margin of 0.75% to 2.00% based upon calculated financial ratios. The loan agreement contains customary financial and non-financial covenants. The Company was in compliance with all such covenants as of March 31, 2002.</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(3.36% at March 31, 2002) plus an applicable margin of 1.125% to 2.25% based upon calculated financial ratios. The loan agreement contains various restrictive financial and non-financial covenants. The Company was in compliance with all such covenants as of March 31, 2002.</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customer uses the product. The Company's net sales have historically been of a seasonal nature due to a significant portion of the Company's sales being to foreign customers that cease or significantly slow production during the month of August.</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 Working capital, which consists principally of accounts receivable and inventories, was $20.7 million at March 31, 2002 as compared to $17.9 million at December 31, 2001. The ratio of current assets to current</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639"/>
        <w:spacing w:after="0" w:line="250" w:lineRule="auto"/>
        <w:rPr>
          <w:sz w:val="20"/>
          <w:szCs w:val="20"/>
          <w:color w:val="auto"/>
        </w:rPr>
      </w:pPr>
      <w:r>
        <w:rPr>
          <w:rFonts w:ascii="Courier New" w:cs="Courier New" w:eastAsia="Courier New" w:hAnsi="Courier New"/>
          <w:sz w:val="14"/>
          <w:szCs w:val="14"/>
          <w:color w:val="auto"/>
        </w:rPr>
        <w:t>liabilities increased from 1.47:1 at December 31, 2001 to 1.53:1 at March 31, 2002. Cash flow from operations decreased from $3.5 million during the three months of 2001 to $1.1 million during the first three months of 2002.</w:t>
      </w:r>
    </w:p>
    <w:p>
      <w:pPr>
        <w:spacing w:after="0" w:line="162"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During 2002, the Company plans to spend approximately $6.8 million on capital expenditures (of which approximately $0.9 million has been spent through March 31, 2002) including the purchase of additional machinery and equipment for all of the Company's domestic facilities as well as the three European facilities. The Company intends to finance these activities with cash generated from operations and funds available under the credit facilities described above. The Company believes that funds generated from operations and borrowings from the credit facilities will be sufficient to finance the Company's working capital needs and projected capital expenditure requirements through December 2002.</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 using Euroball's historical cash flow, the exact amount of the put cannot be determined until the put right is exercised.</w:t>
      </w:r>
    </w:p>
    <w:p>
      <w:pPr>
        <w:sectPr>
          <w:pgSz w:w="11900" w:h="16838" w:orient="portrait"/>
          <w:cols w:equalWidth="0" w:num="1">
            <w:col w:w="10239"/>
          </w:cols>
          <w:pgMar w:left="220" w:top="30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b w:val="1"/>
          <w:bCs w:val="1"/>
          <w:color w:val="auto"/>
        </w:rPr>
        <w:t>The Euro</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treaty on European Union provides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three-year transitional period ending December 31, 2001, the national currencies of member states were circulated in sub-units of the Euro. At the end of the transitional period, Euro bank notes and coins were issued, and the national currencies of the member states will be legal tender no later than June 30,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currently has operations in Italy, Germany and Ireland, all of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Euro participating countries, and sells product to customers in many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participating countries. The Euro has been adopted as the functional currency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locations.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Seasonality and Fluctuation in Quarterly Results</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Company's net sales historically have been of a seasonal nature; and as foreign sales have increased as a percentage of total sales, seasonality has become a more significant factor for the Company in that many foreign customers cease production during the month of August.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Inflation and Changes in Prices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999"/>
        <w:spacing w:after="0" w:line="251" w:lineRule="auto"/>
        <w:rPr>
          <w:sz w:val="20"/>
          <w:szCs w:val="20"/>
          <w:color w:val="auto"/>
        </w:rPr>
      </w:pPr>
      <w:r>
        <w:rPr>
          <w:rFonts w:ascii="Courier New" w:cs="Courier New" w:eastAsia="Courier New" w:hAnsi="Courier New"/>
          <w:sz w:val="14"/>
          <w:szCs w:val="14"/>
          <w:b w:val="1"/>
          <w:bCs w:val="1"/>
          <w:color w:val="auto"/>
        </w:rPr>
        <w:t>Cautionary Statements for Purposes of the "Safe Harbor" Provisions of the Private Securities Litigation Reform Act of 1995</w:t>
      </w:r>
    </w:p>
    <w:p>
      <w:pPr>
        <w:spacing w:after="0" w:line="16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63" w:lineRule="exact"/>
        <w:rPr>
          <w:sz w:val="20"/>
          <w:szCs w:val="20"/>
          <w:color w:val="auto"/>
        </w:rPr>
      </w:pPr>
    </w:p>
    <w:p>
      <w:pPr>
        <w:ind w:right="3559"/>
        <w:spacing w:after="0" w:line="249" w:lineRule="auto"/>
        <w:rPr>
          <w:sz w:val="20"/>
          <w:szCs w:val="20"/>
          <w:color w:val="auto"/>
        </w:rPr>
      </w:pPr>
      <w:r>
        <w:rPr>
          <w:rFonts w:ascii="Courier New" w:cs="Courier New" w:eastAsia="Courier New" w:hAnsi="Courier New"/>
          <w:sz w:val="14"/>
          <w:szCs w:val="14"/>
          <w:i w:val="1"/>
          <w:iCs w:val="1"/>
          <w:color w:val="auto"/>
        </w:rPr>
        <w:t xml:space="preserve">The Company operates in a cyclical industry. </w:t>
      </w:r>
      <w:r>
        <w:rPr>
          <w:rFonts w:ascii="Courier New" w:cs="Courier New" w:eastAsia="Courier New" w:hAnsi="Courier New"/>
          <w:sz w:val="14"/>
          <w:szCs w:val="14"/>
          <w:color w:val="auto"/>
        </w:rPr>
        <w:t>The precision ball and roller,</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precision plastics industries and the bearing seal industry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The Company's markets are highly competitive. </w:t>
      </w:r>
      <w:r>
        <w:rPr>
          <w:rFonts w:ascii="Courier New" w:cs="Courier New" w:eastAsia="Courier New" w:hAnsi="Courier New"/>
          <w:sz w:val="14"/>
          <w:szCs w:val="14"/>
          <w:color w:val="auto"/>
        </w:rPr>
        <w:t>The precision ball and roller</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market, the precision plastics markets and the bearing seal market are highly competitive, and many of the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internal production and sale to third parties. The Company faces a risk that its customers will decide to produce balls and rollers internally rather than outsourcing their needs to the Company.</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The Company has experienced rapid growth. </w:t>
      </w:r>
      <w:r>
        <w:rPr>
          <w:rFonts w:ascii="Courier New" w:cs="Courier New" w:eastAsia="Courier New" w:hAnsi="Courier New"/>
          <w:sz w:val="14"/>
          <w:szCs w:val="14"/>
          <w:color w:val="auto"/>
        </w:rPr>
        <w:t>The Company has significantly expanded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its ball and roller production facilities and capacity over the last several years, and during the third quarter of 2000 started a jointly owned stand-alone company in Europe for the manufacture and sale of precision chrome steel balls. Although the Company's Ball &amp; Roller division is currently operating at near full capacity, downturns in the economy and other factors could result in under-utilization or inefficient utilization of its production facilities in future years. The Company also faces risks associated with start-up expenses, inefficiencies, delays and increased depreciation costs associated with its</w:t>
      </w:r>
    </w:p>
    <w:p>
      <w:pPr>
        <w:sectPr>
          <w:pgSz w:w="11900" w:h="16838" w:orient="portrait"/>
          <w:cols w:equalWidth="0" w:num="1">
            <w:col w:w="10239"/>
          </w:cols>
          <w:pgMar w:left="220" w:top="30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plant expansions.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The Company depends on foreign sources for its primary raw material and is subject to risks of shortages and price fluctuation. </w:t>
      </w:r>
      <w:r>
        <w:rPr>
          <w:rFonts w:ascii="Courier New" w:cs="Courier New" w:eastAsia="Courier New" w:hAnsi="Courier New"/>
          <w:sz w:val="14"/>
          <w:szCs w:val="14"/>
          <w:color w:val="auto"/>
        </w:rPr>
        <w:t>Because the balls and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 xml:space="preserve">The Company operates in and sells products to customers outside of the U.S. and is subject to several related risks. </w:t>
      </w:r>
      <w:r>
        <w:rPr>
          <w:rFonts w:ascii="Courier New" w:cs="Courier New" w:eastAsia="Courier New" w:hAnsi="Courier New"/>
          <w:sz w:val="14"/>
          <w:szCs w:val="14"/>
          <w:color w:val="auto"/>
        </w:rPr>
        <w:t>Because the Company obtains a majority of</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its raw materials for the manufacture of balls and rollers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i w:val="1"/>
          <w:iCs w:val="1"/>
          <w:color w:val="auto"/>
        </w:rPr>
        <w:t>The Company is heavily dependent on a relatively few number of customers</w:t>
      </w:r>
      <w:r>
        <w:rPr>
          <w:rFonts w:ascii="Courier New" w:cs="Courier New" w:eastAsia="Courier New" w:hAnsi="Courier New"/>
          <w:sz w:val="14"/>
          <w:szCs w:val="14"/>
          <w:color w:val="auto"/>
        </w:rPr>
        <w:t>. During</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2001, the Company's ten largest customers accounted for approximately 73% of its net sales. Sales to various US and foreign divisions of SKF, which is one of the largest bearing manufacturers in the world, accounted for approximately 35% of net sales in 2001, and sales to FAG accounted for approximately 19% of net sales. None of the Company's other customers accounted for more than 5% of its net sales in 2001. The loss of all or a substantial portion of sales to these customers would have a material adverse effect on the Company's business.</w:t>
      </w:r>
    </w:p>
    <w:p>
      <w:pPr>
        <w:spacing w:after="0" w:line="163"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i w:val="1"/>
          <w:iCs w:val="1"/>
          <w:color w:val="auto"/>
        </w:rPr>
        <w:t xml:space="preserve">The costs and difficulties of acquiring and integrating complementary businesses could impede the Company's future growth. </w:t>
      </w:r>
      <w:r>
        <w:rPr>
          <w:rFonts w:ascii="Courier New" w:cs="Courier New" w:eastAsia="Courier New" w:hAnsi="Courier New"/>
          <w:sz w:val="14"/>
          <w:szCs w:val="14"/>
          <w:color w:val="auto"/>
        </w:rPr>
        <w:t>The Company's growth strategy includes</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growth through acquisitions. In 1999, the Company acquired the IMC businesses as part of that strategy. In 2000, the Company formed the NN Euroball joint venture with SKF and FAG and began operating two new ball manufacturing facilities. In February of 2001, the Company continued to implement this strategy through the acquisition of Delta.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Item 3.</w:t>
        <w:tab/>
        <w:t>Quantitative and Qualitative Disclosures About Market Risk</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64"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The Company is exposed to changes in interest rates primarily as a result of its borrowing activities, which include a $25.0 million senior, non-secured floating rate revolving credit facility which is used to maintain liquidity and fund its business operations as well as a $35.0 million senior, non-secured floating rate term loan. Additionally, Euroball has a Euro 5.0 million floating rate revolving credit facility and a Euro 36.0 million floating rate secured term loan. Additionally, the Company has an interest rate swap that fixes the interest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Euro 12.5 million outstanding under the facilities. The interest rate swap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expires in July 2006. At March 31, 2002, the Company had $43.0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under the domestic revolving credit facility and term loan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Euroball had $11.0 million outstanding under the Euroball revolving 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and term loan. A one-percent increase in the interest rate charged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outstanding borrowings under the revolving credit facility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loans would result in interest expense increasing by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$540,000. The nature and amount of the Company's borrowings may vary as a result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future business requirements, market conditions and other factors.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related to foreign exchange rates. The Company did not hold a position in any foreign currency instruments as of March 31, 2002.</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Part II. Other Information</w:t>
      </w:r>
    </w:p>
    <w:p>
      <w:pPr>
        <w:sectPr>
          <w:pgSz w:w="11900" w:h="16838" w:orient="portrait"/>
          <w:cols w:equalWidth="0" w:num="1">
            <w:col w:w="10239"/>
          </w:cols>
          <w:pgMar w:left="220" w:top="141" w:right="1440" w:bottom="0" w:gutter="0" w:footer="0" w:header="0"/>
        </w:sectPr>
      </w:pPr>
    </w:p>
    <w:bookmarkStart w:id="11" w:name="page12"/>
    <w:bookmarkEnd w:id="11"/>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Item 1.</w:t>
        <w:tab/>
        <w:t>Legal Proceedings</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Company is currently the defendant in a lawsuit involving the minority shareholder of the NN Arte business located in Guadalajara, Mexico. Management believes the claims are without merit and the ultimate disposition will not have a material adverse effect on the Company's financial position or results of operations.</w:t>
      </w:r>
    </w:p>
    <w:p>
      <w:pPr>
        <w:spacing w:after="0" w:line="16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All other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32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b w:val="1"/>
          <w:bCs w:val="1"/>
          <w:color w:val="auto"/>
        </w:rPr>
        <w:t>Item 2.</w:t>
      </w:r>
      <w:r>
        <w:rPr>
          <w:sz w:val="20"/>
          <w:szCs w:val="20"/>
          <w:color w:val="auto"/>
        </w:rPr>
        <w:tab/>
      </w:r>
      <w:r>
        <w:rPr>
          <w:rFonts w:ascii="Courier New" w:cs="Courier New" w:eastAsia="Courier New" w:hAnsi="Courier New"/>
          <w:sz w:val="14"/>
          <w:szCs w:val="14"/>
          <w:b w:val="1"/>
          <w:bCs w:val="1"/>
          <w:color w:val="auto"/>
        </w:rPr>
        <w:t>Exhibits and Reports on Form 8-K.</w:t>
      </w:r>
    </w:p>
    <w:p>
      <w:pPr>
        <w:spacing w:after="0" w:line="170" w:lineRule="exact"/>
        <w:rPr>
          <w:sz w:val="20"/>
          <w:szCs w:val="20"/>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by Item 601 of Regulation S-K</w:t>
      </w:r>
    </w:p>
    <w:p>
      <w:pPr>
        <w:spacing w:after="0" w:line="170"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10.1 Amendment No. 1 dated January 21, 2002, to Employment Agreement between the Company and Frank T. Gentry (incorporated by reference to Exhibit 10.16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10.2 Change of Control and Noncompetition Agreement, dated January 21, 2002, between the Company and Frank T. Gentry (incorporated by reference to Exhibit 10.17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10.3 Amendment No. 1 dated January 21, 2002, to Employment Agreement between the Company and Roderick R. Baty (incorporated by reference to Exhibit 10.18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10.4 Change of Control and Noncompetition Agreement, dated January 21, 2002, between the Company and Roderick R. Baty (incorporated by reference to Exhibit 10.19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10.5 Employee Agreement dated January 21, 2002, between the Company and Robert R. Sams (incorporated by reference to Exhibit 10.20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10.6 Change of Control and Noncompetition Agreement, dated January 21, 2002, between the Company and Robert R. Sams (incorporated by reference to Exhibit 10.21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10.7 Employee Agreement dated January 21, 2002, between the Company and William C. Kelly (incorporated by reference to Exhibit 10.22 of the Company's Annual Report on Form 10-K/A for the fiscal year ended December 31, 2001).</w:t>
      </w:r>
    </w:p>
    <w:p>
      <w:pPr>
        <w:spacing w:after="0" w:line="164"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10.8 Change of Control and Noncompetition Agreement, dated January 21, 2002, between the Company and William C. Kelly(incorporated by reference to Exhibit 10.23 of the Company's Annual Report on Form 10-K/A for the fiscal year ended December 31, 2001).</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00" w:right="3399" w:hanging="426"/>
        <w:spacing w:after="0" w:line="249" w:lineRule="auto"/>
        <w:rPr>
          <w:sz w:val="20"/>
          <w:szCs w:val="20"/>
          <w:color w:val="auto"/>
        </w:rPr>
      </w:pPr>
      <w:r>
        <w:rPr>
          <w:rFonts w:ascii="Courier New" w:cs="Courier New" w:eastAsia="Courier New" w:hAnsi="Courier New"/>
          <w:sz w:val="14"/>
          <w:szCs w:val="14"/>
          <w:color w:val="auto"/>
        </w:rPr>
        <w:t>10.9 Employee Agreement dated January 21, 2002, between the Company and David L. Dyckman (incorporated by reference to Exhibit 10.24 of the Company's Annual Report on Form 10-K/A for the fiscal year ended December 31, 2001).</w:t>
      </w:r>
    </w:p>
    <w:p>
      <w:pPr>
        <w:spacing w:after="0" w:line="164" w:lineRule="exact"/>
        <w:rPr>
          <w:sz w:val="20"/>
          <w:szCs w:val="20"/>
          <w:color w:val="auto"/>
        </w:rPr>
      </w:pPr>
    </w:p>
    <w:p>
      <w:pPr>
        <w:ind w:left="1300" w:right="3479" w:hanging="426"/>
        <w:spacing w:after="0" w:line="249" w:lineRule="auto"/>
        <w:rPr>
          <w:sz w:val="20"/>
          <w:szCs w:val="20"/>
          <w:color w:val="auto"/>
        </w:rPr>
      </w:pPr>
      <w:r>
        <w:rPr>
          <w:rFonts w:ascii="Courier New" w:cs="Courier New" w:eastAsia="Courier New" w:hAnsi="Courier New"/>
          <w:sz w:val="14"/>
          <w:szCs w:val="14"/>
          <w:color w:val="auto"/>
        </w:rPr>
        <w:t>10.10 Change of Control and Noncompetition Agreement, dated January 21, 2002, between the Company and David L. Dyckman (incorporated by reference to Exhibit 10.25 of the Company's Annual Report on Form 10-K/A for the fiscal year ended December 31, 2001).</w:t>
      </w:r>
    </w:p>
    <w:p>
      <w:pPr>
        <w:spacing w:after="0" w:line="164" w:lineRule="exact"/>
        <w:rPr>
          <w:sz w:val="20"/>
          <w:szCs w:val="20"/>
          <w:color w:val="auto"/>
        </w:rPr>
      </w:pPr>
    </w:p>
    <w:p>
      <w:pPr>
        <w:ind w:left="860" w:hanging="425"/>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805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SIGNATURES</w:t>
      </w:r>
    </w:p>
    <w:p>
      <w:pPr>
        <w:spacing w:after="0" w:line="335" w:lineRule="exact"/>
        <w:rPr>
          <w:sz w:val="20"/>
          <w:szCs w:val="20"/>
          <w:color w:val="auto"/>
        </w:rPr>
      </w:pPr>
    </w:p>
    <w:p>
      <w:pPr>
        <w:jc w:val="both"/>
        <w:ind w:right="4079"/>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ind w:left="6600"/>
        <w:spacing w:after="0"/>
        <w:rPr>
          <w:sz w:val="20"/>
          <w:szCs w:val="20"/>
          <w:color w:val="auto"/>
        </w:rPr>
      </w:pPr>
      <w:r>
        <w:rPr>
          <w:rFonts w:ascii="Courier New" w:cs="Courier New" w:eastAsia="Courier New" w:hAnsi="Courier New"/>
          <w:sz w:val="14"/>
          <w:szCs w:val="14"/>
          <w:color w:val="auto"/>
        </w:rPr>
        <w:t>NN, Inc.</w:t>
      </w:r>
    </w:p>
    <w:p>
      <w:pPr>
        <w:spacing w:after="0" w:line="6"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30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May 10, 2002</w:t>
            </w:r>
          </w:p>
        </w:tc>
        <w:tc>
          <w:tcPr>
            <w:tcW w:w="4260" w:type="dxa"/>
            <w:vAlign w:val="bottom"/>
          </w:tcPr>
          <w:p>
            <w:pPr>
              <w:ind w:left="1960"/>
              <w:spacing w:after="0"/>
              <w:rPr>
                <w:sz w:val="20"/>
                <w:szCs w:val="20"/>
                <w:color w:val="auto"/>
              </w:rPr>
            </w:pPr>
            <w:r>
              <w:rPr>
                <w:rFonts w:ascii="Courier New" w:cs="Courier New" w:eastAsia="Courier New" w:hAnsi="Courier New"/>
                <w:sz w:val="14"/>
                <w:szCs w:val="14"/>
                <w:color w:val="auto"/>
              </w:rPr>
              <w:t>/s/ Roderick R. Baty</w:t>
            </w:r>
          </w:p>
        </w:tc>
      </w:tr>
      <w:tr>
        <w:trPr>
          <w:trHeight w:val="164"/>
        </w:trPr>
        <w:tc>
          <w:tcPr>
            <w:tcW w:w="600" w:type="dxa"/>
            <w:vAlign w:val="bottom"/>
          </w:tcPr>
          <w:p>
            <w:pPr>
              <w:spacing w:after="0"/>
              <w:rPr>
                <w:sz w:val="14"/>
                <w:szCs w:val="14"/>
                <w:color w:val="auto"/>
              </w:rPr>
            </w:pPr>
          </w:p>
        </w:tc>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960"/>
              <w:spacing w:after="0"/>
              <w:rPr>
                <w:sz w:val="20"/>
                <w:szCs w:val="20"/>
                <w:color w:val="auto"/>
              </w:rPr>
            </w:pPr>
            <w:r>
              <w:rPr>
                <w:rFonts w:ascii="Courier New" w:cs="Courier New" w:eastAsia="Courier New" w:hAnsi="Courier New"/>
                <w:sz w:val="14"/>
                <w:szCs w:val="14"/>
                <w:color w:val="auto"/>
              </w:rPr>
              <w:t>Roderick R. Baty,</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960"/>
              <w:spacing w:after="0"/>
              <w:rPr>
                <w:sz w:val="20"/>
                <w:szCs w:val="20"/>
                <w:color w:val="auto"/>
              </w:rPr>
            </w:pPr>
            <w:r>
              <w:rPr>
                <w:rFonts w:ascii="Courier New" w:cs="Courier New" w:eastAsia="Courier New" w:hAnsi="Courier New"/>
                <w:sz w:val="14"/>
                <w:szCs w:val="14"/>
                <w:color w:val="auto"/>
              </w:rPr>
              <w:t>Chairman, President and</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960"/>
              <w:spacing w:after="0"/>
              <w:rPr>
                <w:sz w:val="20"/>
                <w:szCs w:val="20"/>
                <w:color w:val="auto"/>
              </w:rPr>
            </w:pPr>
            <w:r>
              <w:rPr>
                <w:rFonts w:ascii="Courier New" w:cs="Courier New" w:eastAsia="Courier New" w:hAnsi="Courier New"/>
                <w:sz w:val="14"/>
                <w:szCs w:val="14"/>
                <w:color w:val="auto"/>
              </w:rPr>
              <w:t>Chief Executive Officer</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780"/>
              <w:spacing w:after="0"/>
              <w:rPr>
                <w:sz w:val="20"/>
                <w:szCs w:val="20"/>
                <w:color w:val="auto"/>
              </w:rPr>
            </w:pPr>
            <w:r>
              <w:rPr>
                <w:rFonts w:ascii="Courier New" w:cs="Courier New" w:eastAsia="Courier New" w:hAnsi="Courier New"/>
                <w:sz w:val="14"/>
                <w:szCs w:val="14"/>
                <w:color w:val="auto"/>
              </w:rPr>
              <w:t>(Duly Authorized Officer)</w:t>
            </w:r>
          </w:p>
        </w:tc>
      </w:tr>
      <w:tr>
        <w:trPr>
          <w:trHeight w:val="493"/>
        </w:trPr>
        <w:tc>
          <w:tcPr>
            <w:tcW w:w="6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May 10, 2002</w:t>
            </w:r>
          </w:p>
        </w:tc>
        <w:tc>
          <w:tcPr>
            <w:tcW w:w="4260" w:type="dxa"/>
            <w:vAlign w:val="bottom"/>
          </w:tcPr>
          <w:p>
            <w:pPr>
              <w:ind w:left="1960"/>
              <w:spacing w:after="0"/>
              <w:rPr>
                <w:sz w:val="20"/>
                <w:szCs w:val="20"/>
                <w:color w:val="auto"/>
              </w:rPr>
            </w:pPr>
            <w:r>
              <w:rPr>
                <w:rFonts w:ascii="Courier New" w:cs="Courier New" w:eastAsia="Courier New" w:hAnsi="Courier New"/>
                <w:sz w:val="14"/>
                <w:szCs w:val="14"/>
                <w:color w:val="auto"/>
              </w:rPr>
              <w:t>/s/ David Dyckman</w:t>
            </w:r>
          </w:p>
        </w:tc>
      </w:tr>
      <w:tr>
        <w:trPr>
          <w:trHeight w:val="164"/>
        </w:trPr>
        <w:tc>
          <w:tcPr>
            <w:tcW w:w="600" w:type="dxa"/>
            <w:vAlign w:val="bottom"/>
          </w:tcPr>
          <w:p>
            <w:pPr>
              <w:spacing w:after="0"/>
              <w:rPr>
                <w:sz w:val="14"/>
                <w:szCs w:val="14"/>
                <w:color w:val="auto"/>
              </w:rPr>
            </w:pPr>
          </w:p>
        </w:tc>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2220"/>
              <w:spacing w:after="0"/>
              <w:rPr>
                <w:sz w:val="20"/>
                <w:szCs w:val="20"/>
                <w:color w:val="auto"/>
              </w:rPr>
            </w:pPr>
            <w:r>
              <w:rPr>
                <w:rFonts w:ascii="Courier New" w:cs="Courier New" w:eastAsia="Courier New" w:hAnsi="Courier New"/>
                <w:sz w:val="14"/>
                <w:szCs w:val="14"/>
                <w:color w:val="auto"/>
              </w:rPr>
              <w:t>David Dyckman</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880"/>
              <w:spacing w:after="0"/>
              <w:rPr>
                <w:sz w:val="20"/>
                <w:szCs w:val="20"/>
                <w:color w:val="auto"/>
              </w:rPr>
            </w:pPr>
            <w:r>
              <w:rPr>
                <w:rFonts w:ascii="Courier New" w:cs="Courier New" w:eastAsia="Courier New" w:hAnsi="Courier New"/>
                <w:sz w:val="14"/>
                <w:szCs w:val="14"/>
                <w:color w:val="auto"/>
              </w:rPr>
              <w:t>Chief Financial Officer</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780"/>
              <w:spacing w:after="0"/>
              <w:rPr>
                <w:sz w:val="20"/>
                <w:szCs w:val="20"/>
                <w:color w:val="auto"/>
              </w:rPr>
            </w:pPr>
            <w:r>
              <w:rPr>
                <w:rFonts w:ascii="Courier New" w:cs="Courier New" w:eastAsia="Courier New" w:hAnsi="Courier New"/>
                <w:sz w:val="14"/>
                <w:szCs w:val="14"/>
                <w:color w:val="auto"/>
              </w:rPr>
              <w:t>(Principal Financial Officer)</w:t>
            </w:r>
          </w:p>
        </w:tc>
      </w:tr>
      <w:tr>
        <w:trPr>
          <w:trHeight w:val="164"/>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60" w:type="dxa"/>
            <w:vAlign w:val="bottom"/>
          </w:tcPr>
          <w:p>
            <w:pPr>
              <w:ind w:left="1960"/>
              <w:spacing w:after="0"/>
              <w:rPr>
                <w:sz w:val="20"/>
                <w:szCs w:val="20"/>
                <w:color w:val="auto"/>
              </w:rPr>
            </w:pPr>
            <w:r>
              <w:rPr>
                <w:rFonts w:ascii="Courier New" w:cs="Courier New" w:eastAsia="Courier New" w:hAnsi="Courier New"/>
                <w:sz w:val="14"/>
                <w:szCs w:val="14"/>
                <w:color w:val="auto"/>
              </w:rPr>
              <w:t>(Duly Authorized Officer)</w:t>
            </w:r>
          </w:p>
        </w:tc>
      </w:tr>
      <w:tr>
        <w:trPr>
          <w:trHeight w:val="493"/>
        </w:trPr>
        <w:tc>
          <w:tcPr>
            <w:tcW w:w="6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May 10, 2002</w:t>
            </w:r>
          </w:p>
        </w:tc>
        <w:tc>
          <w:tcPr>
            <w:tcW w:w="4260" w:type="dxa"/>
            <w:vAlign w:val="bottom"/>
          </w:tcPr>
          <w:p>
            <w:pPr>
              <w:ind w:left="1880"/>
              <w:spacing w:after="0"/>
              <w:rPr>
                <w:sz w:val="20"/>
                <w:szCs w:val="20"/>
                <w:color w:val="auto"/>
              </w:rPr>
            </w:pPr>
            <w:r>
              <w:rPr>
                <w:rFonts w:ascii="Courier New" w:cs="Courier New" w:eastAsia="Courier New" w:hAnsi="Courier New"/>
                <w:sz w:val="14"/>
                <w:szCs w:val="14"/>
                <w:color w:val="auto"/>
              </w:rPr>
              <w:t>/s/ William C. Kelly, Jr.</w:t>
            </w:r>
          </w:p>
        </w:tc>
      </w:tr>
    </w:tbl>
    <w:p>
      <w:pPr>
        <w:spacing w:after="0" w:line="4" w:lineRule="exact"/>
        <w:rPr>
          <w:sz w:val="20"/>
          <w:szCs w:val="20"/>
          <w:color w:val="auto"/>
        </w:rPr>
      </w:pPr>
    </w:p>
    <w:p>
      <w:pPr>
        <w:ind w:left="780"/>
        <w:spacing w:after="0"/>
        <w:tabs>
          <w:tab w:leader="none" w:pos="5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William C. Kelly, Jr.,</w:t>
      </w:r>
    </w:p>
    <w:p>
      <w:pPr>
        <w:spacing w:after="0" w:line="6"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Treasurer, Secretary and</w:t>
      </w:r>
    </w:p>
    <w:p>
      <w:pPr>
        <w:spacing w:after="0" w:line="6"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Chief Accounting Officer</w:t>
      </w:r>
    </w:p>
    <w:p>
      <w:pPr>
        <w:spacing w:after="0" w:line="6"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(Principal Accounting Officer)</w:t>
      </w:r>
    </w:p>
    <w:p>
      <w:pPr>
        <w:spacing w:after="0" w:line="6"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18</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8"/>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2019-12-14T02:43:35Z</dcterms:created>
  <dcterms:modified xsi:type="dcterms:W3CDTF">2019-12-14T02:43:35Z</dcterms:modified>
</cp:coreProperties>
</file>