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138430</wp:posOffset>
            </wp:positionH>
            <wp:positionV relativeFrom="page">
              <wp:posOffset>105410</wp:posOffset>
            </wp:positionV>
            <wp:extent cx="7285355" cy="323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85355" cy="32385"/>
                    </a:xfrm>
                    <a:prstGeom prst="rect">
                      <a:avLst/>
                    </a:prstGeom>
                    <a:noFill/>
                  </pic:spPr>
                </pic:pic>
              </a:graphicData>
            </a:graphic>
          </wp:anchor>
        </w:drawing>
        <w:t>As filed with the Securities and Exchange Commission on December 16, 2005 Registration No. 333-_________</w:t>
      </w:r>
    </w:p>
    <w:p>
      <w:pPr>
        <w:spacing w:after="0" w:line="141" w:lineRule="exact"/>
        <w:rPr>
          <w:sz w:val="24"/>
          <w:szCs w:val="24"/>
          <w:color w:val="auto"/>
        </w:rPr>
      </w:pPr>
    </w:p>
    <w:p>
      <w:pPr>
        <w:jc w:val="center"/>
        <w:spacing w:after="0"/>
        <w:rPr>
          <w:sz w:val="20"/>
          <w:szCs w:val="20"/>
          <w:color w:val="auto"/>
        </w:rPr>
      </w:pPr>
      <w:r>
        <w:rPr>
          <w:rFonts w:ascii="Arial" w:cs="Arial" w:eastAsia="Arial" w:hAnsi="Arial"/>
          <w:sz w:val="19"/>
          <w:szCs w:val="19"/>
          <w:b w:val="1"/>
          <w:bCs w:val="1"/>
          <w:color w:val="auto"/>
        </w:rPr>
        <w:t>UNITED STATES</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19"/>
          <w:szCs w:val="19"/>
          <w:b w:val="1"/>
          <w:bCs w:val="1"/>
          <w:color w:val="auto"/>
        </w:rPr>
        <w:t>SECURITIES AND EXCHANGE COMMISSION</w:t>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19"/>
          <w:szCs w:val="19"/>
          <w:u w:val="single" w:color="auto"/>
          <w:color w:val="auto"/>
        </w:rPr>
        <w:t>Washington, D.C. 20549</w:t>
      </w:r>
    </w:p>
    <w:p>
      <w:pPr>
        <w:spacing w:after="0" w:line="199" w:lineRule="exact"/>
        <w:rPr>
          <w:sz w:val="24"/>
          <w:szCs w:val="24"/>
          <w:color w:val="auto"/>
        </w:rPr>
      </w:pPr>
    </w:p>
    <w:p>
      <w:pPr>
        <w:jc w:val="center"/>
        <w:spacing w:after="0"/>
        <w:rPr>
          <w:sz w:val="20"/>
          <w:szCs w:val="20"/>
          <w:color w:val="auto"/>
        </w:rPr>
      </w:pPr>
      <w:r>
        <w:rPr>
          <w:rFonts w:ascii="Arial" w:cs="Arial" w:eastAsia="Arial" w:hAnsi="Arial"/>
          <w:sz w:val="27"/>
          <w:szCs w:val="27"/>
          <w:b w:val="1"/>
          <w:bCs w:val="1"/>
          <w:u w:val="single" w:color="auto"/>
          <w:color w:val="auto"/>
        </w:rPr>
        <w:t>FORM S-8</w:t>
      </w:r>
    </w:p>
    <w:p>
      <w:pPr>
        <w:spacing w:after="0" w:line="243"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REGISTRATION STATEMENT</w:t>
      </w:r>
    </w:p>
    <w:p>
      <w:pPr>
        <w:spacing w:after="0" w:line="35"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UNDER</w:t>
      </w:r>
    </w:p>
    <w:p>
      <w:pPr>
        <w:spacing w:after="0" w:line="22"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THE SECURITIES ACT OF 1933</w:t>
      </w:r>
    </w:p>
    <w:p>
      <w:pPr>
        <w:spacing w:after="0" w:line="213" w:lineRule="exact"/>
        <w:rPr>
          <w:sz w:val="24"/>
          <w:szCs w:val="24"/>
          <w:color w:val="auto"/>
        </w:rPr>
      </w:pPr>
    </w:p>
    <w:p>
      <w:pPr>
        <w:jc w:val="center"/>
        <w:spacing w:after="0"/>
        <w:rPr>
          <w:sz w:val="20"/>
          <w:szCs w:val="20"/>
          <w:color w:val="auto"/>
        </w:rPr>
      </w:pPr>
      <w:r>
        <w:rPr>
          <w:rFonts w:ascii="Arial" w:cs="Arial" w:eastAsia="Arial" w:hAnsi="Arial"/>
          <w:sz w:val="33"/>
          <w:szCs w:val="33"/>
          <w:b w:val="1"/>
          <w:bCs w:val="1"/>
          <w:color w:val="auto"/>
        </w:rPr>
        <w:t>NN, Inc.</w:t>
      </w:r>
    </w:p>
    <w:p>
      <w:pPr>
        <w:spacing w:after="0" w:line="46"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(Exact name of Registrant as specified in its charter)</w:t>
      </w:r>
    </w:p>
    <w:p>
      <w:pPr>
        <w:spacing w:after="0" w:line="23" w:lineRule="exact"/>
        <w:rPr>
          <w:sz w:val="24"/>
          <w:szCs w:val="24"/>
          <w:color w:val="auto"/>
        </w:rPr>
      </w:pPr>
    </w:p>
    <w:p>
      <w:pPr>
        <w:ind w:left="11140"/>
        <w:spacing w:after="0"/>
        <w:tabs>
          <w:tab w:leader="none" w:pos="11340" w:val="left"/>
        </w:tabs>
        <w:rPr>
          <w:sz w:val="20"/>
          <w:szCs w:val="20"/>
          <w:color w:val="auto"/>
        </w:rPr>
      </w:pPr>
      <w:r>
        <w:rPr>
          <w:rFonts w:ascii="Arial" w:cs="Arial" w:eastAsia="Arial" w:hAnsi="Arial"/>
          <w:sz w:val="14"/>
          <w:szCs w:val="14"/>
          <w:color w:val="auto"/>
        </w:rPr>
        <w:t>&amp;</w:t>
      </w:r>
      <w:r>
        <w:rPr>
          <w:sz w:val="20"/>
          <w:szCs w:val="20"/>
          <w:color w:val="auto"/>
        </w:rPr>
        <w:tab/>
      </w:r>
      <w:r>
        <w:rPr>
          <w:rFonts w:ascii="Arial" w:cs="Arial" w:eastAsia="Arial" w:hAnsi="Arial"/>
          <w:sz w:val="10"/>
          <w:szCs w:val="10"/>
          <w:color w:val="auto"/>
        </w:rPr>
        <w:t>#</w:t>
      </w:r>
    </w:p>
    <w:p>
      <w:pPr>
        <w:sectPr>
          <w:pgSz w:w="11900" w:h="16838" w:orient="portrait"/>
          <w:cols w:equalWidth="0" w:num="1">
            <w:col w:w="11460"/>
          </w:cols>
          <w:pgMar w:left="220" w:top="324" w:right="219" w:bottom="1440" w:gutter="0" w:footer="0" w:header="0"/>
        </w:sectPr>
      </w:pPr>
    </w:p>
    <w:p>
      <w:pPr>
        <w:spacing w:after="0" w:line="14" w:lineRule="exact"/>
        <w:rPr>
          <w:sz w:val="24"/>
          <w:szCs w:val="24"/>
          <w:color w:val="auto"/>
        </w:rPr>
      </w:pPr>
    </w:p>
    <w:p>
      <w:pPr>
        <w:spacing w:after="0"/>
        <w:tabs>
          <w:tab w:leader="none" w:pos="180" w:val="left"/>
        </w:tabs>
        <w:rPr>
          <w:sz w:val="20"/>
          <w:szCs w:val="20"/>
          <w:color w:val="auto"/>
        </w:rPr>
      </w:pPr>
      <w:r>
        <w:rPr>
          <w:rFonts w:ascii="Arial" w:cs="Arial" w:eastAsia="Arial" w:hAnsi="Arial"/>
          <w:sz w:val="14"/>
          <w:szCs w:val="14"/>
          <w:color w:val="auto"/>
        </w:rPr>
        <w:t>1</w:t>
      </w:r>
      <w:r>
        <w:rPr>
          <w:sz w:val="20"/>
          <w:szCs w:val="20"/>
          <w:color w:val="auto"/>
        </w:rPr>
        <w:tab/>
      </w:r>
      <w:r>
        <w:rPr>
          <w:rFonts w:ascii="Arial" w:cs="Arial" w:eastAsia="Arial" w:hAnsi="Arial"/>
          <w:sz w:val="10"/>
          <w:szCs w:val="10"/>
          <w:color w:val="auto"/>
        </w:rPr>
        <w:t>6</w:t>
      </w:r>
    </w:p>
    <w:p>
      <w:pPr>
        <w:spacing w:after="0" w:line="20" w:lineRule="exact"/>
        <w:rPr>
          <w:sz w:val="24"/>
          <w:szCs w:val="24"/>
          <w:color w:val="auto"/>
        </w:rPr>
      </w:pPr>
      <w:r>
        <w:rPr>
          <w:sz w:val="24"/>
          <w:szCs w:val="24"/>
          <w:color w:val="auto"/>
        </w:rPr>
        <w:br w:type="column"/>
      </w:r>
    </w:p>
    <w:p>
      <w:pPr>
        <w:spacing w:after="0"/>
        <w:tabs>
          <w:tab w:leader="none" w:pos="180" w:val="left"/>
        </w:tabs>
        <w:rPr>
          <w:sz w:val="20"/>
          <w:szCs w:val="20"/>
          <w:color w:val="auto"/>
        </w:rPr>
      </w:pPr>
      <w:r>
        <w:rPr>
          <w:rFonts w:ascii="Arial" w:cs="Arial" w:eastAsia="Arial" w:hAnsi="Arial"/>
          <w:sz w:val="14"/>
          <w:szCs w:val="14"/>
          <w:color w:val="auto"/>
        </w:rPr>
        <w:t>0</w:t>
        <w:tab/>
        <w:t>;</w:t>
      </w:r>
    </w:p>
    <w:p>
      <w:pPr>
        <w:spacing w:after="0" w:line="13" w:lineRule="exact"/>
        <w:rPr>
          <w:sz w:val="24"/>
          <w:szCs w:val="24"/>
          <w:color w:val="auto"/>
        </w:rPr>
      </w:pPr>
    </w:p>
    <w:p>
      <w:pPr>
        <w:sectPr>
          <w:pgSz w:w="11900" w:h="16838" w:orient="portrait"/>
          <w:cols w:equalWidth="0" w:num="2">
            <w:col w:w="260" w:space="120"/>
            <w:col w:w="11080"/>
          </w:cols>
          <w:pgMar w:left="220" w:top="324" w:right="219" w:bottom="1440" w:gutter="0" w:footer="0" w:header="0"/>
          <w:type w:val="continuous"/>
        </w:sectPr>
      </w:pPr>
    </w:p>
    <w:p>
      <w:pPr>
        <w:ind w:left="2540"/>
        <w:spacing w:after="0"/>
        <w:rPr>
          <w:sz w:val="20"/>
          <w:szCs w:val="20"/>
          <w:color w:val="auto"/>
        </w:rPr>
      </w:pPr>
      <w:r>
        <w:rPr>
          <w:rFonts w:ascii="Arial" w:cs="Arial" w:eastAsia="Arial" w:hAnsi="Arial"/>
          <w:sz w:val="15"/>
          <w:szCs w:val="15"/>
          <w:b w:val="1"/>
          <w:bCs w:val="1"/>
          <w:color w:val="auto"/>
        </w:rPr>
        <w:t>Delaware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b w:val="1"/>
          <w:bCs w:val="1"/>
          <w:color w:val="auto"/>
        </w:rPr>
        <w:t>62-1096725</w:t>
      </w:r>
    </w:p>
    <w:p>
      <w:pPr>
        <w:spacing w:after="0" w:line="59" w:lineRule="exact"/>
        <w:rPr>
          <w:sz w:val="24"/>
          <w:szCs w:val="24"/>
          <w:color w:val="auto"/>
        </w:rPr>
      </w:pPr>
    </w:p>
    <w:p>
      <w:pPr>
        <w:sectPr>
          <w:pgSz w:w="11900" w:h="16838" w:orient="portrait"/>
          <w:cols w:equalWidth="0" w:num="2">
            <w:col w:w="7500" w:space="720"/>
            <w:col w:w="3240"/>
          </w:cols>
          <w:pgMar w:left="220" w:top="324" w:right="219" w:bottom="1440" w:gutter="0" w:footer="0" w:header="0"/>
          <w:type w:val="continuous"/>
        </w:sectPr>
      </w:pPr>
    </w:p>
    <w:p>
      <w:pPr>
        <w:ind w:left="1280"/>
        <w:spacing w:after="0"/>
        <w:rPr>
          <w:sz w:val="20"/>
          <w:szCs w:val="20"/>
          <w:color w:val="auto"/>
        </w:rPr>
      </w:pPr>
      <w:r>
        <w:rPr>
          <w:rFonts w:ascii="Arial" w:cs="Arial" w:eastAsia="Arial" w:hAnsi="Arial"/>
          <w:sz w:val="12"/>
          <w:szCs w:val="12"/>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color w:val="auto"/>
        </w:rPr>
        <w:t>(I.R.S. Employer Identification No.)</w:t>
      </w:r>
    </w:p>
    <w:p>
      <w:pPr>
        <w:spacing w:after="0" w:line="200" w:lineRule="exact"/>
        <w:rPr>
          <w:sz w:val="24"/>
          <w:szCs w:val="24"/>
          <w:color w:val="auto"/>
        </w:rPr>
      </w:pPr>
    </w:p>
    <w:p>
      <w:pPr>
        <w:sectPr>
          <w:pgSz w:w="11900" w:h="16838" w:orient="portrait"/>
          <w:cols w:equalWidth="0" w:num="2">
            <w:col w:w="6940" w:space="720"/>
            <w:col w:w="3800"/>
          </w:cols>
          <w:pgMar w:left="220" w:top="324" w:right="219" w:bottom="1440" w:gutter="0" w:footer="0" w:header="0"/>
          <w:type w:val="continuous"/>
        </w:sectPr>
      </w:pPr>
    </w:p>
    <w:p>
      <w:pPr>
        <w:spacing w:after="0" w:line="26"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2000 Waters Edge Drive</w:t>
      </w:r>
    </w:p>
    <w:p>
      <w:pPr>
        <w:spacing w:after="0" w:line="17"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Building C, Suite 12</w:t>
      </w:r>
    </w:p>
    <w:p>
      <w:pPr>
        <w:spacing w:after="0" w:line="4"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Johnson City, Tennessee 37604</w:t>
      </w:r>
    </w:p>
    <w:p>
      <w:pPr>
        <w:spacing w:after="0" w:line="4" w:lineRule="exact"/>
        <w:rPr>
          <w:sz w:val="24"/>
          <w:szCs w:val="24"/>
          <w:color w:val="auto"/>
        </w:rPr>
      </w:pPr>
    </w:p>
    <w:p>
      <w:pPr>
        <w:jc w:val="center"/>
        <w:ind w:right="-19"/>
        <w:spacing w:after="0"/>
        <w:rPr>
          <w:sz w:val="20"/>
          <w:szCs w:val="20"/>
          <w:color w:val="auto"/>
        </w:rPr>
      </w:pPr>
      <w:r>
        <w:rPr>
          <w:rFonts w:ascii="Arial" w:cs="Arial" w:eastAsia="Arial" w:hAnsi="Arial"/>
          <w:sz w:val="11"/>
          <w:szCs w:val="11"/>
          <w:color w:val="auto"/>
        </w:rPr>
        <w:t>(Address of Principal Executive Offices including zip code)</w:t>
      </w:r>
    </w:p>
    <w:p>
      <w:pPr>
        <w:sectPr>
          <w:pgSz w:w="11900" w:h="16838" w:orient="portrait"/>
          <w:cols w:equalWidth="0" w:num="1">
            <w:col w:w="11460"/>
          </w:cols>
          <w:pgMar w:left="220" w:top="324" w:right="219" w:bottom="1440" w:gutter="0" w:footer="0" w:header="0"/>
          <w:type w:val="continuous"/>
        </w:sectPr>
      </w:pPr>
    </w:p>
    <w:p>
      <w:pPr>
        <w:spacing w:after="0" w:line="234"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2005 STOCK INCENTIVE PLAN</w:t>
      </w:r>
    </w:p>
    <w:p>
      <w:pPr>
        <w:spacing w:after="0" w:line="34"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(Full title of the plan)</w:t>
      </w:r>
    </w:p>
    <w:p>
      <w:pPr>
        <w:spacing w:after="0" w:line="194"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Roderick R. Baty</w:t>
      </w:r>
    </w:p>
    <w:p>
      <w:pPr>
        <w:spacing w:after="0" w:line="17"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President and Chief Executive Officer</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2000 Waters Edge Drive</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Building C, Suite 12</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Johnson City, Tennessee 37604</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(423) 743-9151</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(Name, address, including zip code, and telephone number, including area code, of agent for service)</w:t>
      </w:r>
    </w:p>
    <w:p>
      <w:pPr>
        <w:spacing w:after="0" w:line="200" w:lineRule="exact"/>
        <w:rPr>
          <w:sz w:val="24"/>
          <w:szCs w:val="24"/>
          <w:color w:val="auto"/>
        </w:rPr>
      </w:pPr>
    </w:p>
    <w:p>
      <w:pPr>
        <w:jc w:val="center"/>
        <w:spacing w:after="0"/>
        <w:rPr>
          <w:sz w:val="20"/>
          <w:szCs w:val="20"/>
          <w:color w:val="auto"/>
        </w:rPr>
      </w:pPr>
      <w:r>
        <w:rPr>
          <w:rFonts w:ascii="Arial" w:cs="Arial" w:eastAsia="Arial" w:hAnsi="Arial"/>
          <w:sz w:val="14"/>
          <w:szCs w:val="14"/>
          <w:i w:val="1"/>
          <w:iCs w:val="1"/>
          <w:color w:val="auto"/>
        </w:rPr>
        <w:t>Copy to</w:t>
      </w:r>
      <w:r>
        <w:rPr>
          <w:rFonts w:ascii="Arial" w:cs="Arial" w:eastAsia="Arial" w:hAnsi="Arial"/>
          <w:sz w:val="14"/>
          <w:szCs w:val="14"/>
          <w:color w:val="auto"/>
        </w:rPr>
        <w:t>:</w:t>
      </w:r>
    </w:p>
    <w:p>
      <w:pPr>
        <w:spacing w:after="0" w:line="210"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Linda Crouch-McCreadie, Esq.</w:t>
      </w:r>
    </w:p>
    <w:p>
      <w:pPr>
        <w:spacing w:after="0" w:line="13"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Baker, Donelson, Bearman, Caldwell &amp; Berkowitz, PC</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207 Mockingbird Lane, Suite 300</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Johnson City, Tennessee 37604</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(423) 928-0181</w:t>
      </w:r>
    </w:p>
    <w:p>
      <w:pPr>
        <w:spacing w:after="0" w:line="196"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CALCULATION OF REGISTRATION FEE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-10795</wp:posOffset>
            </wp:positionH>
            <wp:positionV relativeFrom="paragraph">
              <wp:posOffset>0</wp:posOffset>
            </wp:positionV>
            <wp:extent cx="7304405" cy="5289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304405" cy="528955"/>
                    </a:xfrm>
                    <a:prstGeom prst="rect">
                      <a:avLst/>
                    </a:prstGeom>
                    <a:noFill/>
                  </pic:spPr>
                </pic:pic>
              </a:graphicData>
            </a:graphic>
          </wp:anchor>
        </w:drawing>
      </w:r>
    </w:p>
    <w:tbl>
      <w:tblPr>
        <w:tblLayout w:type="fixed"/>
        <w:tblInd w:w="10" w:type="dxa"/>
        <w:tblCellMar>
          <w:top w:w="0" w:type="dxa"/>
          <w:left w:w="0" w:type="dxa"/>
          <w:bottom w:w="0" w:type="dxa"/>
          <w:right w:w="0" w:type="dxa"/>
        </w:tblCellMar>
      </w:tblPr>
      <w:tr>
        <w:trPr>
          <w:trHeight w:val="156"/>
        </w:trPr>
        <w:tc>
          <w:tcPr>
            <w:tcW w:w="2520" w:type="dxa"/>
            <w:vAlign w:val="bottom"/>
            <w:tcBorders>
              <w:top w:val="single" w:sz="8" w:color="2C2C2C"/>
              <w:left w:val="single" w:sz="8" w:color="2C2C2C"/>
              <w:right w:val="single" w:sz="8" w:color="2C2C2C"/>
            </w:tcBorders>
          </w:tcPr>
          <w:p>
            <w:pPr>
              <w:spacing w:after="0"/>
              <w:rPr>
                <w:sz w:val="13"/>
                <w:szCs w:val="13"/>
                <w:color w:val="auto"/>
              </w:rPr>
            </w:pPr>
          </w:p>
        </w:tc>
        <w:tc>
          <w:tcPr>
            <w:tcW w:w="2060" w:type="dxa"/>
            <w:vAlign w:val="bottom"/>
            <w:tcBorders>
              <w:top w:val="single" w:sz="8" w:color="2C2C2C"/>
              <w:right w:val="single" w:sz="8" w:color="2C2C2C"/>
            </w:tcBorders>
          </w:tcPr>
          <w:p>
            <w:pPr>
              <w:spacing w:after="0"/>
              <w:rPr>
                <w:sz w:val="13"/>
                <w:szCs w:val="13"/>
                <w:color w:val="auto"/>
              </w:rPr>
            </w:pPr>
          </w:p>
        </w:tc>
        <w:tc>
          <w:tcPr>
            <w:tcW w:w="2340" w:type="dxa"/>
            <w:vAlign w:val="bottom"/>
            <w:tcBorders>
              <w:top w:val="single" w:sz="8" w:color="2C2C2C"/>
              <w:right w:val="single" w:sz="8" w:color="2C2C2C"/>
            </w:tcBorders>
          </w:tcPr>
          <w:p>
            <w:pPr>
              <w:jc w:val="center"/>
              <w:ind w:left="11"/>
              <w:spacing w:after="0" w:line="155" w:lineRule="exact"/>
              <w:rPr>
                <w:sz w:val="20"/>
                <w:szCs w:val="20"/>
                <w:color w:val="auto"/>
              </w:rPr>
            </w:pPr>
            <w:r>
              <w:rPr>
                <w:rFonts w:ascii="Arial" w:cs="Arial" w:eastAsia="Arial" w:hAnsi="Arial"/>
                <w:sz w:val="14"/>
                <w:szCs w:val="14"/>
                <w:b w:val="1"/>
                <w:bCs w:val="1"/>
                <w:color w:val="auto"/>
                <w:w w:val="87"/>
              </w:rPr>
              <w:t>Proposed maximum offering</w:t>
            </w:r>
          </w:p>
        </w:tc>
        <w:tc>
          <w:tcPr>
            <w:tcW w:w="2500" w:type="dxa"/>
            <w:vAlign w:val="bottom"/>
            <w:tcBorders>
              <w:top w:val="single" w:sz="8" w:color="2C2C2C"/>
              <w:right w:val="single" w:sz="8" w:color="2C2C2C"/>
            </w:tcBorders>
          </w:tcPr>
          <w:p>
            <w:pPr>
              <w:jc w:val="center"/>
              <w:ind w:left="31"/>
              <w:spacing w:after="0" w:line="155" w:lineRule="exact"/>
              <w:rPr>
                <w:sz w:val="20"/>
                <w:szCs w:val="20"/>
                <w:color w:val="auto"/>
              </w:rPr>
            </w:pPr>
            <w:r>
              <w:rPr>
                <w:rFonts w:ascii="Arial" w:cs="Arial" w:eastAsia="Arial" w:hAnsi="Arial"/>
                <w:sz w:val="14"/>
                <w:szCs w:val="14"/>
                <w:b w:val="1"/>
                <w:bCs w:val="1"/>
                <w:color w:val="auto"/>
                <w:w w:val="87"/>
              </w:rPr>
              <w:t>Proposed maximum aggregate offering</w:t>
            </w:r>
          </w:p>
        </w:tc>
        <w:tc>
          <w:tcPr>
            <w:tcW w:w="2040" w:type="dxa"/>
            <w:vAlign w:val="bottom"/>
            <w:tcBorders>
              <w:top w:val="single" w:sz="8" w:color="2C2C2C"/>
            </w:tcBorders>
          </w:tcPr>
          <w:p>
            <w:pPr>
              <w:spacing w:after="0"/>
              <w:rPr>
                <w:sz w:val="13"/>
                <w:szCs w:val="13"/>
                <w:color w:val="auto"/>
              </w:rPr>
            </w:pPr>
          </w:p>
        </w:tc>
      </w:tr>
      <w:tr>
        <w:trPr>
          <w:trHeight w:val="206"/>
        </w:trPr>
        <w:tc>
          <w:tcPr>
            <w:tcW w:w="2520" w:type="dxa"/>
            <w:vAlign w:val="bottom"/>
            <w:tcBorders>
              <w:left w:val="single" w:sz="8" w:color="2C2C2C"/>
              <w:right w:val="single" w:sz="8" w:color="2C2C2C"/>
            </w:tcBorders>
          </w:tcPr>
          <w:p>
            <w:pPr>
              <w:ind w:left="360"/>
              <w:spacing w:after="0"/>
              <w:rPr>
                <w:sz w:val="20"/>
                <w:szCs w:val="20"/>
                <w:color w:val="auto"/>
              </w:rPr>
            </w:pPr>
            <w:r>
              <w:rPr>
                <w:rFonts w:ascii="Arial" w:cs="Arial" w:eastAsia="Arial" w:hAnsi="Arial"/>
                <w:sz w:val="14"/>
                <w:szCs w:val="14"/>
                <w:b w:val="1"/>
                <w:bCs w:val="1"/>
                <w:color w:val="auto"/>
                <w:w w:val="94"/>
              </w:rPr>
              <w:t>Title of securities to be registered</w:t>
            </w:r>
          </w:p>
        </w:tc>
        <w:tc>
          <w:tcPr>
            <w:tcW w:w="2060" w:type="dxa"/>
            <w:vAlign w:val="bottom"/>
            <w:tcBorders>
              <w:right w:val="single" w:sz="8" w:color="2C2C2C"/>
            </w:tcBorders>
          </w:tcPr>
          <w:p>
            <w:pPr>
              <w:jc w:val="center"/>
              <w:ind w:left="31"/>
              <w:spacing w:after="0"/>
              <w:rPr>
                <w:sz w:val="20"/>
                <w:szCs w:val="20"/>
                <w:color w:val="auto"/>
              </w:rPr>
            </w:pPr>
            <w:r>
              <w:rPr>
                <w:rFonts w:ascii="Arial" w:cs="Arial" w:eastAsia="Arial" w:hAnsi="Arial"/>
                <w:sz w:val="14"/>
                <w:szCs w:val="14"/>
                <w:b w:val="1"/>
                <w:bCs w:val="1"/>
                <w:color w:val="auto"/>
                <w:w w:val="88"/>
              </w:rPr>
              <w:t>Amount to be</w:t>
            </w:r>
          </w:p>
        </w:tc>
        <w:tc>
          <w:tcPr>
            <w:tcW w:w="2340" w:type="dxa"/>
            <w:vAlign w:val="bottom"/>
            <w:tcBorders>
              <w:right w:val="single" w:sz="8" w:color="2C2C2C"/>
            </w:tcBorders>
          </w:tcPr>
          <w:p>
            <w:pPr>
              <w:jc w:val="center"/>
              <w:ind w:left="11"/>
              <w:spacing w:after="0" w:line="206" w:lineRule="exact"/>
              <w:rPr>
                <w:sz w:val="20"/>
                <w:szCs w:val="20"/>
                <w:color w:val="auto"/>
              </w:rPr>
            </w:pPr>
            <w:r>
              <w:rPr>
                <w:rFonts w:ascii="Arial" w:cs="Arial" w:eastAsia="Arial" w:hAnsi="Arial"/>
                <w:sz w:val="14"/>
                <w:szCs w:val="14"/>
                <w:b w:val="1"/>
                <w:bCs w:val="1"/>
                <w:color w:val="auto"/>
                <w:w w:val="86"/>
              </w:rPr>
              <w:t xml:space="preserve">price per share </w:t>
            </w:r>
            <w:r>
              <w:rPr>
                <w:rFonts w:ascii="Arial" w:cs="Arial" w:eastAsia="Arial" w:hAnsi="Arial"/>
                <w:sz w:val="22"/>
                <w:szCs w:val="22"/>
                <w:b w:val="1"/>
                <w:bCs w:val="1"/>
                <w:color w:val="auto"/>
                <w:w w:val="86"/>
                <w:vertAlign w:val="superscript"/>
              </w:rPr>
              <w:t>(1)</w:t>
            </w:r>
          </w:p>
        </w:tc>
        <w:tc>
          <w:tcPr>
            <w:tcW w:w="2500" w:type="dxa"/>
            <w:vAlign w:val="bottom"/>
            <w:tcBorders>
              <w:right w:val="single" w:sz="8" w:color="2C2C2C"/>
            </w:tcBorders>
          </w:tcPr>
          <w:p>
            <w:pPr>
              <w:jc w:val="center"/>
              <w:ind w:left="11"/>
              <w:spacing w:after="0" w:line="206" w:lineRule="exact"/>
              <w:rPr>
                <w:sz w:val="20"/>
                <w:szCs w:val="20"/>
                <w:color w:val="auto"/>
              </w:rPr>
            </w:pPr>
            <w:r>
              <w:rPr>
                <w:rFonts w:ascii="Arial" w:cs="Arial" w:eastAsia="Arial" w:hAnsi="Arial"/>
                <w:sz w:val="14"/>
                <w:szCs w:val="14"/>
                <w:b w:val="1"/>
                <w:bCs w:val="1"/>
                <w:color w:val="auto"/>
                <w:w w:val="83"/>
              </w:rPr>
              <w:t xml:space="preserve">price </w:t>
            </w:r>
            <w:r>
              <w:rPr>
                <w:rFonts w:ascii="Arial" w:cs="Arial" w:eastAsia="Arial" w:hAnsi="Arial"/>
                <w:sz w:val="22"/>
                <w:szCs w:val="22"/>
                <w:b w:val="1"/>
                <w:bCs w:val="1"/>
                <w:color w:val="auto"/>
                <w:w w:val="83"/>
                <w:vertAlign w:val="superscript"/>
              </w:rPr>
              <w:t>(1)</w:t>
            </w:r>
          </w:p>
        </w:tc>
        <w:tc>
          <w:tcPr>
            <w:tcW w:w="2040" w:type="dxa"/>
            <w:vAlign w:val="bottom"/>
          </w:tcPr>
          <w:p>
            <w:pPr>
              <w:jc w:val="center"/>
              <w:ind w:left="31"/>
              <w:spacing w:after="0"/>
              <w:rPr>
                <w:sz w:val="20"/>
                <w:szCs w:val="20"/>
                <w:color w:val="auto"/>
              </w:rPr>
            </w:pPr>
            <w:r>
              <w:rPr>
                <w:rFonts w:ascii="Arial" w:cs="Arial" w:eastAsia="Arial" w:hAnsi="Arial"/>
                <w:sz w:val="14"/>
                <w:szCs w:val="14"/>
                <w:b w:val="1"/>
                <w:bCs w:val="1"/>
                <w:color w:val="auto"/>
                <w:w w:val="87"/>
              </w:rPr>
              <w:t>Amount of registration fee</w:t>
            </w:r>
          </w:p>
        </w:tc>
      </w:tr>
      <w:tr>
        <w:trPr>
          <w:trHeight w:val="217"/>
        </w:trPr>
        <w:tc>
          <w:tcPr>
            <w:tcW w:w="2520" w:type="dxa"/>
            <w:vAlign w:val="bottom"/>
            <w:tcBorders>
              <w:left w:val="single" w:sz="8" w:color="2C2C2C"/>
              <w:bottom w:val="single" w:sz="8" w:color="2C2C2C"/>
              <w:right w:val="single" w:sz="8" w:color="2C2C2C"/>
            </w:tcBorders>
          </w:tcPr>
          <w:p>
            <w:pPr>
              <w:spacing w:after="0"/>
              <w:rPr>
                <w:sz w:val="18"/>
                <w:szCs w:val="18"/>
                <w:color w:val="auto"/>
              </w:rPr>
            </w:pPr>
          </w:p>
        </w:tc>
        <w:tc>
          <w:tcPr>
            <w:tcW w:w="2060" w:type="dxa"/>
            <w:vAlign w:val="bottom"/>
            <w:tcBorders>
              <w:bottom w:val="single" w:sz="8" w:color="2C2C2C"/>
              <w:right w:val="single" w:sz="8" w:color="2C2C2C"/>
            </w:tcBorders>
          </w:tcPr>
          <w:p>
            <w:pPr>
              <w:jc w:val="center"/>
              <w:ind w:left="11"/>
              <w:spacing w:after="0" w:line="217" w:lineRule="exact"/>
              <w:rPr>
                <w:sz w:val="20"/>
                <w:szCs w:val="20"/>
                <w:color w:val="auto"/>
              </w:rPr>
            </w:pPr>
            <w:r>
              <w:rPr>
                <w:rFonts w:ascii="Arial" w:cs="Arial" w:eastAsia="Arial" w:hAnsi="Arial"/>
                <w:sz w:val="14"/>
                <w:szCs w:val="14"/>
                <w:b w:val="1"/>
                <w:bCs w:val="1"/>
                <w:color w:val="auto"/>
                <w:w w:val="82"/>
              </w:rPr>
              <w:t xml:space="preserve">registered </w:t>
            </w:r>
            <w:r>
              <w:rPr>
                <w:rFonts w:ascii="Arial" w:cs="Arial" w:eastAsia="Arial" w:hAnsi="Arial"/>
                <w:sz w:val="22"/>
                <w:szCs w:val="22"/>
                <w:b w:val="1"/>
                <w:bCs w:val="1"/>
                <w:color w:val="auto"/>
                <w:w w:val="82"/>
                <w:vertAlign w:val="superscript"/>
              </w:rPr>
              <w:t>(2)</w:t>
            </w:r>
          </w:p>
        </w:tc>
        <w:tc>
          <w:tcPr>
            <w:tcW w:w="2340" w:type="dxa"/>
            <w:vAlign w:val="bottom"/>
            <w:tcBorders>
              <w:bottom w:val="single" w:sz="8" w:color="2C2C2C"/>
              <w:right w:val="single" w:sz="8" w:color="2C2C2C"/>
            </w:tcBorders>
          </w:tcPr>
          <w:p>
            <w:pPr>
              <w:spacing w:after="0"/>
              <w:rPr>
                <w:sz w:val="18"/>
                <w:szCs w:val="18"/>
                <w:color w:val="auto"/>
              </w:rPr>
            </w:pPr>
          </w:p>
        </w:tc>
        <w:tc>
          <w:tcPr>
            <w:tcW w:w="2500" w:type="dxa"/>
            <w:vAlign w:val="bottom"/>
            <w:tcBorders>
              <w:bottom w:val="single" w:sz="8" w:color="2C2C2C"/>
              <w:right w:val="single" w:sz="8" w:color="2C2C2C"/>
            </w:tcBorders>
          </w:tcPr>
          <w:p>
            <w:pPr>
              <w:spacing w:after="0"/>
              <w:rPr>
                <w:sz w:val="18"/>
                <w:szCs w:val="18"/>
                <w:color w:val="auto"/>
              </w:rPr>
            </w:pPr>
          </w:p>
        </w:tc>
        <w:tc>
          <w:tcPr>
            <w:tcW w:w="2040" w:type="dxa"/>
            <w:vAlign w:val="bottom"/>
            <w:tcBorders>
              <w:bottom w:val="single" w:sz="8" w:color="2C2C2C"/>
            </w:tcBorders>
          </w:tcPr>
          <w:p>
            <w:pPr>
              <w:spacing w:after="0"/>
              <w:rPr>
                <w:sz w:val="18"/>
                <w:szCs w:val="18"/>
                <w:color w:val="auto"/>
              </w:rPr>
            </w:pPr>
          </w:p>
        </w:tc>
      </w:tr>
      <w:tr>
        <w:trPr>
          <w:trHeight w:val="165"/>
        </w:trPr>
        <w:tc>
          <w:tcPr>
            <w:tcW w:w="2520" w:type="dxa"/>
            <w:vAlign w:val="bottom"/>
            <w:tcBorders>
              <w:left w:val="single" w:sz="8" w:color="2C2C2C"/>
              <w:bottom w:val="single" w:sz="8" w:color="2C2C2C"/>
              <w:right w:val="single" w:sz="8" w:color="2C2C2C"/>
            </w:tcBorders>
          </w:tcPr>
          <w:p>
            <w:pPr>
              <w:ind w:left="140"/>
              <w:spacing w:after="0"/>
              <w:rPr>
                <w:sz w:val="20"/>
                <w:szCs w:val="20"/>
                <w:color w:val="auto"/>
              </w:rPr>
            </w:pPr>
            <w:r>
              <w:rPr>
                <w:rFonts w:ascii="Arial" w:cs="Arial" w:eastAsia="Arial" w:hAnsi="Arial"/>
                <w:sz w:val="14"/>
                <w:szCs w:val="14"/>
                <w:color w:val="auto"/>
                <w:w w:val="89"/>
              </w:rPr>
              <w:t>Common stock, par value $1.00 per share</w:t>
            </w:r>
          </w:p>
        </w:tc>
        <w:tc>
          <w:tcPr>
            <w:tcW w:w="2060" w:type="dxa"/>
            <w:vAlign w:val="bottom"/>
            <w:tcBorders>
              <w:bottom w:val="single" w:sz="8" w:color="2C2C2C"/>
              <w:right w:val="single" w:sz="8" w:color="2C2C2C"/>
            </w:tcBorders>
          </w:tcPr>
          <w:p>
            <w:pPr>
              <w:jc w:val="center"/>
              <w:ind w:left="11"/>
              <w:spacing w:after="0"/>
              <w:rPr>
                <w:sz w:val="20"/>
                <w:szCs w:val="20"/>
                <w:color w:val="auto"/>
              </w:rPr>
            </w:pPr>
            <w:r>
              <w:rPr>
                <w:rFonts w:ascii="Arial" w:cs="Arial" w:eastAsia="Arial" w:hAnsi="Arial"/>
                <w:sz w:val="14"/>
                <w:szCs w:val="14"/>
                <w:color w:val="auto"/>
                <w:w w:val="86"/>
              </w:rPr>
              <w:t>1,300,000 shares</w:t>
            </w:r>
          </w:p>
        </w:tc>
        <w:tc>
          <w:tcPr>
            <w:tcW w:w="2340" w:type="dxa"/>
            <w:vAlign w:val="bottom"/>
            <w:tcBorders>
              <w:bottom w:val="single" w:sz="8" w:color="2C2C2C"/>
              <w:right w:val="single" w:sz="8" w:color="2C2C2C"/>
            </w:tcBorders>
          </w:tcPr>
          <w:p>
            <w:pPr>
              <w:jc w:val="center"/>
              <w:ind w:left="11"/>
              <w:spacing w:after="0"/>
              <w:rPr>
                <w:sz w:val="20"/>
                <w:szCs w:val="20"/>
                <w:color w:val="auto"/>
              </w:rPr>
            </w:pPr>
            <w:r>
              <w:rPr>
                <w:rFonts w:ascii="Arial" w:cs="Arial" w:eastAsia="Arial" w:hAnsi="Arial"/>
                <w:sz w:val="14"/>
                <w:szCs w:val="14"/>
                <w:color w:val="auto"/>
                <w:w w:val="90"/>
              </w:rPr>
              <w:t>$10.265</w:t>
            </w:r>
          </w:p>
        </w:tc>
        <w:tc>
          <w:tcPr>
            <w:tcW w:w="2500" w:type="dxa"/>
            <w:vAlign w:val="bottom"/>
            <w:tcBorders>
              <w:bottom w:val="single" w:sz="8" w:color="2C2C2C"/>
              <w:right w:val="single" w:sz="8" w:color="2C2C2C"/>
            </w:tcBorders>
          </w:tcPr>
          <w:p>
            <w:pPr>
              <w:jc w:val="center"/>
              <w:ind w:left="11"/>
              <w:spacing w:after="0"/>
              <w:rPr>
                <w:sz w:val="20"/>
                <w:szCs w:val="20"/>
                <w:color w:val="auto"/>
              </w:rPr>
            </w:pPr>
            <w:r>
              <w:rPr>
                <w:rFonts w:ascii="Arial" w:cs="Arial" w:eastAsia="Arial" w:hAnsi="Arial"/>
                <w:sz w:val="14"/>
                <w:szCs w:val="14"/>
                <w:color w:val="auto"/>
                <w:w w:val="89"/>
              </w:rPr>
              <w:t>$13,344,500</w:t>
            </w:r>
          </w:p>
        </w:tc>
        <w:tc>
          <w:tcPr>
            <w:tcW w:w="2040" w:type="dxa"/>
            <w:vAlign w:val="bottom"/>
            <w:tcBorders>
              <w:bottom w:val="single" w:sz="8" w:color="2C2C2C"/>
            </w:tcBorders>
          </w:tcPr>
          <w:p>
            <w:pPr>
              <w:jc w:val="right"/>
              <w:ind w:right="651"/>
              <w:spacing w:after="0"/>
              <w:rPr>
                <w:sz w:val="20"/>
                <w:szCs w:val="20"/>
                <w:color w:val="auto"/>
              </w:rPr>
            </w:pPr>
            <w:r>
              <w:rPr>
                <w:rFonts w:ascii="Arial" w:cs="Arial" w:eastAsia="Arial" w:hAnsi="Arial"/>
                <w:sz w:val="14"/>
                <w:szCs w:val="14"/>
                <w:color w:val="auto"/>
              </w:rPr>
              <w:t>$1570.65</w:t>
            </w:r>
          </w:p>
        </w:tc>
      </w:tr>
    </w:tbl>
    <w:p>
      <w:pPr>
        <w:spacing w:after="0" w:line="195" w:lineRule="exact"/>
        <w:rPr>
          <w:sz w:val="24"/>
          <w:szCs w:val="24"/>
          <w:color w:val="auto"/>
        </w:rPr>
      </w:pPr>
    </w:p>
    <w:p>
      <w:pPr>
        <w:ind w:left="740" w:hanging="225"/>
        <w:spacing w:after="0" w:line="265" w:lineRule="auto"/>
        <w:tabs>
          <w:tab w:leader="none" w:pos="740" w:val="left"/>
        </w:tabs>
        <w:numPr>
          <w:ilvl w:val="0"/>
          <w:numId w:val="1"/>
        </w:numPr>
        <w:rPr>
          <w:rFonts w:ascii="Arial" w:cs="Arial" w:eastAsia="Arial" w:hAnsi="Arial"/>
          <w:sz w:val="14"/>
          <w:szCs w:val="14"/>
          <w:color w:val="auto"/>
        </w:rPr>
      </w:pPr>
      <w:r>
        <w:rPr>
          <w:rFonts w:ascii="Arial" w:cs="Arial" w:eastAsia="Arial" w:hAnsi="Arial"/>
          <w:sz w:val="14"/>
          <w:szCs w:val="14"/>
          <w:color w:val="auto"/>
        </w:rPr>
        <w:t>Estimated solely for the purpose of calculating the registration fee and, pursuant to paragraphs (c) and (h) of Rule 457, based upon the average of the high and low prices of such common stock as reported by the NASDAQ National Market as of December 9, 2005.</w:t>
      </w:r>
    </w:p>
    <w:p>
      <w:pPr>
        <w:spacing w:after="0" w:line="180" w:lineRule="exact"/>
        <w:rPr>
          <w:rFonts w:ascii="Arial" w:cs="Arial" w:eastAsia="Arial" w:hAnsi="Arial"/>
          <w:sz w:val="14"/>
          <w:szCs w:val="14"/>
          <w:color w:val="auto"/>
        </w:rPr>
      </w:pPr>
    </w:p>
    <w:p>
      <w:pPr>
        <w:ind w:left="740" w:hanging="225"/>
        <w:spacing w:after="0" w:line="265" w:lineRule="auto"/>
        <w:tabs>
          <w:tab w:leader="none" w:pos="740" w:val="left"/>
        </w:tabs>
        <w:numPr>
          <w:ilvl w:val="0"/>
          <w:numId w:val="1"/>
        </w:numPr>
        <w:rPr>
          <w:rFonts w:ascii="Arial" w:cs="Arial" w:eastAsia="Arial" w:hAnsi="Arial"/>
          <w:sz w:val="14"/>
          <w:szCs w:val="14"/>
          <w:color w:val="auto"/>
        </w:rPr>
      </w:pPr>
      <w:r>
        <w:rPr>
          <w:rFonts w:ascii="Arial" w:cs="Arial" w:eastAsia="Arial" w:hAnsi="Arial"/>
          <w:sz w:val="14"/>
          <w:szCs w:val="14"/>
          <w:color w:val="auto"/>
        </w:rPr>
        <w:t>The number of shares reserved for issuance to participants under the plan shall be 1,000,000 shares in the form of options or SARs and 300,000 shares in the form of restricted stock, restricted stock units, performance shares, or stock awards.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-635</wp:posOffset>
            </wp:positionH>
            <wp:positionV relativeFrom="paragraph">
              <wp:posOffset>300990</wp:posOffset>
            </wp:positionV>
            <wp:extent cx="7285355" cy="190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85355" cy="19050"/>
                    </a:xfrm>
                    <a:prstGeom prst="rect">
                      <a:avLst/>
                    </a:prstGeom>
                    <a:noFill/>
                  </pic:spPr>
                </pic:pic>
              </a:graphicData>
            </a:graphic>
          </wp:anchor>
        </w:drawing>
      </w:r>
    </w:p>
    <w:p>
      <w:pPr>
        <w:sectPr>
          <w:pgSz w:w="11900" w:h="16838" w:orient="portrait"/>
          <w:cols w:equalWidth="0" w:num="1">
            <w:col w:w="11460"/>
          </w:cols>
          <w:pgMar w:left="220" w:top="324" w:right="219" w:bottom="1440" w:gutter="0" w:footer="0" w:header="0"/>
          <w:type w:val="continuous"/>
        </w:sectPr>
      </w:pPr>
    </w:p>
    <w:bookmarkStart w:id="1" w:name="page2"/>
    <w:bookmarkEnd w:id="1"/>
    <w:p>
      <w:pPr>
        <w:jc w:val="center"/>
        <w:ind w:right="-19"/>
        <w:spacing w:after="0"/>
        <w:rPr>
          <w:sz w:val="20"/>
          <w:szCs w:val="20"/>
          <w:color w:val="auto"/>
        </w:rPr>
      </w:pPr>
      <w:r>
        <w:rPr>
          <w:rFonts w:ascii="Arial" w:cs="Arial" w:eastAsia="Arial" w:hAnsi="Arial"/>
          <w:sz w:val="14"/>
          <w:szCs w:val="14"/>
          <w:b w:val="1"/>
          <w:bCs w:val="1"/>
          <w:color w:val="auto"/>
        </w:rPr>
        <w:t>PART I</w:t>
      </w: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INFORMATION REQUIRED IN THE SECTION 10(a) PROSPECTUS</w:t>
      </w:r>
    </w:p>
    <w:p>
      <w:pPr>
        <w:spacing w:after="0" w:line="214" w:lineRule="exact"/>
        <w:rPr>
          <w:sz w:val="20"/>
          <w:szCs w:val="20"/>
          <w:color w:val="auto"/>
        </w:rPr>
      </w:pPr>
    </w:p>
    <w:p>
      <w:pPr>
        <w:ind w:right="40" w:firstLine="494"/>
        <w:spacing w:after="0" w:line="342" w:lineRule="auto"/>
        <w:rPr>
          <w:sz w:val="20"/>
          <w:szCs w:val="20"/>
          <w:color w:val="auto"/>
        </w:rPr>
      </w:pPr>
      <w:r>
        <w:rPr>
          <w:rFonts w:ascii="Arial" w:cs="Arial" w:eastAsia="Arial" w:hAnsi="Arial"/>
          <w:sz w:val="11"/>
          <w:szCs w:val="11"/>
          <w:color w:val="auto"/>
        </w:rPr>
        <w:t>The documents containing the information specified in Part I of this Registration Statement on Form S-8 will be sent or given to the participant in the plan as specified under Rule 428(b)(1) under the Securities Act of 1933, as amended (the "Securities Act"). Such documents are not required to be, and are not being, filed by NN, Inc. (the "Company") with the Securities and Exchange Commission (the "Commission"), either as part of this Registration Statement or as prospectuses or prospectus supplements pursuant to Rule 424 under the Securities Act. Such documents, together with the documents incorporated by reference herein pursuant to Item 3 of Part II of this Registration Statement on Form S-8, constitute a prospectus that meets the requirements of Section 10(a) of the Securities Act.</w:t>
      </w:r>
    </w:p>
    <w:p>
      <w:pPr>
        <w:spacing w:after="0" w:line="140"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PART II</w:t>
      </w: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INFORMATION REQUIRED IN THE REGISTRATION STATEMENT</w:t>
      </w:r>
    </w:p>
    <w:p>
      <w:pPr>
        <w:spacing w:after="0" w:line="21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3. Incorporation of Documents By Reference.</w:t>
      </w:r>
    </w:p>
    <w:p>
      <w:pPr>
        <w:spacing w:after="0" w:line="214" w:lineRule="exact"/>
        <w:rPr>
          <w:sz w:val="20"/>
          <w:szCs w:val="20"/>
          <w:color w:val="auto"/>
        </w:rPr>
      </w:pPr>
    </w:p>
    <w:p>
      <w:pPr>
        <w:ind w:left="240"/>
        <w:spacing w:after="0"/>
        <w:rPr>
          <w:sz w:val="20"/>
          <w:szCs w:val="20"/>
          <w:color w:val="auto"/>
        </w:rPr>
      </w:pPr>
      <w:r>
        <w:rPr>
          <w:rFonts w:ascii="Arial" w:cs="Arial" w:eastAsia="Arial" w:hAnsi="Arial"/>
          <w:sz w:val="14"/>
          <w:szCs w:val="14"/>
          <w:color w:val="auto"/>
        </w:rPr>
        <w:t>The Company has filed the following document(s) with the Commission and incorporates them herein by reference:</w:t>
      </w:r>
    </w:p>
    <w:p>
      <w:pPr>
        <w:spacing w:after="0" w:line="210" w:lineRule="exact"/>
        <w:rPr>
          <w:sz w:val="20"/>
          <w:szCs w:val="20"/>
          <w:color w:val="auto"/>
        </w:rPr>
      </w:pPr>
    </w:p>
    <w:p>
      <w:pPr>
        <w:ind w:left="1760" w:hanging="178"/>
        <w:spacing w:after="0"/>
        <w:tabs>
          <w:tab w:leader="none" w:pos="1760" w:val="left"/>
        </w:tabs>
        <w:numPr>
          <w:ilvl w:val="0"/>
          <w:numId w:val="2"/>
        </w:numPr>
        <w:rPr>
          <w:rFonts w:ascii="Arial" w:cs="Arial" w:eastAsia="Arial" w:hAnsi="Arial"/>
          <w:sz w:val="14"/>
          <w:szCs w:val="14"/>
          <w:color w:val="auto"/>
        </w:rPr>
      </w:pPr>
      <w:r>
        <w:rPr>
          <w:rFonts w:ascii="Arial" w:cs="Arial" w:eastAsia="Arial" w:hAnsi="Arial"/>
          <w:sz w:val="14"/>
          <w:szCs w:val="14"/>
          <w:color w:val="auto"/>
        </w:rPr>
        <w:t>The Company's Annual Report on Form 10-K for the year ended December 31, 2004, filed with the Commission on March 16, 2005.</w:t>
      </w:r>
    </w:p>
    <w:p>
      <w:pPr>
        <w:spacing w:after="0" w:line="209" w:lineRule="exact"/>
        <w:rPr>
          <w:rFonts w:ascii="Arial" w:cs="Arial" w:eastAsia="Arial" w:hAnsi="Arial"/>
          <w:sz w:val="14"/>
          <w:szCs w:val="14"/>
          <w:color w:val="auto"/>
        </w:rPr>
      </w:pPr>
    </w:p>
    <w:p>
      <w:pPr>
        <w:jc w:val="both"/>
        <w:ind w:left="1760" w:right="120" w:hanging="178"/>
        <w:spacing w:after="0" w:line="255" w:lineRule="auto"/>
        <w:tabs>
          <w:tab w:leader="none" w:pos="1760" w:val="left"/>
        </w:tabs>
        <w:numPr>
          <w:ilvl w:val="0"/>
          <w:numId w:val="2"/>
        </w:numPr>
        <w:rPr>
          <w:rFonts w:ascii="Arial" w:cs="Arial" w:eastAsia="Arial" w:hAnsi="Arial"/>
          <w:sz w:val="14"/>
          <w:szCs w:val="14"/>
          <w:color w:val="auto"/>
        </w:rPr>
      </w:pPr>
      <w:r>
        <w:rPr>
          <w:rFonts w:ascii="Arial" w:cs="Arial" w:eastAsia="Arial" w:hAnsi="Arial"/>
          <w:sz w:val="14"/>
          <w:szCs w:val="14"/>
          <w:color w:val="auto"/>
        </w:rPr>
        <w:t>The Company's Quarterly Report on Form 10-Q for the quarter ended March 31, 2005, filed with the Commission on May 10 2005; the Company's Quarterly Report on Form 10-Q for the quarter ended June 30, 2005, filed with the Commission on August 9 2005; and the Company's Quarterly Report on Form 10-Q for the quarter ended September 30, 2005, filed with the Commission on November 9, 2005.</w:t>
      </w:r>
    </w:p>
    <w:p>
      <w:pPr>
        <w:spacing w:after="0" w:line="187" w:lineRule="exact"/>
        <w:rPr>
          <w:rFonts w:ascii="Arial" w:cs="Arial" w:eastAsia="Arial" w:hAnsi="Arial"/>
          <w:sz w:val="14"/>
          <w:szCs w:val="14"/>
          <w:color w:val="auto"/>
        </w:rPr>
      </w:pPr>
    </w:p>
    <w:p>
      <w:pPr>
        <w:ind w:left="1760" w:hanging="178"/>
        <w:spacing w:after="0"/>
        <w:tabs>
          <w:tab w:leader="none" w:pos="1760" w:val="left"/>
        </w:tabs>
        <w:numPr>
          <w:ilvl w:val="0"/>
          <w:numId w:val="2"/>
        </w:numPr>
        <w:rPr>
          <w:rFonts w:ascii="Arial" w:cs="Arial" w:eastAsia="Arial" w:hAnsi="Arial"/>
          <w:sz w:val="13"/>
          <w:szCs w:val="13"/>
          <w:color w:val="auto"/>
        </w:rPr>
      </w:pPr>
      <w:r>
        <w:rPr>
          <w:rFonts w:ascii="Arial" w:cs="Arial" w:eastAsia="Arial" w:hAnsi="Arial"/>
          <w:sz w:val="13"/>
          <w:szCs w:val="13"/>
          <w:color w:val="auto"/>
        </w:rPr>
        <w:t>The Company’s Current Reports on Form 8-K filed January 3, March 1, May 2, June 10, July 28, August 10, October 19, November 2 and November 10, 2005.</w:t>
      </w:r>
    </w:p>
    <w:p>
      <w:pPr>
        <w:spacing w:after="0" w:line="221" w:lineRule="exact"/>
        <w:rPr>
          <w:rFonts w:ascii="Arial" w:cs="Arial" w:eastAsia="Arial" w:hAnsi="Arial"/>
          <w:sz w:val="13"/>
          <w:szCs w:val="13"/>
          <w:color w:val="auto"/>
        </w:rPr>
      </w:pPr>
    </w:p>
    <w:p>
      <w:pPr>
        <w:ind w:left="1760" w:hanging="178"/>
        <w:spacing w:after="0"/>
        <w:tabs>
          <w:tab w:leader="none" w:pos="1760" w:val="left"/>
        </w:tabs>
        <w:numPr>
          <w:ilvl w:val="0"/>
          <w:numId w:val="2"/>
        </w:numPr>
        <w:rPr>
          <w:rFonts w:ascii="Arial" w:cs="Arial" w:eastAsia="Arial" w:hAnsi="Arial"/>
          <w:sz w:val="13"/>
          <w:szCs w:val="13"/>
          <w:color w:val="auto"/>
        </w:rPr>
      </w:pPr>
      <w:r>
        <w:rPr>
          <w:rFonts w:ascii="Arial" w:cs="Arial" w:eastAsia="Arial" w:hAnsi="Arial"/>
          <w:sz w:val="13"/>
          <w:szCs w:val="13"/>
          <w:color w:val="auto"/>
        </w:rPr>
        <w:t>The description of the Company’s Common Stock contained in the amended registration statement on Form 8-A/A filed with the Commission on November 22, 2002.</w:t>
      </w:r>
    </w:p>
    <w:p>
      <w:pPr>
        <w:spacing w:after="0" w:line="221" w:lineRule="exact"/>
        <w:rPr>
          <w:sz w:val="20"/>
          <w:szCs w:val="20"/>
          <w:color w:val="auto"/>
        </w:rPr>
      </w:pPr>
    </w:p>
    <w:p>
      <w:pPr>
        <w:ind w:firstLine="247"/>
        <w:spacing w:after="0" w:line="255" w:lineRule="auto"/>
        <w:rPr>
          <w:sz w:val="20"/>
          <w:szCs w:val="20"/>
          <w:color w:val="auto"/>
        </w:rPr>
      </w:pPr>
      <w:r>
        <w:rPr>
          <w:rFonts w:ascii="Arial" w:cs="Arial" w:eastAsia="Arial" w:hAnsi="Arial"/>
          <w:sz w:val="14"/>
          <w:szCs w:val="14"/>
          <w:color w:val="auto"/>
        </w:rPr>
        <w:t>All reports and other documents subsequently filed by the Company pursuant to Sections 13(a), 13(c), 14 and 15(d) of the Exchange Act prior to the filing of a post-effective amendment indicating that all securities offered hereby have been sold or deregistering all securities then remaining unsold shall be deemed to be incorporated herein by reference and to be a part hereof from the date of the filing of such reports and documents.</w:t>
      </w:r>
    </w:p>
    <w:p>
      <w:pPr>
        <w:spacing w:after="0" w:line="187" w:lineRule="exact"/>
        <w:rPr>
          <w:sz w:val="20"/>
          <w:szCs w:val="20"/>
          <w:color w:val="auto"/>
        </w:rPr>
      </w:pPr>
    </w:p>
    <w:p>
      <w:pPr>
        <w:ind w:right="40" w:firstLine="247"/>
        <w:spacing w:after="0" w:line="284" w:lineRule="auto"/>
        <w:rPr>
          <w:sz w:val="20"/>
          <w:szCs w:val="20"/>
          <w:color w:val="auto"/>
        </w:rPr>
      </w:pPr>
      <w:r>
        <w:rPr>
          <w:rFonts w:ascii="Arial" w:cs="Arial" w:eastAsia="Arial" w:hAnsi="Arial"/>
          <w:sz w:val="13"/>
          <w:szCs w:val="13"/>
          <w:color w:val="auto"/>
        </w:rPr>
        <w:t>Any statement contained in a document incorporated or deemed to be incorporated by reference herein shall be deemed to be modified or superseded for purposes of this Registration Statement to the extent that a statement contained herein or in any other subsequently filed document which also is or is deemed to be incorporated by reference herein modifies or supersedes such statement. Any statement so modified or superseded shall not be deemed, except as so modified or superseded, to constitute a part of this Registration Statement.</w:t>
      </w:r>
    </w:p>
    <w:p>
      <w:pPr>
        <w:spacing w:after="0" w:line="170" w:lineRule="exact"/>
        <w:rPr>
          <w:sz w:val="20"/>
          <w:szCs w:val="20"/>
          <w:color w:val="auto"/>
        </w:rPr>
      </w:pPr>
    </w:p>
    <w:p>
      <w:pPr>
        <w:ind w:firstLine="247"/>
        <w:spacing w:after="0" w:line="252" w:lineRule="auto"/>
        <w:rPr>
          <w:sz w:val="20"/>
          <w:szCs w:val="20"/>
          <w:color w:val="auto"/>
        </w:rPr>
      </w:pPr>
      <w:r>
        <w:rPr>
          <w:rFonts w:ascii="Arial" w:cs="Arial" w:eastAsia="Arial" w:hAnsi="Arial"/>
          <w:sz w:val="14"/>
          <w:szCs w:val="14"/>
          <w:color w:val="auto"/>
        </w:rPr>
        <w:t>The Company will provide, without charge, to each plan participant a copy of the documents incorporated by reference in Item 3 of Part II of this registration statement, upon written or oral request. Further, we will provide plan participants, without charge, upon written or oral request, other documents required to be delivered pursuant to Commission Rule 428(b). Written requests should be directed to NN, Inc., Attn: Corporate Secretary, 2000 Waters Edge Drive, Johnson City, Tennessee 37604. Telephone requests may be directed to William C. Kelly, Jr., Secretary and Chief Administrative Officer, at (423) 743-9151.</w:t>
      </w:r>
    </w:p>
    <w:p>
      <w:pPr>
        <w:spacing w:after="0" w:line="18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4. Description of Securities.</w:t>
      </w:r>
    </w:p>
    <w:p>
      <w:pPr>
        <w:spacing w:after="0" w:line="214" w:lineRule="exact"/>
        <w:rPr>
          <w:sz w:val="20"/>
          <w:szCs w:val="20"/>
          <w:color w:val="auto"/>
        </w:rPr>
      </w:pPr>
    </w:p>
    <w:p>
      <w:pPr>
        <w:ind w:left="240"/>
        <w:spacing w:after="0"/>
        <w:rPr>
          <w:sz w:val="20"/>
          <w:szCs w:val="20"/>
          <w:color w:val="auto"/>
        </w:rPr>
      </w:pPr>
      <w:r>
        <w:rPr>
          <w:rFonts w:ascii="Arial" w:cs="Arial" w:eastAsia="Arial" w:hAnsi="Arial"/>
          <w:sz w:val="14"/>
          <w:szCs w:val="14"/>
          <w:color w:val="auto"/>
        </w:rPr>
        <w:t>Not applicable.</w:t>
      </w:r>
    </w:p>
    <w:p>
      <w:pPr>
        <w:spacing w:after="0" w:line="20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5. Interests of Named Experts and Counsel.</w:t>
      </w:r>
    </w:p>
    <w:p>
      <w:pPr>
        <w:spacing w:after="0" w:line="214" w:lineRule="exact"/>
        <w:rPr>
          <w:sz w:val="20"/>
          <w:szCs w:val="20"/>
          <w:color w:val="auto"/>
        </w:rPr>
      </w:pPr>
    </w:p>
    <w:p>
      <w:pPr>
        <w:ind w:left="240"/>
        <w:spacing w:after="0"/>
        <w:rPr>
          <w:sz w:val="20"/>
          <w:szCs w:val="20"/>
          <w:color w:val="auto"/>
        </w:rPr>
      </w:pPr>
      <w:r>
        <w:rPr>
          <w:rFonts w:ascii="Arial" w:cs="Arial" w:eastAsia="Arial" w:hAnsi="Arial"/>
          <w:sz w:val="14"/>
          <w:szCs w:val="14"/>
          <w:color w:val="auto"/>
        </w:rPr>
        <w:t>Not applicable.</w:t>
      </w:r>
    </w:p>
    <w:p>
      <w:pPr>
        <w:spacing w:after="0" w:line="20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6. Indemnification of Directors and Officers.</w:t>
      </w:r>
    </w:p>
    <w:p>
      <w:pPr>
        <w:spacing w:after="0" w:line="214" w:lineRule="exact"/>
        <w:rPr>
          <w:sz w:val="20"/>
          <w:szCs w:val="20"/>
          <w:color w:val="auto"/>
        </w:rPr>
      </w:pPr>
    </w:p>
    <w:p>
      <w:pPr>
        <w:ind w:right="60" w:firstLine="247"/>
        <w:spacing w:after="0" w:line="271" w:lineRule="auto"/>
        <w:rPr>
          <w:sz w:val="20"/>
          <w:szCs w:val="20"/>
          <w:color w:val="auto"/>
        </w:rPr>
      </w:pPr>
      <w:r>
        <w:rPr>
          <w:rFonts w:ascii="Arial" w:cs="Arial" w:eastAsia="Arial" w:hAnsi="Arial"/>
          <w:sz w:val="13"/>
          <w:szCs w:val="13"/>
          <w:color w:val="auto"/>
        </w:rPr>
        <w:t>Section 145 of the Delaware General Corporation Law provides that, among other things, a corporation may indemnify directors and officers as well as other employees and agents of the corporation against expenses (including attorneys' fees), judgments, fines and amounts paid in settlement in connection with specified actions, suits or proceedings, whether civil, criminal, administrative or investigative (other than action by or in the right of the corporation, a "derivative action"), if they acted in good faith and in a manner they reasonably believed to be in or not opposed to the best interests of the corporation and, with respect to any criminal action or proceeding, had no reasonable cause to believe their conduct was unlawful. A similar standard is applicable in the case of derivative actions, except that indemnification only extends to expenses (including attorneys' fees) incurred in connection with the defense or settlement of such actions, and the statute requires court approval before there can be any indemnification where the person seeking indemnification has been found liable to the corporation. The statute provides that it is not exclusive of other indemnification that may be granted by a corporation's bylaws, disinterested director vote, stockholder vote, agreement or otherwise.</w:t>
      </w:r>
    </w:p>
    <w:p>
      <w:pPr>
        <w:spacing w:after="0" w:line="178" w:lineRule="exact"/>
        <w:rPr>
          <w:sz w:val="20"/>
          <w:szCs w:val="20"/>
          <w:color w:val="auto"/>
        </w:rPr>
      </w:pPr>
    </w:p>
    <w:p>
      <w:pPr>
        <w:ind w:right="40" w:firstLine="247"/>
        <w:spacing w:after="0" w:line="277" w:lineRule="auto"/>
        <w:rPr>
          <w:sz w:val="20"/>
          <w:szCs w:val="20"/>
          <w:color w:val="auto"/>
        </w:rPr>
      </w:pPr>
      <w:r>
        <w:rPr>
          <w:rFonts w:ascii="Arial" w:cs="Arial" w:eastAsia="Arial" w:hAnsi="Arial"/>
          <w:sz w:val="13"/>
          <w:szCs w:val="13"/>
          <w:color w:val="auto"/>
        </w:rPr>
        <w:t>Section 102(b)(7) of the Delaware General Corporation Law permits a corporation to provide in its certificate of incorporation that a director of the corporation shall not be personally liable to the corporation or its stockholders for monetary damages for breach of fiduciary duties as a director, except for liability (i) for any transaction from which the director derives an improper personal benefit, (ii) for acts or omissions not in good faith or that involve intentional misconduct or a knowing violation of law, (iii) under Section 174 of the Delaware General Corporation Law (certain illegal distributions) or (iv) for any breach of a director's duty of loyalty to the company or its stockholders. Article Eleven of the Company's certificate of incorporation includes such a provision.</w:t>
      </w:r>
    </w:p>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58420</wp:posOffset>
            </wp:positionV>
            <wp:extent cx="7285355" cy="190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85355" cy="19050"/>
                    </a:xfrm>
                    <a:prstGeom prst="rect">
                      <a:avLst/>
                    </a:prstGeom>
                    <a:noFill/>
                  </pic:spPr>
                </pic:pic>
              </a:graphicData>
            </a:graphic>
          </wp:anchor>
        </w:drawing>
      </w:r>
    </w:p>
    <w:p>
      <w:pPr>
        <w:sectPr>
          <w:pgSz w:w="11900" w:h="16838" w:orient="portrait"/>
          <w:cols w:equalWidth="0" w:num="1">
            <w:col w:w="11440"/>
          </w:cols>
          <w:pgMar w:left="220" w:top="125" w:right="239" w:bottom="1440" w:gutter="0" w:footer="0" w:header="0"/>
        </w:sectPr>
      </w:pPr>
    </w:p>
    <w:bookmarkStart w:id="2" w:name="page3"/>
    <w:bookmarkEnd w:id="2"/>
    <w:p>
      <w:pPr>
        <w:ind w:right="40" w:firstLine="247"/>
        <w:spacing w:after="0" w:line="271" w:lineRule="auto"/>
        <w:rPr>
          <w:sz w:val="20"/>
          <w:szCs w:val="20"/>
          <w:color w:val="auto"/>
        </w:rPr>
      </w:pPr>
      <w:r>
        <w:rPr>
          <w:rFonts w:ascii="Arial" w:cs="Arial" w:eastAsia="Arial" w:hAnsi="Arial"/>
          <w:sz w:val="13"/>
          <w:szCs w:val="13"/>
          <w:color w:val="auto"/>
        </w:rPr>
        <w:t>Article Nine of the Company's Certificate of Incorporation (the "Certificate") provides for indemnification, to the fullest extent authorized by Delaware law (as in effect from time to time), for any person who was or is made a party to, or is threatened to be made a party to, any threatened, pending or completed action, suit or proceeding, whether civil, criminal, administrative or investigative (whether or not by or in the right of the Company) by reason of the fact that such person is or was a director, officer, employee or agent of the Company, or is or was serving at the request of the Company as a director, officer, employee or agent of another entity, against expenses (including attorneys' fees), judgments, fines and amounts to be paid in settlement and reasonably incurred by such person in connection therewith if such person acted in good faith and in a manner they reasonably believed to be in or not opposed to the best interests of the Company, and, with respect to any criminal action or proceeding, had no reasonable cause to believe their conduct was unlawful. Article Nine provides that rights conferred thereby are not exclusive of any other rights that the indemnitee may acquire under any agreement, vote of stockholders or disinterested directors, or otherwise.</w:t>
      </w:r>
    </w:p>
    <w:p>
      <w:pPr>
        <w:spacing w:after="0" w:line="178" w:lineRule="exact"/>
        <w:rPr>
          <w:sz w:val="20"/>
          <w:szCs w:val="20"/>
          <w:color w:val="auto"/>
        </w:rPr>
      </w:pPr>
    </w:p>
    <w:p>
      <w:pPr>
        <w:ind w:left="240"/>
        <w:spacing w:after="0"/>
        <w:rPr>
          <w:sz w:val="20"/>
          <w:szCs w:val="20"/>
          <w:color w:val="auto"/>
        </w:rPr>
      </w:pPr>
      <w:r>
        <w:rPr>
          <w:rFonts w:ascii="Arial" w:cs="Arial" w:eastAsia="Arial" w:hAnsi="Arial"/>
          <w:sz w:val="14"/>
          <w:szCs w:val="14"/>
          <w:color w:val="auto"/>
        </w:rPr>
        <w:t>The Company also maintains liability insurance for directors and officers, as authorized by Section 145 of the Delaware General Corporation Law.</w:t>
      </w:r>
    </w:p>
    <w:p>
      <w:pPr>
        <w:spacing w:after="0" w:line="211" w:lineRule="exact"/>
        <w:rPr>
          <w:sz w:val="20"/>
          <w:szCs w:val="20"/>
          <w:color w:val="auto"/>
        </w:rPr>
      </w:pPr>
    </w:p>
    <w:p>
      <w:pPr>
        <w:ind w:left="240"/>
        <w:spacing w:after="0"/>
        <w:rPr>
          <w:sz w:val="20"/>
          <w:szCs w:val="20"/>
          <w:color w:val="auto"/>
        </w:rPr>
      </w:pPr>
      <w:r>
        <w:rPr>
          <w:rFonts w:ascii="Arial" w:cs="Arial" w:eastAsia="Arial" w:hAnsi="Arial"/>
          <w:sz w:val="13"/>
          <w:szCs w:val="13"/>
          <w:b w:val="1"/>
          <w:bCs w:val="1"/>
          <w:color w:val="auto"/>
        </w:rPr>
        <w:t>Item 7.  Exemption from Registration Claimed.</w:t>
      </w:r>
    </w:p>
    <w:p>
      <w:pPr>
        <w:sectPr>
          <w:pgSz w:w="11900" w:h="16838" w:orient="portrait"/>
          <w:cols w:equalWidth="0" w:num="1">
            <w:col w:w="11460"/>
          </w:cols>
          <w:pgMar w:left="220" w:top="129" w:right="219" w:bottom="1440" w:gutter="0" w:footer="0" w:header="0"/>
        </w:sectPr>
      </w:pPr>
    </w:p>
    <w:p>
      <w:pPr>
        <w:spacing w:after="0" w:line="220" w:lineRule="exact"/>
        <w:rPr>
          <w:sz w:val="20"/>
          <w:szCs w:val="20"/>
          <w:color w:val="auto"/>
        </w:rPr>
      </w:pPr>
    </w:p>
    <w:p>
      <w:pPr>
        <w:jc w:val="right"/>
        <w:spacing w:after="0"/>
        <w:rPr>
          <w:sz w:val="20"/>
          <w:szCs w:val="20"/>
          <w:color w:val="auto"/>
        </w:rPr>
      </w:pPr>
      <w:r>
        <w:rPr>
          <w:rFonts w:ascii="Arial" w:cs="Arial" w:eastAsia="Arial" w:hAnsi="Arial"/>
          <w:sz w:val="14"/>
          <w:szCs w:val="14"/>
          <w:color w:val="auto"/>
        </w:rPr>
        <w:t>Not applicable.</w:t>
      </w:r>
    </w:p>
    <w:p>
      <w:pPr>
        <w:spacing w:after="0" w:line="20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8. Exhibits.</w:t>
      </w:r>
    </w:p>
    <w:p>
      <w:pPr>
        <w:spacing w:after="0" w:line="39"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Exhibit No.</w:t>
      </w:r>
    </w:p>
    <w:p>
      <w:pPr>
        <w:spacing w:after="0" w:line="96" w:lineRule="exact"/>
        <w:rPr>
          <w:sz w:val="20"/>
          <w:szCs w:val="20"/>
          <w:color w:val="auto"/>
        </w:rPr>
      </w:pPr>
    </w:p>
    <w:p>
      <w:pPr>
        <w:ind w:left="80"/>
        <w:spacing w:after="0"/>
        <w:rPr>
          <w:sz w:val="20"/>
          <w:szCs w:val="20"/>
          <w:color w:val="auto"/>
        </w:rPr>
      </w:pPr>
      <w:r>
        <w:rPr>
          <w:rFonts w:ascii="Arial" w:cs="Arial" w:eastAsia="Arial" w:hAnsi="Arial"/>
          <w:sz w:val="14"/>
          <w:szCs w:val="14"/>
          <w:color w:val="auto"/>
        </w:rPr>
        <w:t>4.1</w:t>
      </w:r>
    </w:p>
    <w:p>
      <w:pPr>
        <w:spacing w:after="0" w:line="169" w:lineRule="exact"/>
        <w:rPr>
          <w:sz w:val="20"/>
          <w:szCs w:val="20"/>
          <w:color w:val="auto"/>
        </w:rPr>
      </w:pPr>
    </w:p>
    <w:p>
      <w:pPr>
        <w:ind w:left="40"/>
        <w:spacing w:after="0"/>
        <w:rPr>
          <w:sz w:val="20"/>
          <w:szCs w:val="20"/>
          <w:color w:val="auto"/>
        </w:rPr>
      </w:pPr>
      <w:r>
        <w:rPr>
          <w:rFonts w:ascii="Arial" w:cs="Arial" w:eastAsia="Arial" w:hAnsi="Arial"/>
          <w:sz w:val="14"/>
          <w:szCs w:val="14"/>
          <w:color w:val="auto"/>
        </w:rPr>
        <w:t>4.2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Arial" w:cs="Arial" w:eastAsia="Arial" w:hAnsi="Arial"/>
          <w:sz w:val="13"/>
          <w:szCs w:val="13"/>
          <w:u w:val="single" w:color="auto"/>
          <w:color w:val="auto"/>
        </w:rPr>
        <w:t>Description</w:t>
      </w:r>
    </w:p>
    <w:p>
      <w:pPr>
        <w:spacing w:after="0" w:line="26" w:lineRule="exact"/>
        <w:rPr>
          <w:sz w:val="20"/>
          <w:szCs w:val="20"/>
          <w:color w:val="auto"/>
        </w:rPr>
      </w:pPr>
    </w:p>
    <w:p>
      <w:pPr>
        <w:ind w:left="100" w:right="220"/>
        <w:spacing w:after="0" w:line="269" w:lineRule="auto"/>
        <w:rPr>
          <w:sz w:val="20"/>
          <w:szCs w:val="20"/>
          <w:color w:val="auto"/>
        </w:rPr>
      </w:pPr>
      <w:r>
        <w:rPr>
          <w:rFonts w:ascii="Arial" w:cs="Arial" w:eastAsia="Arial" w:hAnsi="Arial"/>
          <w:sz w:val="13"/>
          <w:szCs w:val="13"/>
          <w:color w:val="auto"/>
        </w:rPr>
        <w:t>Restated Certificate of Incorporation of Registrant (previously filed as Exhibit 3.1 to the Company's Registration Statement No. 333-89950 on Form S-3 filed the Commission on June 6, 2002, and incorporated by reference).</w:t>
      </w:r>
    </w:p>
    <w:p>
      <w:pPr>
        <w:spacing w:after="0" w:line="1" w:lineRule="exact"/>
        <w:rPr>
          <w:sz w:val="20"/>
          <w:szCs w:val="20"/>
          <w:color w:val="auto"/>
        </w:rPr>
      </w:pPr>
    </w:p>
    <w:p>
      <w:pPr>
        <w:ind w:left="100" w:right="180"/>
        <w:spacing w:after="0" w:line="264" w:lineRule="auto"/>
        <w:rPr>
          <w:sz w:val="20"/>
          <w:szCs w:val="20"/>
          <w:color w:val="auto"/>
        </w:rPr>
      </w:pPr>
      <w:r>
        <w:rPr>
          <w:rFonts w:ascii="Arial" w:cs="Arial" w:eastAsia="Arial" w:hAnsi="Arial"/>
          <w:sz w:val="13"/>
          <w:szCs w:val="13"/>
          <w:color w:val="auto"/>
        </w:rPr>
        <w:t>Restated Bylaws of Registrant (previously filed as Exhibit 3.2 to the Company’s Registration Statement No. 333-89950 on Form S-3 filed with the Commission on June 6, 2002, and incorporated by reference).</w:t>
      </w:r>
    </w:p>
    <w:p>
      <w:pPr>
        <w:spacing w:after="0" w:line="1" w:lineRule="exact"/>
        <w:rPr>
          <w:sz w:val="20"/>
          <w:szCs w:val="20"/>
          <w:color w:val="auto"/>
        </w:rPr>
      </w:pPr>
    </w:p>
    <w:p>
      <w:pPr>
        <w:sectPr>
          <w:pgSz w:w="11900" w:h="16838" w:orient="portrait"/>
          <w:cols w:equalWidth="0" w:num="2">
            <w:col w:w="1080" w:space="540"/>
            <w:col w:w="9840"/>
          </w:cols>
          <w:pgMar w:left="220" w:top="129" w:right="219" w:bottom="1440" w:gutter="0" w:footer="0" w:header="0"/>
          <w:type w:val="continuous"/>
        </w:sectPr>
      </w:pPr>
    </w:p>
    <w:tbl>
      <w:tblPr>
        <w:tblLayout w:type="fixed"/>
        <w:tblInd w:w="0" w:type="dxa"/>
        <w:tblCellMar>
          <w:top w:w="0" w:type="dxa"/>
          <w:left w:w="0" w:type="dxa"/>
          <w:bottom w:w="0" w:type="dxa"/>
          <w:right w:w="0" w:type="dxa"/>
        </w:tblCellMar>
      </w:tblPr>
      <w:tr>
        <w:trPr>
          <w:trHeight w:val="156"/>
        </w:trPr>
        <w:tc>
          <w:tcPr>
            <w:tcW w:w="460" w:type="dxa"/>
            <w:vAlign w:val="bottom"/>
          </w:tcPr>
          <w:p>
            <w:pPr>
              <w:ind w:left="40"/>
              <w:spacing w:after="0" w:line="156" w:lineRule="exact"/>
              <w:rPr>
                <w:sz w:val="20"/>
                <w:szCs w:val="20"/>
                <w:color w:val="auto"/>
              </w:rPr>
            </w:pPr>
            <w:r>
              <w:rPr>
                <w:rFonts w:ascii="Arial" w:cs="Arial" w:eastAsia="Arial" w:hAnsi="Arial"/>
                <w:sz w:val="14"/>
                <w:szCs w:val="14"/>
                <w:color w:val="auto"/>
              </w:rPr>
              <w:t>4.3</w:t>
            </w:r>
          </w:p>
        </w:tc>
        <w:tc>
          <w:tcPr>
            <w:tcW w:w="7980" w:type="dxa"/>
            <w:vAlign w:val="bottom"/>
          </w:tcPr>
          <w:p>
            <w:pPr>
              <w:ind w:left="1260"/>
              <w:spacing w:after="0" w:line="156" w:lineRule="exact"/>
              <w:rPr>
                <w:sz w:val="20"/>
                <w:szCs w:val="20"/>
                <w:color w:val="auto"/>
              </w:rPr>
            </w:pPr>
            <w:r>
              <w:rPr>
                <w:rFonts w:ascii="Arial" w:cs="Arial" w:eastAsia="Arial" w:hAnsi="Arial"/>
                <w:sz w:val="14"/>
                <w:szCs w:val="14"/>
                <w:color w:val="auto"/>
              </w:rPr>
              <w:t>NN, Inc.'s 2005 Stock Incentive Plan.</w:t>
            </w:r>
          </w:p>
        </w:tc>
      </w:tr>
      <w:tr>
        <w:trPr>
          <w:trHeight w:val="165"/>
        </w:trPr>
        <w:tc>
          <w:tcPr>
            <w:tcW w:w="460" w:type="dxa"/>
            <w:vAlign w:val="bottom"/>
          </w:tcPr>
          <w:p>
            <w:pPr>
              <w:ind w:left="80"/>
              <w:spacing w:after="0"/>
              <w:rPr>
                <w:sz w:val="20"/>
                <w:szCs w:val="20"/>
                <w:color w:val="auto"/>
              </w:rPr>
            </w:pPr>
            <w:r>
              <w:rPr>
                <w:rFonts w:ascii="Arial" w:cs="Arial" w:eastAsia="Arial" w:hAnsi="Arial"/>
                <w:sz w:val="14"/>
                <w:szCs w:val="14"/>
                <w:color w:val="auto"/>
              </w:rPr>
              <w:t>5.1</w:t>
            </w:r>
          </w:p>
        </w:tc>
        <w:tc>
          <w:tcPr>
            <w:tcW w:w="7980" w:type="dxa"/>
            <w:vAlign w:val="bottom"/>
          </w:tcPr>
          <w:p>
            <w:pPr>
              <w:ind w:left="1260"/>
              <w:spacing w:after="0"/>
              <w:rPr>
                <w:sz w:val="20"/>
                <w:szCs w:val="20"/>
                <w:color w:val="auto"/>
              </w:rPr>
            </w:pPr>
            <w:r>
              <w:rPr>
                <w:rFonts w:ascii="Arial" w:cs="Arial" w:eastAsia="Arial" w:hAnsi="Arial"/>
                <w:sz w:val="14"/>
                <w:szCs w:val="14"/>
                <w:color w:val="auto"/>
                <w:w w:val="95"/>
              </w:rPr>
              <w:t>Opinion of Baker, Donelson, Bearman. Caldwell &amp; Berkowitz, PC as to the legality of the shares being registered.</w:t>
            </w:r>
          </w:p>
        </w:tc>
      </w:tr>
      <w:tr>
        <w:trPr>
          <w:trHeight w:val="165"/>
        </w:trPr>
        <w:tc>
          <w:tcPr>
            <w:tcW w:w="460" w:type="dxa"/>
            <w:vAlign w:val="bottom"/>
          </w:tcPr>
          <w:p>
            <w:pPr>
              <w:ind w:left="40"/>
              <w:spacing w:after="0"/>
              <w:rPr>
                <w:sz w:val="20"/>
                <w:szCs w:val="20"/>
                <w:color w:val="auto"/>
              </w:rPr>
            </w:pPr>
            <w:r>
              <w:rPr>
                <w:rFonts w:ascii="Arial" w:cs="Arial" w:eastAsia="Arial" w:hAnsi="Arial"/>
                <w:sz w:val="14"/>
                <w:szCs w:val="14"/>
                <w:color w:val="auto"/>
              </w:rPr>
              <w:t>23.1</w:t>
            </w:r>
          </w:p>
        </w:tc>
        <w:tc>
          <w:tcPr>
            <w:tcW w:w="7980" w:type="dxa"/>
            <w:vAlign w:val="bottom"/>
          </w:tcPr>
          <w:p>
            <w:pPr>
              <w:ind w:left="1260"/>
              <w:spacing w:after="0"/>
              <w:rPr>
                <w:sz w:val="20"/>
                <w:szCs w:val="20"/>
                <w:color w:val="auto"/>
              </w:rPr>
            </w:pPr>
            <w:r>
              <w:rPr>
                <w:rFonts w:ascii="Arial" w:cs="Arial" w:eastAsia="Arial" w:hAnsi="Arial"/>
                <w:sz w:val="14"/>
                <w:szCs w:val="14"/>
                <w:color w:val="auto"/>
              </w:rPr>
              <w:t>Consent of PricewaterhouseCoopers, LLP.</w:t>
            </w:r>
          </w:p>
        </w:tc>
      </w:tr>
      <w:tr>
        <w:trPr>
          <w:trHeight w:val="165"/>
        </w:trPr>
        <w:tc>
          <w:tcPr>
            <w:tcW w:w="460" w:type="dxa"/>
            <w:vAlign w:val="bottom"/>
          </w:tcPr>
          <w:p>
            <w:pPr>
              <w:ind w:left="40"/>
              <w:spacing w:after="0"/>
              <w:rPr>
                <w:sz w:val="20"/>
                <w:szCs w:val="20"/>
                <w:color w:val="auto"/>
              </w:rPr>
            </w:pPr>
            <w:r>
              <w:rPr>
                <w:rFonts w:ascii="Arial" w:cs="Arial" w:eastAsia="Arial" w:hAnsi="Arial"/>
                <w:sz w:val="14"/>
                <w:szCs w:val="14"/>
                <w:color w:val="auto"/>
              </w:rPr>
              <w:t>23.2</w:t>
            </w:r>
          </w:p>
        </w:tc>
        <w:tc>
          <w:tcPr>
            <w:tcW w:w="7980" w:type="dxa"/>
            <w:vAlign w:val="bottom"/>
          </w:tcPr>
          <w:p>
            <w:pPr>
              <w:ind w:left="1260"/>
              <w:spacing w:after="0"/>
              <w:rPr>
                <w:sz w:val="20"/>
                <w:szCs w:val="20"/>
                <w:color w:val="auto"/>
              </w:rPr>
            </w:pPr>
            <w:r>
              <w:rPr>
                <w:rFonts w:ascii="Arial" w:cs="Arial" w:eastAsia="Arial" w:hAnsi="Arial"/>
                <w:sz w:val="14"/>
                <w:szCs w:val="14"/>
                <w:color w:val="auto"/>
                <w:w w:val="90"/>
              </w:rPr>
              <w:t>Consent of Baker, Donelson, Bearman, Caldwell &amp; Berkowitz, PC (included in Exhibit 5.1 to the Registration Statement.)</w:t>
            </w:r>
          </w:p>
        </w:tc>
      </w:tr>
      <w:tr>
        <w:trPr>
          <w:trHeight w:val="174"/>
        </w:trPr>
        <w:tc>
          <w:tcPr>
            <w:tcW w:w="460" w:type="dxa"/>
            <w:vAlign w:val="bottom"/>
          </w:tcPr>
          <w:p>
            <w:pPr>
              <w:ind w:left="40"/>
              <w:spacing w:after="0"/>
              <w:rPr>
                <w:sz w:val="20"/>
                <w:szCs w:val="20"/>
                <w:color w:val="auto"/>
              </w:rPr>
            </w:pPr>
            <w:r>
              <w:rPr>
                <w:rFonts w:ascii="Arial" w:cs="Arial" w:eastAsia="Arial" w:hAnsi="Arial"/>
                <w:sz w:val="14"/>
                <w:szCs w:val="14"/>
                <w:color w:val="auto"/>
              </w:rPr>
              <w:t>24.1</w:t>
            </w:r>
          </w:p>
        </w:tc>
        <w:tc>
          <w:tcPr>
            <w:tcW w:w="7980" w:type="dxa"/>
            <w:vAlign w:val="bottom"/>
          </w:tcPr>
          <w:p>
            <w:pPr>
              <w:ind w:left="1260"/>
              <w:spacing w:after="0"/>
              <w:rPr>
                <w:sz w:val="20"/>
                <w:szCs w:val="20"/>
                <w:color w:val="auto"/>
              </w:rPr>
            </w:pPr>
            <w:r>
              <w:rPr>
                <w:rFonts w:ascii="Arial" w:cs="Arial" w:eastAsia="Arial" w:hAnsi="Arial"/>
                <w:sz w:val="14"/>
                <w:szCs w:val="14"/>
                <w:color w:val="auto"/>
              </w:rPr>
              <w:t>Power of Attorney (included in the signatures to the Registration Statement).</w:t>
            </w:r>
          </w:p>
        </w:tc>
      </w:tr>
      <w:tr>
        <w:trPr>
          <w:trHeight w:val="371"/>
        </w:trPr>
        <w:tc>
          <w:tcPr>
            <w:tcW w:w="460" w:type="dxa"/>
            <w:vAlign w:val="bottom"/>
          </w:tcPr>
          <w:p>
            <w:pPr>
              <w:spacing w:after="0"/>
              <w:rPr>
                <w:sz w:val="20"/>
                <w:szCs w:val="20"/>
                <w:color w:val="auto"/>
              </w:rPr>
            </w:pPr>
            <w:r>
              <w:rPr>
                <w:rFonts w:ascii="Arial" w:cs="Arial" w:eastAsia="Arial" w:hAnsi="Arial"/>
                <w:sz w:val="14"/>
                <w:szCs w:val="14"/>
                <w:b w:val="1"/>
                <w:bCs w:val="1"/>
                <w:color w:val="auto"/>
                <w:w w:val="99"/>
              </w:rPr>
              <w:t>Item 9.</w:t>
            </w:r>
          </w:p>
        </w:tc>
        <w:tc>
          <w:tcPr>
            <w:tcW w:w="7980" w:type="dxa"/>
            <w:vAlign w:val="bottom"/>
          </w:tcPr>
          <w:p>
            <w:pPr>
              <w:ind w:left="60"/>
              <w:spacing w:after="0"/>
              <w:rPr>
                <w:sz w:val="20"/>
                <w:szCs w:val="20"/>
                <w:color w:val="auto"/>
              </w:rPr>
            </w:pPr>
            <w:r>
              <w:rPr>
                <w:rFonts w:ascii="Arial" w:cs="Arial" w:eastAsia="Arial" w:hAnsi="Arial"/>
                <w:sz w:val="14"/>
                <w:szCs w:val="14"/>
                <w:b w:val="1"/>
                <w:bCs w:val="1"/>
                <w:color w:val="auto"/>
              </w:rPr>
              <w:t>Undertakings.</w:t>
            </w:r>
          </w:p>
        </w:tc>
      </w:tr>
    </w:tbl>
    <w:p>
      <w:pPr>
        <w:spacing w:after="0" w:line="227" w:lineRule="exact"/>
        <w:rPr>
          <w:sz w:val="20"/>
          <w:szCs w:val="20"/>
          <w:color w:val="auto"/>
        </w:rPr>
      </w:pPr>
    </w:p>
    <w:p>
      <w:pPr>
        <w:ind w:left="600" w:hanging="598"/>
        <w:spacing w:after="0"/>
        <w:tabs>
          <w:tab w:leader="none" w:pos="600" w:val="left"/>
        </w:tabs>
        <w:numPr>
          <w:ilvl w:val="0"/>
          <w:numId w:val="3"/>
        </w:numPr>
        <w:rPr>
          <w:rFonts w:ascii="Arial" w:cs="Arial" w:eastAsia="Arial" w:hAnsi="Arial"/>
          <w:sz w:val="14"/>
          <w:szCs w:val="14"/>
          <w:color w:val="auto"/>
        </w:rPr>
      </w:pPr>
      <w:r>
        <w:rPr>
          <w:rFonts w:ascii="Arial" w:cs="Arial" w:eastAsia="Arial" w:hAnsi="Arial"/>
          <w:sz w:val="14"/>
          <w:szCs w:val="14"/>
          <w:color w:val="auto"/>
        </w:rPr>
        <w:t>The undersigned Registrant hereby undertakes :</w:t>
      </w:r>
    </w:p>
    <w:p>
      <w:pPr>
        <w:spacing w:after="0" w:line="220" w:lineRule="exact"/>
        <w:rPr>
          <w:rFonts w:ascii="Arial" w:cs="Arial" w:eastAsia="Arial" w:hAnsi="Arial"/>
          <w:sz w:val="14"/>
          <w:szCs w:val="14"/>
          <w:color w:val="auto"/>
        </w:rPr>
      </w:pPr>
    </w:p>
    <w:p>
      <w:pPr>
        <w:ind w:left="980" w:hanging="236"/>
        <w:spacing w:after="0"/>
        <w:tabs>
          <w:tab w:leader="none" w:pos="980" w:val="left"/>
        </w:tabs>
        <w:numPr>
          <w:ilvl w:val="2"/>
          <w:numId w:val="3"/>
        </w:numPr>
        <w:rPr>
          <w:rFonts w:ascii="Arial" w:cs="Arial" w:eastAsia="Arial" w:hAnsi="Arial"/>
          <w:sz w:val="14"/>
          <w:szCs w:val="14"/>
          <w:color w:val="auto"/>
        </w:rPr>
      </w:pPr>
      <w:r>
        <w:rPr>
          <w:rFonts w:ascii="Arial" w:cs="Arial" w:eastAsia="Arial" w:hAnsi="Arial"/>
          <w:sz w:val="14"/>
          <w:szCs w:val="14"/>
          <w:color w:val="auto"/>
        </w:rPr>
        <w:t>To file, during any period in which offers or sales are being made, a post-effective amendment to the Registration Statement:</w:t>
      </w:r>
    </w:p>
    <w:p>
      <w:pPr>
        <w:spacing w:after="0" w:line="209" w:lineRule="exact"/>
        <w:rPr>
          <w:rFonts w:ascii="Arial" w:cs="Arial" w:eastAsia="Arial" w:hAnsi="Arial"/>
          <w:sz w:val="14"/>
          <w:szCs w:val="14"/>
          <w:color w:val="auto"/>
        </w:rPr>
      </w:pPr>
    </w:p>
    <w:p>
      <w:pPr>
        <w:ind w:left="1980" w:hanging="198"/>
        <w:spacing w:after="0"/>
        <w:tabs>
          <w:tab w:leader="none" w:pos="1980" w:val="left"/>
        </w:tabs>
        <w:numPr>
          <w:ilvl w:val="3"/>
          <w:numId w:val="3"/>
        </w:numPr>
        <w:rPr>
          <w:rFonts w:ascii="Arial" w:cs="Arial" w:eastAsia="Arial" w:hAnsi="Arial"/>
          <w:sz w:val="14"/>
          <w:szCs w:val="14"/>
          <w:color w:val="auto"/>
        </w:rPr>
      </w:pPr>
      <w:r>
        <w:rPr>
          <w:rFonts w:ascii="Arial" w:cs="Arial" w:eastAsia="Arial" w:hAnsi="Arial"/>
          <w:sz w:val="14"/>
          <w:szCs w:val="14"/>
          <w:color w:val="auto"/>
        </w:rPr>
        <w:t>To include any prospectus required by Section 10(a)(3) of the Securities Act of 1933 (the "Securities Act");</w:t>
      </w:r>
    </w:p>
    <w:p>
      <w:pPr>
        <w:spacing w:after="0" w:line="209" w:lineRule="exact"/>
        <w:rPr>
          <w:rFonts w:ascii="Arial" w:cs="Arial" w:eastAsia="Arial" w:hAnsi="Arial"/>
          <w:sz w:val="14"/>
          <w:szCs w:val="14"/>
          <w:color w:val="auto"/>
        </w:rPr>
      </w:pPr>
    </w:p>
    <w:p>
      <w:pPr>
        <w:jc w:val="both"/>
        <w:ind w:left="1980" w:hanging="236"/>
        <w:spacing w:after="0" w:line="249" w:lineRule="auto"/>
        <w:tabs>
          <w:tab w:leader="none" w:pos="1980" w:val="left"/>
        </w:tabs>
        <w:numPr>
          <w:ilvl w:val="3"/>
          <w:numId w:val="3"/>
        </w:numPr>
        <w:rPr>
          <w:rFonts w:ascii="Arial" w:cs="Arial" w:eastAsia="Arial" w:hAnsi="Arial"/>
          <w:sz w:val="14"/>
          <w:szCs w:val="14"/>
          <w:color w:val="auto"/>
        </w:rPr>
      </w:pPr>
      <w:r>
        <w:rPr>
          <w:rFonts w:ascii="Arial" w:cs="Arial" w:eastAsia="Arial" w:hAnsi="Arial"/>
          <w:sz w:val="14"/>
          <w:szCs w:val="14"/>
          <w:color w:val="auto"/>
        </w:rPr>
        <w:t>To reflect in the prospectus any facts or events arising after the effective date of this registration statement (or the most recent post-effective amendment thereof) which, individually or in the aggregate, represent a fundamental change in the information set forth in this registration statement. Notwithstanding the foregoing, any increase or decrease in volume of securities offered (if the total dollar value of the securities offered would not exceed what was registered) and any deviation from the low or high end of the estimated maximum offering range may be reflected in the form of a prospectus filed with the Commission pursuant to Rule 424(b) if, in the aggregate, the changes in volume and price represent no more than a 20 percent change in the maximum aggregate offering price set forth in the "Calculation of Registration Fee" table in the effective registration statement;</w:t>
      </w:r>
    </w:p>
    <w:p>
      <w:pPr>
        <w:spacing w:after="0" w:line="192" w:lineRule="exact"/>
        <w:rPr>
          <w:rFonts w:ascii="Arial" w:cs="Arial" w:eastAsia="Arial" w:hAnsi="Arial"/>
          <w:sz w:val="14"/>
          <w:szCs w:val="14"/>
          <w:color w:val="auto"/>
        </w:rPr>
      </w:pPr>
    </w:p>
    <w:p>
      <w:pPr>
        <w:jc w:val="both"/>
        <w:ind w:left="1980" w:hanging="275"/>
        <w:spacing w:after="0" w:line="277" w:lineRule="auto"/>
        <w:tabs>
          <w:tab w:leader="none" w:pos="1980" w:val="left"/>
        </w:tabs>
        <w:numPr>
          <w:ilvl w:val="3"/>
          <w:numId w:val="3"/>
        </w:numPr>
        <w:rPr>
          <w:rFonts w:ascii="Arial" w:cs="Arial" w:eastAsia="Arial" w:hAnsi="Arial"/>
          <w:sz w:val="13"/>
          <w:szCs w:val="13"/>
          <w:color w:val="auto"/>
        </w:rPr>
      </w:pPr>
      <w:r>
        <w:rPr>
          <w:rFonts w:ascii="Arial" w:cs="Arial" w:eastAsia="Arial" w:hAnsi="Arial"/>
          <w:sz w:val="13"/>
          <w:szCs w:val="13"/>
          <w:color w:val="auto"/>
        </w:rPr>
        <w:t xml:space="preserve">To include any material information with respect to the plan of distribution not previously disclosed in this registration statement or any material change to such information in this registration statement;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w:t>
      </w:r>
      <w:r>
        <w:rPr>
          <w:rFonts w:ascii="Arial" w:cs="Arial" w:eastAsia="Arial" w:hAnsi="Arial"/>
          <w:sz w:val="13"/>
          <w:szCs w:val="13"/>
          <w:u w:val="single" w:color="auto"/>
          <w:color w:val="auto"/>
        </w:rPr>
        <w:t>however</w:t>
      </w:r>
      <w:r>
        <w:rPr>
          <w:rFonts w:ascii="Arial" w:cs="Arial" w:eastAsia="Arial" w:hAnsi="Arial"/>
          <w:sz w:val="13"/>
          <w:szCs w:val="13"/>
          <w:color w:val="auto"/>
        </w:rPr>
        <w:t>, that sections (a)(1)(i) and (a)(1)(ii) do not apply if the information required to be included in a post-effective amendment by those paragraphs is contained in periodic reports filed with or furnished to the Commission by the Registrant pursuant to Section 13 or Section 15(d) of the Securities Exchange Act of 1934 (the "Exchange Act") that are incorporated by reference in this registration statement;</w:t>
      </w:r>
    </w:p>
    <w:p>
      <w:pPr>
        <w:spacing w:after="0" w:line="174" w:lineRule="exact"/>
        <w:rPr>
          <w:rFonts w:ascii="Arial" w:cs="Arial" w:eastAsia="Arial" w:hAnsi="Arial"/>
          <w:sz w:val="13"/>
          <w:szCs w:val="13"/>
          <w:color w:val="auto"/>
        </w:rPr>
      </w:pPr>
    </w:p>
    <w:p>
      <w:pPr>
        <w:ind w:left="380" w:right="260" w:firstLine="364"/>
        <w:spacing w:after="0" w:line="265" w:lineRule="auto"/>
        <w:tabs>
          <w:tab w:leader="none" w:pos="945" w:val="left"/>
        </w:tabs>
        <w:numPr>
          <w:ilvl w:val="2"/>
          <w:numId w:val="3"/>
        </w:numPr>
        <w:rPr>
          <w:rFonts w:ascii="Arial" w:cs="Arial" w:eastAsia="Arial" w:hAnsi="Arial"/>
          <w:sz w:val="14"/>
          <w:szCs w:val="14"/>
          <w:color w:val="auto"/>
        </w:rPr>
      </w:pPr>
      <w:r>
        <w:rPr>
          <w:rFonts w:ascii="Arial" w:cs="Arial" w:eastAsia="Arial" w:hAnsi="Arial"/>
          <w:sz w:val="14"/>
          <w:szCs w:val="14"/>
          <w:color w:val="auto"/>
        </w:rPr>
        <w:t>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 and</w:t>
      </w:r>
    </w:p>
    <w:p>
      <w:pPr>
        <w:spacing w:after="0" w:line="180" w:lineRule="exact"/>
        <w:rPr>
          <w:rFonts w:ascii="Arial" w:cs="Arial" w:eastAsia="Arial" w:hAnsi="Arial"/>
          <w:sz w:val="14"/>
          <w:szCs w:val="14"/>
          <w:color w:val="auto"/>
        </w:rPr>
      </w:pPr>
    </w:p>
    <w:p>
      <w:pPr>
        <w:ind w:left="940" w:hanging="196"/>
        <w:spacing w:after="0"/>
        <w:tabs>
          <w:tab w:leader="none" w:pos="940" w:val="left"/>
        </w:tabs>
        <w:numPr>
          <w:ilvl w:val="2"/>
          <w:numId w:val="3"/>
        </w:numPr>
        <w:rPr>
          <w:rFonts w:ascii="Arial" w:cs="Arial" w:eastAsia="Arial" w:hAnsi="Arial"/>
          <w:sz w:val="14"/>
          <w:szCs w:val="14"/>
          <w:color w:val="auto"/>
        </w:rPr>
      </w:pPr>
      <w:r>
        <w:rPr>
          <w:rFonts w:ascii="Arial" w:cs="Arial" w:eastAsia="Arial" w:hAnsi="Arial"/>
          <w:sz w:val="14"/>
          <w:szCs w:val="14"/>
          <w:color w:val="auto"/>
        </w:rPr>
        <w:t>To remove from registration by means of a post-effective amendment any of the securities being registered which remain unsold at the termination of this offering.</w:t>
      </w:r>
    </w:p>
    <w:p>
      <w:pPr>
        <w:spacing w:after="0" w:line="200" w:lineRule="exact"/>
        <w:rPr>
          <w:rFonts w:ascii="Arial" w:cs="Arial" w:eastAsia="Arial" w:hAnsi="Arial"/>
          <w:sz w:val="14"/>
          <w:szCs w:val="14"/>
          <w:color w:val="auto"/>
        </w:rPr>
      </w:pPr>
    </w:p>
    <w:p>
      <w:pPr>
        <w:spacing w:after="0" w:line="215" w:lineRule="exact"/>
        <w:rPr>
          <w:rFonts w:ascii="Arial" w:cs="Arial" w:eastAsia="Arial" w:hAnsi="Arial"/>
          <w:sz w:val="14"/>
          <w:szCs w:val="14"/>
          <w:color w:val="auto"/>
        </w:rPr>
      </w:pPr>
    </w:p>
    <w:p>
      <w:pPr>
        <w:jc w:val="both"/>
        <w:ind w:firstLine="37"/>
        <w:spacing w:after="0" w:line="255" w:lineRule="auto"/>
        <w:tabs>
          <w:tab w:leader="none" w:pos="229" w:val="left"/>
        </w:tabs>
        <w:numPr>
          <w:ilvl w:val="1"/>
          <w:numId w:val="3"/>
        </w:numPr>
        <w:rPr>
          <w:rFonts w:ascii="Arial" w:cs="Arial" w:eastAsia="Arial" w:hAnsi="Arial"/>
          <w:sz w:val="14"/>
          <w:szCs w:val="14"/>
          <w:color w:val="auto"/>
        </w:rPr>
      </w:pPr>
      <w:r>
        <w:rPr>
          <w:rFonts w:ascii="Arial" w:cs="Arial" w:eastAsia="Arial" w:hAnsi="Arial"/>
          <w:sz w:val="14"/>
          <w:szCs w:val="14"/>
          <w:color w:val="auto"/>
        </w:rPr>
        <w:t>The undersigned Registrant hereby undertakes that, for purposes of determining any liability under the Securities Act, each filing of the Registrant's annual report pursuant to Section 13(a) or Section 15(d) of the Exchange Act that is incorporated by reference in this registration statement shall be deemed to be a new registration statement relating to the securities offered therein, and the offering of such securities at that time shall be deemed to be the initial bona fide offering thereof.</w:t>
      </w:r>
    </w:p>
    <w:p>
      <w:pPr>
        <w:spacing w:after="0" w:line="187" w:lineRule="exact"/>
        <w:rPr>
          <w:sz w:val="20"/>
          <w:szCs w:val="20"/>
          <w:color w:val="auto"/>
        </w:rPr>
      </w:pPr>
    </w:p>
    <w:p>
      <w:pPr>
        <w:ind w:right="100" w:firstLine="2"/>
        <w:spacing w:after="0" w:line="249" w:lineRule="auto"/>
        <w:tabs>
          <w:tab w:leader="none" w:pos="187" w:val="left"/>
        </w:tabs>
        <w:numPr>
          <w:ilvl w:val="0"/>
          <w:numId w:val="4"/>
        </w:numPr>
        <w:rPr>
          <w:rFonts w:ascii="Arial" w:cs="Arial" w:eastAsia="Arial" w:hAnsi="Arial"/>
          <w:sz w:val="14"/>
          <w:szCs w:val="14"/>
          <w:color w:val="auto"/>
        </w:rPr>
      </w:pPr>
      <w:r>
        <w:rPr>
          <w:rFonts w:ascii="Arial" w:cs="Arial" w:eastAsia="Arial" w:hAnsi="Arial"/>
          <w:sz w:val="14"/>
          <w:szCs w:val="14"/>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Commission such indemnification is against public policy as expressed in the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Act and will be governed by the final adjudication of such issue.</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58420</wp:posOffset>
            </wp:positionV>
            <wp:extent cx="7285355" cy="190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85355" cy="19050"/>
                    </a:xfrm>
                    <a:prstGeom prst="rect">
                      <a:avLst/>
                    </a:prstGeom>
                    <a:noFill/>
                  </pic:spPr>
                </pic:pic>
              </a:graphicData>
            </a:graphic>
          </wp:anchor>
        </w:drawing>
      </w:r>
    </w:p>
    <w:p>
      <w:pPr>
        <w:sectPr>
          <w:pgSz w:w="11900" w:h="16838" w:orient="portrait"/>
          <w:cols w:equalWidth="0" w:num="1">
            <w:col w:w="11460"/>
          </w:cols>
          <w:pgMar w:left="220" w:top="129" w:right="219" w:bottom="1440" w:gutter="0" w:footer="0" w:header="0"/>
          <w:type w:val="continuous"/>
        </w:sectPr>
      </w:pPr>
    </w:p>
    <w:bookmarkStart w:id="3" w:name="page4"/>
    <w:bookmarkEnd w:id="3"/>
    <w:p>
      <w:pPr>
        <w:jc w:val="center"/>
        <w:ind w:right="-139"/>
        <w:spacing w:after="0"/>
        <w:rPr>
          <w:sz w:val="20"/>
          <w:szCs w:val="20"/>
          <w:color w:val="auto"/>
        </w:rPr>
      </w:pPr>
      <w:r>
        <w:rPr>
          <w:rFonts w:ascii="Arial" w:cs="Arial" w:eastAsia="Arial" w:hAnsi="Arial"/>
          <w:sz w:val="14"/>
          <w:szCs w:val="14"/>
          <w:b w:val="1"/>
          <w:bCs w:val="1"/>
          <w:color w:val="auto"/>
        </w:rPr>
        <w:t>SIGNATURES</w:t>
      </w:r>
    </w:p>
    <w:p>
      <w:pPr>
        <w:spacing w:after="0" w:line="214" w:lineRule="exact"/>
        <w:rPr>
          <w:sz w:val="20"/>
          <w:szCs w:val="20"/>
          <w:color w:val="auto"/>
        </w:rPr>
      </w:pPr>
    </w:p>
    <w:p>
      <w:pPr>
        <w:ind w:firstLine="618"/>
        <w:spacing w:after="0" w:line="403" w:lineRule="auto"/>
        <w:rPr>
          <w:sz w:val="20"/>
          <w:szCs w:val="20"/>
          <w:color w:val="auto"/>
        </w:rPr>
      </w:pPr>
      <w:r>
        <w:rPr>
          <w:rFonts w:ascii="Arial" w:cs="Arial" w:eastAsia="Arial" w:hAnsi="Arial"/>
          <w:sz w:val="11"/>
          <w:szCs w:val="11"/>
          <w:color w:val="auto"/>
        </w:rPr>
        <w:t>Pursuant to the requirements of the Securities Act of 1933, the Registrant certifies that it has reasonable grounds to believe that it meets all of the requirements for filing on Form S-8 and has duly caused this registration statement to be signed on its behalf by the undersigned, thereunto duly authorized, in the City of Johnson City, State of Tennessee, on this 16th day of December 2005.</w:t>
      </w:r>
    </w:p>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5180" w:type="dxa"/>
            <w:vAlign w:val="bottom"/>
          </w:tcPr>
          <w:p>
            <w:pPr>
              <w:spacing w:after="0"/>
              <w:rPr>
                <w:sz w:val="15"/>
                <w:szCs w:val="15"/>
                <w:color w:val="auto"/>
              </w:rPr>
            </w:pPr>
          </w:p>
        </w:tc>
        <w:tc>
          <w:tcPr>
            <w:tcW w:w="4660" w:type="dxa"/>
            <w:vAlign w:val="bottom"/>
            <w:gridSpan w:val="2"/>
          </w:tcPr>
          <w:p>
            <w:pPr>
              <w:ind w:left="1780"/>
              <w:spacing w:after="0"/>
              <w:rPr>
                <w:sz w:val="20"/>
                <w:szCs w:val="20"/>
                <w:color w:val="auto"/>
              </w:rPr>
            </w:pPr>
            <w:r>
              <w:rPr>
                <w:rFonts w:ascii="Arial" w:cs="Arial" w:eastAsia="Arial" w:hAnsi="Arial"/>
                <w:sz w:val="14"/>
                <w:szCs w:val="14"/>
                <w:b w:val="1"/>
                <w:bCs w:val="1"/>
                <w:color w:val="auto"/>
              </w:rPr>
              <w:t>NN, INC.</w:t>
            </w:r>
          </w:p>
        </w:tc>
        <w:tc>
          <w:tcPr>
            <w:tcW w:w="8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85"/>
        </w:trPr>
        <w:tc>
          <w:tcPr>
            <w:tcW w:w="5180" w:type="dxa"/>
            <w:vAlign w:val="bottom"/>
          </w:tcPr>
          <w:p>
            <w:pPr>
              <w:ind w:left="3100"/>
              <w:spacing w:after="0"/>
              <w:rPr>
                <w:sz w:val="20"/>
                <w:szCs w:val="20"/>
                <w:color w:val="auto"/>
              </w:rPr>
            </w:pPr>
            <w:r>
              <w:rPr>
                <w:rFonts w:ascii="Arial" w:cs="Arial" w:eastAsia="Arial" w:hAnsi="Arial"/>
                <w:sz w:val="14"/>
                <w:szCs w:val="14"/>
                <w:color w:val="auto"/>
              </w:rPr>
              <w:t>Date:</w:t>
            </w:r>
          </w:p>
        </w:tc>
        <w:tc>
          <w:tcPr>
            <w:tcW w:w="4660" w:type="dxa"/>
            <w:vAlign w:val="bottom"/>
            <w:gridSpan w:val="2"/>
          </w:tcPr>
          <w:p>
            <w:pPr>
              <w:ind w:left="1780"/>
              <w:spacing w:after="0"/>
              <w:rPr>
                <w:sz w:val="20"/>
                <w:szCs w:val="20"/>
                <w:color w:val="auto"/>
              </w:rPr>
            </w:pPr>
            <w:r>
              <w:rPr>
                <w:rFonts w:ascii="Arial" w:cs="Arial" w:eastAsia="Arial" w:hAnsi="Arial"/>
                <w:sz w:val="14"/>
                <w:szCs w:val="14"/>
                <w:color w:val="auto"/>
              </w:rPr>
              <w:t>By:</w:t>
            </w:r>
          </w:p>
        </w:tc>
        <w:tc>
          <w:tcPr>
            <w:tcW w:w="1460" w:type="dxa"/>
            <w:vAlign w:val="bottom"/>
            <w:gridSpan w:val="2"/>
          </w:tcPr>
          <w:p>
            <w:pPr>
              <w:ind w:left="480"/>
              <w:spacing w:after="0"/>
              <w:rPr>
                <w:sz w:val="20"/>
                <w:szCs w:val="20"/>
                <w:color w:val="auto"/>
              </w:rPr>
            </w:pPr>
            <w:r>
              <w:rPr>
                <w:rFonts w:ascii="Arial" w:cs="Arial" w:eastAsia="Arial" w:hAnsi="Arial"/>
                <w:sz w:val="14"/>
                <w:szCs w:val="14"/>
                <w:color w:val="auto"/>
              </w:rPr>
              <w:t xml:space="preserve">/s/ Roderick </w:t>
            </w:r>
            <w:r>
              <w:rPr>
                <w:rFonts w:ascii="Arial" w:cs="Arial" w:eastAsia="Arial" w:hAnsi="Arial"/>
                <w:sz w:val="16"/>
                <w:szCs w:val="16"/>
                <w:color w:val="auto"/>
              </w:rPr>
              <w:t>R.</w:t>
            </w:r>
          </w:p>
        </w:tc>
        <w:tc>
          <w:tcPr>
            <w:tcW w:w="0" w:type="dxa"/>
            <w:vAlign w:val="bottom"/>
          </w:tcPr>
          <w:p>
            <w:pPr>
              <w:spacing w:after="0"/>
              <w:rPr>
                <w:sz w:val="1"/>
                <w:szCs w:val="1"/>
                <w:color w:val="auto"/>
              </w:rPr>
            </w:pPr>
          </w:p>
        </w:tc>
      </w:tr>
      <w:tr>
        <w:trPr>
          <w:trHeight w:val="224"/>
        </w:trPr>
        <w:tc>
          <w:tcPr>
            <w:tcW w:w="5180" w:type="dxa"/>
            <w:vAlign w:val="bottom"/>
          </w:tcPr>
          <w:p>
            <w:pPr>
              <w:spacing w:after="0"/>
              <w:rPr>
                <w:sz w:val="20"/>
                <w:szCs w:val="20"/>
                <w:color w:val="auto"/>
              </w:rPr>
            </w:pPr>
            <w:r>
              <w:rPr>
                <w:rFonts w:ascii="Arial" w:cs="Arial" w:eastAsia="Arial" w:hAnsi="Arial"/>
                <w:sz w:val="14"/>
                <w:szCs w:val="14"/>
                <w:color w:val="auto"/>
              </w:rPr>
              <w:t>December 16, 2005</w:t>
            </w:r>
          </w:p>
        </w:tc>
        <w:tc>
          <w:tcPr>
            <w:tcW w:w="4660" w:type="dxa"/>
            <w:vAlign w:val="bottom"/>
            <w:gridSpan w:val="2"/>
          </w:tcPr>
          <w:p>
            <w:pPr>
              <w:ind w:left="2040"/>
              <w:spacing w:after="0"/>
              <w:rPr>
                <w:sz w:val="20"/>
                <w:szCs w:val="20"/>
                <w:color w:val="auto"/>
              </w:rPr>
            </w:pPr>
            <w:r>
              <w:rPr>
                <w:rFonts w:ascii="Arial" w:cs="Arial" w:eastAsia="Arial" w:hAnsi="Arial"/>
                <w:sz w:val="16"/>
                <w:szCs w:val="16"/>
                <w:color w:val="auto"/>
              </w:rPr>
              <w:t>Baty</w:t>
            </w:r>
          </w:p>
        </w:tc>
        <w:tc>
          <w:tcPr>
            <w:tcW w:w="8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1"/>
        </w:trPr>
        <w:tc>
          <w:tcPr>
            <w:tcW w:w="5180" w:type="dxa"/>
            <w:vAlign w:val="bottom"/>
          </w:tcPr>
          <w:p>
            <w:pPr>
              <w:spacing w:after="0"/>
              <w:rPr>
                <w:sz w:val="7"/>
                <w:szCs w:val="7"/>
                <w:color w:val="auto"/>
              </w:rPr>
            </w:pPr>
          </w:p>
        </w:tc>
        <w:tc>
          <w:tcPr>
            <w:tcW w:w="2040" w:type="dxa"/>
            <w:vAlign w:val="bottom"/>
          </w:tcPr>
          <w:p>
            <w:pPr>
              <w:spacing w:after="0"/>
              <w:rPr>
                <w:sz w:val="7"/>
                <w:szCs w:val="7"/>
                <w:color w:val="auto"/>
              </w:rPr>
            </w:pPr>
          </w:p>
        </w:tc>
        <w:tc>
          <w:tcPr>
            <w:tcW w:w="2620" w:type="dxa"/>
            <w:vAlign w:val="bottom"/>
            <w:tcBorders>
              <w:bottom w:val="single" w:sz="8" w:color="808080"/>
            </w:tcBorders>
          </w:tcPr>
          <w:p>
            <w:pPr>
              <w:spacing w:after="0"/>
              <w:rPr>
                <w:sz w:val="7"/>
                <w:szCs w:val="7"/>
                <w:color w:val="auto"/>
              </w:rPr>
            </w:pPr>
          </w:p>
        </w:tc>
        <w:tc>
          <w:tcPr>
            <w:tcW w:w="800" w:type="dxa"/>
            <w:vAlign w:val="bottom"/>
            <w:tcBorders>
              <w:bottom w:val="single" w:sz="8" w:color="808080"/>
            </w:tcBorders>
          </w:tcPr>
          <w:p>
            <w:pPr>
              <w:spacing w:after="0"/>
              <w:rPr>
                <w:sz w:val="7"/>
                <w:szCs w:val="7"/>
                <w:color w:val="auto"/>
              </w:rPr>
            </w:pPr>
          </w:p>
        </w:tc>
        <w:tc>
          <w:tcPr>
            <w:tcW w:w="6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1"/>
        </w:trPr>
        <w:tc>
          <w:tcPr>
            <w:tcW w:w="5180" w:type="dxa"/>
            <w:vAlign w:val="bottom"/>
          </w:tcPr>
          <w:p>
            <w:pPr>
              <w:spacing w:after="0"/>
              <w:rPr>
                <w:sz w:val="20"/>
                <w:szCs w:val="20"/>
                <w:color w:val="auto"/>
              </w:rPr>
            </w:pPr>
          </w:p>
        </w:tc>
        <w:tc>
          <w:tcPr>
            <w:tcW w:w="4660" w:type="dxa"/>
            <w:vAlign w:val="bottom"/>
            <w:gridSpan w:val="2"/>
            <w:vMerge w:val="restart"/>
          </w:tcPr>
          <w:p>
            <w:pPr>
              <w:ind w:left="2040"/>
              <w:spacing w:after="0"/>
              <w:rPr>
                <w:sz w:val="20"/>
                <w:szCs w:val="20"/>
                <w:color w:val="auto"/>
              </w:rPr>
            </w:pPr>
            <w:r>
              <w:rPr>
                <w:rFonts w:ascii="Arial" w:cs="Arial" w:eastAsia="Arial" w:hAnsi="Arial"/>
                <w:sz w:val="14"/>
                <w:szCs w:val="14"/>
                <w:color w:val="auto"/>
              </w:rPr>
              <w:t>the Board, Chief Executive Officer and</w:t>
            </w:r>
          </w:p>
        </w:tc>
        <w:tc>
          <w:tcPr>
            <w:tcW w:w="1460" w:type="dxa"/>
            <w:vAlign w:val="bottom"/>
            <w:gridSpan w:val="2"/>
          </w:tcPr>
          <w:p>
            <w:pPr>
              <w:ind w:left="480"/>
              <w:spacing w:after="0"/>
              <w:rPr>
                <w:sz w:val="20"/>
                <w:szCs w:val="20"/>
                <w:color w:val="auto"/>
              </w:rPr>
            </w:pPr>
            <w:r>
              <w:rPr>
                <w:rFonts w:ascii="Arial" w:cs="Arial" w:eastAsia="Arial" w:hAnsi="Arial"/>
                <w:sz w:val="14"/>
                <w:szCs w:val="14"/>
                <w:color w:val="auto"/>
                <w:w w:val="90"/>
              </w:rPr>
              <w:t>Title Chairman of</w:t>
            </w:r>
          </w:p>
        </w:tc>
        <w:tc>
          <w:tcPr>
            <w:tcW w:w="0" w:type="dxa"/>
            <w:vAlign w:val="bottom"/>
          </w:tcPr>
          <w:p>
            <w:pPr>
              <w:spacing w:after="0"/>
              <w:rPr>
                <w:sz w:val="1"/>
                <w:szCs w:val="1"/>
                <w:color w:val="auto"/>
              </w:rPr>
            </w:pPr>
          </w:p>
        </w:tc>
      </w:tr>
      <w:tr>
        <w:trPr>
          <w:trHeight w:val="165"/>
        </w:trPr>
        <w:tc>
          <w:tcPr>
            <w:tcW w:w="5180" w:type="dxa"/>
            <w:vAlign w:val="bottom"/>
          </w:tcPr>
          <w:p>
            <w:pPr>
              <w:spacing w:after="0"/>
              <w:rPr>
                <w:sz w:val="14"/>
                <w:szCs w:val="14"/>
                <w:color w:val="auto"/>
              </w:rPr>
            </w:pPr>
          </w:p>
        </w:tc>
        <w:tc>
          <w:tcPr>
            <w:tcW w:w="4660" w:type="dxa"/>
            <w:vAlign w:val="bottom"/>
            <w:gridSpan w:val="2"/>
            <w:vMerge w:val="continue"/>
          </w:tcPr>
          <w:p>
            <w:pPr>
              <w:spacing w:after="0"/>
              <w:rPr>
                <w:sz w:val="14"/>
                <w:szCs w:val="14"/>
                <w:color w:val="auto"/>
              </w:rPr>
            </w:pPr>
          </w:p>
        </w:tc>
        <w:tc>
          <w:tcPr>
            <w:tcW w:w="1460" w:type="dxa"/>
            <w:vAlign w:val="bottom"/>
            <w:gridSpan w:val="2"/>
            <w:vMerge w:val="restart"/>
          </w:tcPr>
          <w:p>
            <w:pPr>
              <w:ind w:left="480"/>
              <w:spacing w:after="0"/>
              <w:rPr>
                <w:sz w:val="20"/>
                <w:szCs w:val="20"/>
                <w:color w:val="auto"/>
              </w:rPr>
            </w:pPr>
            <w:r>
              <w:rPr>
                <w:rFonts w:ascii="Arial" w:cs="Arial" w:eastAsia="Arial" w:hAnsi="Arial"/>
                <w:sz w:val="14"/>
                <w:szCs w:val="14"/>
                <w:color w:val="auto"/>
              </w:rPr>
              <w:t>President</w:t>
            </w:r>
          </w:p>
        </w:tc>
        <w:tc>
          <w:tcPr>
            <w:tcW w:w="0" w:type="dxa"/>
            <w:vAlign w:val="bottom"/>
          </w:tcPr>
          <w:p>
            <w:pPr>
              <w:spacing w:after="0"/>
              <w:rPr>
                <w:sz w:val="1"/>
                <w:szCs w:val="1"/>
                <w:color w:val="auto"/>
              </w:rPr>
            </w:pPr>
          </w:p>
        </w:tc>
      </w:tr>
      <w:tr>
        <w:trPr>
          <w:trHeight w:val="165"/>
        </w:trPr>
        <w:tc>
          <w:tcPr>
            <w:tcW w:w="518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2620" w:type="dxa"/>
            <w:vAlign w:val="bottom"/>
          </w:tcPr>
          <w:p>
            <w:pPr>
              <w:spacing w:after="0"/>
              <w:rPr>
                <w:sz w:val="14"/>
                <w:szCs w:val="14"/>
                <w:color w:val="auto"/>
              </w:rPr>
            </w:pPr>
          </w:p>
        </w:tc>
        <w:tc>
          <w:tcPr>
            <w:tcW w:w="14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6748145</wp:posOffset>
            </wp:positionH>
            <wp:positionV relativeFrom="paragraph">
              <wp:posOffset>-374650</wp:posOffset>
            </wp:positionV>
            <wp:extent cx="12700" cy="63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4582795</wp:posOffset>
            </wp:positionH>
            <wp:positionV relativeFrom="paragraph">
              <wp:posOffset>-374650</wp:posOffset>
            </wp:positionV>
            <wp:extent cx="12700" cy="63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ind w:right="-139"/>
        <w:spacing w:after="0"/>
        <w:rPr>
          <w:sz w:val="20"/>
          <w:szCs w:val="20"/>
          <w:color w:val="auto"/>
        </w:rPr>
      </w:pPr>
      <w:r>
        <w:rPr>
          <w:rFonts w:ascii="Arial" w:cs="Arial" w:eastAsia="Arial" w:hAnsi="Arial"/>
          <w:sz w:val="14"/>
          <w:szCs w:val="14"/>
          <w:b w:val="1"/>
          <w:bCs w:val="1"/>
          <w:color w:val="auto"/>
        </w:rPr>
        <w:t>POWER OF ATTORNEY</w:t>
      </w:r>
    </w:p>
    <w:p>
      <w:pPr>
        <w:spacing w:after="0" w:line="214" w:lineRule="exact"/>
        <w:rPr>
          <w:sz w:val="20"/>
          <w:szCs w:val="20"/>
          <w:color w:val="auto"/>
        </w:rPr>
      </w:pPr>
    </w:p>
    <w:p>
      <w:pPr>
        <w:ind w:right="140" w:firstLine="618"/>
        <w:spacing w:after="0" w:line="342" w:lineRule="auto"/>
        <w:rPr>
          <w:sz w:val="20"/>
          <w:szCs w:val="20"/>
          <w:color w:val="auto"/>
        </w:rPr>
      </w:pPr>
      <w:r>
        <w:rPr>
          <w:rFonts w:ascii="Arial" w:cs="Arial" w:eastAsia="Arial" w:hAnsi="Arial"/>
          <w:sz w:val="11"/>
          <w:szCs w:val="11"/>
          <w:color w:val="auto"/>
        </w:rPr>
        <w:t>KNOW ALL MEN BY THESE PRESENTS that the undersigned officers and directors of NN, Inc., a Delaware corporation, hereby constitute and appoint Roderick R. Baty the true and lawful agent and attorney-in-fact, with all power of substitution and resubstitution, to sign for the undersigned, in their respective names as officers and directors of the corporation, one or more registration statements on Form S-8 (or other appropriate form) to be filed with the Securities and Exchange Commission, Washington, D.C., under the Securities Act of 1933, as amended, and any amendment or supplement to such registration statement, relating to the NN, Inc.'s 2005 Stock Incentive Plan; hereby ratifying and confirming all acts taken by such agent and attorney-in-fact as herein authorized.</w:t>
      </w:r>
    </w:p>
    <w:p>
      <w:pPr>
        <w:spacing w:after="0" w:line="144" w:lineRule="exact"/>
        <w:rPr>
          <w:sz w:val="20"/>
          <w:szCs w:val="20"/>
          <w:color w:val="auto"/>
        </w:rPr>
      </w:pPr>
    </w:p>
    <w:p>
      <w:pPr>
        <w:ind w:right="260" w:firstLine="618"/>
        <w:spacing w:after="0" w:line="265" w:lineRule="auto"/>
        <w:rPr>
          <w:sz w:val="20"/>
          <w:szCs w:val="20"/>
          <w:color w:val="auto"/>
        </w:rPr>
      </w:pPr>
      <w:r>
        <w:rPr>
          <w:rFonts w:ascii="Arial" w:cs="Arial" w:eastAsia="Arial" w:hAnsi="Arial"/>
          <w:sz w:val="14"/>
          <w:szCs w:val="14"/>
          <w:color w:val="auto"/>
        </w:rPr>
        <w:t>Pursuant to the requirements of the Securities Act of 1933, as amended, this registration statement has been signed by the following persons in the capacities indicated, and as of the date first written above.</w:t>
      </w:r>
    </w:p>
    <w:p>
      <w:pPr>
        <w:sectPr>
          <w:pgSz w:w="11900" w:h="16838" w:orient="portrait"/>
          <w:cols w:equalWidth="0" w:num="1">
            <w:col w:w="11320"/>
          </w:cols>
          <w:pgMar w:left="220" w:top="331" w:right="359" w:bottom="1440" w:gutter="0" w:footer="0" w:header="0"/>
        </w:sect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Signature</w:t>
      </w:r>
    </w:p>
    <w:p>
      <w:pPr>
        <w:spacing w:after="0" w:line="200" w:lineRule="exact"/>
        <w:rPr>
          <w:sz w:val="20"/>
          <w:szCs w:val="20"/>
          <w:color w:val="auto"/>
        </w:rPr>
      </w:pPr>
    </w:p>
    <w:p>
      <w:pPr>
        <w:spacing w:after="0" w:line="226" w:lineRule="exact"/>
        <w:rPr>
          <w:sz w:val="20"/>
          <w:szCs w:val="20"/>
          <w:color w:val="auto"/>
        </w:rPr>
      </w:pPr>
    </w:p>
    <w:p>
      <w:pPr>
        <w:ind w:left="120"/>
        <w:spacing w:after="0"/>
        <w:rPr>
          <w:sz w:val="20"/>
          <w:szCs w:val="20"/>
          <w:color w:val="auto"/>
        </w:rPr>
      </w:pPr>
      <w:r>
        <w:rPr>
          <w:rFonts w:ascii="Arial" w:cs="Arial" w:eastAsia="Arial" w:hAnsi="Arial"/>
          <w:sz w:val="14"/>
          <w:szCs w:val="14"/>
          <w:u w:val="single" w:color="auto"/>
          <w:color w:val="auto"/>
        </w:rPr>
        <w:t>/s/Roderick R. Baty</w:t>
      </w:r>
    </w:p>
    <w:p>
      <w:pPr>
        <w:spacing w:after="0" w:line="189" w:lineRule="exact"/>
        <w:rPr>
          <w:sz w:val="20"/>
          <w:szCs w:val="20"/>
          <w:color w:val="auto"/>
        </w:rPr>
      </w:pPr>
    </w:p>
    <w:p>
      <w:pPr>
        <w:ind w:left="120"/>
        <w:spacing w:after="0"/>
        <w:rPr>
          <w:sz w:val="20"/>
          <w:szCs w:val="20"/>
          <w:color w:val="auto"/>
        </w:rPr>
      </w:pPr>
      <w:r>
        <w:rPr>
          <w:rFonts w:ascii="Arial" w:cs="Arial" w:eastAsia="Arial" w:hAnsi="Arial"/>
          <w:sz w:val="14"/>
          <w:szCs w:val="14"/>
          <w:color w:val="auto"/>
        </w:rPr>
        <w:t>Roderick R. Baty</w:t>
      </w:r>
    </w:p>
    <w:p>
      <w:pPr>
        <w:spacing w:after="0" w:line="189" w:lineRule="exact"/>
        <w:rPr>
          <w:sz w:val="20"/>
          <w:szCs w:val="20"/>
          <w:color w:val="auto"/>
        </w:rPr>
      </w:pPr>
    </w:p>
    <w:p>
      <w:pPr>
        <w:ind w:left="120"/>
        <w:spacing w:after="0"/>
        <w:rPr>
          <w:sz w:val="20"/>
          <w:szCs w:val="20"/>
          <w:color w:val="auto"/>
        </w:rPr>
      </w:pPr>
      <w:r>
        <w:rPr>
          <w:rFonts w:ascii="Arial" w:cs="Arial" w:eastAsia="Arial" w:hAnsi="Arial"/>
          <w:sz w:val="14"/>
          <w:szCs w:val="14"/>
          <w:u w:val="single" w:color="auto"/>
          <w:color w:val="auto"/>
        </w:rPr>
        <w:t>/s/ James H. Dorton</w:t>
      </w:r>
    </w:p>
    <w:p>
      <w:pPr>
        <w:spacing w:after="0" w:line="189" w:lineRule="exact"/>
        <w:rPr>
          <w:sz w:val="20"/>
          <w:szCs w:val="20"/>
          <w:color w:val="auto"/>
        </w:rPr>
      </w:pPr>
    </w:p>
    <w:p>
      <w:pPr>
        <w:ind w:left="120"/>
        <w:spacing w:after="0"/>
        <w:rPr>
          <w:sz w:val="20"/>
          <w:szCs w:val="20"/>
          <w:color w:val="auto"/>
        </w:rPr>
      </w:pPr>
      <w:r>
        <w:rPr>
          <w:rFonts w:ascii="Arial" w:cs="Arial" w:eastAsia="Arial" w:hAnsi="Arial"/>
          <w:sz w:val="14"/>
          <w:szCs w:val="14"/>
          <w:color w:val="auto"/>
        </w:rPr>
        <w:t>James H. Dorton</w:t>
      </w:r>
    </w:p>
    <w:p>
      <w:pPr>
        <w:spacing w:after="0" w:line="189" w:lineRule="exact"/>
        <w:rPr>
          <w:sz w:val="20"/>
          <w:szCs w:val="20"/>
          <w:color w:val="auto"/>
        </w:rPr>
      </w:pPr>
    </w:p>
    <w:p>
      <w:pPr>
        <w:ind w:left="100"/>
        <w:spacing w:after="0"/>
        <w:rPr>
          <w:sz w:val="20"/>
          <w:szCs w:val="20"/>
          <w:color w:val="auto"/>
        </w:rPr>
      </w:pPr>
      <w:r>
        <w:rPr>
          <w:rFonts w:ascii="Arial" w:cs="Arial" w:eastAsia="Arial" w:hAnsi="Arial"/>
          <w:sz w:val="11"/>
          <w:szCs w:val="11"/>
          <w:u w:val="single" w:color="auto"/>
          <w:color w:val="auto"/>
        </w:rPr>
        <w:t>/s/ Robert M. Aiken, Jr.</w:t>
      </w:r>
    </w:p>
    <w:p>
      <w:pPr>
        <w:spacing w:after="0" w:line="224" w:lineRule="exact"/>
        <w:rPr>
          <w:sz w:val="20"/>
          <w:szCs w:val="20"/>
          <w:color w:val="auto"/>
        </w:rPr>
      </w:pPr>
    </w:p>
    <w:p>
      <w:pPr>
        <w:ind w:left="100"/>
        <w:spacing w:after="0"/>
        <w:rPr>
          <w:sz w:val="20"/>
          <w:szCs w:val="20"/>
          <w:color w:val="auto"/>
        </w:rPr>
      </w:pPr>
      <w:r>
        <w:rPr>
          <w:rFonts w:ascii="Arial" w:cs="Arial" w:eastAsia="Arial" w:hAnsi="Arial"/>
          <w:sz w:val="14"/>
          <w:szCs w:val="14"/>
          <w:color w:val="auto"/>
        </w:rPr>
        <w:t>Robert M. Aiken, Jr.</w:t>
      </w:r>
    </w:p>
    <w:p>
      <w:pPr>
        <w:spacing w:after="0" w:line="189" w:lineRule="exact"/>
        <w:rPr>
          <w:sz w:val="20"/>
          <w:szCs w:val="20"/>
          <w:color w:val="auto"/>
        </w:rPr>
      </w:pPr>
    </w:p>
    <w:p>
      <w:pPr>
        <w:ind w:left="100"/>
        <w:spacing w:after="0"/>
        <w:rPr>
          <w:sz w:val="20"/>
          <w:szCs w:val="20"/>
          <w:color w:val="auto"/>
        </w:rPr>
      </w:pPr>
      <w:r>
        <w:rPr>
          <w:rFonts w:ascii="Arial" w:cs="Arial" w:eastAsia="Arial" w:hAnsi="Arial"/>
          <w:sz w:val="13"/>
          <w:szCs w:val="13"/>
          <w:u w:val="single" w:color="auto"/>
          <w:color w:val="auto"/>
        </w:rPr>
        <w:t>/s/ Michael E. Werner</w:t>
      </w:r>
    </w:p>
    <w:p>
      <w:pPr>
        <w:spacing w:after="0" w:line="201" w:lineRule="exact"/>
        <w:rPr>
          <w:sz w:val="20"/>
          <w:szCs w:val="20"/>
          <w:color w:val="auto"/>
        </w:rPr>
      </w:pPr>
    </w:p>
    <w:p>
      <w:pPr>
        <w:ind w:left="100"/>
        <w:spacing w:after="0"/>
        <w:rPr>
          <w:sz w:val="20"/>
          <w:szCs w:val="20"/>
          <w:color w:val="auto"/>
        </w:rPr>
      </w:pPr>
      <w:r>
        <w:rPr>
          <w:rFonts w:ascii="Arial" w:cs="Arial" w:eastAsia="Arial" w:hAnsi="Arial"/>
          <w:sz w:val="14"/>
          <w:szCs w:val="14"/>
          <w:color w:val="auto"/>
        </w:rPr>
        <w:t>Michael E. Werner</w:t>
      </w:r>
    </w:p>
    <w:p>
      <w:pPr>
        <w:spacing w:after="0" w:line="189" w:lineRule="exact"/>
        <w:rPr>
          <w:sz w:val="20"/>
          <w:szCs w:val="20"/>
          <w:color w:val="auto"/>
        </w:rPr>
      </w:pPr>
    </w:p>
    <w:p>
      <w:pPr>
        <w:ind w:left="100"/>
        <w:spacing w:after="0"/>
        <w:rPr>
          <w:sz w:val="20"/>
          <w:szCs w:val="20"/>
          <w:color w:val="auto"/>
        </w:rPr>
      </w:pPr>
      <w:r>
        <w:rPr>
          <w:rFonts w:ascii="Arial" w:cs="Arial" w:eastAsia="Arial" w:hAnsi="Arial"/>
          <w:sz w:val="14"/>
          <w:szCs w:val="14"/>
          <w:u w:val="single" w:color="auto"/>
          <w:color w:val="auto"/>
        </w:rPr>
        <w:t>/s/ G. Ronald Morris</w:t>
      </w:r>
    </w:p>
    <w:p>
      <w:pPr>
        <w:spacing w:after="0" w:line="189" w:lineRule="exact"/>
        <w:rPr>
          <w:sz w:val="20"/>
          <w:szCs w:val="20"/>
          <w:color w:val="auto"/>
        </w:rPr>
      </w:pPr>
    </w:p>
    <w:p>
      <w:pPr>
        <w:ind w:left="100"/>
        <w:spacing w:after="0"/>
        <w:rPr>
          <w:sz w:val="20"/>
          <w:szCs w:val="20"/>
          <w:color w:val="auto"/>
        </w:rPr>
      </w:pPr>
      <w:r>
        <w:rPr>
          <w:rFonts w:ascii="Arial" w:cs="Arial" w:eastAsia="Arial" w:hAnsi="Arial"/>
          <w:sz w:val="14"/>
          <w:szCs w:val="14"/>
          <w:color w:val="auto"/>
        </w:rPr>
        <w:t>G. Ronald Morris</w:t>
      </w:r>
    </w:p>
    <w:p>
      <w:pPr>
        <w:spacing w:after="0" w:line="189" w:lineRule="exact"/>
        <w:rPr>
          <w:sz w:val="20"/>
          <w:szCs w:val="20"/>
          <w:color w:val="auto"/>
        </w:rPr>
      </w:pPr>
    </w:p>
    <w:p>
      <w:pPr>
        <w:ind w:left="80"/>
        <w:spacing w:after="0"/>
        <w:rPr>
          <w:sz w:val="20"/>
          <w:szCs w:val="20"/>
          <w:color w:val="auto"/>
        </w:rPr>
      </w:pPr>
      <w:r>
        <w:rPr>
          <w:rFonts w:ascii="Arial" w:cs="Arial" w:eastAsia="Arial" w:hAnsi="Arial"/>
          <w:sz w:val="13"/>
          <w:szCs w:val="13"/>
          <w:u w:val="single" w:color="auto"/>
          <w:color w:val="auto"/>
        </w:rPr>
        <w:t>/s/ Steven T. Warshaw</w:t>
      </w:r>
    </w:p>
    <w:p>
      <w:pPr>
        <w:spacing w:after="0" w:line="201" w:lineRule="exact"/>
        <w:rPr>
          <w:sz w:val="20"/>
          <w:szCs w:val="20"/>
          <w:color w:val="auto"/>
        </w:rPr>
      </w:pPr>
    </w:p>
    <w:p>
      <w:pPr>
        <w:ind w:left="80"/>
        <w:spacing w:after="0"/>
        <w:rPr>
          <w:sz w:val="20"/>
          <w:szCs w:val="20"/>
          <w:color w:val="auto"/>
        </w:rPr>
      </w:pPr>
      <w:r>
        <w:rPr>
          <w:rFonts w:ascii="Arial" w:cs="Arial" w:eastAsia="Arial" w:hAnsi="Arial"/>
          <w:sz w:val="14"/>
          <w:szCs w:val="14"/>
          <w:color w:val="auto"/>
        </w:rPr>
        <w:t>Steven T. Warshaw</w:t>
      </w:r>
    </w:p>
    <w:p>
      <w:pPr>
        <w:spacing w:after="0" w:line="12" w:lineRule="exact"/>
        <w:rPr>
          <w:sz w:val="20"/>
          <w:szCs w:val="20"/>
          <w:color w:val="auto"/>
        </w:rPr>
      </w:pPr>
    </w:p>
    <w:p>
      <w:pPr>
        <w:ind w:left="80"/>
        <w:spacing w:after="0"/>
        <w:rPr>
          <w:sz w:val="20"/>
          <w:szCs w:val="20"/>
          <w:color w:val="auto"/>
        </w:rPr>
      </w:pPr>
      <w:r>
        <w:rPr>
          <w:rFonts w:ascii="Arial" w:cs="Arial" w:eastAsia="Arial" w:hAnsi="Arial"/>
          <w:sz w:val="16"/>
          <w:szCs w:val="16"/>
          <w:color w:val="auto"/>
        </w:rPr>
        <w:t>____________</w:t>
      </w:r>
    </w:p>
    <w:p>
      <w:pPr>
        <w:spacing w:after="0" w:line="179" w:lineRule="exact"/>
        <w:rPr>
          <w:sz w:val="20"/>
          <w:szCs w:val="20"/>
          <w:color w:val="auto"/>
        </w:rPr>
      </w:pPr>
    </w:p>
    <w:p>
      <w:pPr>
        <w:ind w:left="100"/>
        <w:spacing w:after="0"/>
        <w:rPr>
          <w:sz w:val="20"/>
          <w:szCs w:val="20"/>
          <w:color w:val="auto"/>
        </w:rPr>
      </w:pPr>
      <w:r>
        <w:rPr>
          <w:rFonts w:ascii="Arial" w:cs="Arial" w:eastAsia="Arial" w:hAnsi="Arial"/>
          <w:sz w:val="14"/>
          <w:szCs w:val="14"/>
          <w:color w:val="auto"/>
        </w:rPr>
        <w:t>Richard G. Fanelli</w:t>
      </w:r>
    </w:p>
    <w:p>
      <w:pPr>
        <w:spacing w:after="0" w:line="20" w:lineRule="exact"/>
        <w:rPr>
          <w:sz w:val="20"/>
          <w:szCs w:val="20"/>
          <w:color w:val="auto"/>
        </w:rPr>
      </w:pPr>
      <w:r>
        <w:rPr>
          <w:sz w:val="20"/>
          <w:szCs w:val="20"/>
          <w:color w:val="auto"/>
        </w:rPr>
        <w:br w:type="column"/>
      </w:r>
    </w:p>
    <w:p>
      <w:pPr>
        <w:spacing w:after="0" w:line="397" w:lineRule="exact"/>
        <w:rPr>
          <w:sz w:val="20"/>
          <w:szCs w:val="20"/>
          <w:color w:val="auto"/>
        </w:rPr>
      </w:pPr>
    </w:p>
    <w:p>
      <w:pPr>
        <w:ind w:left="20"/>
        <w:spacing w:after="0"/>
        <w:rPr>
          <w:sz w:val="20"/>
          <w:szCs w:val="20"/>
          <w:color w:val="auto"/>
        </w:rPr>
      </w:pPr>
      <w:r>
        <w:rPr>
          <w:rFonts w:ascii="Arial" w:cs="Arial" w:eastAsia="Arial" w:hAnsi="Arial"/>
          <w:sz w:val="14"/>
          <w:szCs w:val="14"/>
          <w:u w:val="single" w:color="auto"/>
          <w:color w:val="auto"/>
        </w:rPr>
        <w:t>Title</w:t>
      </w:r>
    </w:p>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Arial" w:cs="Arial" w:eastAsia="Arial" w:hAnsi="Arial"/>
          <w:sz w:val="14"/>
          <w:szCs w:val="14"/>
          <w:color w:val="auto"/>
        </w:rPr>
        <w:t>Chairman of the Board, Chief Executive Officer, President,</w:t>
      </w:r>
    </w:p>
    <w:p>
      <w:pPr>
        <w:spacing w:after="0" w:line="13" w:lineRule="exact"/>
        <w:rPr>
          <w:sz w:val="20"/>
          <w:szCs w:val="20"/>
          <w:color w:val="auto"/>
        </w:rPr>
      </w:pPr>
    </w:p>
    <w:p>
      <w:pPr>
        <w:spacing w:after="0"/>
        <w:rPr>
          <w:sz w:val="20"/>
          <w:szCs w:val="20"/>
          <w:color w:val="auto"/>
        </w:rPr>
      </w:pPr>
      <w:r>
        <w:rPr>
          <w:rFonts w:ascii="Arial" w:cs="Arial" w:eastAsia="Arial" w:hAnsi="Arial"/>
          <w:sz w:val="14"/>
          <w:szCs w:val="14"/>
          <w:color w:val="auto"/>
        </w:rPr>
        <w:t>and Director (principal executive officer)</w:t>
      </w:r>
    </w:p>
    <w:p>
      <w:pPr>
        <w:spacing w:after="0" w:line="355" w:lineRule="exact"/>
        <w:rPr>
          <w:sz w:val="20"/>
          <w:szCs w:val="20"/>
          <w:color w:val="auto"/>
        </w:rPr>
      </w:pPr>
    </w:p>
    <w:p>
      <w:pPr>
        <w:spacing w:after="0"/>
        <w:rPr>
          <w:sz w:val="20"/>
          <w:szCs w:val="20"/>
          <w:color w:val="auto"/>
        </w:rPr>
      </w:pPr>
      <w:r>
        <w:rPr>
          <w:rFonts w:ascii="Arial" w:cs="Arial" w:eastAsia="Arial" w:hAnsi="Arial"/>
          <w:sz w:val="11"/>
          <w:szCs w:val="11"/>
          <w:color w:val="auto"/>
        </w:rPr>
        <w:t>Chief Finanical Officer (principal financial officer) Vice President</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Arial" w:cs="Arial" w:eastAsia="Arial" w:hAnsi="Arial"/>
          <w:sz w:val="14"/>
          <w:szCs w:val="14"/>
          <w:color w:val="auto"/>
        </w:rPr>
        <w:t>Director</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14"/>
          <w:szCs w:val="14"/>
          <w:color w:val="auto"/>
        </w:rPr>
        <w:t>Director</w:t>
      </w: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14"/>
          <w:szCs w:val="14"/>
          <w:color w:val="auto"/>
        </w:rPr>
        <w:t>Director</w:t>
      </w: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Arial" w:cs="Arial" w:eastAsia="Arial" w:hAnsi="Arial"/>
          <w:sz w:val="14"/>
          <w:szCs w:val="14"/>
          <w:color w:val="auto"/>
        </w:rPr>
        <w:t>Director</w:t>
      </w:r>
    </w:p>
    <w:p>
      <w:pPr>
        <w:spacing w:after="0" w:line="375" w:lineRule="exact"/>
        <w:rPr>
          <w:sz w:val="20"/>
          <w:szCs w:val="20"/>
          <w:color w:val="auto"/>
        </w:rPr>
      </w:pPr>
    </w:p>
    <w:p>
      <w:pPr>
        <w:ind w:left="20"/>
        <w:spacing w:after="0"/>
        <w:rPr>
          <w:sz w:val="20"/>
          <w:szCs w:val="20"/>
          <w:color w:val="auto"/>
        </w:rPr>
      </w:pPr>
      <w:r>
        <w:rPr>
          <w:rFonts w:ascii="Arial" w:cs="Arial" w:eastAsia="Arial" w:hAnsi="Arial"/>
          <w:sz w:val="14"/>
          <w:szCs w:val="14"/>
          <w:color w:val="auto"/>
        </w:rPr>
        <w:t>Director</w:t>
      </w:r>
    </w:p>
    <w:p>
      <w:pPr>
        <w:spacing w:after="0" w:line="375" w:lineRule="exact"/>
        <w:rPr>
          <w:sz w:val="20"/>
          <w:szCs w:val="20"/>
          <w:color w:val="auto"/>
        </w:rPr>
      </w:pPr>
    </w:p>
    <w:p>
      <w:pPr>
        <w:sectPr>
          <w:pgSz w:w="11900" w:h="16838" w:orient="portrait"/>
          <w:cols w:equalWidth="0" w:num="2">
            <w:col w:w="2680" w:space="720"/>
            <w:col w:w="7920"/>
          </w:cols>
          <w:pgMar w:left="220" w:top="331" w:right="3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19"/>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58420</wp:posOffset>
            </wp:positionV>
            <wp:extent cx="7298690" cy="3238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98690" cy="32385"/>
                    </a:xfrm>
                    <a:prstGeom prst="rect">
                      <a:avLst/>
                    </a:prstGeom>
                    <a:noFill/>
                  </pic:spPr>
                </pic:pic>
              </a:graphicData>
            </a:graphic>
          </wp:anchor>
        </w:drawing>
      </w:r>
    </w:p>
    <w:p>
      <w:pPr>
        <w:sectPr>
          <w:pgSz w:w="11900" w:h="16838" w:orient="portrait"/>
          <w:cols w:equalWidth="0" w:num="1">
            <w:col w:w="11320"/>
          </w:cols>
          <w:pgMar w:left="220" w:top="331" w:right="359" w:bottom="1440" w:gutter="0" w:footer="0" w:header="0"/>
          <w:type w:val="continuous"/>
        </w:sectPr>
      </w:pPr>
    </w:p>
    <w:bookmarkStart w:id="4" w:name="page5"/>
    <w:bookmarkEnd w:id="4"/>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5" w:name="page6"/>
    <w:bookmarkEnd w:id="5"/>
    <w:p>
      <w:pPr>
        <w:jc w:val="right"/>
        <w:spacing w:after="0"/>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138430</wp:posOffset>
            </wp:positionH>
            <wp:positionV relativeFrom="page">
              <wp:posOffset>88900</wp:posOffset>
            </wp:positionV>
            <wp:extent cx="7298690" cy="292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98690" cy="29210"/>
                    </a:xfrm>
                    <a:prstGeom prst="rect">
                      <a:avLst/>
                    </a:prstGeom>
                    <a:noFill/>
                  </pic:spPr>
                </pic:pic>
              </a:graphicData>
            </a:graphic>
          </wp:anchor>
        </w:drawing>
        <w:t>EXHIBIT 4.3</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NN, INC.</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2005 STOCK INCENTIVE PLAN</w:t>
      </w:r>
    </w:p>
    <w:p>
      <w:pPr>
        <w:spacing w:after="0" w:line="19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ARTICLE I ESTABLISHMENT, OBJECTIVES, AND DURATION</w:t>
      </w:r>
    </w:p>
    <w:p>
      <w:pPr>
        <w:spacing w:after="0" w:line="210" w:lineRule="exact"/>
        <w:rPr>
          <w:sz w:val="20"/>
          <w:szCs w:val="20"/>
          <w:color w:val="auto"/>
        </w:rPr>
      </w:pPr>
    </w:p>
    <w:p>
      <w:pPr>
        <w:jc w:val="both"/>
        <w:ind w:right="60" w:firstLine="494"/>
        <w:spacing w:after="0" w:line="361" w:lineRule="auto"/>
        <w:rPr>
          <w:sz w:val="20"/>
          <w:szCs w:val="20"/>
          <w:color w:val="auto"/>
        </w:rPr>
      </w:pPr>
      <w:r>
        <w:rPr>
          <w:rFonts w:ascii="Arial" w:cs="Arial" w:eastAsia="Arial" w:hAnsi="Arial"/>
          <w:sz w:val="11"/>
          <w:szCs w:val="11"/>
          <w:color w:val="auto"/>
        </w:rPr>
        <w:t xml:space="preserve">1.1 </w:t>
      </w:r>
      <w:r>
        <w:rPr>
          <w:rFonts w:ascii="Arial" w:cs="Arial" w:eastAsia="Arial" w:hAnsi="Arial"/>
          <w:sz w:val="11"/>
          <w:szCs w:val="11"/>
          <w:b w:val="1"/>
          <w:bCs w:val="1"/>
          <w:color w:val="auto"/>
        </w:rPr>
        <w:t>Establishment</w:t>
      </w:r>
      <w:r>
        <w:rPr>
          <w:rFonts w:ascii="Arial" w:cs="Arial" w:eastAsia="Arial" w:hAnsi="Arial"/>
          <w:sz w:val="11"/>
          <w:szCs w:val="11"/>
          <w:color w:val="auto"/>
        </w:rPr>
        <w:t>. NN, Inc., a Delaware corporation (the “Company”), hereby establishes an incentive compensation plan to be known as the “NN, Inc. 2005 Stock Incentive Plan” (the “Plan”), as set forth in this document. The Plan permits the grant of Nonqualified Stock Options, Incentive Stock Options, Stock Appreciation Rights, Restricted Stock, Restricted Stock Units, Performance Shares, Stock Awards, Cash-Based Awards, and Annual Incentive Awards. This Plan is intended to replace the “NN, Inc. Stock Incentive Plan” which was adopted March 2, 1994, and expired March 2, 2004.</w:t>
      </w:r>
    </w:p>
    <w:p>
      <w:pPr>
        <w:spacing w:after="0" w:line="134" w:lineRule="exact"/>
        <w:rPr>
          <w:sz w:val="20"/>
          <w:szCs w:val="20"/>
          <w:color w:val="auto"/>
        </w:rPr>
      </w:pPr>
    </w:p>
    <w:p>
      <w:pPr>
        <w:ind w:left="500"/>
        <w:spacing w:after="0"/>
        <w:rPr>
          <w:sz w:val="20"/>
          <w:szCs w:val="20"/>
          <w:color w:val="auto"/>
        </w:rPr>
      </w:pPr>
      <w:r>
        <w:rPr>
          <w:rFonts w:ascii="Arial" w:cs="Arial" w:eastAsia="Arial" w:hAnsi="Arial"/>
          <w:sz w:val="13"/>
          <w:szCs w:val="13"/>
          <w:color w:val="auto"/>
        </w:rPr>
        <w:t>Subject to approval by the Company’s stockholders, this Plan shall become effective as of May 18, 2005 (the “Effective Date”) and shall remain in effect as provided in Section 1.3 hereof.</w:t>
      </w:r>
    </w:p>
    <w:p>
      <w:pPr>
        <w:spacing w:after="0" w:line="217" w:lineRule="exact"/>
        <w:rPr>
          <w:sz w:val="20"/>
          <w:szCs w:val="20"/>
          <w:color w:val="auto"/>
        </w:rPr>
      </w:pPr>
    </w:p>
    <w:p>
      <w:pPr>
        <w:ind w:right="40" w:firstLine="494"/>
        <w:spacing w:after="0" w:line="361" w:lineRule="auto"/>
        <w:rPr>
          <w:sz w:val="20"/>
          <w:szCs w:val="20"/>
          <w:color w:val="auto"/>
        </w:rPr>
      </w:pPr>
      <w:r>
        <w:rPr>
          <w:rFonts w:ascii="Arial" w:cs="Arial" w:eastAsia="Arial" w:hAnsi="Arial"/>
          <w:sz w:val="11"/>
          <w:szCs w:val="11"/>
          <w:color w:val="auto"/>
        </w:rPr>
        <w:t xml:space="preserve">1.2 </w:t>
      </w:r>
      <w:r>
        <w:rPr>
          <w:rFonts w:ascii="Arial" w:cs="Arial" w:eastAsia="Arial" w:hAnsi="Arial"/>
          <w:sz w:val="11"/>
          <w:szCs w:val="11"/>
          <w:b w:val="1"/>
          <w:bCs w:val="1"/>
          <w:color w:val="auto"/>
        </w:rPr>
        <w:t>Objectives of the Plan</w:t>
      </w:r>
      <w:r>
        <w:rPr>
          <w:rFonts w:ascii="Arial" w:cs="Arial" w:eastAsia="Arial" w:hAnsi="Arial"/>
          <w:sz w:val="11"/>
          <w:szCs w:val="11"/>
          <w:color w:val="auto"/>
        </w:rPr>
        <w:t>. The purpose of the Plan is to promote the interests of the Company and its stockholders by strengthening the Company’s ability to attract, motivate and retain Employees, consultants, advisors and Directors of the Company and its Subsidiaries and Affiliates upon whose judgment, initiative and efforts the financial success and growth of the business of the Company largely depend, and to provide an additional incentive for such individuals through stock ownership and other rights that promote and recognize the financial success and growth of the Company.</w:t>
      </w:r>
    </w:p>
    <w:p>
      <w:pPr>
        <w:spacing w:after="0" w:line="130" w:lineRule="exact"/>
        <w:rPr>
          <w:sz w:val="20"/>
          <w:szCs w:val="20"/>
          <w:color w:val="auto"/>
        </w:rPr>
      </w:pPr>
    </w:p>
    <w:p>
      <w:pPr>
        <w:ind w:firstLine="494"/>
        <w:spacing w:after="0" w:line="254" w:lineRule="auto"/>
        <w:rPr>
          <w:sz w:val="20"/>
          <w:szCs w:val="20"/>
          <w:color w:val="auto"/>
        </w:rPr>
      </w:pPr>
      <w:r>
        <w:rPr>
          <w:rFonts w:ascii="Arial" w:cs="Arial" w:eastAsia="Arial" w:hAnsi="Arial"/>
          <w:sz w:val="14"/>
          <w:szCs w:val="14"/>
          <w:color w:val="auto"/>
        </w:rPr>
        <w:t xml:space="preserve">1.3 </w:t>
      </w:r>
      <w:r>
        <w:rPr>
          <w:rFonts w:ascii="Arial" w:cs="Arial" w:eastAsia="Arial" w:hAnsi="Arial"/>
          <w:sz w:val="14"/>
          <w:szCs w:val="14"/>
          <w:b w:val="1"/>
          <w:bCs w:val="1"/>
          <w:color w:val="auto"/>
        </w:rPr>
        <w:t>Duration of the Plan</w:t>
      </w:r>
      <w:r>
        <w:rPr>
          <w:rFonts w:ascii="Arial" w:cs="Arial" w:eastAsia="Arial" w:hAnsi="Arial"/>
          <w:sz w:val="14"/>
          <w:szCs w:val="14"/>
          <w:color w:val="auto"/>
        </w:rPr>
        <w:t>. The Plan shall commence as of the Effective Date, as described in Section 1.1 hereof, and shall remain in effect, subject to the right of the Board of Directors to amend or terminate the Plan at any time pursuant to Article XVII hereof, until all Shares subject to it shall have been purchased or acquired according to the Plan’s provisions. Notwithstanding the foregoing, in no event shall Incentive Stock Options be awarded to Participants following the tenth anniversary of the Effective Date of this Plan unless and until the stockholders of the Company re-approve the adoption of this Plan prior to such date.</w:t>
      </w:r>
    </w:p>
    <w:p>
      <w:pPr>
        <w:spacing w:after="0" w:line="18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ARTICLE II DEFINITIONS</w:t>
      </w:r>
    </w:p>
    <w:p>
      <w:pPr>
        <w:spacing w:after="0" w:line="214" w:lineRule="exact"/>
        <w:rPr>
          <w:sz w:val="20"/>
          <w:szCs w:val="20"/>
          <w:color w:val="auto"/>
        </w:rPr>
      </w:pPr>
    </w:p>
    <w:p>
      <w:pPr>
        <w:ind w:left="500"/>
        <w:spacing w:after="0"/>
        <w:rPr>
          <w:sz w:val="20"/>
          <w:szCs w:val="20"/>
          <w:color w:val="auto"/>
        </w:rPr>
      </w:pPr>
      <w:r>
        <w:rPr>
          <w:rFonts w:ascii="Arial" w:cs="Arial" w:eastAsia="Arial" w:hAnsi="Arial"/>
          <w:sz w:val="14"/>
          <w:szCs w:val="14"/>
          <w:color w:val="auto"/>
        </w:rPr>
        <w:t>Whenever used in the Plan, the following terms shall have the meanings set forth below, and when the meaning is intended, the initial letter of the word shall be capitalized:</w:t>
      </w:r>
    </w:p>
    <w:p>
      <w:pPr>
        <w:spacing w:after="0" w:line="206" w:lineRule="exact"/>
        <w:rPr>
          <w:sz w:val="20"/>
          <w:szCs w:val="20"/>
          <w:color w:val="auto"/>
        </w:rPr>
      </w:pPr>
    </w:p>
    <w:p>
      <w:pPr>
        <w:ind w:left="500"/>
        <w:spacing w:after="0"/>
        <w:rPr>
          <w:sz w:val="20"/>
          <w:szCs w:val="20"/>
          <w:color w:val="auto"/>
        </w:rPr>
      </w:pPr>
      <w:r>
        <w:rPr>
          <w:rFonts w:ascii="Arial" w:cs="Arial" w:eastAsia="Arial" w:hAnsi="Arial"/>
          <w:sz w:val="14"/>
          <w:szCs w:val="14"/>
          <w:color w:val="auto"/>
        </w:rPr>
        <w:t xml:space="preserve">2.1 </w:t>
      </w:r>
      <w:r>
        <w:rPr>
          <w:rFonts w:ascii="Arial" w:cs="Arial" w:eastAsia="Arial" w:hAnsi="Arial"/>
          <w:sz w:val="14"/>
          <w:szCs w:val="14"/>
          <w:b w:val="1"/>
          <w:bCs w:val="1"/>
          <w:color w:val="auto"/>
        </w:rPr>
        <w:t>“Affiliate”</w:t>
      </w:r>
      <w:r>
        <w:rPr>
          <w:rFonts w:ascii="Arial" w:cs="Arial" w:eastAsia="Arial" w:hAnsi="Arial"/>
          <w:sz w:val="14"/>
          <w:szCs w:val="14"/>
          <w:color w:val="auto"/>
        </w:rPr>
        <w:t xml:space="preserve"> shall have the meaning ascribed to such term in Rule 12b-2 of the General Rules and Regulations of the Exchange Act.</w:t>
      </w:r>
    </w:p>
    <w:p>
      <w:pPr>
        <w:spacing w:after="0" w:line="210" w:lineRule="exact"/>
        <w:rPr>
          <w:sz w:val="20"/>
          <w:szCs w:val="20"/>
          <w:color w:val="auto"/>
        </w:rPr>
      </w:pPr>
    </w:p>
    <w:p>
      <w:pPr>
        <w:ind w:firstLine="494"/>
        <w:spacing w:after="0" w:line="271" w:lineRule="auto"/>
        <w:rPr>
          <w:sz w:val="20"/>
          <w:szCs w:val="20"/>
          <w:color w:val="auto"/>
        </w:rPr>
      </w:pPr>
      <w:r>
        <w:rPr>
          <w:rFonts w:ascii="Arial" w:cs="Arial" w:eastAsia="Arial" w:hAnsi="Arial"/>
          <w:sz w:val="14"/>
          <w:szCs w:val="14"/>
          <w:color w:val="auto"/>
        </w:rPr>
        <w:t xml:space="preserve">2.2 </w:t>
      </w:r>
      <w:r>
        <w:rPr>
          <w:rFonts w:ascii="Arial" w:cs="Arial" w:eastAsia="Arial" w:hAnsi="Arial"/>
          <w:sz w:val="14"/>
          <w:szCs w:val="14"/>
          <w:b w:val="1"/>
          <w:bCs w:val="1"/>
          <w:color w:val="auto"/>
        </w:rPr>
        <w:t>“Award”</w:t>
      </w:r>
      <w:r>
        <w:rPr>
          <w:rFonts w:ascii="Arial" w:cs="Arial" w:eastAsia="Arial" w:hAnsi="Arial"/>
          <w:sz w:val="14"/>
          <w:szCs w:val="14"/>
          <w:color w:val="auto"/>
        </w:rPr>
        <w:t xml:space="preserve"> means, individually or collectively, a grant under this Plan of Nonqualified Stock Options, Incentive Stock Options, Stock Appreciation Rights, Restricted Stock, Restricted Stock Units, Performance Shares, or Stock Awards.</w:t>
      </w:r>
    </w:p>
    <w:p>
      <w:pPr>
        <w:spacing w:after="0" w:line="172" w:lineRule="exact"/>
        <w:rPr>
          <w:sz w:val="20"/>
          <w:szCs w:val="20"/>
          <w:color w:val="auto"/>
        </w:rPr>
      </w:pPr>
    </w:p>
    <w:p>
      <w:pPr>
        <w:ind w:right="100" w:firstLine="494"/>
        <w:spacing w:after="0" w:line="271" w:lineRule="auto"/>
        <w:rPr>
          <w:sz w:val="20"/>
          <w:szCs w:val="20"/>
          <w:color w:val="auto"/>
        </w:rPr>
      </w:pPr>
      <w:r>
        <w:rPr>
          <w:rFonts w:ascii="Arial" w:cs="Arial" w:eastAsia="Arial" w:hAnsi="Arial"/>
          <w:sz w:val="14"/>
          <w:szCs w:val="14"/>
          <w:color w:val="auto"/>
        </w:rPr>
        <w:t xml:space="preserve">2.3 </w:t>
      </w:r>
      <w:r>
        <w:rPr>
          <w:rFonts w:ascii="Arial" w:cs="Arial" w:eastAsia="Arial" w:hAnsi="Arial"/>
          <w:sz w:val="14"/>
          <w:szCs w:val="14"/>
          <w:b w:val="1"/>
          <w:bCs w:val="1"/>
          <w:color w:val="auto"/>
        </w:rPr>
        <w:t>“Award Agreement”</w:t>
      </w:r>
      <w:r>
        <w:rPr>
          <w:rFonts w:ascii="Arial" w:cs="Arial" w:eastAsia="Arial" w:hAnsi="Arial"/>
          <w:sz w:val="14"/>
          <w:szCs w:val="14"/>
          <w:color w:val="auto"/>
        </w:rPr>
        <w:t xml:space="preserve"> means either (i) an agreement entered into by the Company and a Participant setting forth the terms and provisions applicable to an Award granted under this Plan, or (ii) a statement issued by the Company to a Participant describing the terms and provisions of such Award.</w:t>
      </w:r>
    </w:p>
    <w:p>
      <w:pPr>
        <w:spacing w:after="0" w:line="172" w:lineRule="exact"/>
        <w:rPr>
          <w:sz w:val="20"/>
          <w:szCs w:val="20"/>
          <w:color w:val="auto"/>
        </w:rPr>
      </w:pPr>
    </w:p>
    <w:p>
      <w:pPr>
        <w:ind w:left="500"/>
        <w:spacing w:after="0"/>
        <w:rPr>
          <w:sz w:val="20"/>
          <w:szCs w:val="20"/>
          <w:color w:val="auto"/>
        </w:rPr>
      </w:pPr>
      <w:r>
        <w:rPr>
          <w:rFonts w:ascii="Arial" w:cs="Arial" w:eastAsia="Arial" w:hAnsi="Arial"/>
          <w:sz w:val="14"/>
          <w:szCs w:val="14"/>
          <w:color w:val="auto"/>
        </w:rPr>
        <w:t xml:space="preserve">2.4 </w:t>
      </w:r>
      <w:r>
        <w:rPr>
          <w:rFonts w:ascii="Arial" w:cs="Arial" w:eastAsia="Arial" w:hAnsi="Arial"/>
          <w:sz w:val="14"/>
          <w:szCs w:val="14"/>
          <w:b w:val="1"/>
          <w:bCs w:val="1"/>
          <w:color w:val="auto"/>
        </w:rPr>
        <w:t>“Beneficial Owner”</w:t>
      </w:r>
      <w:r>
        <w:rPr>
          <w:rFonts w:ascii="Arial" w:cs="Arial" w:eastAsia="Arial" w:hAnsi="Arial"/>
          <w:sz w:val="14"/>
          <w:szCs w:val="14"/>
          <w:color w:val="auto"/>
        </w:rPr>
        <w:t xml:space="preserve"> or </w:t>
      </w:r>
      <w:r>
        <w:rPr>
          <w:rFonts w:ascii="Arial" w:cs="Arial" w:eastAsia="Arial" w:hAnsi="Arial"/>
          <w:sz w:val="14"/>
          <w:szCs w:val="14"/>
          <w:b w:val="1"/>
          <w:bCs w:val="1"/>
          <w:color w:val="auto"/>
        </w:rPr>
        <w:t>“Beneficial Ownership”</w:t>
      </w:r>
      <w:r>
        <w:rPr>
          <w:rFonts w:ascii="Arial" w:cs="Arial" w:eastAsia="Arial" w:hAnsi="Arial"/>
          <w:sz w:val="14"/>
          <w:szCs w:val="14"/>
          <w:color w:val="auto"/>
        </w:rPr>
        <w:t xml:space="preserve"> shall have the meaning ascribed to such term in Rule 13d-3 of the General Rules and Regulations under the Exchange Act.</w:t>
      </w:r>
    </w:p>
    <w:p>
      <w:pPr>
        <w:spacing w:after="0" w:line="210" w:lineRule="exact"/>
        <w:rPr>
          <w:sz w:val="20"/>
          <w:szCs w:val="20"/>
          <w:color w:val="auto"/>
        </w:rPr>
      </w:pPr>
    </w:p>
    <w:p>
      <w:pPr>
        <w:ind w:left="500"/>
        <w:spacing w:after="0"/>
        <w:rPr>
          <w:sz w:val="20"/>
          <w:szCs w:val="20"/>
          <w:color w:val="auto"/>
        </w:rPr>
      </w:pPr>
      <w:r>
        <w:rPr>
          <w:rFonts w:ascii="Arial" w:cs="Arial" w:eastAsia="Arial" w:hAnsi="Arial"/>
          <w:sz w:val="14"/>
          <w:szCs w:val="14"/>
          <w:color w:val="auto"/>
        </w:rPr>
        <w:t xml:space="preserve">2.5 </w:t>
      </w:r>
      <w:r>
        <w:rPr>
          <w:rFonts w:ascii="Arial" w:cs="Arial" w:eastAsia="Arial" w:hAnsi="Arial"/>
          <w:sz w:val="14"/>
          <w:szCs w:val="14"/>
          <w:b w:val="1"/>
          <w:bCs w:val="1"/>
          <w:color w:val="auto"/>
        </w:rPr>
        <w:t>“Board”</w:t>
      </w:r>
      <w:r>
        <w:rPr>
          <w:rFonts w:ascii="Arial" w:cs="Arial" w:eastAsia="Arial" w:hAnsi="Arial"/>
          <w:sz w:val="14"/>
          <w:szCs w:val="14"/>
          <w:color w:val="auto"/>
        </w:rPr>
        <w:t xml:space="preserve"> or </w:t>
      </w:r>
      <w:r>
        <w:rPr>
          <w:rFonts w:ascii="Arial" w:cs="Arial" w:eastAsia="Arial" w:hAnsi="Arial"/>
          <w:sz w:val="14"/>
          <w:szCs w:val="14"/>
          <w:b w:val="1"/>
          <w:bCs w:val="1"/>
          <w:color w:val="auto"/>
        </w:rPr>
        <w:t>“Board of Directors”</w:t>
      </w:r>
      <w:r>
        <w:rPr>
          <w:rFonts w:ascii="Arial" w:cs="Arial" w:eastAsia="Arial" w:hAnsi="Arial"/>
          <w:sz w:val="14"/>
          <w:szCs w:val="14"/>
          <w:color w:val="auto"/>
        </w:rPr>
        <w:t xml:space="preserve"> means the Board of Directors of the Company.</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1"/>
          <w:szCs w:val="11"/>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48895</wp:posOffset>
            </wp:positionV>
            <wp:extent cx="7285355" cy="190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5355" cy="19050"/>
                    </a:xfrm>
                    <a:prstGeom prst="rect">
                      <a:avLst/>
                    </a:prstGeom>
                    <a:noFill/>
                  </pic:spPr>
                </pic:pic>
              </a:graphicData>
            </a:graphic>
          </wp:anchor>
        </w:drawing>
      </w:r>
    </w:p>
    <w:p>
      <w:pPr>
        <w:sectPr>
          <w:pgSz w:w="11900" w:h="16838" w:orient="portrait"/>
          <w:cols w:equalWidth="0" w:num="1">
            <w:col w:w="11460"/>
          </w:cols>
          <w:pgMar w:left="220" w:top="434" w:right="219" w:bottom="1440" w:gutter="0" w:footer="0" w:header="0"/>
        </w:sectPr>
      </w:pPr>
    </w:p>
    <w:bookmarkStart w:id="6" w:name="page7"/>
    <w:bookmarkEnd w:id="6"/>
    <w:p>
      <w:pPr>
        <w:ind w:left="500"/>
        <w:spacing w:after="0"/>
        <w:rPr>
          <w:sz w:val="20"/>
          <w:szCs w:val="20"/>
          <w:color w:val="auto"/>
        </w:rPr>
      </w:pPr>
      <w:r>
        <w:rPr>
          <w:rFonts w:ascii="Arial" w:cs="Arial" w:eastAsia="Arial" w:hAnsi="Arial"/>
          <w:sz w:val="14"/>
          <w:szCs w:val="14"/>
          <w:color w:val="auto"/>
        </w:rPr>
        <w:t xml:space="preserve">2.6 </w:t>
      </w:r>
      <w:r>
        <w:rPr>
          <w:rFonts w:ascii="Arial" w:cs="Arial" w:eastAsia="Arial" w:hAnsi="Arial"/>
          <w:sz w:val="14"/>
          <w:szCs w:val="14"/>
          <w:b w:val="1"/>
          <w:bCs w:val="1"/>
          <w:color w:val="auto"/>
        </w:rPr>
        <w:t>“Change in Control”</w:t>
      </w:r>
      <w:r>
        <w:rPr>
          <w:rFonts w:ascii="Arial" w:cs="Arial" w:eastAsia="Arial" w:hAnsi="Arial"/>
          <w:sz w:val="14"/>
          <w:szCs w:val="14"/>
          <w:color w:val="auto"/>
        </w:rPr>
        <w:t xml:space="preserve"> of the Company shall be deemed to have occurred as of the first day that any one or more of the following conditions shall have been satisfied:</w:t>
      </w:r>
    </w:p>
    <w:p>
      <w:pPr>
        <w:spacing w:after="0" w:line="214" w:lineRule="exact"/>
        <w:rPr>
          <w:sz w:val="20"/>
          <w:szCs w:val="20"/>
          <w:color w:val="auto"/>
        </w:rPr>
      </w:pPr>
    </w:p>
    <w:p>
      <w:pPr>
        <w:ind w:right="260" w:firstLine="531"/>
        <w:spacing w:after="0" w:line="255" w:lineRule="auto"/>
        <w:tabs>
          <w:tab w:leader="none" w:pos="749" w:val="left"/>
        </w:tabs>
        <w:numPr>
          <w:ilvl w:val="1"/>
          <w:numId w:val="5"/>
        </w:numPr>
        <w:rPr>
          <w:rFonts w:ascii="Arial" w:cs="Arial" w:eastAsia="Arial" w:hAnsi="Arial"/>
          <w:sz w:val="14"/>
          <w:szCs w:val="14"/>
          <w:color w:val="auto"/>
        </w:rPr>
      </w:pPr>
      <w:r>
        <w:rPr>
          <w:rFonts w:ascii="Arial" w:cs="Arial" w:eastAsia="Arial" w:hAnsi="Arial"/>
          <w:sz w:val="14"/>
          <w:szCs w:val="14"/>
          <w:color w:val="auto"/>
        </w:rPr>
        <w:t>Any Person is or becomes the Beneficial Owner, directly or indirectly, of securities of the Company (not including in the securities beneficially owned by such Person any securities acquired directly from the Company or its Affiliates, other than in connection with the acquisition by the Company or its Affiliates of a business) representing more than fifty percent (50%) of either the then outstanding Shares or the combined voting power of the Company’s then outstanding securities; or</w:t>
      </w:r>
    </w:p>
    <w:p>
      <w:pPr>
        <w:spacing w:after="0" w:line="187" w:lineRule="exact"/>
        <w:rPr>
          <w:rFonts w:ascii="Arial" w:cs="Arial" w:eastAsia="Arial" w:hAnsi="Arial"/>
          <w:sz w:val="14"/>
          <w:szCs w:val="14"/>
          <w:color w:val="auto"/>
        </w:rPr>
      </w:pPr>
    </w:p>
    <w:p>
      <w:pPr>
        <w:ind w:firstLine="497"/>
        <w:spacing w:after="0" w:line="330" w:lineRule="auto"/>
        <w:tabs>
          <w:tab w:leader="none" w:pos="723" w:val="left"/>
        </w:tabs>
        <w:numPr>
          <w:ilvl w:val="0"/>
          <w:numId w:val="6"/>
        </w:numPr>
        <w:rPr>
          <w:rFonts w:ascii="Arial" w:cs="Arial" w:eastAsia="Arial" w:hAnsi="Arial"/>
          <w:sz w:val="11"/>
          <w:szCs w:val="11"/>
          <w:color w:val="auto"/>
        </w:rPr>
      </w:pPr>
      <w:r>
        <w:rPr>
          <w:rFonts w:ascii="Arial" w:cs="Arial" w:eastAsia="Arial" w:hAnsi="Arial"/>
          <w:sz w:val="11"/>
          <w:szCs w:val="11"/>
          <w:color w:val="auto"/>
        </w:rPr>
        <w:t>The consummation of an agreement in which the Company agrees to merge or consolidate with any other entity, other than (i) a merger or consolidation which would result in the voting securities of the Company then outstanding immediately prior to such merger or consolidation continuing to represent (either by remaining outstanding or by being converted into voting securities of the surviving entity or any parent thereof), in combination with the ownership of any trustee or other fiduciary holding securities under an employee benefit plan of the Company, more than fifty percent (50%) of the combined voting power of the voting securities of the Company or such surviving entity or any parent thereof outstanding immediately after such merger or consolidation; or (ii) a merger or consolidation effected to implement a recapitalization of the Company (or similar transaction) in which no Person is or becomes the Beneficial Owner, directly or indirectly, of securities of the Company (not including in the securities beneficially owned by such Person any securities acquired directly from the Company or its Affiliates, other than in connection with the acquisition by the Company or its Affiliates of a business) representing more than fifty percent (50%) of either the then outstanding Shares of the Company or the combined voting power of the Company’s then outstanding securities; or</w:t>
      </w:r>
    </w:p>
    <w:p>
      <w:pPr>
        <w:spacing w:after="0" w:line="316" w:lineRule="exact"/>
        <w:rPr>
          <w:rFonts w:ascii="Arial" w:cs="Arial" w:eastAsia="Arial" w:hAnsi="Arial"/>
          <w:sz w:val="11"/>
          <w:szCs w:val="11"/>
          <w:color w:val="auto"/>
        </w:rPr>
      </w:pPr>
    </w:p>
    <w:p>
      <w:pPr>
        <w:ind w:right="60" w:firstLine="497"/>
        <w:spacing w:after="0" w:line="284" w:lineRule="auto"/>
        <w:tabs>
          <w:tab w:leader="none" w:pos="715" w:val="left"/>
        </w:tabs>
        <w:numPr>
          <w:ilvl w:val="0"/>
          <w:numId w:val="6"/>
        </w:numPr>
        <w:rPr>
          <w:rFonts w:ascii="Arial" w:cs="Arial" w:eastAsia="Arial" w:hAnsi="Arial"/>
          <w:sz w:val="13"/>
          <w:szCs w:val="13"/>
          <w:color w:val="auto"/>
        </w:rPr>
      </w:pPr>
      <w:r>
        <w:rPr>
          <w:rFonts w:ascii="Arial" w:cs="Arial" w:eastAsia="Arial" w:hAnsi="Arial"/>
          <w:sz w:val="13"/>
          <w:szCs w:val="13"/>
          <w:color w:val="auto"/>
        </w:rPr>
        <w:t>The consummation of (i) a plan of complete liquidation or dissolution of the Company; or (ii) an agreement for the sale or disposition by the Company of all or substantially all of the Company’s assets, other than a sale or disposition by the Company of all or substantially all of the Company’s assets to an entity, more than fifty percent (50%) of the combined voting power of the voting securities of which are owned by Persons in substantially the same proportions as their ownership of the Company immediately prior to such sale or disposition; or</w:t>
      </w:r>
    </w:p>
    <w:p>
      <w:pPr>
        <w:spacing w:after="0" w:line="169" w:lineRule="exact"/>
        <w:rPr>
          <w:rFonts w:ascii="Arial" w:cs="Arial" w:eastAsia="Arial" w:hAnsi="Arial"/>
          <w:sz w:val="13"/>
          <w:szCs w:val="13"/>
          <w:color w:val="auto"/>
        </w:rPr>
      </w:pPr>
    </w:p>
    <w:p>
      <w:pPr>
        <w:ind w:left="720" w:hanging="223"/>
        <w:spacing w:after="0"/>
        <w:tabs>
          <w:tab w:leader="none" w:pos="720" w:val="left"/>
        </w:tabs>
        <w:numPr>
          <w:ilvl w:val="0"/>
          <w:numId w:val="6"/>
        </w:numPr>
        <w:rPr>
          <w:rFonts w:ascii="Arial" w:cs="Arial" w:eastAsia="Arial" w:hAnsi="Arial"/>
          <w:sz w:val="14"/>
          <w:szCs w:val="14"/>
          <w:color w:val="auto"/>
        </w:rPr>
      </w:pPr>
      <w:r>
        <w:rPr>
          <w:rFonts w:ascii="Arial" w:cs="Arial" w:eastAsia="Arial" w:hAnsi="Arial"/>
          <w:sz w:val="14"/>
          <w:szCs w:val="14"/>
          <w:color w:val="auto"/>
        </w:rPr>
        <w:t>The adoption of a resolution by the Board to the effect that any Person has acquired effective control of the business and affairs of the Company.</w:t>
      </w:r>
    </w:p>
    <w:p>
      <w:pPr>
        <w:spacing w:after="0" w:line="210" w:lineRule="exact"/>
        <w:rPr>
          <w:sz w:val="20"/>
          <w:szCs w:val="20"/>
          <w:color w:val="auto"/>
        </w:rPr>
      </w:pPr>
    </w:p>
    <w:p>
      <w:pPr>
        <w:ind w:firstLine="494"/>
        <w:spacing w:after="0" w:line="277" w:lineRule="auto"/>
        <w:rPr>
          <w:sz w:val="20"/>
          <w:szCs w:val="20"/>
          <w:color w:val="auto"/>
        </w:rPr>
      </w:pPr>
      <w:r>
        <w:rPr>
          <w:rFonts w:ascii="Arial" w:cs="Arial" w:eastAsia="Arial" w:hAnsi="Arial"/>
          <w:sz w:val="13"/>
          <w:szCs w:val="13"/>
          <w:color w:val="auto"/>
        </w:rPr>
        <w:t>Notwithstanding the foregoing, a Change in Control shall not be deemed to have occurred if there is consummated any transaction or series of integrated transactions immediately following which the record holders of the voting securities of the Company immediately prior to such transaction or series of transactions continue to have substantially the same proportionate ownership in an entity which owns all or substantially all of the assets of the company immediately following such transaction or series of transactions. Moreover, a Change in Control will not be deemed to have occurred by reason of a distribution of the voting securities of any of the Company’s Subsidiaries to the stockholders of the Company, or by means of an initial public offering of such securities.</w:t>
      </w:r>
    </w:p>
    <w:p>
      <w:pPr>
        <w:spacing w:after="0" w:line="171" w:lineRule="exact"/>
        <w:rPr>
          <w:sz w:val="20"/>
          <w:szCs w:val="20"/>
          <w:color w:val="auto"/>
        </w:rPr>
      </w:pPr>
    </w:p>
    <w:p>
      <w:pPr>
        <w:ind w:left="500"/>
        <w:spacing w:after="0"/>
        <w:rPr>
          <w:sz w:val="20"/>
          <w:szCs w:val="20"/>
          <w:color w:val="auto"/>
        </w:rPr>
      </w:pPr>
      <w:r>
        <w:rPr>
          <w:rFonts w:ascii="Arial" w:cs="Arial" w:eastAsia="Arial" w:hAnsi="Arial"/>
          <w:sz w:val="14"/>
          <w:szCs w:val="14"/>
          <w:color w:val="auto"/>
        </w:rPr>
        <w:t xml:space="preserve">2.7 </w:t>
      </w:r>
      <w:r>
        <w:rPr>
          <w:rFonts w:ascii="Arial" w:cs="Arial" w:eastAsia="Arial" w:hAnsi="Arial"/>
          <w:sz w:val="14"/>
          <w:szCs w:val="14"/>
          <w:b w:val="1"/>
          <w:bCs w:val="1"/>
          <w:color w:val="auto"/>
        </w:rPr>
        <w:t>“Code”</w:t>
      </w:r>
      <w:r>
        <w:rPr>
          <w:rFonts w:ascii="Arial" w:cs="Arial" w:eastAsia="Arial" w:hAnsi="Arial"/>
          <w:sz w:val="14"/>
          <w:szCs w:val="14"/>
          <w:color w:val="auto"/>
        </w:rPr>
        <w:t xml:space="preserve"> means the Internal Revenue Code of 1986, as amended from time to time.</w:t>
      </w:r>
    </w:p>
    <w:p>
      <w:pPr>
        <w:spacing w:after="0" w:line="210" w:lineRule="exact"/>
        <w:rPr>
          <w:sz w:val="20"/>
          <w:szCs w:val="20"/>
          <w:color w:val="auto"/>
        </w:rPr>
      </w:pPr>
    </w:p>
    <w:p>
      <w:pPr>
        <w:ind w:left="500"/>
        <w:spacing w:after="0"/>
        <w:rPr>
          <w:sz w:val="20"/>
          <w:szCs w:val="20"/>
          <w:color w:val="auto"/>
        </w:rPr>
      </w:pPr>
      <w:r>
        <w:rPr>
          <w:rFonts w:ascii="Arial" w:cs="Arial" w:eastAsia="Arial" w:hAnsi="Arial"/>
          <w:sz w:val="14"/>
          <w:szCs w:val="14"/>
          <w:color w:val="auto"/>
        </w:rPr>
        <w:t xml:space="preserve">2.8 </w:t>
      </w:r>
      <w:r>
        <w:rPr>
          <w:rFonts w:ascii="Arial" w:cs="Arial" w:eastAsia="Arial" w:hAnsi="Arial"/>
          <w:sz w:val="14"/>
          <w:szCs w:val="14"/>
          <w:b w:val="1"/>
          <w:bCs w:val="1"/>
          <w:color w:val="auto"/>
        </w:rPr>
        <w:t>“Committee”</w:t>
      </w:r>
      <w:r>
        <w:rPr>
          <w:rFonts w:ascii="Arial" w:cs="Arial" w:eastAsia="Arial" w:hAnsi="Arial"/>
          <w:sz w:val="14"/>
          <w:szCs w:val="14"/>
          <w:color w:val="auto"/>
        </w:rPr>
        <w:t xml:space="preserve"> means any committee appointed by the Board to administer Awards, as specified in Article III herein.</w:t>
      </w:r>
    </w:p>
    <w:p>
      <w:pPr>
        <w:spacing w:after="0" w:line="210" w:lineRule="exact"/>
        <w:rPr>
          <w:sz w:val="20"/>
          <w:szCs w:val="20"/>
          <w:color w:val="auto"/>
        </w:rPr>
      </w:pPr>
    </w:p>
    <w:p>
      <w:pPr>
        <w:ind w:left="500"/>
        <w:spacing w:after="0"/>
        <w:rPr>
          <w:sz w:val="20"/>
          <w:szCs w:val="20"/>
          <w:color w:val="auto"/>
        </w:rPr>
      </w:pPr>
      <w:r>
        <w:rPr>
          <w:rFonts w:ascii="Arial" w:cs="Arial" w:eastAsia="Arial" w:hAnsi="Arial"/>
          <w:sz w:val="14"/>
          <w:szCs w:val="14"/>
          <w:color w:val="auto"/>
        </w:rPr>
        <w:t xml:space="preserve">2.9 </w:t>
      </w:r>
      <w:r>
        <w:rPr>
          <w:rFonts w:ascii="Arial" w:cs="Arial" w:eastAsia="Arial" w:hAnsi="Arial"/>
          <w:sz w:val="14"/>
          <w:szCs w:val="14"/>
          <w:b w:val="1"/>
          <w:bCs w:val="1"/>
          <w:color w:val="auto"/>
        </w:rPr>
        <w:t>“Company”</w:t>
      </w:r>
      <w:r>
        <w:rPr>
          <w:rFonts w:ascii="Arial" w:cs="Arial" w:eastAsia="Arial" w:hAnsi="Arial"/>
          <w:sz w:val="14"/>
          <w:szCs w:val="14"/>
          <w:color w:val="auto"/>
        </w:rPr>
        <w:t xml:space="preserve"> means NN, Inc., a Delaware corporation, and any successor thereto as provided in Article XIX herein.</w:t>
      </w:r>
    </w:p>
    <w:p>
      <w:pPr>
        <w:spacing w:after="0" w:line="210" w:lineRule="exact"/>
        <w:rPr>
          <w:sz w:val="20"/>
          <w:szCs w:val="20"/>
          <w:color w:val="auto"/>
        </w:rPr>
      </w:pPr>
    </w:p>
    <w:p>
      <w:pPr>
        <w:ind w:right="500" w:firstLine="494"/>
        <w:spacing w:after="0" w:line="271" w:lineRule="auto"/>
        <w:rPr>
          <w:sz w:val="20"/>
          <w:szCs w:val="20"/>
          <w:color w:val="auto"/>
        </w:rPr>
      </w:pPr>
      <w:r>
        <w:rPr>
          <w:rFonts w:ascii="Arial" w:cs="Arial" w:eastAsia="Arial" w:hAnsi="Arial"/>
          <w:sz w:val="14"/>
          <w:szCs w:val="14"/>
          <w:color w:val="auto"/>
        </w:rPr>
        <w:t xml:space="preserve">2.10 </w:t>
      </w:r>
      <w:r>
        <w:rPr>
          <w:rFonts w:ascii="Arial" w:cs="Arial" w:eastAsia="Arial" w:hAnsi="Arial"/>
          <w:sz w:val="14"/>
          <w:szCs w:val="14"/>
          <w:b w:val="1"/>
          <w:bCs w:val="1"/>
          <w:color w:val="auto"/>
        </w:rPr>
        <w:t>“Covered Employee”</w:t>
      </w:r>
      <w:r>
        <w:rPr>
          <w:rFonts w:ascii="Arial" w:cs="Arial" w:eastAsia="Arial" w:hAnsi="Arial"/>
          <w:sz w:val="14"/>
          <w:szCs w:val="14"/>
          <w:color w:val="auto"/>
        </w:rPr>
        <w:t xml:space="preserve"> means a Participant who, as of the anticipated date of vesting and/or payout of an Award, as applicable, is reasonably believed to be one of the group of “covered employees,” as defined in Code Section 162(m), or any successor statute, and the regulations promulgated under Code Section 162(m).</w:t>
      </w: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11"/>
          <w:szCs w:val="11"/>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48895</wp:posOffset>
            </wp:positionV>
            <wp:extent cx="7285355" cy="190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5355" cy="19050"/>
                    </a:xfrm>
                    <a:prstGeom prst="rect">
                      <a:avLst/>
                    </a:prstGeom>
                    <a:noFill/>
                  </pic:spPr>
                </pic:pic>
              </a:graphicData>
            </a:graphic>
          </wp:anchor>
        </w:drawing>
      </w:r>
    </w:p>
    <w:p>
      <w:pPr>
        <w:sectPr>
          <w:pgSz w:w="11900" w:h="16838" w:orient="portrait"/>
          <w:cols w:equalWidth="0" w:num="1">
            <w:col w:w="11440"/>
          </w:cols>
          <w:pgMar w:left="220" w:top="331" w:right="239" w:bottom="1440" w:gutter="0" w:footer="0" w:header="0"/>
        </w:sectPr>
      </w:pPr>
    </w:p>
    <w:bookmarkStart w:id="7" w:name="page8"/>
    <w:bookmarkEnd w:id="7"/>
    <w:p>
      <w:pPr>
        <w:ind w:left="500"/>
        <w:spacing w:after="0"/>
        <w:rPr>
          <w:sz w:val="20"/>
          <w:szCs w:val="20"/>
          <w:color w:val="auto"/>
        </w:rPr>
      </w:pPr>
      <w:r>
        <w:rPr>
          <w:rFonts w:ascii="Arial" w:cs="Arial" w:eastAsia="Arial" w:hAnsi="Arial"/>
          <w:sz w:val="14"/>
          <w:szCs w:val="14"/>
          <w:color w:val="auto"/>
        </w:rPr>
        <w:t xml:space="preserve">2.11 </w:t>
      </w:r>
      <w:r>
        <w:rPr>
          <w:rFonts w:ascii="Arial" w:cs="Arial" w:eastAsia="Arial" w:hAnsi="Arial"/>
          <w:sz w:val="14"/>
          <w:szCs w:val="14"/>
          <w:b w:val="1"/>
          <w:bCs w:val="1"/>
          <w:color w:val="auto"/>
        </w:rPr>
        <w:t>“Director”</w:t>
      </w:r>
      <w:r>
        <w:rPr>
          <w:rFonts w:ascii="Arial" w:cs="Arial" w:eastAsia="Arial" w:hAnsi="Arial"/>
          <w:sz w:val="14"/>
          <w:szCs w:val="14"/>
          <w:color w:val="auto"/>
        </w:rPr>
        <w:t xml:space="preserve"> means any individual who is a member of the Board of Directors of the Company.</w:t>
      </w:r>
    </w:p>
    <w:p>
      <w:pPr>
        <w:spacing w:after="0" w:line="210" w:lineRule="exact"/>
        <w:rPr>
          <w:sz w:val="20"/>
          <w:szCs w:val="20"/>
          <w:color w:val="auto"/>
        </w:rPr>
      </w:pPr>
    </w:p>
    <w:p>
      <w:pPr>
        <w:ind w:left="500"/>
        <w:spacing w:after="0"/>
        <w:rPr>
          <w:sz w:val="20"/>
          <w:szCs w:val="20"/>
          <w:color w:val="auto"/>
        </w:rPr>
      </w:pPr>
      <w:r>
        <w:rPr>
          <w:rFonts w:ascii="Arial" w:cs="Arial" w:eastAsia="Arial" w:hAnsi="Arial"/>
          <w:sz w:val="14"/>
          <w:szCs w:val="14"/>
          <w:color w:val="auto"/>
        </w:rPr>
        <w:t xml:space="preserve">2.12 </w:t>
      </w:r>
      <w:r>
        <w:rPr>
          <w:rFonts w:ascii="Arial" w:cs="Arial" w:eastAsia="Arial" w:hAnsi="Arial"/>
          <w:sz w:val="14"/>
          <w:szCs w:val="14"/>
          <w:b w:val="1"/>
          <w:bCs w:val="1"/>
          <w:color w:val="auto"/>
        </w:rPr>
        <w:t>“Employee”</w:t>
      </w:r>
      <w:r>
        <w:rPr>
          <w:rFonts w:ascii="Arial" w:cs="Arial" w:eastAsia="Arial" w:hAnsi="Arial"/>
          <w:sz w:val="14"/>
          <w:szCs w:val="14"/>
          <w:color w:val="auto"/>
        </w:rPr>
        <w:t xml:space="preserve"> means any employee of the Company or any of its Subsidiaries or Affiliates.</w:t>
      </w:r>
    </w:p>
    <w:p>
      <w:pPr>
        <w:spacing w:after="0" w:line="210" w:lineRule="exact"/>
        <w:rPr>
          <w:sz w:val="20"/>
          <w:szCs w:val="20"/>
          <w:color w:val="auto"/>
        </w:rPr>
      </w:pPr>
    </w:p>
    <w:p>
      <w:pPr>
        <w:ind w:left="500"/>
        <w:spacing w:after="0"/>
        <w:rPr>
          <w:sz w:val="20"/>
          <w:szCs w:val="20"/>
          <w:color w:val="auto"/>
        </w:rPr>
      </w:pPr>
      <w:r>
        <w:rPr>
          <w:rFonts w:ascii="Arial" w:cs="Arial" w:eastAsia="Arial" w:hAnsi="Arial"/>
          <w:sz w:val="14"/>
          <w:szCs w:val="14"/>
          <w:color w:val="auto"/>
        </w:rPr>
        <w:t xml:space="preserve">2.13 </w:t>
      </w:r>
      <w:r>
        <w:rPr>
          <w:rFonts w:ascii="Arial" w:cs="Arial" w:eastAsia="Arial" w:hAnsi="Arial"/>
          <w:sz w:val="14"/>
          <w:szCs w:val="14"/>
          <w:b w:val="1"/>
          <w:bCs w:val="1"/>
          <w:color w:val="auto"/>
        </w:rPr>
        <w:t>“Exchange Act”</w:t>
      </w:r>
      <w:r>
        <w:rPr>
          <w:rFonts w:ascii="Arial" w:cs="Arial" w:eastAsia="Arial" w:hAnsi="Arial"/>
          <w:sz w:val="14"/>
          <w:szCs w:val="14"/>
          <w:color w:val="auto"/>
        </w:rPr>
        <w:t xml:space="preserve"> means the Securities Exchange Act of 1934, as amended from time to time, or any successor act thereto.</w:t>
      </w:r>
    </w:p>
    <w:p>
      <w:pPr>
        <w:spacing w:after="0" w:line="210" w:lineRule="exact"/>
        <w:rPr>
          <w:sz w:val="20"/>
          <w:szCs w:val="20"/>
          <w:color w:val="auto"/>
        </w:rPr>
      </w:pPr>
    </w:p>
    <w:p>
      <w:pPr>
        <w:ind w:firstLine="494"/>
        <w:spacing w:after="0" w:line="271" w:lineRule="auto"/>
        <w:rPr>
          <w:sz w:val="20"/>
          <w:szCs w:val="20"/>
          <w:color w:val="auto"/>
        </w:rPr>
      </w:pPr>
      <w:r>
        <w:rPr>
          <w:rFonts w:ascii="Arial" w:cs="Arial" w:eastAsia="Arial" w:hAnsi="Arial"/>
          <w:sz w:val="14"/>
          <w:szCs w:val="14"/>
          <w:color w:val="auto"/>
        </w:rPr>
        <w:t xml:space="preserve">2.14 </w:t>
      </w:r>
      <w:r>
        <w:rPr>
          <w:rFonts w:ascii="Arial" w:cs="Arial" w:eastAsia="Arial" w:hAnsi="Arial"/>
          <w:sz w:val="14"/>
          <w:szCs w:val="14"/>
          <w:b w:val="1"/>
          <w:bCs w:val="1"/>
          <w:color w:val="auto"/>
        </w:rPr>
        <w:t>“Fair Market Value”</w:t>
      </w:r>
      <w:r>
        <w:rPr>
          <w:rFonts w:ascii="Arial" w:cs="Arial" w:eastAsia="Arial" w:hAnsi="Arial"/>
          <w:sz w:val="14"/>
          <w:szCs w:val="14"/>
          <w:color w:val="auto"/>
        </w:rPr>
        <w:t xml:space="preserve"> means with respect to a Share as of a given date, the last reported per Share sales price on the Nasdaq Stock Market (“Nasdaq”). If the Shares cease to be listed on Nasdaq, the Board shall designate an alternative method of determining the fair market value of the Shares.</w:t>
      </w:r>
    </w:p>
    <w:p>
      <w:pPr>
        <w:spacing w:after="0" w:line="172" w:lineRule="exact"/>
        <w:rPr>
          <w:sz w:val="20"/>
          <w:szCs w:val="20"/>
          <w:color w:val="auto"/>
        </w:rPr>
      </w:pPr>
    </w:p>
    <w:p>
      <w:pPr>
        <w:ind w:left="500"/>
        <w:spacing w:after="0"/>
        <w:rPr>
          <w:sz w:val="20"/>
          <w:szCs w:val="20"/>
          <w:color w:val="auto"/>
        </w:rPr>
      </w:pPr>
      <w:r>
        <w:rPr>
          <w:rFonts w:ascii="Arial" w:cs="Arial" w:eastAsia="Arial" w:hAnsi="Arial"/>
          <w:sz w:val="14"/>
          <w:szCs w:val="14"/>
          <w:color w:val="auto"/>
        </w:rPr>
        <w:t xml:space="preserve">2.15 </w:t>
      </w:r>
      <w:r>
        <w:rPr>
          <w:rFonts w:ascii="Arial" w:cs="Arial" w:eastAsia="Arial" w:hAnsi="Arial"/>
          <w:sz w:val="14"/>
          <w:szCs w:val="14"/>
          <w:b w:val="1"/>
          <w:bCs w:val="1"/>
          <w:color w:val="auto"/>
        </w:rPr>
        <w:t>“Fiscal Year”</w:t>
      </w:r>
      <w:r>
        <w:rPr>
          <w:rFonts w:ascii="Arial" w:cs="Arial" w:eastAsia="Arial" w:hAnsi="Arial"/>
          <w:sz w:val="14"/>
          <w:szCs w:val="14"/>
          <w:color w:val="auto"/>
        </w:rPr>
        <w:t xml:space="preserve"> means the year commencing on January 1 and ending December 31.</w:t>
      </w:r>
    </w:p>
    <w:p>
      <w:pPr>
        <w:spacing w:after="0" w:line="210" w:lineRule="exact"/>
        <w:rPr>
          <w:sz w:val="20"/>
          <w:szCs w:val="20"/>
          <w:color w:val="auto"/>
        </w:rPr>
      </w:pPr>
    </w:p>
    <w:p>
      <w:pPr>
        <w:ind w:left="500"/>
        <w:spacing w:after="0"/>
        <w:rPr>
          <w:sz w:val="20"/>
          <w:szCs w:val="20"/>
          <w:color w:val="auto"/>
        </w:rPr>
      </w:pPr>
      <w:r>
        <w:rPr>
          <w:rFonts w:ascii="Arial" w:cs="Arial" w:eastAsia="Arial" w:hAnsi="Arial"/>
          <w:sz w:val="14"/>
          <w:szCs w:val="14"/>
          <w:color w:val="auto"/>
        </w:rPr>
        <w:t xml:space="preserve">2.16 </w:t>
      </w:r>
      <w:r>
        <w:rPr>
          <w:rFonts w:ascii="Arial" w:cs="Arial" w:eastAsia="Arial" w:hAnsi="Arial"/>
          <w:sz w:val="14"/>
          <w:szCs w:val="14"/>
          <w:b w:val="1"/>
          <w:bCs w:val="1"/>
          <w:color w:val="auto"/>
        </w:rPr>
        <w:t>“Freestanding SAR”</w:t>
      </w:r>
      <w:r>
        <w:rPr>
          <w:rFonts w:ascii="Arial" w:cs="Arial" w:eastAsia="Arial" w:hAnsi="Arial"/>
          <w:sz w:val="14"/>
          <w:szCs w:val="14"/>
          <w:color w:val="auto"/>
        </w:rPr>
        <w:t xml:space="preserve"> means an SAR that is granted independently of any Options, as described in Article VII herein.</w:t>
      </w:r>
    </w:p>
    <w:p>
      <w:pPr>
        <w:spacing w:after="0" w:line="210" w:lineRule="exact"/>
        <w:rPr>
          <w:sz w:val="20"/>
          <w:szCs w:val="20"/>
          <w:color w:val="auto"/>
        </w:rPr>
      </w:pPr>
    </w:p>
    <w:p>
      <w:pPr>
        <w:ind w:right="260" w:firstLine="494"/>
        <w:spacing w:after="0" w:line="271" w:lineRule="auto"/>
        <w:rPr>
          <w:sz w:val="20"/>
          <w:szCs w:val="20"/>
          <w:color w:val="auto"/>
        </w:rPr>
      </w:pPr>
      <w:r>
        <w:rPr>
          <w:rFonts w:ascii="Arial" w:cs="Arial" w:eastAsia="Arial" w:hAnsi="Arial"/>
          <w:sz w:val="14"/>
          <w:szCs w:val="14"/>
          <w:color w:val="auto"/>
        </w:rPr>
        <w:t xml:space="preserve">2.17 </w:t>
      </w:r>
      <w:r>
        <w:rPr>
          <w:rFonts w:ascii="Arial" w:cs="Arial" w:eastAsia="Arial" w:hAnsi="Arial"/>
          <w:sz w:val="14"/>
          <w:szCs w:val="14"/>
          <w:b w:val="1"/>
          <w:bCs w:val="1"/>
          <w:color w:val="auto"/>
        </w:rPr>
        <w:t>“Incentive Stock Option”</w:t>
      </w:r>
      <w:r>
        <w:rPr>
          <w:rFonts w:ascii="Arial" w:cs="Arial" w:eastAsia="Arial" w:hAnsi="Arial"/>
          <w:sz w:val="14"/>
          <w:szCs w:val="14"/>
          <w:color w:val="auto"/>
        </w:rPr>
        <w:t xml:space="preserve"> or </w:t>
      </w:r>
      <w:r>
        <w:rPr>
          <w:rFonts w:ascii="Arial" w:cs="Arial" w:eastAsia="Arial" w:hAnsi="Arial"/>
          <w:sz w:val="14"/>
          <w:szCs w:val="14"/>
          <w:b w:val="1"/>
          <w:bCs w:val="1"/>
          <w:color w:val="auto"/>
        </w:rPr>
        <w:t>“ISO”</w:t>
      </w:r>
      <w:r>
        <w:rPr>
          <w:rFonts w:ascii="Arial" w:cs="Arial" w:eastAsia="Arial" w:hAnsi="Arial"/>
          <w:sz w:val="14"/>
          <w:szCs w:val="14"/>
          <w:color w:val="auto"/>
        </w:rPr>
        <w:t xml:space="preserve"> means an option to purchase Shares granted under Article VI herein and that is designated as an Incentive Stock Option and that is intended to meet the requirements of Code Section 422, or any successor provision.</w:t>
      </w:r>
    </w:p>
    <w:p>
      <w:pPr>
        <w:spacing w:after="0" w:line="172" w:lineRule="exact"/>
        <w:rPr>
          <w:sz w:val="20"/>
          <w:szCs w:val="20"/>
          <w:color w:val="auto"/>
        </w:rPr>
      </w:pPr>
    </w:p>
    <w:p>
      <w:pPr>
        <w:ind w:right="320" w:firstLine="494"/>
        <w:spacing w:after="0" w:line="271" w:lineRule="auto"/>
        <w:rPr>
          <w:sz w:val="20"/>
          <w:szCs w:val="20"/>
          <w:color w:val="auto"/>
        </w:rPr>
      </w:pPr>
      <w:r>
        <w:rPr>
          <w:rFonts w:ascii="Arial" w:cs="Arial" w:eastAsia="Arial" w:hAnsi="Arial"/>
          <w:sz w:val="14"/>
          <w:szCs w:val="14"/>
          <w:color w:val="auto"/>
        </w:rPr>
        <w:t xml:space="preserve">2.18 </w:t>
      </w:r>
      <w:r>
        <w:rPr>
          <w:rFonts w:ascii="Arial" w:cs="Arial" w:eastAsia="Arial" w:hAnsi="Arial"/>
          <w:sz w:val="14"/>
          <w:szCs w:val="14"/>
          <w:b w:val="1"/>
          <w:bCs w:val="1"/>
          <w:color w:val="auto"/>
        </w:rPr>
        <w:t>“Insider”</w:t>
      </w:r>
      <w:r>
        <w:rPr>
          <w:rFonts w:ascii="Arial" w:cs="Arial" w:eastAsia="Arial" w:hAnsi="Arial"/>
          <w:sz w:val="14"/>
          <w:szCs w:val="14"/>
          <w:color w:val="auto"/>
        </w:rPr>
        <w:t xml:space="preserve"> shall mean an individual who is, on the relevant date, an officer, director, or more than ten percent (10%) Beneficial Owner of any class of the Company’s equity securities that is registered pursuant to Section 12 of the Exchange Act, all as determined by the Board in accordance with Section 16 of the Exchange Act.</w:t>
      </w:r>
    </w:p>
    <w:p>
      <w:pPr>
        <w:spacing w:after="0" w:line="172" w:lineRule="exact"/>
        <w:rPr>
          <w:sz w:val="20"/>
          <w:szCs w:val="20"/>
          <w:color w:val="auto"/>
        </w:rPr>
      </w:pPr>
    </w:p>
    <w:p>
      <w:pPr>
        <w:ind w:left="500"/>
        <w:spacing w:after="0"/>
        <w:rPr>
          <w:sz w:val="20"/>
          <w:szCs w:val="20"/>
          <w:color w:val="auto"/>
        </w:rPr>
      </w:pPr>
      <w:r>
        <w:rPr>
          <w:rFonts w:ascii="Arial" w:cs="Arial" w:eastAsia="Arial" w:hAnsi="Arial"/>
          <w:sz w:val="13"/>
          <w:szCs w:val="13"/>
          <w:color w:val="auto"/>
        </w:rPr>
        <w:t xml:space="preserve">2.19 </w:t>
      </w:r>
      <w:r>
        <w:rPr>
          <w:rFonts w:ascii="Arial" w:cs="Arial" w:eastAsia="Arial" w:hAnsi="Arial"/>
          <w:sz w:val="13"/>
          <w:szCs w:val="13"/>
          <w:b w:val="1"/>
          <w:bCs w:val="1"/>
          <w:color w:val="auto"/>
        </w:rPr>
        <w:t>“Nonqualified Stock Option”</w:t>
      </w:r>
      <w:r>
        <w:rPr>
          <w:rFonts w:ascii="Arial" w:cs="Arial" w:eastAsia="Arial" w:hAnsi="Arial"/>
          <w:sz w:val="13"/>
          <w:szCs w:val="13"/>
          <w:color w:val="auto"/>
        </w:rPr>
        <w:t xml:space="preserve"> or </w:t>
      </w:r>
      <w:r>
        <w:rPr>
          <w:rFonts w:ascii="Arial" w:cs="Arial" w:eastAsia="Arial" w:hAnsi="Arial"/>
          <w:sz w:val="13"/>
          <w:szCs w:val="13"/>
          <w:b w:val="1"/>
          <w:bCs w:val="1"/>
          <w:color w:val="auto"/>
        </w:rPr>
        <w:t>“NQSO”</w:t>
      </w:r>
      <w:r>
        <w:rPr>
          <w:rFonts w:ascii="Arial" w:cs="Arial" w:eastAsia="Arial" w:hAnsi="Arial"/>
          <w:sz w:val="13"/>
          <w:szCs w:val="13"/>
          <w:color w:val="auto"/>
        </w:rPr>
        <w:t xml:space="preserve"> means an Option that is not intended to meet the requirements of Code Section 422, or that otherwise does not meet such requirements.</w:t>
      </w:r>
    </w:p>
    <w:p>
      <w:pPr>
        <w:spacing w:after="0" w:line="221" w:lineRule="exact"/>
        <w:rPr>
          <w:sz w:val="20"/>
          <w:szCs w:val="20"/>
          <w:color w:val="auto"/>
        </w:rPr>
      </w:pPr>
    </w:p>
    <w:p>
      <w:pPr>
        <w:ind w:left="500"/>
        <w:spacing w:after="0"/>
        <w:rPr>
          <w:sz w:val="20"/>
          <w:szCs w:val="20"/>
          <w:color w:val="auto"/>
        </w:rPr>
      </w:pPr>
      <w:r>
        <w:rPr>
          <w:rFonts w:ascii="Arial" w:cs="Arial" w:eastAsia="Arial" w:hAnsi="Arial"/>
          <w:sz w:val="14"/>
          <w:szCs w:val="14"/>
          <w:color w:val="auto"/>
        </w:rPr>
        <w:t xml:space="preserve">2.20 </w:t>
      </w:r>
      <w:r>
        <w:rPr>
          <w:rFonts w:ascii="Arial" w:cs="Arial" w:eastAsia="Arial" w:hAnsi="Arial"/>
          <w:sz w:val="14"/>
          <w:szCs w:val="14"/>
          <w:b w:val="1"/>
          <w:bCs w:val="1"/>
          <w:color w:val="auto"/>
        </w:rPr>
        <w:t>“Option”</w:t>
      </w:r>
      <w:r>
        <w:rPr>
          <w:rFonts w:ascii="Arial" w:cs="Arial" w:eastAsia="Arial" w:hAnsi="Arial"/>
          <w:sz w:val="14"/>
          <w:szCs w:val="14"/>
          <w:color w:val="auto"/>
        </w:rPr>
        <w:t xml:space="preserve"> means an Incentive Stock Option or a Nonqualified Stock Option, as described in Article VI herein.</w:t>
      </w:r>
    </w:p>
    <w:p>
      <w:pPr>
        <w:spacing w:after="0" w:line="210" w:lineRule="exact"/>
        <w:rPr>
          <w:sz w:val="20"/>
          <w:szCs w:val="20"/>
          <w:color w:val="auto"/>
        </w:rPr>
      </w:pPr>
    </w:p>
    <w:p>
      <w:pPr>
        <w:ind w:left="500"/>
        <w:spacing w:after="0"/>
        <w:rPr>
          <w:sz w:val="20"/>
          <w:szCs w:val="20"/>
          <w:color w:val="auto"/>
        </w:rPr>
      </w:pPr>
      <w:r>
        <w:rPr>
          <w:rFonts w:ascii="Arial" w:cs="Arial" w:eastAsia="Arial" w:hAnsi="Arial"/>
          <w:sz w:val="14"/>
          <w:szCs w:val="14"/>
          <w:color w:val="auto"/>
        </w:rPr>
        <w:t xml:space="preserve">2.21 </w:t>
      </w:r>
      <w:r>
        <w:rPr>
          <w:rFonts w:ascii="Arial" w:cs="Arial" w:eastAsia="Arial" w:hAnsi="Arial"/>
          <w:sz w:val="14"/>
          <w:szCs w:val="14"/>
          <w:b w:val="1"/>
          <w:bCs w:val="1"/>
          <w:color w:val="auto"/>
        </w:rPr>
        <w:t>“Option Price”</w:t>
      </w:r>
      <w:r>
        <w:rPr>
          <w:rFonts w:ascii="Arial" w:cs="Arial" w:eastAsia="Arial" w:hAnsi="Arial"/>
          <w:sz w:val="14"/>
          <w:szCs w:val="14"/>
          <w:color w:val="auto"/>
        </w:rPr>
        <w:t xml:space="preserve"> means the price at which a Share may be purchased by a Participant pursuant to an Option.</w:t>
      </w:r>
    </w:p>
    <w:p>
      <w:pPr>
        <w:spacing w:after="0" w:line="210" w:lineRule="exact"/>
        <w:rPr>
          <w:sz w:val="20"/>
          <w:szCs w:val="20"/>
          <w:color w:val="auto"/>
        </w:rPr>
      </w:pPr>
    </w:p>
    <w:p>
      <w:pPr>
        <w:ind w:left="500"/>
        <w:spacing w:after="0"/>
        <w:rPr>
          <w:sz w:val="20"/>
          <w:szCs w:val="20"/>
          <w:color w:val="auto"/>
        </w:rPr>
      </w:pPr>
      <w:r>
        <w:rPr>
          <w:rFonts w:ascii="Arial" w:cs="Arial" w:eastAsia="Arial" w:hAnsi="Arial"/>
          <w:sz w:val="14"/>
          <w:szCs w:val="14"/>
          <w:color w:val="auto"/>
        </w:rPr>
        <w:t xml:space="preserve">2.22 </w:t>
      </w:r>
      <w:r>
        <w:rPr>
          <w:rFonts w:ascii="Arial" w:cs="Arial" w:eastAsia="Arial" w:hAnsi="Arial"/>
          <w:sz w:val="14"/>
          <w:szCs w:val="14"/>
          <w:b w:val="1"/>
          <w:bCs w:val="1"/>
          <w:color w:val="auto"/>
        </w:rPr>
        <w:t>“Participant”</w:t>
      </w:r>
      <w:r>
        <w:rPr>
          <w:rFonts w:ascii="Arial" w:cs="Arial" w:eastAsia="Arial" w:hAnsi="Arial"/>
          <w:sz w:val="14"/>
          <w:szCs w:val="14"/>
          <w:color w:val="auto"/>
        </w:rPr>
        <w:t xml:space="preserve"> means an Employee, Director, consultant or advisor who has been selected to receive an Award or who has an outstanding Award granted under the Plan.</w:t>
      </w:r>
    </w:p>
    <w:p>
      <w:pPr>
        <w:spacing w:after="0" w:line="210" w:lineRule="exact"/>
        <w:rPr>
          <w:sz w:val="20"/>
          <w:szCs w:val="20"/>
          <w:color w:val="auto"/>
        </w:rPr>
      </w:pPr>
    </w:p>
    <w:p>
      <w:pPr>
        <w:ind w:left="500"/>
        <w:spacing w:after="0"/>
        <w:rPr>
          <w:sz w:val="20"/>
          <w:szCs w:val="20"/>
          <w:color w:val="auto"/>
        </w:rPr>
      </w:pPr>
      <w:r>
        <w:rPr>
          <w:rFonts w:ascii="Arial" w:cs="Arial" w:eastAsia="Arial" w:hAnsi="Arial"/>
          <w:sz w:val="14"/>
          <w:szCs w:val="14"/>
          <w:color w:val="auto"/>
        </w:rPr>
        <w:t xml:space="preserve">2.23 </w:t>
      </w:r>
      <w:r>
        <w:rPr>
          <w:rFonts w:ascii="Arial" w:cs="Arial" w:eastAsia="Arial" w:hAnsi="Arial"/>
          <w:sz w:val="14"/>
          <w:szCs w:val="14"/>
          <w:b w:val="1"/>
          <w:bCs w:val="1"/>
          <w:color w:val="auto"/>
        </w:rPr>
        <w:t>“Performance-Based Compensation”</w:t>
      </w:r>
      <w:r>
        <w:rPr>
          <w:rFonts w:ascii="Arial" w:cs="Arial" w:eastAsia="Arial" w:hAnsi="Arial"/>
          <w:sz w:val="14"/>
          <w:szCs w:val="14"/>
          <w:color w:val="auto"/>
        </w:rPr>
        <w:t xml:space="preserve"> means an Award that qualifies as performance-based compensation under Code Section 162(m).</w:t>
      </w:r>
    </w:p>
    <w:p>
      <w:pPr>
        <w:spacing w:after="0" w:line="210" w:lineRule="exact"/>
        <w:rPr>
          <w:sz w:val="20"/>
          <w:szCs w:val="20"/>
          <w:color w:val="auto"/>
        </w:rPr>
      </w:pPr>
    </w:p>
    <w:p>
      <w:pPr>
        <w:ind w:right="20" w:firstLine="494"/>
        <w:spacing w:after="0" w:line="271" w:lineRule="auto"/>
        <w:rPr>
          <w:sz w:val="20"/>
          <w:szCs w:val="20"/>
          <w:color w:val="auto"/>
        </w:rPr>
      </w:pPr>
      <w:r>
        <w:rPr>
          <w:rFonts w:ascii="Arial" w:cs="Arial" w:eastAsia="Arial" w:hAnsi="Arial"/>
          <w:sz w:val="14"/>
          <w:szCs w:val="14"/>
          <w:color w:val="auto"/>
        </w:rPr>
        <w:t xml:space="preserve">2.24 </w:t>
      </w:r>
      <w:r>
        <w:rPr>
          <w:rFonts w:ascii="Arial" w:cs="Arial" w:eastAsia="Arial" w:hAnsi="Arial"/>
          <w:sz w:val="14"/>
          <w:szCs w:val="14"/>
          <w:b w:val="1"/>
          <w:bCs w:val="1"/>
          <w:color w:val="auto"/>
        </w:rPr>
        <w:t>“Performance Measures”</w:t>
      </w:r>
      <w:r>
        <w:rPr>
          <w:rFonts w:ascii="Arial" w:cs="Arial" w:eastAsia="Arial" w:hAnsi="Arial"/>
          <w:sz w:val="14"/>
          <w:szCs w:val="14"/>
          <w:color w:val="auto"/>
        </w:rPr>
        <w:t xml:space="preserve"> means measures as described in Article XI, the attainment of which may determine the degree of payout and/or vesting with respect to Awards to Covered Employees that are designated to qualify as Performance-Based Compensation.</w:t>
      </w:r>
    </w:p>
    <w:p>
      <w:pPr>
        <w:spacing w:after="0" w:line="172" w:lineRule="exact"/>
        <w:rPr>
          <w:sz w:val="20"/>
          <w:szCs w:val="20"/>
          <w:color w:val="auto"/>
        </w:rPr>
      </w:pPr>
    </w:p>
    <w:p>
      <w:pPr>
        <w:ind w:left="500"/>
        <w:spacing w:after="0"/>
        <w:rPr>
          <w:sz w:val="20"/>
          <w:szCs w:val="20"/>
          <w:color w:val="auto"/>
        </w:rPr>
      </w:pPr>
      <w:r>
        <w:rPr>
          <w:rFonts w:ascii="Arial" w:cs="Arial" w:eastAsia="Arial" w:hAnsi="Arial"/>
          <w:sz w:val="11"/>
          <w:szCs w:val="11"/>
          <w:color w:val="auto"/>
        </w:rPr>
        <w:t xml:space="preserve">2.25 </w:t>
      </w:r>
      <w:r>
        <w:rPr>
          <w:rFonts w:ascii="Arial" w:cs="Arial" w:eastAsia="Arial" w:hAnsi="Arial"/>
          <w:sz w:val="11"/>
          <w:szCs w:val="11"/>
          <w:b w:val="1"/>
          <w:bCs w:val="1"/>
          <w:color w:val="auto"/>
        </w:rPr>
        <w:t>“Performance Period”</w:t>
      </w:r>
      <w:r>
        <w:rPr>
          <w:rFonts w:ascii="Arial" w:cs="Arial" w:eastAsia="Arial" w:hAnsi="Arial"/>
          <w:sz w:val="11"/>
          <w:szCs w:val="11"/>
          <w:color w:val="auto"/>
        </w:rPr>
        <w:t xml:space="preserve"> means the period of time during which specified performance goals must be met in order to determine the degree of payout and/or vesting with respect to an Award.</w:t>
      </w:r>
    </w:p>
    <w:p>
      <w:pPr>
        <w:spacing w:after="0" w:line="244" w:lineRule="exact"/>
        <w:rPr>
          <w:sz w:val="20"/>
          <w:szCs w:val="20"/>
          <w:color w:val="auto"/>
        </w:rPr>
      </w:pPr>
    </w:p>
    <w:p>
      <w:pPr>
        <w:ind w:left="500"/>
        <w:spacing w:after="0"/>
        <w:rPr>
          <w:sz w:val="20"/>
          <w:szCs w:val="20"/>
          <w:color w:val="auto"/>
        </w:rPr>
      </w:pPr>
      <w:r>
        <w:rPr>
          <w:rFonts w:ascii="Arial" w:cs="Arial" w:eastAsia="Arial" w:hAnsi="Arial"/>
          <w:sz w:val="14"/>
          <w:szCs w:val="14"/>
          <w:color w:val="auto"/>
        </w:rPr>
        <w:t xml:space="preserve">2.26 </w:t>
      </w:r>
      <w:r>
        <w:rPr>
          <w:rFonts w:ascii="Arial" w:cs="Arial" w:eastAsia="Arial" w:hAnsi="Arial"/>
          <w:sz w:val="14"/>
          <w:szCs w:val="14"/>
          <w:b w:val="1"/>
          <w:bCs w:val="1"/>
          <w:color w:val="auto"/>
        </w:rPr>
        <w:t>“Performance Share”</w:t>
      </w:r>
      <w:r>
        <w:rPr>
          <w:rFonts w:ascii="Arial" w:cs="Arial" w:eastAsia="Arial" w:hAnsi="Arial"/>
          <w:sz w:val="14"/>
          <w:szCs w:val="14"/>
          <w:color w:val="auto"/>
        </w:rPr>
        <w:t xml:space="preserve"> means an Award granted to a Participant, as described in Article IX herein.</w:t>
      </w: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1"/>
          <w:szCs w:val="11"/>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48895</wp:posOffset>
            </wp:positionV>
            <wp:extent cx="7285355" cy="190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5355" cy="19050"/>
                    </a:xfrm>
                    <a:prstGeom prst="rect">
                      <a:avLst/>
                    </a:prstGeom>
                    <a:noFill/>
                  </pic:spPr>
                </pic:pic>
              </a:graphicData>
            </a:graphic>
          </wp:anchor>
        </w:drawing>
      </w:r>
    </w:p>
    <w:p>
      <w:pPr>
        <w:sectPr>
          <w:pgSz w:w="11900" w:h="16838" w:orient="portrait"/>
          <w:cols w:equalWidth="0" w:num="1">
            <w:col w:w="11460"/>
          </w:cols>
          <w:pgMar w:left="220" w:top="331" w:right="219" w:bottom="1440" w:gutter="0" w:footer="0" w:header="0"/>
        </w:sectPr>
      </w:pPr>
    </w:p>
    <w:bookmarkStart w:id="8" w:name="page9"/>
    <w:bookmarkEnd w:id="8"/>
    <w:p>
      <w:pPr>
        <w:ind w:right="440" w:firstLine="494"/>
        <w:spacing w:after="0" w:line="271" w:lineRule="auto"/>
        <w:rPr>
          <w:sz w:val="20"/>
          <w:szCs w:val="20"/>
          <w:color w:val="auto"/>
        </w:rPr>
      </w:pPr>
      <w:r>
        <w:rPr>
          <w:rFonts w:ascii="Arial" w:cs="Arial" w:eastAsia="Arial" w:hAnsi="Arial"/>
          <w:sz w:val="14"/>
          <w:szCs w:val="14"/>
          <w:color w:val="auto"/>
        </w:rPr>
        <w:t xml:space="preserve">2.27 </w:t>
      </w:r>
      <w:r>
        <w:rPr>
          <w:rFonts w:ascii="Arial" w:cs="Arial" w:eastAsia="Arial" w:hAnsi="Arial"/>
          <w:sz w:val="14"/>
          <w:szCs w:val="14"/>
          <w:b w:val="1"/>
          <w:bCs w:val="1"/>
          <w:color w:val="auto"/>
        </w:rPr>
        <w:t>“Period of Restriction”</w:t>
      </w:r>
      <w:r>
        <w:rPr>
          <w:rFonts w:ascii="Arial" w:cs="Arial" w:eastAsia="Arial" w:hAnsi="Arial"/>
          <w:sz w:val="14"/>
          <w:szCs w:val="14"/>
          <w:color w:val="auto"/>
        </w:rPr>
        <w:t xml:space="preserve"> means the period when Restricted Stock or Restricted Stock Units are subject to a substantial risk of forfeiture (based on the passage of time, the achievement of performance goals, or upon the occurrence of other events as determined by the Board, at its discretion), as provided in Article VIII herein.</w:t>
      </w:r>
    </w:p>
    <w:p>
      <w:pPr>
        <w:spacing w:after="0" w:line="172" w:lineRule="exact"/>
        <w:rPr>
          <w:sz w:val="20"/>
          <w:szCs w:val="20"/>
          <w:color w:val="auto"/>
        </w:rPr>
      </w:pPr>
    </w:p>
    <w:p>
      <w:pPr>
        <w:ind w:left="500"/>
        <w:spacing w:after="0"/>
        <w:rPr>
          <w:sz w:val="20"/>
          <w:szCs w:val="20"/>
          <w:color w:val="auto"/>
        </w:rPr>
      </w:pPr>
      <w:r>
        <w:rPr>
          <w:rFonts w:ascii="Arial" w:cs="Arial" w:eastAsia="Arial" w:hAnsi="Arial"/>
          <w:sz w:val="11"/>
          <w:szCs w:val="11"/>
          <w:color w:val="auto"/>
        </w:rPr>
        <w:t xml:space="preserve">2.28 </w:t>
      </w:r>
      <w:r>
        <w:rPr>
          <w:rFonts w:ascii="Arial" w:cs="Arial" w:eastAsia="Arial" w:hAnsi="Arial"/>
          <w:sz w:val="11"/>
          <w:szCs w:val="11"/>
          <w:b w:val="1"/>
          <w:bCs w:val="1"/>
          <w:color w:val="auto"/>
        </w:rPr>
        <w:t>“Person”</w:t>
      </w:r>
      <w:r>
        <w:rPr>
          <w:rFonts w:ascii="Arial" w:cs="Arial" w:eastAsia="Arial" w:hAnsi="Arial"/>
          <w:sz w:val="11"/>
          <w:szCs w:val="11"/>
          <w:color w:val="auto"/>
        </w:rPr>
        <w:t xml:space="preserve"> shall have the meaning ascribed to such term in Section 3(a)(9) of the Exchange Act and used in Sections 13(d) and 14(d) thereof, including a “group” as defined in Section 13(d)</w:t>
      </w:r>
    </w:p>
    <w:p>
      <w:pPr>
        <w:spacing w:after="0" w:line="52" w:lineRule="exact"/>
        <w:rPr>
          <w:sz w:val="20"/>
          <w:szCs w:val="20"/>
          <w:color w:val="auto"/>
        </w:rPr>
      </w:pPr>
    </w:p>
    <w:p>
      <w:pPr>
        <w:spacing w:after="0"/>
        <w:rPr>
          <w:sz w:val="20"/>
          <w:szCs w:val="20"/>
          <w:color w:val="auto"/>
        </w:rPr>
      </w:pPr>
      <w:r>
        <w:rPr>
          <w:rFonts w:ascii="Arial" w:cs="Arial" w:eastAsia="Arial" w:hAnsi="Arial"/>
          <w:sz w:val="14"/>
          <w:szCs w:val="14"/>
          <w:color w:val="auto"/>
        </w:rPr>
        <w:t>thereof.</w:t>
      </w:r>
    </w:p>
    <w:p>
      <w:pPr>
        <w:spacing w:after="0" w:line="227" w:lineRule="exact"/>
        <w:rPr>
          <w:sz w:val="20"/>
          <w:szCs w:val="20"/>
          <w:color w:val="auto"/>
        </w:rPr>
      </w:pPr>
    </w:p>
    <w:p>
      <w:pPr>
        <w:ind w:left="960"/>
        <w:spacing w:after="0"/>
        <w:rPr>
          <w:sz w:val="20"/>
          <w:szCs w:val="20"/>
          <w:color w:val="auto"/>
        </w:rPr>
      </w:pPr>
      <w:r>
        <w:rPr>
          <w:rFonts w:ascii="Arial" w:cs="Arial" w:eastAsia="Arial" w:hAnsi="Arial"/>
          <w:sz w:val="14"/>
          <w:szCs w:val="14"/>
          <w:color w:val="auto"/>
        </w:rPr>
        <w:t xml:space="preserve">2.29 </w:t>
      </w:r>
      <w:r>
        <w:rPr>
          <w:rFonts w:ascii="Arial" w:cs="Arial" w:eastAsia="Arial" w:hAnsi="Arial"/>
          <w:sz w:val="14"/>
          <w:szCs w:val="14"/>
          <w:b w:val="1"/>
          <w:bCs w:val="1"/>
          <w:color w:val="auto"/>
        </w:rPr>
        <w:t>“Restricted Stock”</w:t>
      </w:r>
      <w:r>
        <w:rPr>
          <w:rFonts w:ascii="Arial" w:cs="Arial" w:eastAsia="Arial" w:hAnsi="Arial"/>
          <w:sz w:val="14"/>
          <w:szCs w:val="14"/>
          <w:color w:val="auto"/>
        </w:rPr>
        <w:t xml:space="preserve"> means an Award granted to a Participant, as described in Article VIII herein.</w:t>
      </w:r>
    </w:p>
    <w:p>
      <w:pPr>
        <w:spacing w:after="0" w:line="220" w:lineRule="exact"/>
        <w:rPr>
          <w:sz w:val="20"/>
          <w:szCs w:val="20"/>
          <w:color w:val="auto"/>
        </w:rPr>
      </w:pPr>
    </w:p>
    <w:p>
      <w:pPr>
        <w:ind w:left="500"/>
        <w:spacing w:after="0"/>
        <w:rPr>
          <w:sz w:val="20"/>
          <w:szCs w:val="20"/>
          <w:color w:val="auto"/>
        </w:rPr>
      </w:pPr>
      <w:r>
        <w:rPr>
          <w:rFonts w:ascii="Arial" w:cs="Arial" w:eastAsia="Arial" w:hAnsi="Arial"/>
          <w:sz w:val="14"/>
          <w:szCs w:val="14"/>
          <w:color w:val="auto"/>
        </w:rPr>
        <w:t xml:space="preserve">2.30 </w:t>
      </w:r>
      <w:r>
        <w:rPr>
          <w:rFonts w:ascii="Arial" w:cs="Arial" w:eastAsia="Arial" w:hAnsi="Arial"/>
          <w:sz w:val="14"/>
          <w:szCs w:val="14"/>
          <w:b w:val="1"/>
          <w:bCs w:val="1"/>
          <w:color w:val="auto"/>
        </w:rPr>
        <w:t>“Restricted Stock Unit”</w:t>
      </w:r>
      <w:r>
        <w:rPr>
          <w:rFonts w:ascii="Arial" w:cs="Arial" w:eastAsia="Arial" w:hAnsi="Arial"/>
          <w:sz w:val="14"/>
          <w:szCs w:val="14"/>
          <w:color w:val="auto"/>
        </w:rPr>
        <w:t xml:space="preserve"> means an Award granted to a Participant, as described in Article VIII herein.</w:t>
      </w:r>
    </w:p>
    <w:p>
      <w:pPr>
        <w:spacing w:after="0" w:line="210" w:lineRule="exact"/>
        <w:rPr>
          <w:sz w:val="20"/>
          <w:szCs w:val="20"/>
          <w:color w:val="auto"/>
        </w:rPr>
      </w:pPr>
    </w:p>
    <w:p>
      <w:pPr>
        <w:ind w:left="500"/>
        <w:spacing w:after="0"/>
        <w:rPr>
          <w:sz w:val="20"/>
          <w:szCs w:val="20"/>
          <w:color w:val="auto"/>
        </w:rPr>
      </w:pPr>
      <w:r>
        <w:rPr>
          <w:rFonts w:ascii="Arial" w:cs="Arial" w:eastAsia="Arial" w:hAnsi="Arial"/>
          <w:sz w:val="14"/>
          <w:szCs w:val="14"/>
          <w:color w:val="auto"/>
        </w:rPr>
        <w:t xml:space="preserve">2.31 </w:t>
      </w:r>
      <w:r>
        <w:rPr>
          <w:rFonts w:ascii="Arial" w:cs="Arial" w:eastAsia="Arial" w:hAnsi="Arial"/>
          <w:sz w:val="14"/>
          <w:szCs w:val="14"/>
          <w:b w:val="1"/>
          <w:bCs w:val="1"/>
          <w:color w:val="auto"/>
        </w:rPr>
        <w:t>“Shares”</w:t>
      </w:r>
      <w:r>
        <w:rPr>
          <w:rFonts w:ascii="Arial" w:cs="Arial" w:eastAsia="Arial" w:hAnsi="Arial"/>
          <w:sz w:val="14"/>
          <w:szCs w:val="14"/>
          <w:color w:val="auto"/>
        </w:rPr>
        <w:t xml:space="preserve"> means the common stock of the Company, $1.00 par value per share.</w:t>
      </w:r>
    </w:p>
    <w:p>
      <w:pPr>
        <w:spacing w:after="0" w:line="210" w:lineRule="exact"/>
        <w:rPr>
          <w:sz w:val="20"/>
          <w:szCs w:val="20"/>
          <w:color w:val="auto"/>
        </w:rPr>
      </w:pPr>
    </w:p>
    <w:p>
      <w:pPr>
        <w:ind w:left="500"/>
        <w:spacing w:after="0"/>
        <w:rPr>
          <w:sz w:val="20"/>
          <w:szCs w:val="20"/>
          <w:color w:val="auto"/>
        </w:rPr>
      </w:pPr>
      <w:r>
        <w:rPr>
          <w:rFonts w:ascii="Arial" w:cs="Arial" w:eastAsia="Arial" w:hAnsi="Arial"/>
          <w:sz w:val="13"/>
          <w:szCs w:val="13"/>
          <w:color w:val="auto"/>
        </w:rPr>
        <w:t xml:space="preserve">2.32 </w:t>
      </w:r>
      <w:r>
        <w:rPr>
          <w:rFonts w:ascii="Arial" w:cs="Arial" w:eastAsia="Arial" w:hAnsi="Arial"/>
          <w:sz w:val="13"/>
          <w:szCs w:val="13"/>
          <w:b w:val="1"/>
          <w:bCs w:val="1"/>
          <w:color w:val="auto"/>
        </w:rPr>
        <w:t>“Stock Appreciation Right”</w:t>
      </w:r>
      <w:r>
        <w:rPr>
          <w:rFonts w:ascii="Arial" w:cs="Arial" w:eastAsia="Arial" w:hAnsi="Arial"/>
          <w:sz w:val="13"/>
          <w:szCs w:val="13"/>
          <w:color w:val="auto"/>
        </w:rPr>
        <w:t xml:space="preserve"> or </w:t>
      </w:r>
      <w:r>
        <w:rPr>
          <w:rFonts w:ascii="Arial" w:cs="Arial" w:eastAsia="Arial" w:hAnsi="Arial"/>
          <w:sz w:val="13"/>
          <w:szCs w:val="13"/>
          <w:b w:val="1"/>
          <w:bCs w:val="1"/>
          <w:color w:val="auto"/>
        </w:rPr>
        <w:t>“SAR”</w:t>
      </w:r>
      <w:r>
        <w:rPr>
          <w:rFonts w:ascii="Arial" w:cs="Arial" w:eastAsia="Arial" w:hAnsi="Arial"/>
          <w:sz w:val="13"/>
          <w:szCs w:val="13"/>
          <w:color w:val="auto"/>
        </w:rPr>
        <w:t xml:space="preserve"> means an Award, granted alone or in connection with a related Option, designated as an SAR, pursuant to the terms of Article VII herein.</w:t>
      </w:r>
    </w:p>
    <w:p>
      <w:pPr>
        <w:spacing w:after="0" w:line="221" w:lineRule="exact"/>
        <w:rPr>
          <w:sz w:val="20"/>
          <w:szCs w:val="20"/>
          <w:color w:val="auto"/>
        </w:rPr>
      </w:pPr>
    </w:p>
    <w:p>
      <w:pPr>
        <w:ind w:left="500"/>
        <w:spacing w:after="0"/>
        <w:rPr>
          <w:sz w:val="20"/>
          <w:szCs w:val="20"/>
          <w:color w:val="auto"/>
        </w:rPr>
      </w:pPr>
      <w:r>
        <w:rPr>
          <w:rFonts w:ascii="Arial" w:cs="Arial" w:eastAsia="Arial" w:hAnsi="Arial"/>
          <w:sz w:val="14"/>
          <w:szCs w:val="14"/>
          <w:color w:val="auto"/>
        </w:rPr>
        <w:t xml:space="preserve">2.33 </w:t>
      </w:r>
      <w:r>
        <w:rPr>
          <w:rFonts w:ascii="Arial" w:cs="Arial" w:eastAsia="Arial" w:hAnsi="Arial"/>
          <w:sz w:val="14"/>
          <w:szCs w:val="14"/>
          <w:b w:val="1"/>
          <w:bCs w:val="1"/>
          <w:color w:val="auto"/>
        </w:rPr>
        <w:t>“Stock Award”</w:t>
      </w:r>
      <w:r>
        <w:rPr>
          <w:rFonts w:ascii="Arial" w:cs="Arial" w:eastAsia="Arial" w:hAnsi="Arial"/>
          <w:sz w:val="14"/>
          <w:szCs w:val="14"/>
          <w:color w:val="auto"/>
        </w:rPr>
        <w:t xml:space="preserve"> means an Award granted to a Participant, as described in Article X herein.</w:t>
      </w:r>
    </w:p>
    <w:p>
      <w:pPr>
        <w:spacing w:after="0" w:line="210" w:lineRule="exact"/>
        <w:rPr>
          <w:sz w:val="20"/>
          <w:szCs w:val="20"/>
          <w:color w:val="auto"/>
        </w:rPr>
      </w:pPr>
    </w:p>
    <w:p>
      <w:pPr>
        <w:ind w:firstLine="494"/>
        <w:spacing w:after="0" w:line="258" w:lineRule="auto"/>
        <w:rPr>
          <w:sz w:val="20"/>
          <w:szCs w:val="20"/>
          <w:color w:val="auto"/>
        </w:rPr>
      </w:pPr>
      <w:r>
        <w:rPr>
          <w:rFonts w:ascii="Arial" w:cs="Arial" w:eastAsia="Arial" w:hAnsi="Arial"/>
          <w:sz w:val="14"/>
          <w:szCs w:val="14"/>
          <w:color w:val="auto"/>
        </w:rPr>
        <w:t xml:space="preserve">2.34 </w:t>
      </w:r>
      <w:r>
        <w:rPr>
          <w:rFonts w:ascii="Arial" w:cs="Arial" w:eastAsia="Arial" w:hAnsi="Arial"/>
          <w:sz w:val="14"/>
          <w:szCs w:val="14"/>
          <w:b w:val="1"/>
          <w:bCs w:val="1"/>
          <w:color w:val="auto"/>
        </w:rPr>
        <w:t>“Subsidiary”</w:t>
      </w:r>
      <w:r>
        <w:rPr>
          <w:rFonts w:ascii="Arial" w:cs="Arial" w:eastAsia="Arial" w:hAnsi="Arial"/>
          <w:sz w:val="14"/>
          <w:szCs w:val="14"/>
          <w:color w:val="auto"/>
        </w:rPr>
        <w:t xml:space="preserve"> means any corporation, partnership, joint venture, limited liability company, or other entity (other than the Company) in an unbroken chain of entities beginning with the Company if, at the time of the granting of an Award, each of the entities other than the last entity in the unbroken chain owns at least fifty percent (50%) of the total combined voting power in one of the other entities in such chain.</w:t>
      </w:r>
    </w:p>
    <w:p>
      <w:pPr>
        <w:spacing w:after="0" w:line="181" w:lineRule="exact"/>
        <w:rPr>
          <w:sz w:val="20"/>
          <w:szCs w:val="20"/>
          <w:color w:val="auto"/>
        </w:rPr>
      </w:pPr>
    </w:p>
    <w:p>
      <w:pPr>
        <w:ind w:right="180" w:firstLine="494"/>
        <w:spacing w:after="0" w:line="271" w:lineRule="auto"/>
        <w:rPr>
          <w:sz w:val="20"/>
          <w:szCs w:val="20"/>
          <w:color w:val="auto"/>
        </w:rPr>
      </w:pPr>
      <w:r>
        <w:rPr>
          <w:rFonts w:ascii="Arial" w:cs="Arial" w:eastAsia="Arial" w:hAnsi="Arial"/>
          <w:sz w:val="14"/>
          <w:szCs w:val="14"/>
          <w:color w:val="auto"/>
        </w:rPr>
        <w:t xml:space="preserve">2.35 </w:t>
      </w:r>
      <w:r>
        <w:rPr>
          <w:rFonts w:ascii="Arial" w:cs="Arial" w:eastAsia="Arial" w:hAnsi="Arial"/>
          <w:sz w:val="14"/>
          <w:szCs w:val="14"/>
          <w:b w:val="1"/>
          <w:bCs w:val="1"/>
          <w:color w:val="auto"/>
        </w:rPr>
        <w:t>“Tandem SAR”</w:t>
      </w:r>
      <w:r>
        <w:rPr>
          <w:rFonts w:ascii="Arial" w:cs="Arial" w:eastAsia="Arial" w:hAnsi="Arial"/>
          <w:sz w:val="14"/>
          <w:szCs w:val="14"/>
          <w:color w:val="auto"/>
        </w:rPr>
        <w:t xml:space="preserve"> means an SAR that is granted in connection with a related Option pursuant to Article VII herein, the exercise of which shall require forfeiture of the right to purchase a Share under the related Option (and when a Share is purchased under the Option, the Tandem SAR shall similarly be canceled).</w:t>
      </w:r>
    </w:p>
    <w:p>
      <w:pPr>
        <w:spacing w:after="0" w:line="17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ARTICLE III ADMINISTRATION</w:t>
      </w:r>
    </w:p>
    <w:p>
      <w:pPr>
        <w:spacing w:after="0" w:line="210" w:lineRule="exact"/>
        <w:rPr>
          <w:sz w:val="20"/>
          <w:szCs w:val="20"/>
          <w:color w:val="auto"/>
        </w:rPr>
      </w:pPr>
    </w:p>
    <w:p>
      <w:pPr>
        <w:ind w:right="120" w:firstLine="494"/>
        <w:spacing w:after="0" w:line="276" w:lineRule="auto"/>
        <w:rPr>
          <w:sz w:val="20"/>
          <w:szCs w:val="20"/>
          <w:color w:val="auto"/>
        </w:rPr>
      </w:pPr>
      <w:r>
        <w:rPr>
          <w:rFonts w:ascii="Arial" w:cs="Arial" w:eastAsia="Arial" w:hAnsi="Arial"/>
          <w:sz w:val="13"/>
          <w:szCs w:val="13"/>
          <w:color w:val="auto"/>
        </w:rPr>
        <w:t xml:space="preserve">3.1 </w:t>
      </w:r>
      <w:r>
        <w:rPr>
          <w:rFonts w:ascii="Arial" w:cs="Arial" w:eastAsia="Arial" w:hAnsi="Arial"/>
          <w:sz w:val="13"/>
          <w:szCs w:val="13"/>
          <w:b w:val="1"/>
          <w:bCs w:val="1"/>
          <w:color w:val="auto"/>
        </w:rPr>
        <w:t>General</w:t>
      </w:r>
      <w:r>
        <w:rPr>
          <w:rFonts w:ascii="Arial" w:cs="Arial" w:eastAsia="Arial" w:hAnsi="Arial"/>
          <w:sz w:val="13"/>
          <w:szCs w:val="13"/>
          <w:color w:val="auto"/>
        </w:rPr>
        <w:t>. Subject to the terms and conditions of the Plan, the Plan shall be administered by the Board or by the Committee which will consist of three or more persons who satisfy the requirements for a “non-employee director” under Rule 16b-3 promulgated under the Exchange Act and/or the requirements for an “outside director” under Section 162(m) of the Code. The members of the Committee shall be appointed from time to time by, and shall serve at the discretion of, the Board. The Board may delegate to the Committee any or all of the administration of the Plan; provided, however, that the administration of the Plan with respect to Awards granted to Directors who are not Employees may not be so delegated. To the extent that the Board has delegated to the Committee any authority and responsibility under the Plan, all applicable references to the Board in the Plan shall be to the Committee.</w:t>
      </w:r>
    </w:p>
    <w:p>
      <w:pPr>
        <w:spacing w:after="0" w:line="170" w:lineRule="exact"/>
        <w:rPr>
          <w:sz w:val="20"/>
          <w:szCs w:val="20"/>
          <w:color w:val="auto"/>
        </w:rPr>
      </w:pPr>
    </w:p>
    <w:p>
      <w:pPr>
        <w:ind w:right="20" w:firstLine="494"/>
        <w:spacing w:after="0" w:line="254" w:lineRule="auto"/>
        <w:rPr>
          <w:sz w:val="20"/>
          <w:szCs w:val="20"/>
          <w:color w:val="auto"/>
        </w:rPr>
      </w:pPr>
      <w:r>
        <w:rPr>
          <w:rFonts w:ascii="Arial" w:cs="Arial" w:eastAsia="Arial" w:hAnsi="Arial"/>
          <w:sz w:val="14"/>
          <w:szCs w:val="14"/>
          <w:color w:val="auto"/>
        </w:rPr>
        <w:t xml:space="preserve">3.2 </w:t>
      </w:r>
      <w:r>
        <w:rPr>
          <w:rFonts w:ascii="Arial" w:cs="Arial" w:eastAsia="Arial" w:hAnsi="Arial"/>
          <w:sz w:val="14"/>
          <w:szCs w:val="14"/>
          <w:b w:val="1"/>
          <w:bCs w:val="1"/>
          <w:color w:val="auto"/>
        </w:rPr>
        <w:t>Authority of the Board</w:t>
      </w:r>
      <w:r>
        <w:rPr>
          <w:rFonts w:ascii="Arial" w:cs="Arial" w:eastAsia="Arial" w:hAnsi="Arial"/>
          <w:sz w:val="14"/>
          <w:szCs w:val="14"/>
          <w:color w:val="auto"/>
        </w:rPr>
        <w:t>. Except as limited by law or by the Certificate of Incorporation or Bylaws of the Company, and subject to the provisions herein, the Board shall have full power to select Employees, Directors, consultants and advisors who shall participate in the Plan; determine the sizes and types of Awards; determine the terms and conditions of Awards in a manner consistent with the Plan; construe and interpret the Plan and any agreement or instrument entered into under the Plan; and establish, amend, or waive rules and regulations for the Plan’s administration. Further, the Board shall make all other determinations that may be necessary or advisable for the administration of the Plan.</w:t>
      </w:r>
    </w:p>
    <w:p>
      <w:pPr>
        <w:spacing w:after="0" w:line="184" w:lineRule="exact"/>
        <w:rPr>
          <w:sz w:val="20"/>
          <w:szCs w:val="20"/>
          <w:color w:val="auto"/>
        </w:rPr>
      </w:pPr>
    </w:p>
    <w:p>
      <w:pPr>
        <w:ind w:right="40" w:firstLine="494"/>
        <w:spacing w:after="0" w:line="258" w:lineRule="auto"/>
        <w:rPr>
          <w:sz w:val="20"/>
          <w:szCs w:val="20"/>
          <w:color w:val="auto"/>
        </w:rPr>
      </w:pPr>
      <w:r>
        <w:rPr>
          <w:rFonts w:ascii="Arial" w:cs="Arial" w:eastAsia="Arial" w:hAnsi="Arial"/>
          <w:sz w:val="14"/>
          <w:szCs w:val="14"/>
          <w:color w:val="auto"/>
        </w:rPr>
        <w:t xml:space="preserve">3.3 </w:t>
      </w:r>
      <w:r>
        <w:rPr>
          <w:rFonts w:ascii="Arial" w:cs="Arial" w:eastAsia="Arial" w:hAnsi="Arial"/>
          <w:sz w:val="14"/>
          <w:szCs w:val="14"/>
          <w:b w:val="1"/>
          <w:bCs w:val="1"/>
          <w:color w:val="auto"/>
        </w:rPr>
        <w:t>Delegation to Officers</w:t>
      </w:r>
      <w:r>
        <w:rPr>
          <w:rFonts w:ascii="Arial" w:cs="Arial" w:eastAsia="Arial" w:hAnsi="Arial"/>
          <w:sz w:val="14"/>
          <w:szCs w:val="14"/>
          <w:color w:val="auto"/>
        </w:rPr>
        <w:t>. Except as limited by law, the Board or the Committee may authorize one or more officers of the Company to do one or both of the following: (i) designate Employees, consultants and advisors of the Company or any of its Subsidiaries to be recipients of Awards, and (ii) determine the size, terms and conditions of any Award; provided, however, that no such authority may be delegated with respect to Awards made to any Insider, Covered Employee, or Director who is not an Employee.</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1"/>
          <w:szCs w:val="11"/>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48895</wp:posOffset>
            </wp:positionV>
            <wp:extent cx="7285355" cy="190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5355" cy="19050"/>
                    </a:xfrm>
                    <a:prstGeom prst="rect">
                      <a:avLst/>
                    </a:prstGeom>
                    <a:noFill/>
                  </pic:spPr>
                </pic:pic>
              </a:graphicData>
            </a:graphic>
          </wp:anchor>
        </w:drawing>
      </w:r>
    </w:p>
    <w:p>
      <w:pPr>
        <w:sectPr>
          <w:pgSz w:w="11900" w:h="16838" w:orient="portrait"/>
          <w:cols w:equalWidth="0" w:num="1">
            <w:col w:w="11460"/>
          </w:cols>
          <w:pgMar w:left="220" w:top="125" w:right="219" w:bottom="1440" w:gutter="0" w:footer="0" w:header="0"/>
        </w:sectPr>
      </w:pPr>
    </w:p>
    <w:bookmarkStart w:id="9" w:name="page10"/>
    <w:bookmarkEnd w:id="9"/>
    <w:p>
      <w:pPr>
        <w:ind w:right="200" w:firstLine="494"/>
        <w:spacing w:after="0" w:line="271" w:lineRule="auto"/>
        <w:rPr>
          <w:sz w:val="20"/>
          <w:szCs w:val="20"/>
          <w:color w:val="auto"/>
        </w:rPr>
      </w:pPr>
      <w:r>
        <w:rPr>
          <w:rFonts w:ascii="Arial" w:cs="Arial" w:eastAsia="Arial" w:hAnsi="Arial"/>
          <w:sz w:val="14"/>
          <w:szCs w:val="14"/>
          <w:color w:val="auto"/>
        </w:rPr>
        <w:t xml:space="preserve">3.4 </w:t>
      </w:r>
      <w:r>
        <w:rPr>
          <w:rFonts w:ascii="Arial" w:cs="Arial" w:eastAsia="Arial" w:hAnsi="Arial"/>
          <w:sz w:val="14"/>
          <w:szCs w:val="14"/>
          <w:b w:val="1"/>
          <w:bCs w:val="1"/>
          <w:color w:val="auto"/>
        </w:rPr>
        <w:t>Decisions Binding</w:t>
      </w:r>
      <w:r>
        <w:rPr>
          <w:rFonts w:ascii="Arial" w:cs="Arial" w:eastAsia="Arial" w:hAnsi="Arial"/>
          <w:sz w:val="14"/>
          <w:szCs w:val="14"/>
          <w:color w:val="auto"/>
        </w:rPr>
        <w:t>. All determinations and decisions made by the Board pursuant to the provisions of the Plan and all related orders and resolutions of the Board shall be final, conclusive, and binding on all persons, including the Company, its stockholders, Directors, Employees, Participants, and their estates and beneficiaries.</w:t>
      </w:r>
    </w:p>
    <w:p>
      <w:pPr>
        <w:spacing w:after="0" w:line="17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ARTICLE IV SHARES SUBJECT TO THE PLAN AND MAXIMUM AWARDS</w:t>
      </w:r>
    </w:p>
    <w:p>
      <w:pPr>
        <w:spacing w:after="0" w:line="210" w:lineRule="exact"/>
        <w:rPr>
          <w:sz w:val="20"/>
          <w:szCs w:val="20"/>
          <w:color w:val="auto"/>
        </w:rPr>
      </w:pPr>
    </w:p>
    <w:p>
      <w:pPr>
        <w:ind w:right="80" w:firstLine="494"/>
        <w:spacing w:after="0" w:line="254" w:lineRule="auto"/>
        <w:rPr>
          <w:sz w:val="20"/>
          <w:szCs w:val="20"/>
          <w:color w:val="auto"/>
        </w:rPr>
      </w:pPr>
      <w:r>
        <w:rPr>
          <w:rFonts w:ascii="Arial" w:cs="Arial" w:eastAsia="Arial" w:hAnsi="Arial"/>
          <w:sz w:val="14"/>
          <w:szCs w:val="14"/>
          <w:color w:val="auto"/>
        </w:rPr>
        <w:t xml:space="preserve">4.1 </w:t>
      </w:r>
      <w:r>
        <w:rPr>
          <w:rFonts w:ascii="Arial" w:cs="Arial" w:eastAsia="Arial" w:hAnsi="Arial"/>
          <w:sz w:val="14"/>
          <w:szCs w:val="14"/>
          <w:b w:val="1"/>
          <w:bCs w:val="1"/>
          <w:color w:val="auto"/>
        </w:rPr>
        <w:t>Number of Shares Available for Awards</w:t>
      </w:r>
      <w:r>
        <w:rPr>
          <w:rFonts w:ascii="Arial" w:cs="Arial" w:eastAsia="Arial" w:hAnsi="Arial"/>
          <w:sz w:val="14"/>
          <w:szCs w:val="14"/>
          <w:color w:val="auto"/>
        </w:rPr>
        <w:t>. Subject to adjustment as provided in Section 4.2 herein, the number of Shares hereby reserved for issuance to Participants under the Plan shall be 1,000,000 shares in the form of Options or SARs and 300,000 shares in the form of Restricted Stock, Restricted Stock Units, Performance Shares, or Stock Awards. Subject to the limit set forth in this section 4.1 on the number of shares of Shares that may be issued in the aggregate under this Plan, the maximum number of Shares that may be issued pursuant to ISOs shall be 1,000,000, all of which may be granted to one Participant.</w:t>
      </w:r>
    </w:p>
    <w:p>
      <w:pPr>
        <w:spacing w:after="0" w:line="188" w:lineRule="exact"/>
        <w:rPr>
          <w:sz w:val="20"/>
          <w:szCs w:val="20"/>
          <w:color w:val="auto"/>
        </w:rPr>
      </w:pPr>
    </w:p>
    <w:p>
      <w:pPr>
        <w:ind w:firstLine="494"/>
        <w:spacing w:after="0" w:line="335" w:lineRule="auto"/>
        <w:rPr>
          <w:sz w:val="20"/>
          <w:szCs w:val="20"/>
          <w:color w:val="auto"/>
        </w:rPr>
      </w:pPr>
      <w:r>
        <w:rPr>
          <w:rFonts w:ascii="Arial" w:cs="Arial" w:eastAsia="Arial" w:hAnsi="Arial"/>
          <w:sz w:val="11"/>
          <w:szCs w:val="11"/>
          <w:color w:val="auto"/>
        </w:rPr>
        <w:t>4.2 Unless determined otherwise by the Board, Shares related to Awards that are forfeited, terminated, expire unexercised, tendered by a Participant to the Company in connection with the exercise of an Award (excluding shares previously acquired by a Participant), shall be available for other Awards. Awards settled in cash rather than Shares shall not reduce the number of Shares available for issuance under the Plan. Shares surrendered or withheld from issuance in connection with a Participant’s payment of tax withholding liability, or settled in such other manner so that a portion or all of the Shares included in an Award are not issued to a Participant, will not increase the number of Shares available under the Plan. With respect to SARS, when a share-settled SAR is exercised, the Shares subject to a SAR Award shall be counted against the Shares available for issuance as one Share for every Share subject thereto, regardless of the number of Shares used to settle the SAR upon exercise.</w:t>
      </w:r>
    </w:p>
    <w:p>
      <w:pPr>
        <w:spacing w:after="0" w:line="143" w:lineRule="exact"/>
        <w:rPr>
          <w:sz w:val="20"/>
          <w:szCs w:val="20"/>
          <w:color w:val="auto"/>
        </w:rPr>
      </w:pPr>
    </w:p>
    <w:p>
      <w:pPr>
        <w:ind w:right="140" w:firstLine="494"/>
        <w:spacing w:after="0" w:line="337" w:lineRule="auto"/>
        <w:rPr>
          <w:sz w:val="20"/>
          <w:szCs w:val="20"/>
          <w:color w:val="auto"/>
        </w:rPr>
      </w:pPr>
      <w:r>
        <w:rPr>
          <w:rFonts w:ascii="Arial" w:cs="Arial" w:eastAsia="Arial" w:hAnsi="Arial"/>
          <w:sz w:val="11"/>
          <w:szCs w:val="11"/>
          <w:color w:val="auto"/>
        </w:rPr>
        <w:t xml:space="preserve">4.3 </w:t>
      </w:r>
      <w:r>
        <w:rPr>
          <w:rFonts w:ascii="Arial" w:cs="Arial" w:eastAsia="Arial" w:hAnsi="Arial"/>
          <w:sz w:val="11"/>
          <w:szCs w:val="11"/>
          <w:b w:val="1"/>
          <w:bCs w:val="1"/>
          <w:color w:val="auto"/>
        </w:rPr>
        <w:t>Adjustments in Authorized Shares</w:t>
      </w:r>
      <w:r>
        <w:rPr>
          <w:rFonts w:ascii="Arial" w:cs="Arial" w:eastAsia="Arial" w:hAnsi="Arial"/>
          <w:sz w:val="11"/>
          <w:szCs w:val="11"/>
          <w:color w:val="auto"/>
        </w:rPr>
        <w:t>. In the event of any corporate event or transaction such as a merger, consolidation, reorganization, recapitalization, separation, stock dividend, stock split, reverse stock split, split up, spin-off, or other distribution of stock or property of the Company, combination of shares, exchange of shares, dividend in kind or other like change in capital structure or distribution (other than normal cash dividends) to stockholders of the Company, or any similar corporate event or transaction, the Board, in its sole discretion, in order to prevent dilution or enlargement of Participants’ rights under the Plan, shall substitute or adjust, in an equitable manner, as applicable, the number and kind of Shares that may be issued under the Plan, the number and kind of Shares subject to outstanding Awards, the exercise price applicable to outstanding Awards, the Award limits, the Fair Market Value of the Shares, and other value determinations applicable to outstanding Awards.</w:t>
      </w:r>
    </w:p>
    <w:p>
      <w:pPr>
        <w:spacing w:after="0" w:line="146" w:lineRule="exact"/>
        <w:rPr>
          <w:sz w:val="20"/>
          <w:szCs w:val="20"/>
          <w:color w:val="auto"/>
        </w:rPr>
      </w:pPr>
    </w:p>
    <w:p>
      <w:pPr>
        <w:ind w:right="40" w:firstLine="494"/>
        <w:spacing w:after="0" w:line="265" w:lineRule="auto"/>
        <w:rPr>
          <w:sz w:val="20"/>
          <w:szCs w:val="20"/>
          <w:color w:val="auto"/>
        </w:rPr>
      </w:pPr>
      <w:r>
        <w:rPr>
          <w:rFonts w:ascii="Arial" w:cs="Arial" w:eastAsia="Arial" w:hAnsi="Arial"/>
          <w:sz w:val="14"/>
          <w:szCs w:val="14"/>
          <w:color w:val="auto"/>
        </w:rPr>
        <w:t>Appropriate adjustments may also be made by the Board in the terms of any Awards under the Plan to reflect such changes or distributions and to modify any other terms of outstanding Awards on an equitable basis, including modifications of performance targets and changes in the length of Performance Periods.</w:t>
      </w:r>
    </w:p>
    <w:p>
      <w:pPr>
        <w:spacing w:after="0" w:line="180" w:lineRule="exact"/>
        <w:rPr>
          <w:sz w:val="20"/>
          <w:szCs w:val="20"/>
          <w:color w:val="auto"/>
        </w:rPr>
      </w:pPr>
    </w:p>
    <w:p>
      <w:pPr>
        <w:ind w:right="80" w:firstLine="494"/>
        <w:spacing w:after="0" w:line="252" w:lineRule="auto"/>
        <w:rPr>
          <w:sz w:val="20"/>
          <w:szCs w:val="20"/>
          <w:color w:val="auto"/>
        </w:rPr>
      </w:pPr>
      <w:r>
        <w:rPr>
          <w:rFonts w:ascii="Arial" w:cs="Arial" w:eastAsia="Arial" w:hAnsi="Arial"/>
          <w:sz w:val="14"/>
          <w:szCs w:val="14"/>
          <w:color w:val="auto"/>
        </w:rPr>
        <w:t>The Board is authorized to make adjustments to the terms and conditions of, and the criteria included in, Awards in recognition of unusual or nonrecurring events affecting the Company or the financial statements of the Company, or in response to changes in applicable laws, regulations, or accounting principles; provided that no adjustment may be made with respect to Options, Stock Appreciation Rights, or Awards to Covered Employees intended to constitute Performance-Based Compensation. The determination of the Board as to the foregoing adjustments, if any, shall be conclusive and binding on Participants under the Plan.</w:t>
      </w:r>
    </w:p>
    <w:p>
      <w:pPr>
        <w:spacing w:after="0" w:line="18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ARTICLE V ELIGIBILITY AND PARTICIPATION</w:t>
      </w:r>
    </w:p>
    <w:p>
      <w:pPr>
        <w:spacing w:after="0" w:line="210" w:lineRule="exact"/>
        <w:rPr>
          <w:sz w:val="20"/>
          <w:szCs w:val="20"/>
          <w:color w:val="auto"/>
        </w:rPr>
      </w:pPr>
    </w:p>
    <w:p>
      <w:pPr>
        <w:ind w:left="500"/>
        <w:spacing w:after="0"/>
        <w:rPr>
          <w:sz w:val="20"/>
          <w:szCs w:val="20"/>
          <w:color w:val="auto"/>
        </w:rPr>
      </w:pPr>
      <w:r>
        <w:rPr>
          <w:rFonts w:ascii="Arial" w:cs="Arial" w:eastAsia="Arial" w:hAnsi="Arial"/>
          <w:sz w:val="14"/>
          <w:szCs w:val="14"/>
          <w:color w:val="auto"/>
        </w:rPr>
        <w:t xml:space="preserve">5.1 </w:t>
      </w:r>
      <w:r>
        <w:rPr>
          <w:rFonts w:ascii="Arial" w:cs="Arial" w:eastAsia="Arial" w:hAnsi="Arial"/>
          <w:sz w:val="14"/>
          <w:szCs w:val="14"/>
          <w:b w:val="1"/>
          <w:bCs w:val="1"/>
          <w:color w:val="auto"/>
        </w:rPr>
        <w:t>Eligibility</w:t>
      </w:r>
      <w:r>
        <w:rPr>
          <w:rFonts w:ascii="Arial" w:cs="Arial" w:eastAsia="Arial" w:hAnsi="Arial"/>
          <w:sz w:val="14"/>
          <w:szCs w:val="14"/>
          <w:color w:val="auto"/>
        </w:rPr>
        <w:t>. Persons eligible to participate in this Plan include Employees, Directors, consultants and advisors of the Company and its Affiliates and Subsidiaries.</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1"/>
          <w:szCs w:val="11"/>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48895</wp:posOffset>
            </wp:positionV>
            <wp:extent cx="7285355" cy="190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5355" cy="19050"/>
                    </a:xfrm>
                    <a:prstGeom prst="rect">
                      <a:avLst/>
                    </a:prstGeom>
                    <a:noFill/>
                  </pic:spPr>
                </pic:pic>
              </a:graphicData>
            </a:graphic>
          </wp:anchor>
        </w:drawing>
      </w:r>
    </w:p>
    <w:p>
      <w:pPr>
        <w:sectPr>
          <w:pgSz w:w="11900" w:h="16838" w:orient="portrait"/>
          <w:cols w:equalWidth="0" w:num="1">
            <w:col w:w="11460"/>
          </w:cols>
          <w:pgMar w:left="220" w:top="331" w:right="219" w:bottom="1440" w:gutter="0" w:footer="0" w:header="0"/>
        </w:sectPr>
      </w:pPr>
    </w:p>
    <w:bookmarkStart w:id="10" w:name="page11"/>
    <w:bookmarkEnd w:id="10"/>
    <w:p>
      <w:pPr>
        <w:ind w:right="160" w:firstLine="494"/>
        <w:spacing w:after="0" w:line="411" w:lineRule="auto"/>
        <w:rPr>
          <w:sz w:val="20"/>
          <w:szCs w:val="20"/>
          <w:color w:val="auto"/>
        </w:rPr>
      </w:pPr>
      <w:r>
        <w:rPr>
          <w:rFonts w:ascii="Arial" w:cs="Arial" w:eastAsia="Arial" w:hAnsi="Arial"/>
          <w:sz w:val="11"/>
          <w:szCs w:val="11"/>
          <w:color w:val="auto"/>
        </w:rPr>
        <w:t xml:space="preserve">5.2 </w:t>
      </w:r>
      <w:r>
        <w:rPr>
          <w:rFonts w:ascii="Arial" w:cs="Arial" w:eastAsia="Arial" w:hAnsi="Arial"/>
          <w:sz w:val="11"/>
          <w:szCs w:val="11"/>
          <w:b w:val="1"/>
          <w:bCs w:val="1"/>
          <w:color w:val="auto"/>
        </w:rPr>
        <w:t>Actual Participation</w:t>
      </w:r>
      <w:r>
        <w:rPr>
          <w:rFonts w:ascii="Arial" w:cs="Arial" w:eastAsia="Arial" w:hAnsi="Arial"/>
          <w:sz w:val="11"/>
          <w:szCs w:val="11"/>
          <w:color w:val="auto"/>
        </w:rPr>
        <w:t>. Subject to the provisions of the Plan, the Board may, from time to time, select from all eligible persons, those to whom Awards shall be granted and shall determine the nature and amount of each Award. Such Awards need not be made in a uniform manner and may be selectively awarded among otherwise eligible persons, whether or not such persons are similarly situated.</w:t>
      </w:r>
    </w:p>
    <w:p>
      <w:pPr>
        <w:spacing w:after="0" w:line="10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ARTICLE VI STOCK OPTIONS</w:t>
      </w:r>
    </w:p>
    <w:p>
      <w:pPr>
        <w:spacing w:after="0" w:line="210" w:lineRule="exact"/>
        <w:rPr>
          <w:sz w:val="20"/>
          <w:szCs w:val="20"/>
          <w:color w:val="auto"/>
        </w:rPr>
      </w:pPr>
    </w:p>
    <w:p>
      <w:pPr>
        <w:ind w:right="60" w:firstLine="494"/>
        <w:spacing w:after="0" w:line="271" w:lineRule="auto"/>
        <w:rPr>
          <w:sz w:val="20"/>
          <w:szCs w:val="20"/>
          <w:color w:val="auto"/>
        </w:rPr>
      </w:pPr>
      <w:r>
        <w:rPr>
          <w:rFonts w:ascii="Arial" w:cs="Arial" w:eastAsia="Arial" w:hAnsi="Arial"/>
          <w:sz w:val="14"/>
          <w:szCs w:val="14"/>
          <w:color w:val="auto"/>
        </w:rPr>
        <w:t xml:space="preserve">6.1 </w:t>
      </w:r>
      <w:r>
        <w:rPr>
          <w:rFonts w:ascii="Arial" w:cs="Arial" w:eastAsia="Arial" w:hAnsi="Arial"/>
          <w:sz w:val="14"/>
          <w:szCs w:val="14"/>
          <w:b w:val="1"/>
          <w:bCs w:val="1"/>
          <w:color w:val="auto"/>
        </w:rPr>
        <w:t>Grant of Options</w:t>
      </w:r>
      <w:r>
        <w:rPr>
          <w:rFonts w:ascii="Arial" w:cs="Arial" w:eastAsia="Arial" w:hAnsi="Arial"/>
          <w:sz w:val="14"/>
          <w:szCs w:val="14"/>
          <w:color w:val="auto"/>
        </w:rPr>
        <w:t>. Subject to the terms and provisions of the Plan, Options may be granted to Participants in such number, and upon such terms, and at any time and from time to time as shall be determined by the Board, provided that ISOs shall not be granted to persons who are not Employees.</w:t>
      </w:r>
    </w:p>
    <w:p>
      <w:pPr>
        <w:spacing w:after="0" w:line="172" w:lineRule="exact"/>
        <w:rPr>
          <w:sz w:val="20"/>
          <w:szCs w:val="20"/>
          <w:color w:val="auto"/>
        </w:rPr>
      </w:pPr>
    </w:p>
    <w:p>
      <w:pPr>
        <w:ind w:right="220" w:firstLine="494"/>
        <w:spacing w:after="0" w:line="258" w:lineRule="auto"/>
        <w:rPr>
          <w:sz w:val="20"/>
          <w:szCs w:val="20"/>
          <w:color w:val="auto"/>
        </w:rPr>
      </w:pPr>
      <w:r>
        <w:rPr>
          <w:rFonts w:ascii="Arial" w:cs="Arial" w:eastAsia="Arial" w:hAnsi="Arial"/>
          <w:sz w:val="14"/>
          <w:szCs w:val="14"/>
          <w:color w:val="auto"/>
        </w:rPr>
        <w:t xml:space="preserve">6.2 </w:t>
      </w:r>
      <w:r>
        <w:rPr>
          <w:rFonts w:ascii="Arial" w:cs="Arial" w:eastAsia="Arial" w:hAnsi="Arial"/>
          <w:sz w:val="14"/>
          <w:szCs w:val="14"/>
          <w:b w:val="1"/>
          <w:bCs w:val="1"/>
          <w:color w:val="auto"/>
        </w:rPr>
        <w:t>Award Agreement</w:t>
      </w:r>
      <w:r>
        <w:rPr>
          <w:rFonts w:ascii="Arial" w:cs="Arial" w:eastAsia="Arial" w:hAnsi="Arial"/>
          <w:sz w:val="14"/>
          <w:szCs w:val="14"/>
          <w:color w:val="auto"/>
        </w:rPr>
        <w:t>. Each Option grant shall be evidenced by an Award Agreement that shall specify the Option Price, the duration of the Option, the number of Shares to which the Option pertains, the conditions upon which an Option shall become vested and exercisable, and such other provisions as the Board shall determine which are not inconsistent with the terms of the Plan. The Award Agreement also shall specify whether the Option is intended to be an ISO or an NQSO.</w:t>
      </w:r>
    </w:p>
    <w:p>
      <w:pPr>
        <w:spacing w:after="0" w:line="181" w:lineRule="exact"/>
        <w:rPr>
          <w:sz w:val="20"/>
          <w:szCs w:val="20"/>
          <w:color w:val="auto"/>
        </w:rPr>
      </w:pPr>
    </w:p>
    <w:p>
      <w:pPr>
        <w:ind w:left="500"/>
        <w:spacing w:after="0"/>
        <w:rPr>
          <w:sz w:val="20"/>
          <w:szCs w:val="20"/>
          <w:color w:val="auto"/>
        </w:rPr>
      </w:pPr>
      <w:r>
        <w:rPr>
          <w:rFonts w:ascii="Arial" w:cs="Arial" w:eastAsia="Arial" w:hAnsi="Arial"/>
          <w:sz w:val="11"/>
          <w:szCs w:val="11"/>
          <w:color w:val="auto"/>
        </w:rPr>
        <w:t xml:space="preserve">6.3 </w:t>
      </w:r>
      <w:r>
        <w:rPr>
          <w:rFonts w:ascii="Arial" w:cs="Arial" w:eastAsia="Arial" w:hAnsi="Arial"/>
          <w:sz w:val="11"/>
          <w:szCs w:val="11"/>
          <w:b w:val="1"/>
          <w:bCs w:val="1"/>
          <w:color w:val="auto"/>
        </w:rPr>
        <w:t>Option Price</w:t>
      </w:r>
      <w:r>
        <w:rPr>
          <w:rFonts w:ascii="Arial" w:cs="Arial" w:eastAsia="Arial" w:hAnsi="Arial"/>
          <w:sz w:val="11"/>
          <w:szCs w:val="11"/>
          <w:color w:val="auto"/>
        </w:rPr>
        <w:t>. The Option Price for each grant of an Option under this Plan shall be as determined by the Board; provided, however, the Option Price shall not be less than one hundred percent</w:t>
      </w:r>
    </w:p>
    <w:p>
      <w:pPr>
        <w:spacing w:after="0" w:line="52" w:lineRule="exact"/>
        <w:rPr>
          <w:sz w:val="20"/>
          <w:szCs w:val="20"/>
          <w:color w:val="auto"/>
        </w:rPr>
      </w:pPr>
    </w:p>
    <w:p>
      <w:pPr>
        <w:spacing w:after="0"/>
        <w:rPr>
          <w:sz w:val="20"/>
          <w:szCs w:val="20"/>
          <w:color w:val="auto"/>
        </w:rPr>
      </w:pPr>
      <w:r>
        <w:rPr>
          <w:rFonts w:ascii="Arial" w:cs="Arial" w:eastAsia="Arial" w:hAnsi="Arial"/>
          <w:sz w:val="14"/>
          <w:szCs w:val="14"/>
          <w:color w:val="auto"/>
        </w:rPr>
        <w:t>(100%) of the Fair Market Value of the Shares on the date the Option is granted.</w:t>
      </w:r>
    </w:p>
    <w:p>
      <w:pPr>
        <w:spacing w:after="0" w:line="196" w:lineRule="exact"/>
        <w:rPr>
          <w:sz w:val="20"/>
          <w:szCs w:val="20"/>
          <w:color w:val="auto"/>
        </w:rPr>
      </w:pPr>
    </w:p>
    <w:p>
      <w:pPr>
        <w:ind w:right="60" w:firstLine="494"/>
        <w:spacing w:after="0" w:line="271" w:lineRule="auto"/>
        <w:rPr>
          <w:sz w:val="20"/>
          <w:szCs w:val="20"/>
          <w:color w:val="auto"/>
        </w:rPr>
      </w:pPr>
      <w:r>
        <w:rPr>
          <w:rFonts w:ascii="Arial" w:cs="Arial" w:eastAsia="Arial" w:hAnsi="Arial"/>
          <w:sz w:val="14"/>
          <w:szCs w:val="14"/>
          <w:color w:val="auto"/>
        </w:rPr>
        <w:t xml:space="preserve">6.4 </w:t>
      </w:r>
      <w:r>
        <w:rPr>
          <w:rFonts w:ascii="Arial" w:cs="Arial" w:eastAsia="Arial" w:hAnsi="Arial"/>
          <w:sz w:val="14"/>
          <w:szCs w:val="14"/>
          <w:b w:val="1"/>
          <w:bCs w:val="1"/>
          <w:color w:val="auto"/>
        </w:rPr>
        <w:t>Duration of Options</w:t>
      </w:r>
      <w:r>
        <w:rPr>
          <w:rFonts w:ascii="Arial" w:cs="Arial" w:eastAsia="Arial" w:hAnsi="Arial"/>
          <w:sz w:val="14"/>
          <w:szCs w:val="14"/>
          <w:color w:val="auto"/>
        </w:rPr>
        <w:t>. Each Option granted to a Participant shall expire at such time as the Board shall determine at the time of grant; provided, however, no Option shall be exercisable later than the tenth (10th) anniversary of its date of grant.</w:t>
      </w:r>
    </w:p>
    <w:p>
      <w:pPr>
        <w:spacing w:after="0" w:line="172" w:lineRule="exact"/>
        <w:rPr>
          <w:sz w:val="20"/>
          <w:szCs w:val="20"/>
          <w:color w:val="auto"/>
        </w:rPr>
      </w:pPr>
    </w:p>
    <w:p>
      <w:pPr>
        <w:ind w:right="60" w:firstLine="494"/>
        <w:spacing w:after="0" w:line="271" w:lineRule="auto"/>
        <w:rPr>
          <w:sz w:val="20"/>
          <w:szCs w:val="20"/>
          <w:color w:val="auto"/>
        </w:rPr>
      </w:pPr>
      <w:r>
        <w:rPr>
          <w:rFonts w:ascii="Arial" w:cs="Arial" w:eastAsia="Arial" w:hAnsi="Arial"/>
          <w:sz w:val="14"/>
          <w:szCs w:val="14"/>
          <w:color w:val="auto"/>
        </w:rPr>
        <w:t xml:space="preserve">6.5 </w:t>
      </w:r>
      <w:r>
        <w:rPr>
          <w:rFonts w:ascii="Arial" w:cs="Arial" w:eastAsia="Arial" w:hAnsi="Arial"/>
          <w:sz w:val="14"/>
          <w:szCs w:val="14"/>
          <w:b w:val="1"/>
          <w:bCs w:val="1"/>
          <w:color w:val="auto"/>
        </w:rPr>
        <w:t>Exercise of Options</w:t>
      </w:r>
      <w:r>
        <w:rPr>
          <w:rFonts w:ascii="Arial" w:cs="Arial" w:eastAsia="Arial" w:hAnsi="Arial"/>
          <w:sz w:val="14"/>
          <w:szCs w:val="14"/>
          <w:color w:val="auto"/>
        </w:rPr>
        <w:t>. Options granted under this Article VI shall be exercisable at such times and be subject to such restrictions and conditions as the Board shall in each instance approve, which need not be the same for each grant or for each Participant.</w:t>
      </w:r>
    </w:p>
    <w:p>
      <w:pPr>
        <w:spacing w:after="0" w:line="172" w:lineRule="exact"/>
        <w:rPr>
          <w:sz w:val="20"/>
          <w:szCs w:val="20"/>
          <w:color w:val="auto"/>
        </w:rPr>
      </w:pPr>
    </w:p>
    <w:p>
      <w:pPr>
        <w:ind w:right="280" w:firstLine="494"/>
        <w:spacing w:after="0" w:line="271" w:lineRule="auto"/>
        <w:rPr>
          <w:sz w:val="20"/>
          <w:szCs w:val="20"/>
          <w:color w:val="auto"/>
        </w:rPr>
      </w:pPr>
      <w:r>
        <w:rPr>
          <w:rFonts w:ascii="Arial" w:cs="Arial" w:eastAsia="Arial" w:hAnsi="Arial"/>
          <w:sz w:val="14"/>
          <w:szCs w:val="14"/>
          <w:color w:val="auto"/>
        </w:rPr>
        <w:t xml:space="preserve">6.6 </w:t>
      </w:r>
      <w:r>
        <w:rPr>
          <w:rFonts w:ascii="Arial" w:cs="Arial" w:eastAsia="Arial" w:hAnsi="Arial"/>
          <w:sz w:val="14"/>
          <w:szCs w:val="14"/>
          <w:b w:val="1"/>
          <w:bCs w:val="1"/>
          <w:color w:val="auto"/>
        </w:rPr>
        <w:t>Payment</w:t>
      </w:r>
      <w:r>
        <w:rPr>
          <w:rFonts w:ascii="Arial" w:cs="Arial" w:eastAsia="Arial" w:hAnsi="Arial"/>
          <w:sz w:val="14"/>
          <w:szCs w:val="14"/>
          <w:color w:val="auto"/>
        </w:rPr>
        <w:t>. Options granted under this Article VI shall be exercised by the delivery of a written notice of exercise to the Company, setting forth the number of Shares with respect to which the Option is to be exercised, accompanied by full payment for the Shares.</w:t>
      </w:r>
    </w:p>
    <w:p>
      <w:pPr>
        <w:spacing w:after="0" w:line="176" w:lineRule="exact"/>
        <w:rPr>
          <w:sz w:val="20"/>
          <w:szCs w:val="20"/>
          <w:color w:val="auto"/>
        </w:rPr>
      </w:pPr>
    </w:p>
    <w:p>
      <w:pPr>
        <w:ind w:firstLine="494"/>
        <w:spacing w:after="0" w:line="252" w:lineRule="auto"/>
        <w:rPr>
          <w:sz w:val="20"/>
          <w:szCs w:val="20"/>
          <w:color w:val="auto"/>
        </w:rPr>
      </w:pPr>
      <w:r>
        <w:rPr>
          <w:rFonts w:ascii="Arial" w:cs="Arial" w:eastAsia="Arial" w:hAnsi="Arial"/>
          <w:sz w:val="14"/>
          <w:szCs w:val="14"/>
          <w:color w:val="auto"/>
        </w:rPr>
        <w:t>The Option Price upon exercise of any Option shall be payable to the Company in full either: (a) in cash or its equivalent; (b) by tendering previously acquired Shares having an aggregate Fair Market Value at the time of exercise equal to the total Option Price (provided that the Shares that are tendered must have been held by the Participant for at least six (6) months prior to their tender to satisfy the Option Price or have been purchased on the open market); (c) by a combination of (a) and (b); or (d) any other method approved by the Board in its sole discretion at the time of grant and as set forth in the Award Agreement.</w:t>
      </w:r>
    </w:p>
    <w:p>
      <w:pPr>
        <w:spacing w:after="0" w:line="189" w:lineRule="exact"/>
        <w:rPr>
          <w:sz w:val="20"/>
          <w:szCs w:val="20"/>
          <w:color w:val="auto"/>
        </w:rPr>
      </w:pPr>
    </w:p>
    <w:p>
      <w:pPr>
        <w:ind w:right="300" w:firstLine="494"/>
        <w:spacing w:after="0" w:line="265" w:lineRule="auto"/>
        <w:rPr>
          <w:sz w:val="20"/>
          <w:szCs w:val="20"/>
          <w:color w:val="auto"/>
        </w:rPr>
      </w:pPr>
      <w:r>
        <w:rPr>
          <w:rFonts w:ascii="Arial" w:cs="Arial" w:eastAsia="Arial" w:hAnsi="Arial"/>
          <w:sz w:val="14"/>
          <w:szCs w:val="14"/>
          <w:color w:val="auto"/>
        </w:rPr>
        <w:t>The Board also may allow cashless exercise as permitted under the Federal Reserve Board’s Regulation T, subject to applicable securities law restrictions, or by any other means which the Board determines to be consistent with the Plan’s purpose and applicable law.</w:t>
      </w:r>
    </w:p>
    <w:p>
      <w:pPr>
        <w:spacing w:after="0" w:line="180" w:lineRule="exact"/>
        <w:rPr>
          <w:sz w:val="20"/>
          <w:szCs w:val="20"/>
          <w:color w:val="auto"/>
        </w:rPr>
      </w:pPr>
    </w:p>
    <w:p>
      <w:pPr>
        <w:ind w:right="20" w:firstLine="494"/>
        <w:spacing w:after="0" w:line="265" w:lineRule="auto"/>
        <w:rPr>
          <w:sz w:val="20"/>
          <w:szCs w:val="20"/>
          <w:color w:val="auto"/>
        </w:rPr>
      </w:pPr>
      <w:r>
        <w:rPr>
          <w:rFonts w:ascii="Arial" w:cs="Arial" w:eastAsia="Arial" w:hAnsi="Arial"/>
          <w:sz w:val="14"/>
          <w:szCs w:val="14"/>
          <w:color w:val="auto"/>
        </w:rPr>
        <w:t>Subject to any governing rules or regulations, as soon as practicable after receipt of a written notification of exercise and full payment, the Company shall deliver to the Participant, in the Participant’s name, Share certificates in an appropriate amount based upon the number of Shares purchased under the Option(s).</w:t>
      </w:r>
    </w:p>
    <w:p>
      <w:pPr>
        <w:spacing w:after="0" w:line="180" w:lineRule="exact"/>
        <w:rPr>
          <w:sz w:val="20"/>
          <w:szCs w:val="20"/>
          <w:color w:val="auto"/>
        </w:rPr>
      </w:pPr>
    </w:p>
    <w:p>
      <w:pPr>
        <w:ind w:left="500"/>
        <w:spacing w:after="0"/>
        <w:rPr>
          <w:sz w:val="20"/>
          <w:szCs w:val="20"/>
          <w:color w:val="auto"/>
        </w:rPr>
      </w:pPr>
      <w:r>
        <w:rPr>
          <w:rFonts w:ascii="Arial" w:cs="Arial" w:eastAsia="Arial" w:hAnsi="Arial"/>
          <w:sz w:val="14"/>
          <w:szCs w:val="14"/>
          <w:color w:val="auto"/>
        </w:rPr>
        <w:t>Unless otherwise determined by the Board, all payments under all of the methods indicated above shall be paid in United States dollars.</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1"/>
          <w:szCs w:val="11"/>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48895</wp:posOffset>
            </wp:positionV>
            <wp:extent cx="7285355" cy="190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5355" cy="19050"/>
                    </a:xfrm>
                    <a:prstGeom prst="rect">
                      <a:avLst/>
                    </a:prstGeom>
                    <a:noFill/>
                  </pic:spPr>
                </pic:pic>
              </a:graphicData>
            </a:graphic>
          </wp:anchor>
        </w:drawing>
      </w:r>
    </w:p>
    <w:p>
      <w:pPr>
        <w:sectPr>
          <w:pgSz w:w="11900" w:h="16838" w:orient="portrait"/>
          <w:cols w:equalWidth="0" w:num="1">
            <w:col w:w="11460"/>
          </w:cols>
          <w:pgMar w:left="220" w:top="331" w:right="219" w:bottom="1440" w:gutter="0" w:footer="0" w:header="0"/>
        </w:sectPr>
      </w:pPr>
    </w:p>
    <w:bookmarkStart w:id="11" w:name="page12"/>
    <w:bookmarkEnd w:id="11"/>
    <w:p>
      <w:pPr>
        <w:jc w:val="both"/>
        <w:ind w:right="20" w:firstLine="494"/>
        <w:spacing w:after="0" w:line="254" w:lineRule="auto"/>
        <w:rPr>
          <w:sz w:val="20"/>
          <w:szCs w:val="20"/>
          <w:color w:val="auto"/>
        </w:rPr>
      </w:pPr>
      <w:r>
        <w:rPr>
          <w:rFonts w:ascii="Arial" w:cs="Arial" w:eastAsia="Arial" w:hAnsi="Arial"/>
          <w:sz w:val="14"/>
          <w:szCs w:val="14"/>
          <w:color w:val="auto"/>
        </w:rPr>
        <w:t xml:space="preserve">6.7 </w:t>
      </w:r>
      <w:r>
        <w:rPr>
          <w:rFonts w:ascii="Arial" w:cs="Arial" w:eastAsia="Arial" w:hAnsi="Arial"/>
          <w:sz w:val="14"/>
          <w:szCs w:val="14"/>
          <w:b w:val="1"/>
          <w:bCs w:val="1"/>
          <w:color w:val="auto"/>
        </w:rPr>
        <w:t>Termination of Employment/Service Relationship</w:t>
      </w:r>
      <w:r>
        <w:rPr>
          <w:rFonts w:ascii="Arial" w:cs="Arial" w:eastAsia="Arial" w:hAnsi="Arial"/>
          <w:sz w:val="14"/>
          <w:szCs w:val="14"/>
          <w:color w:val="auto"/>
        </w:rPr>
        <w:t>. Each Participant’s Award Agreement shall set forth the extent to which the Participant shall have the right to exercise the Option following termination of the Participant’s employment or service relationship with the Company, its Affiliates and/or its Subsidiaries, as the case may be. Such provisions shall be determined in the sole discretion of the Board, shall be included in the Award Agreement entered into with each Participant, need not be uniform among all Options issued pursuant to this Article VI, and may reflect distinctions based on the reasons for termination.</w:t>
      </w:r>
    </w:p>
    <w:p>
      <w:pPr>
        <w:spacing w:after="0" w:line="184" w:lineRule="exact"/>
        <w:rPr>
          <w:sz w:val="20"/>
          <w:szCs w:val="20"/>
          <w:color w:val="auto"/>
        </w:rPr>
      </w:pPr>
    </w:p>
    <w:p>
      <w:pPr>
        <w:ind w:left="500"/>
        <w:spacing w:after="0"/>
        <w:rPr>
          <w:sz w:val="20"/>
          <w:szCs w:val="20"/>
          <w:color w:val="auto"/>
        </w:rPr>
      </w:pPr>
      <w:r>
        <w:rPr>
          <w:rFonts w:ascii="Arial" w:cs="Arial" w:eastAsia="Arial" w:hAnsi="Arial"/>
          <w:sz w:val="14"/>
          <w:szCs w:val="14"/>
          <w:color w:val="auto"/>
        </w:rPr>
        <w:t xml:space="preserve">6.8 </w:t>
      </w:r>
      <w:r>
        <w:rPr>
          <w:rFonts w:ascii="Arial" w:cs="Arial" w:eastAsia="Arial" w:hAnsi="Arial"/>
          <w:sz w:val="14"/>
          <w:szCs w:val="14"/>
          <w:b w:val="1"/>
          <w:bCs w:val="1"/>
          <w:color w:val="auto"/>
        </w:rPr>
        <w:t>Transferability of Options</w:t>
      </w:r>
      <w:r>
        <w:rPr>
          <w:rFonts w:ascii="Arial" w:cs="Arial" w:eastAsia="Arial" w:hAnsi="Arial"/>
          <w:sz w:val="14"/>
          <w:szCs w:val="14"/>
          <w:color w:val="auto"/>
        </w:rPr>
        <w:t>.</w:t>
      </w:r>
    </w:p>
    <w:p>
      <w:pPr>
        <w:spacing w:after="0" w:line="214" w:lineRule="exact"/>
        <w:rPr>
          <w:sz w:val="20"/>
          <w:szCs w:val="20"/>
          <w:color w:val="auto"/>
        </w:rPr>
      </w:pPr>
    </w:p>
    <w:p>
      <w:pPr>
        <w:ind w:left="500" w:right="60" w:firstLine="986"/>
        <w:spacing w:after="0" w:line="265" w:lineRule="auto"/>
        <w:tabs>
          <w:tab w:leader="none" w:pos="1709" w:val="left"/>
        </w:tabs>
        <w:numPr>
          <w:ilvl w:val="0"/>
          <w:numId w:val="7"/>
        </w:numPr>
        <w:rPr>
          <w:rFonts w:ascii="Arial" w:cs="Arial" w:eastAsia="Arial" w:hAnsi="Arial"/>
          <w:sz w:val="14"/>
          <w:szCs w:val="14"/>
          <w:color w:val="auto"/>
        </w:rPr>
      </w:pPr>
      <w:r>
        <w:rPr>
          <w:rFonts w:ascii="Arial" w:cs="Arial" w:eastAsia="Arial" w:hAnsi="Arial"/>
          <w:sz w:val="14"/>
          <w:szCs w:val="14"/>
          <w:color w:val="auto"/>
        </w:rPr>
        <w:t>Incentive Stock Options. No ISO granted under the Plan may be sold, transferred, pledged, assigned, or otherwise alienated or hypothecated, other than by will or by the laws of descent and distribution.</w:t>
      </w:r>
    </w:p>
    <w:p>
      <w:pPr>
        <w:spacing w:after="0" w:line="180" w:lineRule="exact"/>
        <w:rPr>
          <w:rFonts w:ascii="Arial" w:cs="Arial" w:eastAsia="Arial" w:hAnsi="Arial"/>
          <w:sz w:val="14"/>
          <w:szCs w:val="14"/>
          <w:color w:val="auto"/>
        </w:rPr>
      </w:pPr>
    </w:p>
    <w:p>
      <w:pPr>
        <w:ind w:left="500" w:right="160" w:firstLine="986"/>
        <w:spacing w:after="0" w:line="255" w:lineRule="auto"/>
        <w:tabs>
          <w:tab w:leader="none" w:pos="1717" w:val="left"/>
        </w:tabs>
        <w:numPr>
          <w:ilvl w:val="0"/>
          <w:numId w:val="7"/>
        </w:numPr>
        <w:rPr>
          <w:rFonts w:ascii="Arial" w:cs="Arial" w:eastAsia="Arial" w:hAnsi="Arial"/>
          <w:sz w:val="14"/>
          <w:szCs w:val="14"/>
          <w:color w:val="auto"/>
        </w:rPr>
      </w:pPr>
      <w:r>
        <w:rPr>
          <w:rFonts w:ascii="Arial" w:cs="Arial" w:eastAsia="Arial" w:hAnsi="Arial"/>
          <w:sz w:val="14"/>
          <w:szCs w:val="14"/>
          <w:color w:val="auto"/>
        </w:rPr>
        <w:t>Nonqualified Stock Options. Except as otherwise provided in a Participant’s Award Agreement, no NQSO granted under this Article VI may be sold, transferred, pledged, assigned, or otherwise alienated or hypothecated, other than by will or by the laws of descent and distribution. Further, except as otherwise provided in a Participant’s Award Agreement, all NQSOs granted to a Participant under this Article VI shall be exercisable during his or her lifetime only by such Participant.</w:t>
      </w:r>
    </w:p>
    <w:p>
      <w:pPr>
        <w:spacing w:after="0" w:line="183" w:lineRule="exact"/>
        <w:rPr>
          <w:sz w:val="20"/>
          <w:szCs w:val="20"/>
          <w:color w:val="auto"/>
        </w:rPr>
      </w:pPr>
    </w:p>
    <w:p>
      <w:pPr>
        <w:ind w:right="60" w:firstLine="494"/>
        <w:spacing w:after="0" w:line="310" w:lineRule="auto"/>
        <w:rPr>
          <w:sz w:val="20"/>
          <w:szCs w:val="20"/>
          <w:color w:val="auto"/>
        </w:rPr>
      </w:pPr>
      <w:r>
        <w:rPr>
          <w:rFonts w:ascii="Arial" w:cs="Arial" w:eastAsia="Arial" w:hAnsi="Arial"/>
          <w:sz w:val="13"/>
          <w:szCs w:val="13"/>
          <w:color w:val="auto"/>
        </w:rPr>
        <w:t xml:space="preserve">6.9 </w:t>
      </w:r>
      <w:r>
        <w:rPr>
          <w:rFonts w:ascii="Arial" w:cs="Arial" w:eastAsia="Arial" w:hAnsi="Arial"/>
          <w:sz w:val="13"/>
          <w:szCs w:val="13"/>
          <w:b w:val="1"/>
          <w:bCs w:val="1"/>
          <w:color w:val="auto"/>
        </w:rPr>
        <w:t>Notification of Disqualifying Disposition</w:t>
      </w:r>
      <w:r>
        <w:rPr>
          <w:rFonts w:ascii="Arial" w:cs="Arial" w:eastAsia="Arial" w:hAnsi="Arial"/>
          <w:sz w:val="13"/>
          <w:szCs w:val="13"/>
          <w:color w:val="auto"/>
        </w:rPr>
        <w:t>. If any Participant shall make any disposition of Shares issued pursuant to the exercise of an Incentive Stock Option under the circumstances described in Section 421(b) of the Code (relating to certain disqualifying dispositions), such Participant shall notify the Company of such disposition within ten (10) days thereof.</w:t>
      </w:r>
    </w:p>
    <w:p>
      <w:pPr>
        <w:spacing w:after="0" w:line="14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ARTICLE VII STOCK APPRECIATION RIGHTS</w:t>
      </w:r>
    </w:p>
    <w:p>
      <w:pPr>
        <w:spacing w:after="0" w:line="210" w:lineRule="exact"/>
        <w:rPr>
          <w:sz w:val="20"/>
          <w:szCs w:val="20"/>
          <w:color w:val="auto"/>
        </w:rPr>
      </w:pPr>
    </w:p>
    <w:p>
      <w:pPr>
        <w:ind w:right="20" w:firstLine="494"/>
        <w:spacing w:after="0" w:line="271" w:lineRule="auto"/>
        <w:rPr>
          <w:sz w:val="20"/>
          <w:szCs w:val="20"/>
          <w:color w:val="auto"/>
        </w:rPr>
      </w:pPr>
      <w:r>
        <w:rPr>
          <w:rFonts w:ascii="Arial" w:cs="Arial" w:eastAsia="Arial" w:hAnsi="Arial"/>
          <w:sz w:val="14"/>
          <w:szCs w:val="14"/>
          <w:color w:val="auto"/>
        </w:rPr>
        <w:t xml:space="preserve">7.1 </w:t>
      </w:r>
      <w:r>
        <w:rPr>
          <w:rFonts w:ascii="Arial" w:cs="Arial" w:eastAsia="Arial" w:hAnsi="Arial"/>
          <w:sz w:val="14"/>
          <w:szCs w:val="14"/>
          <w:b w:val="1"/>
          <w:bCs w:val="1"/>
          <w:color w:val="auto"/>
        </w:rPr>
        <w:t>Grant of SARs</w:t>
      </w:r>
      <w:r>
        <w:rPr>
          <w:rFonts w:ascii="Arial" w:cs="Arial" w:eastAsia="Arial" w:hAnsi="Arial"/>
          <w:sz w:val="14"/>
          <w:szCs w:val="14"/>
          <w:color w:val="auto"/>
        </w:rPr>
        <w:t>. Subject to the terms and conditions of the Plan, SARs may be granted to Participants at any time and from time to time as shall be determined by the Board. The Board may grant Freestanding SARs, Tandem SARs, or any combination of either.</w:t>
      </w:r>
    </w:p>
    <w:p>
      <w:pPr>
        <w:spacing w:after="0" w:line="176" w:lineRule="exact"/>
        <w:rPr>
          <w:sz w:val="20"/>
          <w:szCs w:val="20"/>
          <w:color w:val="auto"/>
        </w:rPr>
      </w:pPr>
    </w:p>
    <w:p>
      <w:pPr>
        <w:ind w:firstLine="494"/>
        <w:spacing w:after="0" w:line="265" w:lineRule="auto"/>
        <w:rPr>
          <w:sz w:val="20"/>
          <w:szCs w:val="20"/>
          <w:color w:val="auto"/>
        </w:rPr>
      </w:pPr>
      <w:r>
        <w:rPr>
          <w:rFonts w:ascii="Arial" w:cs="Arial" w:eastAsia="Arial" w:hAnsi="Arial"/>
          <w:sz w:val="14"/>
          <w:szCs w:val="14"/>
          <w:color w:val="auto"/>
        </w:rPr>
        <w:t>Subject to the terms and conditions of the Plan, the Board shall have complete discretion in determining the number of SARs granted to each Participant and, consistent with the provisions of the Plan, in determining the terms and conditions pertaining to such SARs.</w:t>
      </w:r>
    </w:p>
    <w:p>
      <w:pPr>
        <w:spacing w:after="0" w:line="180" w:lineRule="exact"/>
        <w:rPr>
          <w:sz w:val="20"/>
          <w:szCs w:val="20"/>
          <w:color w:val="auto"/>
        </w:rPr>
      </w:pPr>
    </w:p>
    <w:p>
      <w:pPr>
        <w:ind w:right="320" w:firstLine="494"/>
        <w:spacing w:after="0" w:line="265" w:lineRule="auto"/>
        <w:rPr>
          <w:sz w:val="20"/>
          <w:szCs w:val="20"/>
          <w:color w:val="auto"/>
        </w:rPr>
      </w:pPr>
      <w:r>
        <w:rPr>
          <w:rFonts w:ascii="Arial" w:cs="Arial" w:eastAsia="Arial" w:hAnsi="Arial"/>
          <w:sz w:val="14"/>
          <w:szCs w:val="14"/>
          <w:color w:val="auto"/>
        </w:rPr>
        <w:t>The grant price of a Freestanding SAR shall be no less than the Fair Market Value of a Share on the date of grant of the SAR. The grant price of Tandem SARs shall equal the Option Price of the related Option.</w:t>
      </w:r>
    </w:p>
    <w:p>
      <w:pPr>
        <w:spacing w:after="0" w:line="176" w:lineRule="exact"/>
        <w:rPr>
          <w:sz w:val="20"/>
          <w:szCs w:val="20"/>
          <w:color w:val="auto"/>
        </w:rPr>
      </w:pPr>
    </w:p>
    <w:p>
      <w:pPr>
        <w:ind w:left="500"/>
        <w:spacing w:after="0"/>
        <w:rPr>
          <w:sz w:val="20"/>
          <w:szCs w:val="20"/>
          <w:color w:val="auto"/>
        </w:rPr>
      </w:pPr>
      <w:r>
        <w:rPr>
          <w:rFonts w:ascii="Arial" w:cs="Arial" w:eastAsia="Arial" w:hAnsi="Arial"/>
          <w:sz w:val="11"/>
          <w:szCs w:val="11"/>
          <w:color w:val="auto"/>
        </w:rPr>
        <w:t xml:space="preserve">7.2 </w:t>
      </w:r>
      <w:r>
        <w:rPr>
          <w:rFonts w:ascii="Arial" w:cs="Arial" w:eastAsia="Arial" w:hAnsi="Arial"/>
          <w:sz w:val="11"/>
          <w:szCs w:val="11"/>
          <w:b w:val="1"/>
          <w:bCs w:val="1"/>
          <w:color w:val="auto"/>
        </w:rPr>
        <w:t>SAR Agreement</w:t>
      </w:r>
      <w:r>
        <w:rPr>
          <w:rFonts w:ascii="Arial" w:cs="Arial" w:eastAsia="Arial" w:hAnsi="Arial"/>
          <w:sz w:val="11"/>
          <w:szCs w:val="11"/>
          <w:color w:val="auto"/>
        </w:rPr>
        <w:t>. Each SAR grant shall be evidenced by an Award Agreement that shall specify the grant price, the term of the SAR, and such other provisions as the Board shall determine.</w:t>
      </w:r>
    </w:p>
    <w:p>
      <w:pPr>
        <w:spacing w:after="0" w:line="244" w:lineRule="exact"/>
        <w:rPr>
          <w:sz w:val="20"/>
          <w:szCs w:val="20"/>
          <w:color w:val="auto"/>
        </w:rPr>
      </w:pPr>
    </w:p>
    <w:p>
      <w:pPr>
        <w:ind w:right="40" w:firstLine="494"/>
        <w:spacing w:after="0" w:line="271" w:lineRule="auto"/>
        <w:rPr>
          <w:sz w:val="20"/>
          <w:szCs w:val="20"/>
          <w:color w:val="auto"/>
        </w:rPr>
      </w:pPr>
      <w:r>
        <w:rPr>
          <w:rFonts w:ascii="Arial" w:cs="Arial" w:eastAsia="Arial" w:hAnsi="Arial"/>
          <w:sz w:val="14"/>
          <w:szCs w:val="14"/>
          <w:color w:val="auto"/>
        </w:rPr>
        <w:t xml:space="preserve">7.3 </w:t>
      </w:r>
      <w:r>
        <w:rPr>
          <w:rFonts w:ascii="Arial" w:cs="Arial" w:eastAsia="Arial" w:hAnsi="Arial"/>
          <w:sz w:val="14"/>
          <w:szCs w:val="14"/>
          <w:b w:val="1"/>
          <w:bCs w:val="1"/>
          <w:color w:val="auto"/>
        </w:rPr>
        <w:t>Term of SARs</w:t>
      </w:r>
      <w:r>
        <w:rPr>
          <w:rFonts w:ascii="Arial" w:cs="Arial" w:eastAsia="Arial" w:hAnsi="Arial"/>
          <w:sz w:val="14"/>
          <w:szCs w:val="14"/>
          <w:color w:val="auto"/>
        </w:rPr>
        <w:t>. The term of an SAR granted under the Plan shall be determined by the Board, in its sole discretion; provided, however, that no SAR shall be exercisable later than the tenth (10th) anniversary of its date of grant.</w:t>
      </w:r>
    </w:p>
    <w:p>
      <w:pPr>
        <w:spacing w:after="0" w:line="172" w:lineRule="exact"/>
        <w:rPr>
          <w:sz w:val="20"/>
          <w:szCs w:val="20"/>
          <w:color w:val="auto"/>
        </w:rPr>
      </w:pPr>
    </w:p>
    <w:p>
      <w:pPr>
        <w:ind w:left="500"/>
        <w:spacing w:after="0"/>
        <w:rPr>
          <w:sz w:val="20"/>
          <w:szCs w:val="20"/>
          <w:color w:val="auto"/>
        </w:rPr>
      </w:pPr>
      <w:r>
        <w:rPr>
          <w:rFonts w:ascii="Arial" w:cs="Arial" w:eastAsia="Arial" w:hAnsi="Arial"/>
          <w:sz w:val="14"/>
          <w:szCs w:val="14"/>
          <w:color w:val="auto"/>
        </w:rPr>
        <w:t xml:space="preserve">7.4 </w:t>
      </w:r>
      <w:r>
        <w:rPr>
          <w:rFonts w:ascii="Arial" w:cs="Arial" w:eastAsia="Arial" w:hAnsi="Arial"/>
          <w:sz w:val="14"/>
          <w:szCs w:val="14"/>
          <w:b w:val="1"/>
          <w:bCs w:val="1"/>
          <w:color w:val="auto"/>
        </w:rPr>
        <w:t>Exercise of Freestanding SARs</w:t>
      </w:r>
      <w:r>
        <w:rPr>
          <w:rFonts w:ascii="Arial" w:cs="Arial" w:eastAsia="Arial" w:hAnsi="Arial"/>
          <w:sz w:val="14"/>
          <w:szCs w:val="14"/>
          <w:color w:val="auto"/>
        </w:rPr>
        <w:t>. Freestanding SARs may be exercised upon whatever terms and conditions the Board, in its sole discretion, imposes upon them.</w:t>
      </w:r>
    </w:p>
    <w:p>
      <w:pPr>
        <w:spacing w:after="0" w:line="210" w:lineRule="exact"/>
        <w:rPr>
          <w:sz w:val="20"/>
          <w:szCs w:val="20"/>
          <w:color w:val="auto"/>
        </w:rPr>
      </w:pPr>
    </w:p>
    <w:p>
      <w:pPr>
        <w:ind w:right="340" w:firstLine="494"/>
        <w:spacing w:after="0" w:line="271" w:lineRule="auto"/>
        <w:rPr>
          <w:sz w:val="20"/>
          <w:szCs w:val="20"/>
          <w:color w:val="auto"/>
        </w:rPr>
      </w:pPr>
      <w:r>
        <w:rPr>
          <w:rFonts w:ascii="Arial" w:cs="Arial" w:eastAsia="Arial" w:hAnsi="Arial"/>
          <w:sz w:val="14"/>
          <w:szCs w:val="14"/>
          <w:color w:val="auto"/>
        </w:rPr>
        <w:t xml:space="preserve">7.5 </w:t>
      </w:r>
      <w:r>
        <w:rPr>
          <w:rFonts w:ascii="Arial" w:cs="Arial" w:eastAsia="Arial" w:hAnsi="Arial"/>
          <w:sz w:val="14"/>
          <w:szCs w:val="14"/>
          <w:b w:val="1"/>
          <w:bCs w:val="1"/>
          <w:color w:val="auto"/>
        </w:rPr>
        <w:t>Exercise of Tandem SARs</w:t>
      </w:r>
      <w:r>
        <w:rPr>
          <w:rFonts w:ascii="Arial" w:cs="Arial" w:eastAsia="Arial" w:hAnsi="Arial"/>
          <w:sz w:val="14"/>
          <w:szCs w:val="14"/>
          <w:color w:val="auto"/>
        </w:rPr>
        <w:t>. Tandem SARs may be exercised for all or part of the Shares subject to the related Option upon the surrender of the right to exercise the equivalent portion of the related Option. A Tandem SAR may be exercised only with respect to the Shares for which its related Option is then exercisable.</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1"/>
          <w:szCs w:val="11"/>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48895</wp:posOffset>
            </wp:positionV>
            <wp:extent cx="7285355" cy="190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5355" cy="19050"/>
                    </a:xfrm>
                    <a:prstGeom prst="rect">
                      <a:avLst/>
                    </a:prstGeom>
                    <a:noFill/>
                  </pic:spPr>
                </pic:pic>
              </a:graphicData>
            </a:graphic>
          </wp:anchor>
        </w:drawing>
      </w:r>
    </w:p>
    <w:p>
      <w:pPr>
        <w:sectPr>
          <w:pgSz w:w="11900" w:h="16838" w:orient="portrait"/>
          <w:cols w:equalWidth="0" w:num="1">
            <w:col w:w="11460"/>
          </w:cols>
          <w:pgMar w:left="220" w:top="331" w:right="219" w:bottom="1440" w:gutter="0" w:footer="0" w:header="0"/>
        </w:sectPr>
      </w:pPr>
    </w:p>
    <w:bookmarkStart w:id="12" w:name="page13"/>
    <w:bookmarkEnd w:id="12"/>
    <w:p>
      <w:pPr>
        <w:ind w:left="500"/>
        <w:spacing w:after="0"/>
        <w:rPr>
          <w:sz w:val="20"/>
          <w:szCs w:val="20"/>
          <w:color w:val="auto"/>
        </w:rPr>
      </w:pPr>
      <w:r>
        <w:rPr>
          <w:rFonts w:ascii="Arial" w:cs="Arial" w:eastAsia="Arial" w:hAnsi="Arial"/>
          <w:sz w:val="14"/>
          <w:szCs w:val="14"/>
          <w:color w:val="auto"/>
        </w:rPr>
        <w:t xml:space="preserve">7.6 </w:t>
      </w:r>
      <w:r>
        <w:rPr>
          <w:rFonts w:ascii="Arial" w:cs="Arial" w:eastAsia="Arial" w:hAnsi="Arial"/>
          <w:sz w:val="14"/>
          <w:szCs w:val="14"/>
          <w:b w:val="1"/>
          <w:bCs w:val="1"/>
          <w:color w:val="auto"/>
        </w:rPr>
        <w:t>Payment of SAR Amount</w:t>
      </w:r>
      <w:r>
        <w:rPr>
          <w:rFonts w:ascii="Arial" w:cs="Arial" w:eastAsia="Arial" w:hAnsi="Arial"/>
          <w:sz w:val="14"/>
          <w:szCs w:val="14"/>
          <w:color w:val="auto"/>
        </w:rPr>
        <w:t>. Upon the exercise of an SAR, a Participant shall be entitled to receive payment from the Company in an amount determined by multiplying:</w:t>
      </w:r>
    </w:p>
    <w:p>
      <w:pPr>
        <w:spacing w:after="0" w:line="245" w:lineRule="exact"/>
        <w:rPr>
          <w:sz w:val="20"/>
          <w:szCs w:val="20"/>
          <w:color w:val="auto"/>
        </w:rPr>
      </w:pPr>
    </w:p>
    <w:p>
      <w:pPr>
        <w:ind w:left="1480"/>
        <w:spacing w:after="0"/>
        <w:tabs>
          <w:tab w:leader="none" w:pos="6520" w:val="left"/>
        </w:tabs>
        <w:rPr>
          <w:sz w:val="20"/>
          <w:szCs w:val="20"/>
          <w:color w:val="auto"/>
        </w:rPr>
      </w:pPr>
      <w:r>
        <w:rPr>
          <w:rFonts w:ascii="Arial" w:cs="Arial" w:eastAsia="Arial" w:hAnsi="Arial"/>
          <w:sz w:val="14"/>
          <w:szCs w:val="14"/>
          <w:color w:val="auto"/>
        </w:rPr>
        <w:t>(a) The difference between the Fair Market Value of a Share on the date of exercise</w:t>
      </w:r>
      <w:r>
        <w:rPr>
          <w:sz w:val="20"/>
          <w:szCs w:val="20"/>
          <w:color w:val="auto"/>
        </w:rPr>
        <w:tab/>
      </w:r>
      <w:r>
        <w:rPr>
          <w:rFonts w:ascii="Arial" w:cs="Arial" w:eastAsia="Arial" w:hAnsi="Arial"/>
          <w:sz w:val="11"/>
          <w:szCs w:val="11"/>
          <w:color w:val="auto"/>
        </w:rPr>
        <w:t>over the grant price; by</w:t>
      </w:r>
    </w:p>
    <w:p>
      <w:pPr>
        <w:spacing w:after="0" w:line="220" w:lineRule="exact"/>
        <w:rPr>
          <w:sz w:val="20"/>
          <w:szCs w:val="20"/>
          <w:color w:val="auto"/>
        </w:rPr>
      </w:pPr>
    </w:p>
    <w:p>
      <w:pPr>
        <w:ind w:left="1480"/>
        <w:spacing w:after="0"/>
        <w:rPr>
          <w:sz w:val="20"/>
          <w:szCs w:val="20"/>
          <w:color w:val="auto"/>
        </w:rPr>
      </w:pPr>
      <w:r>
        <w:rPr>
          <w:rFonts w:ascii="Arial" w:cs="Arial" w:eastAsia="Arial" w:hAnsi="Arial"/>
          <w:sz w:val="14"/>
          <w:szCs w:val="14"/>
          <w:color w:val="auto"/>
        </w:rPr>
        <w:t>(b) The number of Shares with respect to which the SAR is exercised.</w:t>
      </w:r>
    </w:p>
    <w:p>
      <w:pPr>
        <w:spacing w:after="0" w:line="210" w:lineRule="exact"/>
        <w:rPr>
          <w:sz w:val="20"/>
          <w:szCs w:val="20"/>
          <w:color w:val="auto"/>
        </w:rPr>
      </w:pPr>
    </w:p>
    <w:p>
      <w:pPr>
        <w:ind w:right="280" w:firstLine="494"/>
        <w:spacing w:after="0" w:line="265" w:lineRule="auto"/>
        <w:rPr>
          <w:sz w:val="20"/>
          <w:szCs w:val="20"/>
          <w:color w:val="auto"/>
        </w:rPr>
      </w:pPr>
      <w:r>
        <w:rPr>
          <w:rFonts w:ascii="Arial" w:cs="Arial" w:eastAsia="Arial" w:hAnsi="Arial"/>
          <w:sz w:val="14"/>
          <w:szCs w:val="14"/>
          <w:color w:val="auto"/>
        </w:rPr>
        <w:t>At the discretion of the Board, the payment upon SAR exercise may be in cash, in Shares of equivalent value, or any combination of either. The Board’s determination regarding the form of SAR payout shall be set forth in the Award Agreement pertaining to the grant of the SAR.</w:t>
      </w:r>
    </w:p>
    <w:p>
      <w:pPr>
        <w:spacing w:after="0" w:line="176" w:lineRule="exact"/>
        <w:rPr>
          <w:sz w:val="20"/>
          <w:szCs w:val="20"/>
          <w:color w:val="auto"/>
        </w:rPr>
      </w:pPr>
    </w:p>
    <w:p>
      <w:pPr>
        <w:jc w:val="both"/>
        <w:ind w:right="120" w:firstLine="494"/>
        <w:spacing w:after="0" w:line="361" w:lineRule="auto"/>
        <w:rPr>
          <w:sz w:val="20"/>
          <w:szCs w:val="20"/>
          <w:color w:val="auto"/>
        </w:rPr>
      </w:pPr>
      <w:r>
        <w:rPr>
          <w:rFonts w:ascii="Arial" w:cs="Arial" w:eastAsia="Arial" w:hAnsi="Arial"/>
          <w:sz w:val="11"/>
          <w:szCs w:val="11"/>
          <w:color w:val="auto"/>
        </w:rPr>
        <w:t xml:space="preserve">7.7 </w:t>
      </w:r>
      <w:r>
        <w:rPr>
          <w:rFonts w:ascii="Arial" w:cs="Arial" w:eastAsia="Arial" w:hAnsi="Arial"/>
          <w:sz w:val="11"/>
          <w:szCs w:val="11"/>
          <w:b w:val="1"/>
          <w:bCs w:val="1"/>
          <w:color w:val="auto"/>
        </w:rPr>
        <w:t>Termination of Employment/Service Relationship</w:t>
      </w:r>
      <w:r>
        <w:rPr>
          <w:rFonts w:ascii="Arial" w:cs="Arial" w:eastAsia="Arial" w:hAnsi="Arial"/>
          <w:sz w:val="11"/>
          <w:szCs w:val="11"/>
          <w:color w:val="auto"/>
        </w:rPr>
        <w:t>. Each Award Agreement shall set forth the extent to which the Participant shall have the right to exercise the SAR following termination of the Participant’s employment or service relationship with the Company, its Affiliates, and/or its Subsidiaries, as the case may be. Such provisions shall be determined in the sole discretion of the Board, shall be included in the Award Agreement entered into with Participants, need not be uniform among all SARs issued pursuant to the Plan, and may reflect distinctions based on the reasons for termination.</w:t>
      </w:r>
    </w:p>
    <w:p>
      <w:pPr>
        <w:spacing w:after="0" w:line="130" w:lineRule="exact"/>
        <w:rPr>
          <w:sz w:val="20"/>
          <w:szCs w:val="20"/>
          <w:color w:val="auto"/>
        </w:rPr>
      </w:pPr>
    </w:p>
    <w:p>
      <w:pPr>
        <w:ind w:right="80" w:firstLine="494"/>
        <w:spacing w:after="0" w:line="258" w:lineRule="auto"/>
        <w:rPr>
          <w:sz w:val="20"/>
          <w:szCs w:val="20"/>
          <w:color w:val="auto"/>
        </w:rPr>
      </w:pPr>
      <w:r>
        <w:rPr>
          <w:rFonts w:ascii="Arial" w:cs="Arial" w:eastAsia="Arial" w:hAnsi="Arial"/>
          <w:sz w:val="14"/>
          <w:szCs w:val="14"/>
          <w:color w:val="auto"/>
        </w:rPr>
        <w:t xml:space="preserve">7.8 </w:t>
      </w:r>
      <w:r>
        <w:rPr>
          <w:rFonts w:ascii="Arial" w:cs="Arial" w:eastAsia="Arial" w:hAnsi="Arial"/>
          <w:sz w:val="14"/>
          <w:szCs w:val="14"/>
          <w:b w:val="1"/>
          <w:bCs w:val="1"/>
          <w:color w:val="auto"/>
        </w:rPr>
        <w:t>Nontransferability</w:t>
      </w:r>
      <w:r>
        <w:rPr>
          <w:rFonts w:ascii="Arial" w:cs="Arial" w:eastAsia="Arial" w:hAnsi="Arial"/>
          <w:sz w:val="14"/>
          <w:szCs w:val="14"/>
          <w:color w:val="auto"/>
        </w:rPr>
        <w:t>. Except as otherwise provided in a Participant’s Award Agreement, no SAR granted under the Plan may be sold, transferred, pledged, assigned, or otherwise alienated or hypothecated, other than by will or by the laws of descent and distribution. Further, except as otherwise provided in a Participant’s Award Agreement, all SARs granted to a Participant under the Plan shall be exercisable during his or her lifetime only by such Participant.</w:t>
      </w:r>
    </w:p>
    <w:p>
      <w:pPr>
        <w:spacing w:after="0" w:line="18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ARTICLE VIII RESTRICTED STOCK AND RESTRICTED STOCK UNITS</w:t>
      </w:r>
    </w:p>
    <w:p>
      <w:pPr>
        <w:spacing w:after="0" w:line="210" w:lineRule="exact"/>
        <w:rPr>
          <w:sz w:val="20"/>
          <w:szCs w:val="20"/>
          <w:color w:val="auto"/>
        </w:rPr>
      </w:pPr>
    </w:p>
    <w:p>
      <w:pPr>
        <w:ind w:right="140" w:firstLine="494"/>
        <w:spacing w:after="0" w:line="258" w:lineRule="auto"/>
        <w:rPr>
          <w:sz w:val="20"/>
          <w:szCs w:val="20"/>
          <w:color w:val="auto"/>
        </w:rPr>
      </w:pPr>
      <w:r>
        <w:rPr>
          <w:rFonts w:ascii="Arial" w:cs="Arial" w:eastAsia="Arial" w:hAnsi="Arial"/>
          <w:sz w:val="14"/>
          <w:szCs w:val="14"/>
          <w:color w:val="auto"/>
        </w:rPr>
        <w:t xml:space="preserve">8.1 </w:t>
      </w:r>
      <w:r>
        <w:rPr>
          <w:rFonts w:ascii="Arial" w:cs="Arial" w:eastAsia="Arial" w:hAnsi="Arial"/>
          <w:sz w:val="14"/>
          <w:szCs w:val="14"/>
          <w:b w:val="1"/>
          <w:bCs w:val="1"/>
          <w:color w:val="auto"/>
        </w:rPr>
        <w:t>Grant of Restricted Stock/Units</w:t>
      </w:r>
      <w:r>
        <w:rPr>
          <w:rFonts w:ascii="Arial" w:cs="Arial" w:eastAsia="Arial" w:hAnsi="Arial"/>
          <w:sz w:val="14"/>
          <w:szCs w:val="14"/>
          <w:color w:val="auto"/>
        </w:rPr>
        <w:t>. Subject to the terms and provisions of the Plan, the Board, at any time and from time to time, may grant Shares of Restricted Stock and/or Restricted Stock Units to Participants in such amounts as the Board shall determine. Restricted Stock Units shall be similar to Restricted Stock except that no Shares shall be actually awarded to the Participant on the date of grant.</w:t>
      </w:r>
    </w:p>
    <w:p>
      <w:pPr>
        <w:spacing w:after="0" w:line="181" w:lineRule="exact"/>
        <w:rPr>
          <w:sz w:val="20"/>
          <w:szCs w:val="20"/>
          <w:color w:val="auto"/>
        </w:rPr>
      </w:pPr>
    </w:p>
    <w:p>
      <w:pPr>
        <w:ind w:right="100" w:firstLine="494"/>
        <w:spacing w:after="0" w:line="271" w:lineRule="auto"/>
        <w:rPr>
          <w:sz w:val="20"/>
          <w:szCs w:val="20"/>
          <w:color w:val="auto"/>
        </w:rPr>
      </w:pPr>
      <w:r>
        <w:rPr>
          <w:rFonts w:ascii="Arial" w:cs="Arial" w:eastAsia="Arial" w:hAnsi="Arial"/>
          <w:sz w:val="14"/>
          <w:szCs w:val="14"/>
          <w:color w:val="auto"/>
        </w:rPr>
        <w:t xml:space="preserve">8.2 </w:t>
      </w:r>
      <w:r>
        <w:rPr>
          <w:rFonts w:ascii="Arial" w:cs="Arial" w:eastAsia="Arial" w:hAnsi="Arial"/>
          <w:sz w:val="14"/>
          <w:szCs w:val="14"/>
          <w:b w:val="1"/>
          <w:bCs w:val="1"/>
          <w:color w:val="auto"/>
        </w:rPr>
        <w:t>Restricted Stock Agreement</w:t>
      </w:r>
      <w:r>
        <w:rPr>
          <w:rFonts w:ascii="Arial" w:cs="Arial" w:eastAsia="Arial" w:hAnsi="Arial"/>
          <w:sz w:val="14"/>
          <w:szCs w:val="14"/>
          <w:color w:val="auto"/>
        </w:rPr>
        <w:t>. Each Restricted Stock and/or Restricted Stock Unit grant shall be evidenced by an Award Agreement that shall specify the Period(s) of Restriction, the number of Shares of Restricted Stock (or the number of Restricted Stock Units) granted, and such other provisions as the Board shall determine.</w:t>
      </w:r>
    </w:p>
    <w:p>
      <w:pPr>
        <w:spacing w:after="0" w:line="172" w:lineRule="exact"/>
        <w:rPr>
          <w:sz w:val="20"/>
          <w:szCs w:val="20"/>
          <w:color w:val="auto"/>
        </w:rPr>
      </w:pPr>
    </w:p>
    <w:p>
      <w:pPr>
        <w:ind w:right="120" w:firstLine="494"/>
        <w:spacing w:after="0" w:line="258" w:lineRule="auto"/>
        <w:rPr>
          <w:sz w:val="20"/>
          <w:szCs w:val="20"/>
          <w:color w:val="auto"/>
        </w:rPr>
      </w:pPr>
      <w:r>
        <w:rPr>
          <w:rFonts w:ascii="Arial" w:cs="Arial" w:eastAsia="Arial" w:hAnsi="Arial"/>
          <w:sz w:val="14"/>
          <w:szCs w:val="14"/>
          <w:color w:val="auto"/>
        </w:rPr>
        <w:t xml:space="preserve">8.3 </w:t>
      </w:r>
      <w:r>
        <w:rPr>
          <w:rFonts w:ascii="Arial" w:cs="Arial" w:eastAsia="Arial" w:hAnsi="Arial"/>
          <w:sz w:val="14"/>
          <w:szCs w:val="14"/>
          <w:b w:val="1"/>
          <w:bCs w:val="1"/>
          <w:color w:val="auto"/>
        </w:rPr>
        <w:t>Nontransferability</w:t>
      </w:r>
      <w:r>
        <w:rPr>
          <w:rFonts w:ascii="Arial" w:cs="Arial" w:eastAsia="Arial" w:hAnsi="Arial"/>
          <w:sz w:val="14"/>
          <w:szCs w:val="14"/>
          <w:color w:val="auto"/>
        </w:rPr>
        <w:t>. Except as otherwise provided in a Participant’s Award Agreement, the Shares of Restricted Stock and/or Restricted Stock Units granted herein may not be sold, transferred, pledged, assigned, or otherwise alienated or hypothecated until the end of the applicable Period of Restriction established by the Board and specified in the Award Agreement, or upon earlier satisfaction of any other conditions, as specified by the Board in its sole discretion and set forth in the Award Agreement.</w:t>
      </w:r>
    </w:p>
    <w:p>
      <w:pPr>
        <w:spacing w:after="0" w:line="181" w:lineRule="exact"/>
        <w:rPr>
          <w:sz w:val="20"/>
          <w:szCs w:val="20"/>
          <w:color w:val="auto"/>
        </w:rPr>
      </w:pPr>
    </w:p>
    <w:p>
      <w:pPr>
        <w:ind w:firstLine="494"/>
        <w:spacing w:after="0" w:line="254" w:lineRule="auto"/>
        <w:rPr>
          <w:sz w:val="20"/>
          <w:szCs w:val="20"/>
          <w:color w:val="auto"/>
        </w:rPr>
      </w:pPr>
      <w:r>
        <w:rPr>
          <w:rFonts w:ascii="Arial" w:cs="Arial" w:eastAsia="Arial" w:hAnsi="Arial"/>
          <w:sz w:val="14"/>
          <w:szCs w:val="14"/>
          <w:color w:val="auto"/>
        </w:rPr>
        <w:t xml:space="preserve">8.4 </w:t>
      </w:r>
      <w:r>
        <w:rPr>
          <w:rFonts w:ascii="Arial" w:cs="Arial" w:eastAsia="Arial" w:hAnsi="Arial"/>
          <w:sz w:val="14"/>
          <w:szCs w:val="14"/>
          <w:b w:val="1"/>
          <w:bCs w:val="1"/>
          <w:color w:val="auto"/>
        </w:rPr>
        <w:t>Other Restrictions</w:t>
      </w:r>
      <w:r>
        <w:rPr>
          <w:rFonts w:ascii="Arial" w:cs="Arial" w:eastAsia="Arial" w:hAnsi="Arial"/>
          <w:sz w:val="14"/>
          <w:szCs w:val="14"/>
          <w:color w:val="auto"/>
        </w:rPr>
        <w:t>. The Board shall impose such other conditions and/or restrictions on any Shares of Restricted Stock or Restricted Stock Units granted pursuant to the Plan as it may deem advisable including, without limitation, a requirement that Participants pay a stipulated purchase price for each Share of Restricted Stock or each Restricted Stock Unit, restrictions based upon the achievement of specific performance goals, time-based restrictions on vesting following the attainment of the performance goals or Performance Measures, time-based restrictions, and/or restrictions under applicable federal or state securities laws.</w:t>
      </w:r>
    </w:p>
    <w:p>
      <w:pPr>
        <w:spacing w:after="0" w:line="188" w:lineRule="exact"/>
        <w:rPr>
          <w:sz w:val="20"/>
          <w:szCs w:val="20"/>
          <w:color w:val="auto"/>
        </w:rPr>
      </w:pPr>
    </w:p>
    <w:p>
      <w:pPr>
        <w:ind w:right="120" w:firstLine="494"/>
        <w:spacing w:after="0" w:line="265" w:lineRule="auto"/>
        <w:rPr>
          <w:sz w:val="20"/>
          <w:szCs w:val="20"/>
          <w:color w:val="auto"/>
        </w:rPr>
      </w:pPr>
      <w:r>
        <w:rPr>
          <w:rFonts w:ascii="Arial" w:cs="Arial" w:eastAsia="Arial" w:hAnsi="Arial"/>
          <w:sz w:val="14"/>
          <w:szCs w:val="14"/>
          <w:color w:val="auto"/>
        </w:rPr>
        <w:t>To the extent deemed appropriate by the Board, the Company may retain the certificates representing Shares of Restricted Stock in the Company’s possession until such time as all conditions and/or restrictions applicable to such Shares have been satisfied or lapse.</w:t>
      </w:r>
    </w:p>
    <w:p>
      <w:pPr>
        <w:spacing w:after="0" w:line="178" w:lineRule="exact"/>
        <w:rPr>
          <w:sz w:val="20"/>
          <w:szCs w:val="20"/>
          <w:color w:val="auto"/>
        </w:rPr>
      </w:pPr>
    </w:p>
    <w:p>
      <w:pPr>
        <w:jc w:val="center"/>
        <w:ind w:right="-39"/>
        <w:spacing w:after="0"/>
        <w:rPr>
          <w:sz w:val="20"/>
          <w:szCs w:val="20"/>
          <w:color w:val="auto"/>
        </w:rPr>
      </w:pPr>
      <w:r>
        <w:rPr>
          <w:rFonts w:ascii="Arial" w:cs="Arial" w:eastAsia="Arial" w:hAnsi="Arial"/>
          <w:sz w:val="11"/>
          <w:szCs w:val="11"/>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48895</wp:posOffset>
            </wp:positionV>
            <wp:extent cx="7285355" cy="190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5355" cy="19050"/>
                    </a:xfrm>
                    <a:prstGeom prst="rect">
                      <a:avLst/>
                    </a:prstGeom>
                    <a:noFill/>
                  </pic:spPr>
                </pic:pic>
              </a:graphicData>
            </a:graphic>
          </wp:anchor>
        </w:drawing>
      </w:r>
    </w:p>
    <w:p>
      <w:pPr>
        <w:sectPr>
          <w:pgSz w:w="11900" w:h="16838" w:orient="portrait"/>
          <w:cols w:equalWidth="0" w:num="1">
            <w:col w:w="11440"/>
          </w:cols>
          <w:pgMar w:left="220" w:top="331" w:right="239" w:bottom="1440" w:gutter="0" w:footer="0" w:header="0"/>
        </w:sectPr>
      </w:pPr>
    </w:p>
    <w:bookmarkStart w:id="13" w:name="page14"/>
    <w:bookmarkEnd w:id="13"/>
    <w:p>
      <w:pPr>
        <w:ind w:right="180" w:firstLine="494"/>
        <w:spacing w:after="0" w:line="255" w:lineRule="auto"/>
        <w:rPr>
          <w:sz w:val="20"/>
          <w:szCs w:val="20"/>
          <w:color w:val="auto"/>
        </w:rPr>
      </w:pPr>
      <w:r>
        <w:rPr>
          <w:rFonts w:ascii="Arial" w:cs="Arial" w:eastAsia="Arial" w:hAnsi="Arial"/>
          <w:sz w:val="14"/>
          <w:szCs w:val="14"/>
          <w:color w:val="auto"/>
        </w:rPr>
        <w:t>Except as otherwise provided in a Participant’s Award Agreement, Shares of Restricted Stock covered by each Restricted Stock Award shall become freely transferable by the Participant after all conditions and restrictions applicable to such Shares have been satisfied or lapse, and Restricted Stock Units shall be paid in cash, Shares, or a combination of either as the Board, in its sole discretion, shall determine.</w:t>
      </w:r>
    </w:p>
    <w:p>
      <w:pPr>
        <w:spacing w:after="0" w:line="183" w:lineRule="exact"/>
        <w:rPr>
          <w:sz w:val="20"/>
          <w:szCs w:val="20"/>
          <w:color w:val="auto"/>
        </w:rPr>
      </w:pPr>
    </w:p>
    <w:p>
      <w:pPr>
        <w:ind w:firstLine="494"/>
        <w:spacing w:after="0" w:line="310" w:lineRule="auto"/>
        <w:rPr>
          <w:sz w:val="20"/>
          <w:szCs w:val="20"/>
          <w:color w:val="auto"/>
        </w:rPr>
      </w:pPr>
      <w:r>
        <w:rPr>
          <w:rFonts w:ascii="Arial" w:cs="Arial" w:eastAsia="Arial" w:hAnsi="Arial"/>
          <w:sz w:val="13"/>
          <w:szCs w:val="13"/>
          <w:color w:val="auto"/>
        </w:rPr>
        <w:t xml:space="preserve">8.5 </w:t>
      </w:r>
      <w:r>
        <w:rPr>
          <w:rFonts w:ascii="Arial" w:cs="Arial" w:eastAsia="Arial" w:hAnsi="Arial"/>
          <w:sz w:val="13"/>
          <w:szCs w:val="13"/>
          <w:b w:val="1"/>
          <w:bCs w:val="1"/>
          <w:color w:val="auto"/>
        </w:rPr>
        <w:t>Voting Rights</w:t>
      </w:r>
      <w:r>
        <w:rPr>
          <w:rFonts w:ascii="Arial" w:cs="Arial" w:eastAsia="Arial" w:hAnsi="Arial"/>
          <w:sz w:val="13"/>
          <w:szCs w:val="13"/>
          <w:color w:val="auto"/>
        </w:rPr>
        <w:t>. To the extent permitted, or required by law, as determined by the Board, Participants holding Shares of Restricted Stock granted hereunder may be granted the right to exercise full voting rights with respect to those Shares during the Period of Restriction. A Participant shall have no voting rights with respect to any Restricted Stock Units granted hereunder.</w:t>
      </w:r>
    </w:p>
    <w:p>
      <w:pPr>
        <w:spacing w:after="0" w:line="149" w:lineRule="exact"/>
        <w:rPr>
          <w:sz w:val="20"/>
          <w:szCs w:val="20"/>
          <w:color w:val="auto"/>
        </w:rPr>
      </w:pPr>
    </w:p>
    <w:p>
      <w:pPr>
        <w:ind w:right="240" w:firstLine="494"/>
        <w:spacing w:after="0" w:line="254" w:lineRule="auto"/>
        <w:rPr>
          <w:sz w:val="20"/>
          <w:szCs w:val="20"/>
          <w:color w:val="auto"/>
        </w:rPr>
      </w:pPr>
      <w:r>
        <w:rPr>
          <w:rFonts w:ascii="Arial" w:cs="Arial" w:eastAsia="Arial" w:hAnsi="Arial"/>
          <w:sz w:val="14"/>
          <w:szCs w:val="14"/>
          <w:color w:val="auto"/>
        </w:rPr>
        <w:t xml:space="preserve">8.6 </w:t>
      </w:r>
      <w:r>
        <w:rPr>
          <w:rFonts w:ascii="Arial" w:cs="Arial" w:eastAsia="Arial" w:hAnsi="Arial"/>
          <w:sz w:val="14"/>
          <w:szCs w:val="14"/>
          <w:b w:val="1"/>
          <w:bCs w:val="1"/>
          <w:color w:val="auto"/>
        </w:rPr>
        <w:t>Dividends and Other Distributions</w:t>
      </w:r>
      <w:r>
        <w:rPr>
          <w:rFonts w:ascii="Arial" w:cs="Arial" w:eastAsia="Arial" w:hAnsi="Arial"/>
          <w:sz w:val="14"/>
          <w:szCs w:val="14"/>
          <w:color w:val="auto"/>
        </w:rPr>
        <w:t>. During the Period of Restriction, Participants holding Shares of Restricted Stock or Restricted Stock Units granted hereunder may, if the Board so determines, be credited with dividends paid with respect to the underlying Shares or dividend equivalents while they are so held in a manner determined by the Board in its sole discretion. The Board may apply any restrictions to the dividends that the Board deems appropriate. The Board, in its sole discretion, may determine the form of payment of dividends or dividend equivalents, including cash, Shares, Restricted Stock, or Restricted Stock Units.</w:t>
      </w:r>
    </w:p>
    <w:p>
      <w:pPr>
        <w:spacing w:after="0" w:line="184" w:lineRule="exact"/>
        <w:rPr>
          <w:sz w:val="20"/>
          <w:szCs w:val="20"/>
          <w:color w:val="auto"/>
        </w:rPr>
      </w:pPr>
    </w:p>
    <w:p>
      <w:pPr>
        <w:ind w:right="80" w:firstLine="494"/>
        <w:spacing w:after="0" w:line="279" w:lineRule="auto"/>
        <w:rPr>
          <w:sz w:val="20"/>
          <w:szCs w:val="20"/>
          <w:color w:val="auto"/>
        </w:rPr>
      </w:pPr>
      <w:r>
        <w:rPr>
          <w:rFonts w:ascii="Arial" w:cs="Arial" w:eastAsia="Arial" w:hAnsi="Arial"/>
          <w:sz w:val="13"/>
          <w:szCs w:val="13"/>
          <w:color w:val="auto"/>
        </w:rPr>
        <w:t xml:space="preserve">8.7 </w:t>
      </w:r>
      <w:r>
        <w:rPr>
          <w:rFonts w:ascii="Arial" w:cs="Arial" w:eastAsia="Arial" w:hAnsi="Arial"/>
          <w:sz w:val="13"/>
          <w:szCs w:val="13"/>
          <w:b w:val="1"/>
          <w:bCs w:val="1"/>
          <w:color w:val="auto"/>
        </w:rPr>
        <w:t>Termination of Employment/Service Relationship</w:t>
      </w:r>
      <w:r>
        <w:rPr>
          <w:rFonts w:ascii="Arial" w:cs="Arial" w:eastAsia="Arial" w:hAnsi="Arial"/>
          <w:sz w:val="13"/>
          <w:szCs w:val="13"/>
          <w:color w:val="auto"/>
        </w:rPr>
        <w:t>. In the event a Participant’s employment or service relationship terminates for any reason, including by reason of death, disability, or retirement, all Shares of Restricted Stock and/or Restricted Stock Units shall be forfeited by the Participant unless determined otherwise by the Board, as set forth in the Participant’s Award Agreement. Any such provisions shall be determined in the sole discretion of the Board, shall be included in the Award Agreement entered into with each Participant, need not be uniform among all Shares of Restricted Stock or Restricted Stock Units issued pursuant to the Plan, and may reflect distinctions based on the reasons for termination.</w:t>
      </w:r>
    </w:p>
    <w:p>
      <w:pPr>
        <w:spacing w:after="0" w:line="170" w:lineRule="exact"/>
        <w:rPr>
          <w:sz w:val="20"/>
          <w:szCs w:val="20"/>
          <w:color w:val="auto"/>
        </w:rPr>
      </w:pPr>
    </w:p>
    <w:p>
      <w:pPr>
        <w:ind w:firstLine="494"/>
        <w:spacing w:after="0" w:line="258" w:lineRule="auto"/>
        <w:rPr>
          <w:sz w:val="20"/>
          <w:szCs w:val="20"/>
          <w:color w:val="auto"/>
        </w:rPr>
      </w:pPr>
      <w:r>
        <w:rPr>
          <w:rFonts w:ascii="Arial" w:cs="Arial" w:eastAsia="Arial" w:hAnsi="Arial"/>
          <w:sz w:val="14"/>
          <w:szCs w:val="14"/>
          <w:color w:val="auto"/>
        </w:rPr>
        <w:t xml:space="preserve">8.8 </w:t>
      </w:r>
      <w:r>
        <w:rPr>
          <w:rFonts w:ascii="Arial" w:cs="Arial" w:eastAsia="Arial" w:hAnsi="Arial"/>
          <w:sz w:val="14"/>
          <w:szCs w:val="14"/>
          <w:b w:val="1"/>
          <w:bCs w:val="1"/>
          <w:color w:val="auto"/>
        </w:rPr>
        <w:t>Section 83(b) Election</w:t>
      </w:r>
      <w:r>
        <w:rPr>
          <w:rFonts w:ascii="Arial" w:cs="Arial" w:eastAsia="Arial" w:hAnsi="Arial"/>
          <w:sz w:val="14"/>
          <w:szCs w:val="14"/>
          <w:color w:val="auto"/>
        </w:rPr>
        <w:t>. The Board may provide in an Award Agreement that the Award of Restricted Stock is conditioned upon the Participant making or refraining from making an election with respect to the Award under Section 83(b) of the Code. If a Participant makes an election pursuant to Section 83(b) of the Code concerning a Restricted Stock Award, the Participant shall be required to promptly file a copy of such election with the Company.</w:t>
      </w:r>
    </w:p>
    <w:p>
      <w:pPr>
        <w:spacing w:after="0" w:line="18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ARTICLE IX PERFORMANCE SHARES</w:t>
      </w:r>
    </w:p>
    <w:p>
      <w:pPr>
        <w:spacing w:after="0" w:line="210" w:lineRule="exact"/>
        <w:rPr>
          <w:sz w:val="20"/>
          <w:szCs w:val="20"/>
          <w:color w:val="auto"/>
        </w:rPr>
      </w:pPr>
    </w:p>
    <w:p>
      <w:pPr>
        <w:ind w:right="40" w:firstLine="494"/>
        <w:spacing w:after="0" w:line="271" w:lineRule="auto"/>
        <w:rPr>
          <w:sz w:val="20"/>
          <w:szCs w:val="20"/>
          <w:color w:val="auto"/>
        </w:rPr>
      </w:pPr>
      <w:r>
        <w:rPr>
          <w:rFonts w:ascii="Arial" w:cs="Arial" w:eastAsia="Arial" w:hAnsi="Arial"/>
          <w:sz w:val="14"/>
          <w:szCs w:val="14"/>
          <w:color w:val="auto"/>
        </w:rPr>
        <w:t xml:space="preserve">9.1 </w:t>
      </w:r>
      <w:r>
        <w:rPr>
          <w:rFonts w:ascii="Arial" w:cs="Arial" w:eastAsia="Arial" w:hAnsi="Arial"/>
          <w:sz w:val="14"/>
          <w:szCs w:val="14"/>
          <w:b w:val="1"/>
          <w:bCs w:val="1"/>
          <w:color w:val="auto"/>
        </w:rPr>
        <w:t>Grant of Performance Shares</w:t>
      </w:r>
      <w:r>
        <w:rPr>
          <w:rFonts w:ascii="Arial" w:cs="Arial" w:eastAsia="Arial" w:hAnsi="Arial"/>
          <w:sz w:val="14"/>
          <w:szCs w:val="14"/>
          <w:color w:val="auto"/>
        </w:rPr>
        <w:t>. Subject to the terms of the Plan, Performance Shares may be granted to Participants in such amounts and upon such terms, and at any time and from time to time, as shall be determined by the Board.</w:t>
      </w:r>
    </w:p>
    <w:p>
      <w:pPr>
        <w:spacing w:after="0" w:line="172" w:lineRule="exact"/>
        <w:rPr>
          <w:sz w:val="20"/>
          <w:szCs w:val="20"/>
          <w:color w:val="auto"/>
        </w:rPr>
      </w:pPr>
    </w:p>
    <w:p>
      <w:pPr>
        <w:ind w:right="400" w:firstLine="494"/>
        <w:spacing w:after="0" w:line="411" w:lineRule="auto"/>
        <w:rPr>
          <w:sz w:val="20"/>
          <w:szCs w:val="20"/>
          <w:color w:val="auto"/>
        </w:rPr>
      </w:pPr>
      <w:r>
        <w:rPr>
          <w:rFonts w:ascii="Arial" w:cs="Arial" w:eastAsia="Arial" w:hAnsi="Arial"/>
          <w:sz w:val="11"/>
          <w:szCs w:val="11"/>
          <w:color w:val="auto"/>
        </w:rPr>
        <w:t xml:space="preserve">9.2 </w:t>
      </w:r>
      <w:r>
        <w:rPr>
          <w:rFonts w:ascii="Arial" w:cs="Arial" w:eastAsia="Arial" w:hAnsi="Arial"/>
          <w:sz w:val="11"/>
          <w:szCs w:val="11"/>
          <w:b w:val="1"/>
          <w:bCs w:val="1"/>
          <w:color w:val="auto"/>
        </w:rPr>
        <w:t>Value of Performance Shares</w:t>
      </w:r>
      <w:r>
        <w:rPr>
          <w:rFonts w:ascii="Arial" w:cs="Arial" w:eastAsia="Arial" w:hAnsi="Arial"/>
          <w:sz w:val="11"/>
          <w:szCs w:val="11"/>
          <w:color w:val="auto"/>
        </w:rPr>
        <w:t>. Each Performance Share shall have an initial value equal to the Fair Market Value of a Share on the date of grant. The Board shall set performance goals or Performance Measures in its discretion which, depending on the extent to which they are met, will determine the number and/or value of Shares that will be paid out to the Participant.</w:t>
      </w:r>
    </w:p>
    <w:p>
      <w:pPr>
        <w:spacing w:after="0" w:line="102" w:lineRule="exact"/>
        <w:rPr>
          <w:sz w:val="20"/>
          <w:szCs w:val="20"/>
          <w:color w:val="auto"/>
        </w:rPr>
      </w:pPr>
    </w:p>
    <w:p>
      <w:pPr>
        <w:ind w:right="40" w:firstLine="494"/>
        <w:spacing w:after="0" w:line="258" w:lineRule="auto"/>
        <w:rPr>
          <w:sz w:val="20"/>
          <w:szCs w:val="20"/>
          <w:color w:val="auto"/>
        </w:rPr>
      </w:pPr>
      <w:r>
        <w:rPr>
          <w:rFonts w:ascii="Arial" w:cs="Arial" w:eastAsia="Arial" w:hAnsi="Arial"/>
          <w:sz w:val="14"/>
          <w:szCs w:val="14"/>
          <w:color w:val="auto"/>
        </w:rPr>
        <w:t xml:space="preserve">9.3 </w:t>
      </w:r>
      <w:r>
        <w:rPr>
          <w:rFonts w:ascii="Arial" w:cs="Arial" w:eastAsia="Arial" w:hAnsi="Arial"/>
          <w:sz w:val="14"/>
          <w:szCs w:val="14"/>
          <w:b w:val="1"/>
          <w:bCs w:val="1"/>
          <w:color w:val="auto"/>
        </w:rPr>
        <w:t>Earning of Performance Shares</w:t>
      </w:r>
      <w:r>
        <w:rPr>
          <w:rFonts w:ascii="Arial" w:cs="Arial" w:eastAsia="Arial" w:hAnsi="Arial"/>
          <w:sz w:val="14"/>
          <w:szCs w:val="14"/>
          <w:color w:val="auto"/>
        </w:rPr>
        <w:t>. Subject to the terms of this Plan, after the applicable Performance Period has ended, the holder of Performance Shares shall be entitled to receive payout on the number and value of Performance Shares earned by the Participant over the Performance Period, to be determined as a function of the extent to which the corresponding performance goals or Performance Measures have been achieved.</w:t>
      </w:r>
    </w:p>
    <w:p>
      <w:pPr>
        <w:spacing w:after="0" w:line="181"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auto"/>
        </w:rPr>
        <w:t xml:space="preserve">9.4 </w:t>
      </w:r>
      <w:r>
        <w:rPr>
          <w:rFonts w:ascii="Arial" w:cs="Arial" w:eastAsia="Arial" w:hAnsi="Arial"/>
          <w:sz w:val="13"/>
          <w:szCs w:val="13"/>
          <w:b w:val="1"/>
          <w:bCs w:val="1"/>
          <w:color w:val="auto"/>
        </w:rPr>
        <w:t>Form and Timing of Payment of Performance Shares</w:t>
      </w:r>
      <w:r>
        <w:rPr>
          <w:rFonts w:ascii="Arial" w:cs="Arial" w:eastAsia="Arial" w:hAnsi="Arial"/>
          <w:sz w:val="13"/>
          <w:szCs w:val="13"/>
          <w:color w:val="auto"/>
        </w:rPr>
        <w:t>. Payment of earned Performance Shares shall be as determined by the Board and as evidenced in the Award Agreement. Subject</w:t>
      </w:r>
    </w:p>
    <w:p>
      <w:pPr>
        <w:spacing w:after="0" w:line="29" w:lineRule="exact"/>
        <w:rPr>
          <w:sz w:val="20"/>
          <w:szCs w:val="20"/>
          <w:color w:val="auto"/>
        </w:rPr>
      </w:pPr>
    </w:p>
    <w:p>
      <w:pPr>
        <w:jc w:val="both"/>
        <w:spacing w:after="0" w:line="248" w:lineRule="auto"/>
        <w:rPr>
          <w:sz w:val="20"/>
          <w:szCs w:val="20"/>
          <w:color w:val="auto"/>
        </w:rPr>
      </w:pPr>
      <w:r>
        <w:rPr>
          <w:rFonts w:ascii="Arial" w:cs="Arial" w:eastAsia="Arial" w:hAnsi="Arial"/>
          <w:sz w:val="14"/>
          <w:szCs w:val="14"/>
          <w:color w:val="auto"/>
        </w:rPr>
        <w:t>to the terms of the Plan the Board, in its sole discretion, may pay earned Performance Shares in the form of cash or in Shares (or in a combination thereof) equal to the value of the earned Performance Shares at the close of the applicable Performance Period. Any Shares may be granted subject to any restrictions deemed appropriate by the Board. The determination of the Board with respect to the form of payout of such Awards shall be set forth in the Award Agreement pertaining to the grant of the Award.</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1"/>
          <w:szCs w:val="11"/>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48895</wp:posOffset>
            </wp:positionV>
            <wp:extent cx="7285355" cy="190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5355" cy="19050"/>
                    </a:xfrm>
                    <a:prstGeom prst="rect">
                      <a:avLst/>
                    </a:prstGeom>
                    <a:noFill/>
                  </pic:spPr>
                </pic:pic>
              </a:graphicData>
            </a:graphic>
          </wp:anchor>
        </w:drawing>
      </w:r>
    </w:p>
    <w:p>
      <w:pPr>
        <w:sectPr>
          <w:pgSz w:w="11900" w:h="16838" w:orient="portrait"/>
          <w:cols w:equalWidth="0" w:num="1">
            <w:col w:w="11440"/>
          </w:cols>
          <w:pgMar w:left="220" w:top="335" w:right="239" w:bottom="1440" w:gutter="0" w:footer="0" w:header="0"/>
        </w:sectPr>
      </w:pPr>
    </w:p>
    <w:bookmarkStart w:id="14" w:name="page15"/>
    <w:bookmarkEnd w:id="14"/>
    <w:p>
      <w:pPr>
        <w:ind w:right="120" w:firstLine="494"/>
        <w:spacing w:after="0" w:line="271" w:lineRule="auto"/>
        <w:rPr>
          <w:sz w:val="20"/>
          <w:szCs w:val="20"/>
          <w:color w:val="auto"/>
        </w:rPr>
      </w:pPr>
      <w:r>
        <w:rPr>
          <w:rFonts w:ascii="Arial" w:cs="Arial" w:eastAsia="Arial" w:hAnsi="Arial"/>
          <w:sz w:val="14"/>
          <w:szCs w:val="14"/>
          <w:color w:val="auto"/>
        </w:rPr>
        <w:t xml:space="preserve">9.5 </w:t>
      </w:r>
      <w:r>
        <w:rPr>
          <w:rFonts w:ascii="Arial" w:cs="Arial" w:eastAsia="Arial" w:hAnsi="Arial"/>
          <w:sz w:val="14"/>
          <w:szCs w:val="14"/>
          <w:b w:val="1"/>
          <w:bCs w:val="1"/>
          <w:color w:val="auto"/>
        </w:rPr>
        <w:t>Dividends and Other Distributions</w:t>
      </w:r>
      <w:r>
        <w:rPr>
          <w:rFonts w:ascii="Arial" w:cs="Arial" w:eastAsia="Arial" w:hAnsi="Arial"/>
          <w:sz w:val="14"/>
          <w:szCs w:val="14"/>
          <w:color w:val="auto"/>
        </w:rPr>
        <w:t>. At the discretion of the Board, Participants holding Performance Shares may be entitled to receive dividend equivalents with respect to dividends declared with respect to the Shares. Such dividends may be subject to the accrual, forfeiture, or payout restrictions as determined by the Board in its sole discretion.</w:t>
      </w:r>
    </w:p>
    <w:p>
      <w:pPr>
        <w:spacing w:after="0" w:line="172" w:lineRule="exact"/>
        <w:rPr>
          <w:sz w:val="20"/>
          <w:szCs w:val="20"/>
          <w:color w:val="auto"/>
        </w:rPr>
      </w:pPr>
    </w:p>
    <w:p>
      <w:pPr>
        <w:ind w:firstLine="494"/>
        <w:spacing w:after="0" w:line="254" w:lineRule="auto"/>
        <w:rPr>
          <w:sz w:val="20"/>
          <w:szCs w:val="20"/>
          <w:color w:val="auto"/>
        </w:rPr>
      </w:pPr>
      <w:r>
        <w:rPr>
          <w:rFonts w:ascii="Arial" w:cs="Arial" w:eastAsia="Arial" w:hAnsi="Arial"/>
          <w:sz w:val="14"/>
          <w:szCs w:val="14"/>
          <w:color w:val="auto"/>
        </w:rPr>
        <w:t xml:space="preserve">9.6 </w:t>
      </w:r>
      <w:r>
        <w:rPr>
          <w:rFonts w:ascii="Arial" w:cs="Arial" w:eastAsia="Arial" w:hAnsi="Arial"/>
          <w:sz w:val="14"/>
          <w:szCs w:val="14"/>
          <w:b w:val="1"/>
          <w:bCs w:val="1"/>
          <w:color w:val="auto"/>
        </w:rPr>
        <w:t>Termination of Employment/Service Relationship</w:t>
      </w:r>
      <w:r>
        <w:rPr>
          <w:rFonts w:ascii="Arial" w:cs="Arial" w:eastAsia="Arial" w:hAnsi="Arial"/>
          <w:sz w:val="14"/>
          <w:szCs w:val="14"/>
          <w:color w:val="auto"/>
        </w:rPr>
        <w:t>. In the event a Participant’s employment or service relationship terminates for any reason, including by reason of death, disability, or retirement, all Performance Shares shall be forfeited by the Participant unless determined otherwise by the Board, as set forth in the Participant’s Award Agreement. Any such provisions shall be determined in the sole discretion of the Board, shall be included in the Award Agreement entered into with each Participant, need not be uniform among all Performance Shares issued pursuant to the Plan, and may reflect distinctions based on the reasons for termination.</w:t>
      </w:r>
    </w:p>
    <w:p>
      <w:pPr>
        <w:spacing w:after="0" w:line="184" w:lineRule="exact"/>
        <w:rPr>
          <w:sz w:val="20"/>
          <w:szCs w:val="20"/>
          <w:color w:val="auto"/>
        </w:rPr>
      </w:pPr>
    </w:p>
    <w:p>
      <w:pPr>
        <w:ind w:right="720" w:firstLine="494"/>
        <w:spacing w:after="0" w:line="271" w:lineRule="auto"/>
        <w:rPr>
          <w:sz w:val="20"/>
          <w:szCs w:val="20"/>
          <w:color w:val="auto"/>
        </w:rPr>
      </w:pPr>
      <w:r>
        <w:rPr>
          <w:rFonts w:ascii="Arial" w:cs="Arial" w:eastAsia="Arial" w:hAnsi="Arial"/>
          <w:sz w:val="14"/>
          <w:szCs w:val="14"/>
          <w:color w:val="auto"/>
        </w:rPr>
        <w:t xml:space="preserve">9.7 </w:t>
      </w:r>
      <w:r>
        <w:rPr>
          <w:rFonts w:ascii="Arial" w:cs="Arial" w:eastAsia="Arial" w:hAnsi="Arial"/>
          <w:sz w:val="14"/>
          <w:szCs w:val="14"/>
          <w:b w:val="1"/>
          <w:bCs w:val="1"/>
          <w:color w:val="auto"/>
        </w:rPr>
        <w:t>Nontransferability</w:t>
      </w:r>
      <w:r>
        <w:rPr>
          <w:rFonts w:ascii="Arial" w:cs="Arial" w:eastAsia="Arial" w:hAnsi="Arial"/>
          <w:sz w:val="14"/>
          <w:szCs w:val="14"/>
          <w:color w:val="auto"/>
        </w:rPr>
        <w:t>. Except as otherwise provided in a Participant’s Award Agreement, Performance Shares may not be sold, transferred, pledged, assigned, or otherwise alienated or hypothecated, other than by will or by the laws of descent and distribution.</w:t>
      </w:r>
    </w:p>
    <w:p>
      <w:pPr>
        <w:spacing w:after="0" w:line="17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ARTICLE X STOCK AWARDS</w:t>
      </w:r>
    </w:p>
    <w:p>
      <w:pPr>
        <w:spacing w:after="0" w:line="210" w:lineRule="exact"/>
        <w:rPr>
          <w:sz w:val="20"/>
          <w:szCs w:val="20"/>
          <w:color w:val="auto"/>
        </w:rPr>
      </w:pPr>
    </w:p>
    <w:p>
      <w:pPr>
        <w:ind w:right="40" w:firstLine="494"/>
        <w:spacing w:after="0" w:line="287" w:lineRule="auto"/>
        <w:rPr>
          <w:sz w:val="20"/>
          <w:szCs w:val="20"/>
          <w:color w:val="auto"/>
        </w:rPr>
      </w:pPr>
      <w:r>
        <w:rPr>
          <w:rFonts w:ascii="Arial" w:cs="Arial" w:eastAsia="Arial" w:hAnsi="Arial"/>
          <w:sz w:val="13"/>
          <w:szCs w:val="13"/>
          <w:color w:val="auto"/>
        </w:rPr>
        <w:t xml:space="preserve">10.1 </w:t>
      </w:r>
      <w:r>
        <w:rPr>
          <w:rFonts w:ascii="Arial" w:cs="Arial" w:eastAsia="Arial" w:hAnsi="Arial"/>
          <w:sz w:val="13"/>
          <w:szCs w:val="13"/>
          <w:b w:val="1"/>
          <w:bCs w:val="1"/>
          <w:color w:val="auto"/>
        </w:rPr>
        <w:t>Stock Awards</w:t>
      </w:r>
      <w:r>
        <w:rPr>
          <w:rFonts w:ascii="Arial" w:cs="Arial" w:eastAsia="Arial" w:hAnsi="Arial"/>
          <w:sz w:val="13"/>
          <w:szCs w:val="13"/>
          <w:color w:val="auto"/>
        </w:rPr>
        <w:t>. The Board may grant other types of equity-based or equity-related Awards (including the grant or offer for sale of unrestricted Shares) in such amounts and subject to such terms and conditions, as the Board shall determine. Such Awards may entail the transfer of actual Shares to Participants, or payment in cash or otherwise of amounts based on the value of Shares and may include, without limitation, Awards designed to comply with or take advantage of the applicable local laws of jurisdictions other than the United States.</w:t>
      </w:r>
    </w:p>
    <w:p>
      <w:pPr>
        <w:spacing w:after="0" w:line="16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ARTICLE XI PERFORMANCE MEASURES</w:t>
      </w:r>
    </w:p>
    <w:p>
      <w:pPr>
        <w:spacing w:after="0" w:line="214" w:lineRule="exact"/>
        <w:rPr>
          <w:sz w:val="20"/>
          <w:szCs w:val="20"/>
          <w:color w:val="auto"/>
        </w:rPr>
      </w:pPr>
    </w:p>
    <w:p>
      <w:pPr>
        <w:ind w:right="220" w:firstLine="494"/>
        <w:spacing w:after="0" w:line="403" w:lineRule="auto"/>
        <w:rPr>
          <w:sz w:val="20"/>
          <w:szCs w:val="20"/>
          <w:color w:val="auto"/>
        </w:rPr>
      </w:pPr>
      <w:r>
        <w:rPr>
          <w:rFonts w:ascii="Arial" w:cs="Arial" w:eastAsia="Arial" w:hAnsi="Arial"/>
          <w:sz w:val="11"/>
          <w:szCs w:val="11"/>
          <w:color w:val="auto"/>
        </w:rPr>
        <w:t>Unless and until the Board proposes for stockholder vote and the stockholders approve a change in the general Performance Measures set forth under this Article XI, the performance criteria upon which the payment or vesting of an Award to a Covered Employee that is intended to qualify as Performance-Based Compensation shall be limited to the following Performance Measures:</w:t>
      </w:r>
    </w:p>
    <w:p>
      <w:pPr>
        <w:spacing w:after="0" w:line="111" w:lineRule="exact"/>
        <w:rPr>
          <w:sz w:val="20"/>
          <w:szCs w:val="20"/>
          <w:color w:val="auto"/>
        </w:rPr>
      </w:pPr>
    </w:p>
    <w:p>
      <w:pPr>
        <w:ind w:left="1700" w:hanging="214"/>
        <w:spacing w:after="0"/>
        <w:tabs>
          <w:tab w:leader="none" w:pos="1700" w:val="left"/>
        </w:tabs>
        <w:numPr>
          <w:ilvl w:val="0"/>
          <w:numId w:val="8"/>
        </w:numPr>
        <w:rPr>
          <w:rFonts w:ascii="Arial" w:cs="Arial" w:eastAsia="Arial" w:hAnsi="Arial"/>
          <w:sz w:val="14"/>
          <w:szCs w:val="14"/>
          <w:color w:val="auto"/>
        </w:rPr>
      </w:pPr>
      <w:r>
        <w:rPr>
          <w:rFonts w:ascii="Arial" w:cs="Arial" w:eastAsia="Arial" w:hAnsi="Arial"/>
          <w:sz w:val="14"/>
          <w:szCs w:val="14"/>
          <w:color w:val="auto"/>
        </w:rPr>
        <w:t>Net earnings;</w:t>
      </w:r>
    </w:p>
    <w:p>
      <w:pPr>
        <w:spacing w:after="0" w:line="209" w:lineRule="exact"/>
        <w:rPr>
          <w:rFonts w:ascii="Arial" w:cs="Arial" w:eastAsia="Arial" w:hAnsi="Arial"/>
          <w:sz w:val="14"/>
          <w:szCs w:val="14"/>
          <w:color w:val="auto"/>
        </w:rPr>
      </w:pPr>
    </w:p>
    <w:p>
      <w:pPr>
        <w:ind w:left="1720" w:hanging="234"/>
        <w:spacing w:after="0"/>
        <w:tabs>
          <w:tab w:leader="none" w:pos="1720" w:val="left"/>
        </w:tabs>
        <w:numPr>
          <w:ilvl w:val="0"/>
          <w:numId w:val="8"/>
        </w:numPr>
        <w:rPr>
          <w:rFonts w:ascii="Arial" w:cs="Arial" w:eastAsia="Arial" w:hAnsi="Arial"/>
          <w:sz w:val="14"/>
          <w:szCs w:val="14"/>
          <w:color w:val="auto"/>
        </w:rPr>
      </w:pPr>
      <w:r>
        <w:rPr>
          <w:rFonts w:ascii="Arial" w:cs="Arial" w:eastAsia="Arial" w:hAnsi="Arial"/>
          <w:sz w:val="14"/>
          <w:szCs w:val="14"/>
          <w:color w:val="auto"/>
        </w:rPr>
        <w:t>Revenues;</w:t>
      </w:r>
    </w:p>
    <w:p>
      <w:pPr>
        <w:spacing w:after="0" w:line="209" w:lineRule="exact"/>
        <w:rPr>
          <w:rFonts w:ascii="Arial" w:cs="Arial" w:eastAsia="Arial" w:hAnsi="Arial"/>
          <w:sz w:val="14"/>
          <w:szCs w:val="14"/>
          <w:color w:val="auto"/>
        </w:rPr>
      </w:pPr>
    </w:p>
    <w:p>
      <w:pPr>
        <w:ind w:left="1700" w:hanging="214"/>
        <w:spacing w:after="0"/>
        <w:tabs>
          <w:tab w:leader="none" w:pos="1700" w:val="left"/>
        </w:tabs>
        <w:numPr>
          <w:ilvl w:val="0"/>
          <w:numId w:val="8"/>
        </w:numPr>
        <w:rPr>
          <w:rFonts w:ascii="Arial" w:cs="Arial" w:eastAsia="Arial" w:hAnsi="Arial"/>
          <w:sz w:val="14"/>
          <w:szCs w:val="14"/>
          <w:color w:val="auto"/>
        </w:rPr>
      </w:pPr>
      <w:r>
        <w:rPr>
          <w:rFonts w:ascii="Arial" w:cs="Arial" w:eastAsia="Arial" w:hAnsi="Arial"/>
          <w:sz w:val="14"/>
          <w:szCs w:val="14"/>
          <w:color w:val="auto"/>
        </w:rPr>
        <w:t>Earnings per share;</w:t>
      </w:r>
    </w:p>
    <w:p>
      <w:pPr>
        <w:spacing w:after="0" w:line="209" w:lineRule="exact"/>
        <w:rPr>
          <w:rFonts w:ascii="Arial" w:cs="Arial" w:eastAsia="Arial" w:hAnsi="Arial"/>
          <w:sz w:val="14"/>
          <w:szCs w:val="14"/>
          <w:color w:val="auto"/>
        </w:rPr>
      </w:pPr>
    </w:p>
    <w:p>
      <w:pPr>
        <w:ind w:left="1720" w:hanging="234"/>
        <w:spacing w:after="0"/>
        <w:tabs>
          <w:tab w:leader="none" w:pos="1720" w:val="left"/>
        </w:tabs>
        <w:numPr>
          <w:ilvl w:val="0"/>
          <w:numId w:val="8"/>
        </w:numPr>
        <w:rPr>
          <w:rFonts w:ascii="Arial" w:cs="Arial" w:eastAsia="Arial" w:hAnsi="Arial"/>
          <w:sz w:val="14"/>
          <w:szCs w:val="14"/>
          <w:color w:val="auto"/>
        </w:rPr>
      </w:pPr>
      <w:r>
        <w:rPr>
          <w:rFonts w:ascii="Arial" w:cs="Arial" w:eastAsia="Arial" w:hAnsi="Arial"/>
          <w:sz w:val="14"/>
          <w:szCs w:val="14"/>
          <w:color w:val="auto"/>
        </w:rPr>
        <w:t>Net sales growth;</w:t>
      </w:r>
    </w:p>
    <w:p>
      <w:pPr>
        <w:spacing w:after="0" w:line="209" w:lineRule="exact"/>
        <w:rPr>
          <w:rFonts w:ascii="Arial" w:cs="Arial" w:eastAsia="Arial" w:hAnsi="Arial"/>
          <w:sz w:val="14"/>
          <w:szCs w:val="14"/>
          <w:color w:val="auto"/>
        </w:rPr>
      </w:pPr>
    </w:p>
    <w:p>
      <w:pPr>
        <w:ind w:left="1700" w:hanging="214"/>
        <w:spacing w:after="0"/>
        <w:tabs>
          <w:tab w:leader="none" w:pos="1700" w:val="left"/>
        </w:tabs>
        <w:numPr>
          <w:ilvl w:val="0"/>
          <w:numId w:val="8"/>
        </w:numPr>
        <w:rPr>
          <w:rFonts w:ascii="Arial" w:cs="Arial" w:eastAsia="Arial" w:hAnsi="Arial"/>
          <w:sz w:val="14"/>
          <w:szCs w:val="14"/>
          <w:color w:val="auto"/>
        </w:rPr>
      </w:pPr>
      <w:r>
        <w:rPr>
          <w:rFonts w:ascii="Arial" w:cs="Arial" w:eastAsia="Arial" w:hAnsi="Arial"/>
          <w:sz w:val="14"/>
          <w:szCs w:val="14"/>
          <w:color w:val="auto"/>
        </w:rPr>
        <w:t>Net income (before or after taxes);</w:t>
      </w:r>
    </w:p>
    <w:p>
      <w:pPr>
        <w:spacing w:after="0" w:line="209" w:lineRule="exact"/>
        <w:rPr>
          <w:rFonts w:ascii="Arial" w:cs="Arial" w:eastAsia="Arial" w:hAnsi="Arial"/>
          <w:sz w:val="14"/>
          <w:szCs w:val="14"/>
          <w:color w:val="auto"/>
        </w:rPr>
      </w:pPr>
    </w:p>
    <w:p>
      <w:pPr>
        <w:ind w:left="1700" w:hanging="214"/>
        <w:spacing w:after="0"/>
        <w:tabs>
          <w:tab w:leader="none" w:pos="1700" w:val="left"/>
        </w:tabs>
        <w:numPr>
          <w:ilvl w:val="0"/>
          <w:numId w:val="8"/>
        </w:numPr>
        <w:rPr>
          <w:rFonts w:ascii="Arial" w:cs="Arial" w:eastAsia="Arial" w:hAnsi="Arial"/>
          <w:sz w:val="14"/>
          <w:szCs w:val="14"/>
          <w:color w:val="auto"/>
        </w:rPr>
      </w:pPr>
      <w:r>
        <w:rPr>
          <w:rFonts w:ascii="Arial" w:cs="Arial" w:eastAsia="Arial" w:hAnsi="Arial"/>
          <w:sz w:val="14"/>
          <w:szCs w:val="14"/>
          <w:color w:val="auto"/>
        </w:rPr>
        <w:t>Net operating profit;</w:t>
      </w:r>
    </w:p>
    <w:p>
      <w:pPr>
        <w:spacing w:after="0" w:line="209" w:lineRule="exact"/>
        <w:rPr>
          <w:rFonts w:ascii="Arial" w:cs="Arial" w:eastAsia="Arial" w:hAnsi="Arial"/>
          <w:sz w:val="14"/>
          <w:szCs w:val="14"/>
          <w:color w:val="auto"/>
        </w:rPr>
      </w:pPr>
    </w:p>
    <w:p>
      <w:pPr>
        <w:ind w:left="1720" w:hanging="234"/>
        <w:spacing w:after="0"/>
        <w:tabs>
          <w:tab w:leader="none" w:pos="1720" w:val="left"/>
        </w:tabs>
        <w:numPr>
          <w:ilvl w:val="0"/>
          <w:numId w:val="8"/>
        </w:numPr>
        <w:rPr>
          <w:rFonts w:ascii="Arial" w:cs="Arial" w:eastAsia="Arial" w:hAnsi="Arial"/>
          <w:sz w:val="14"/>
          <w:szCs w:val="14"/>
          <w:color w:val="auto"/>
        </w:rPr>
      </w:pPr>
      <w:r>
        <w:rPr>
          <w:rFonts w:ascii="Arial" w:cs="Arial" w:eastAsia="Arial" w:hAnsi="Arial"/>
          <w:sz w:val="14"/>
          <w:szCs w:val="14"/>
          <w:color w:val="auto"/>
        </w:rPr>
        <w:t>Return measures (including, but not limited to, return on assets, capital, equity, or sales);</w:t>
      </w:r>
    </w:p>
    <w:p>
      <w:pPr>
        <w:spacing w:after="0" w:line="207" w:lineRule="exact"/>
        <w:rPr>
          <w:sz w:val="20"/>
          <w:szCs w:val="20"/>
          <w:color w:val="auto"/>
        </w:rPr>
      </w:pPr>
    </w:p>
    <w:p>
      <w:pPr>
        <w:jc w:val="center"/>
        <w:ind w:right="-39"/>
        <w:spacing w:after="0"/>
        <w:rPr>
          <w:sz w:val="20"/>
          <w:szCs w:val="20"/>
          <w:color w:val="auto"/>
        </w:rPr>
      </w:pPr>
      <w:r>
        <w:rPr>
          <w:rFonts w:ascii="Arial" w:cs="Arial" w:eastAsia="Arial" w:hAnsi="Arial"/>
          <w:sz w:val="11"/>
          <w:szCs w:val="11"/>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48895</wp:posOffset>
            </wp:positionV>
            <wp:extent cx="7285355" cy="190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5355" cy="19050"/>
                    </a:xfrm>
                    <a:prstGeom prst="rect">
                      <a:avLst/>
                    </a:prstGeom>
                    <a:noFill/>
                  </pic:spPr>
                </pic:pic>
              </a:graphicData>
            </a:graphic>
          </wp:anchor>
        </w:drawing>
      </w:r>
    </w:p>
    <w:p>
      <w:pPr>
        <w:sectPr>
          <w:pgSz w:w="11900" w:h="16838" w:orient="portrait"/>
          <w:cols w:equalWidth="0" w:num="1">
            <w:col w:w="11440"/>
          </w:cols>
          <w:pgMar w:left="220" w:top="331" w:right="239" w:bottom="1440" w:gutter="0" w:footer="0" w:header="0"/>
        </w:sectPr>
      </w:pPr>
    </w:p>
    <w:bookmarkStart w:id="15" w:name="page16"/>
    <w:bookmarkEnd w:id="15"/>
    <w:p>
      <w:pPr>
        <w:ind w:left="1720" w:hanging="234"/>
        <w:spacing w:after="0"/>
        <w:tabs>
          <w:tab w:leader="none" w:pos="1720" w:val="left"/>
        </w:tabs>
        <w:numPr>
          <w:ilvl w:val="0"/>
          <w:numId w:val="9"/>
        </w:numPr>
        <w:rPr>
          <w:rFonts w:ascii="Arial" w:cs="Arial" w:eastAsia="Arial" w:hAnsi="Arial"/>
          <w:sz w:val="14"/>
          <w:szCs w:val="14"/>
          <w:color w:val="auto"/>
        </w:rPr>
      </w:pPr>
      <w:r>
        <w:rPr>
          <w:rFonts w:ascii="Arial" w:cs="Arial" w:eastAsia="Arial" w:hAnsi="Arial"/>
          <w:sz w:val="14"/>
          <w:szCs w:val="14"/>
          <w:color w:val="auto"/>
        </w:rPr>
        <w:t>Cash flow (including, but not limited to, operating cash flow and free cash flow);</w:t>
      </w:r>
    </w:p>
    <w:p>
      <w:pPr>
        <w:spacing w:after="0" w:line="209" w:lineRule="exact"/>
        <w:rPr>
          <w:rFonts w:ascii="Arial" w:cs="Arial" w:eastAsia="Arial" w:hAnsi="Arial"/>
          <w:sz w:val="14"/>
          <w:szCs w:val="14"/>
          <w:color w:val="auto"/>
        </w:rPr>
      </w:pPr>
    </w:p>
    <w:p>
      <w:pPr>
        <w:ind w:left="1680" w:hanging="194"/>
        <w:spacing w:after="0"/>
        <w:tabs>
          <w:tab w:leader="none" w:pos="1680" w:val="left"/>
        </w:tabs>
        <w:numPr>
          <w:ilvl w:val="0"/>
          <w:numId w:val="9"/>
        </w:numPr>
        <w:rPr>
          <w:rFonts w:ascii="Arial" w:cs="Arial" w:eastAsia="Arial" w:hAnsi="Arial"/>
          <w:sz w:val="14"/>
          <w:szCs w:val="14"/>
          <w:color w:val="auto"/>
        </w:rPr>
      </w:pPr>
      <w:r>
        <w:rPr>
          <w:rFonts w:ascii="Arial" w:cs="Arial" w:eastAsia="Arial" w:hAnsi="Arial"/>
          <w:sz w:val="14"/>
          <w:szCs w:val="14"/>
          <w:color w:val="auto"/>
        </w:rPr>
        <w:t>Earnings before or after taxes, interest, depreciation and/or amortization;</w:t>
      </w:r>
    </w:p>
    <w:p>
      <w:pPr>
        <w:spacing w:after="0" w:line="209" w:lineRule="exact"/>
        <w:rPr>
          <w:rFonts w:ascii="Arial" w:cs="Arial" w:eastAsia="Arial" w:hAnsi="Arial"/>
          <w:sz w:val="14"/>
          <w:szCs w:val="14"/>
          <w:color w:val="auto"/>
        </w:rPr>
      </w:pPr>
    </w:p>
    <w:p>
      <w:pPr>
        <w:ind w:left="1680" w:hanging="194"/>
        <w:spacing w:after="0"/>
        <w:tabs>
          <w:tab w:leader="none" w:pos="1680" w:val="left"/>
        </w:tabs>
        <w:numPr>
          <w:ilvl w:val="0"/>
          <w:numId w:val="9"/>
        </w:numPr>
        <w:rPr>
          <w:rFonts w:ascii="Arial" w:cs="Arial" w:eastAsia="Arial" w:hAnsi="Arial"/>
          <w:sz w:val="14"/>
          <w:szCs w:val="14"/>
          <w:color w:val="auto"/>
        </w:rPr>
      </w:pPr>
      <w:r>
        <w:rPr>
          <w:rFonts w:ascii="Arial" w:cs="Arial" w:eastAsia="Arial" w:hAnsi="Arial"/>
          <w:sz w:val="14"/>
          <w:szCs w:val="14"/>
          <w:color w:val="auto"/>
        </w:rPr>
        <w:t>Internal rate of return or increase in net present value;</w:t>
      </w:r>
    </w:p>
    <w:p>
      <w:pPr>
        <w:spacing w:after="0" w:line="209" w:lineRule="exact"/>
        <w:rPr>
          <w:rFonts w:ascii="Arial" w:cs="Arial" w:eastAsia="Arial" w:hAnsi="Arial"/>
          <w:sz w:val="14"/>
          <w:szCs w:val="14"/>
          <w:color w:val="auto"/>
        </w:rPr>
      </w:pPr>
    </w:p>
    <w:p>
      <w:pPr>
        <w:ind w:left="1720" w:hanging="234"/>
        <w:spacing w:after="0"/>
        <w:tabs>
          <w:tab w:leader="none" w:pos="1720" w:val="left"/>
        </w:tabs>
        <w:numPr>
          <w:ilvl w:val="0"/>
          <w:numId w:val="9"/>
        </w:numPr>
        <w:rPr>
          <w:rFonts w:ascii="Arial" w:cs="Arial" w:eastAsia="Arial" w:hAnsi="Arial"/>
          <w:sz w:val="14"/>
          <w:szCs w:val="14"/>
          <w:color w:val="auto"/>
        </w:rPr>
      </w:pPr>
      <w:r>
        <w:rPr>
          <w:rFonts w:ascii="Arial" w:cs="Arial" w:eastAsia="Arial" w:hAnsi="Arial"/>
          <w:sz w:val="14"/>
          <w:szCs w:val="14"/>
          <w:color w:val="auto"/>
        </w:rPr>
        <w:t>Gross margins;</w:t>
      </w:r>
    </w:p>
    <w:p>
      <w:pPr>
        <w:spacing w:after="0" w:line="209" w:lineRule="exact"/>
        <w:rPr>
          <w:rFonts w:ascii="Arial" w:cs="Arial" w:eastAsia="Arial" w:hAnsi="Arial"/>
          <w:sz w:val="14"/>
          <w:szCs w:val="14"/>
          <w:color w:val="auto"/>
        </w:rPr>
      </w:pPr>
    </w:p>
    <w:p>
      <w:pPr>
        <w:ind w:left="1680" w:hanging="194"/>
        <w:spacing w:after="0"/>
        <w:tabs>
          <w:tab w:leader="none" w:pos="1680" w:val="left"/>
        </w:tabs>
        <w:numPr>
          <w:ilvl w:val="0"/>
          <w:numId w:val="9"/>
        </w:numPr>
        <w:rPr>
          <w:rFonts w:ascii="Arial" w:cs="Arial" w:eastAsia="Arial" w:hAnsi="Arial"/>
          <w:sz w:val="14"/>
          <w:szCs w:val="14"/>
          <w:color w:val="auto"/>
        </w:rPr>
      </w:pPr>
      <w:r>
        <w:rPr>
          <w:rFonts w:ascii="Arial" w:cs="Arial" w:eastAsia="Arial" w:hAnsi="Arial"/>
          <w:sz w:val="14"/>
          <w:szCs w:val="14"/>
          <w:color w:val="auto"/>
        </w:rPr>
        <w:t>Gross margins minus expenses;</w:t>
      </w:r>
    </w:p>
    <w:p>
      <w:pPr>
        <w:spacing w:after="0" w:line="209" w:lineRule="exact"/>
        <w:rPr>
          <w:rFonts w:ascii="Arial" w:cs="Arial" w:eastAsia="Arial" w:hAnsi="Arial"/>
          <w:sz w:val="14"/>
          <w:szCs w:val="14"/>
          <w:color w:val="auto"/>
        </w:rPr>
      </w:pPr>
    </w:p>
    <w:p>
      <w:pPr>
        <w:ind w:left="1760" w:hanging="274"/>
        <w:spacing w:after="0"/>
        <w:tabs>
          <w:tab w:leader="none" w:pos="1760" w:val="left"/>
        </w:tabs>
        <w:numPr>
          <w:ilvl w:val="0"/>
          <w:numId w:val="9"/>
        </w:numPr>
        <w:rPr>
          <w:rFonts w:ascii="Arial" w:cs="Arial" w:eastAsia="Arial" w:hAnsi="Arial"/>
          <w:sz w:val="14"/>
          <w:szCs w:val="14"/>
          <w:color w:val="auto"/>
        </w:rPr>
      </w:pPr>
      <w:r>
        <w:rPr>
          <w:rFonts w:ascii="Arial" w:cs="Arial" w:eastAsia="Arial" w:hAnsi="Arial"/>
          <w:sz w:val="14"/>
          <w:szCs w:val="14"/>
          <w:color w:val="auto"/>
        </w:rPr>
        <w:t>Operating income or margin;</w:t>
      </w:r>
    </w:p>
    <w:p>
      <w:pPr>
        <w:spacing w:after="0" w:line="209" w:lineRule="exact"/>
        <w:rPr>
          <w:rFonts w:ascii="Arial" w:cs="Arial" w:eastAsia="Arial" w:hAnsi="Arial"/>
          <w:sz w:val="14"/>
          <w:szCs w:val="14"/>
          <w:color w:val="auto"/>
        </w:rPr>
      </w:pPr>
    </w:p>
    <w:p>
      <w:pPr>
        <w:ind w:left="1720" w:hanging="234"/>
        <w:spacing w:after="0"/>
        <w:tabs>
          <w:tab w:leader="none" w:pos="1720" w:val="left"/>
        </w:tabs>
        <w:numPr>
          <w:ilvl w:val="0"/>
          <w:numId w:val="9"/>
        </w:numPr>
        <w:rPr>
          <w:rFonts w:ascii="Arial" w:cs="Arial" w:eastAsia="Arial" w:hAnsi="Arial"/>
          <w:sz w:val="14"/>
          <w:szCs w:val="14"/>
          <w:color w:val="auto"/>
        </w:rPr>
      </w:pPr>
      <w:r>
        <w:rPr>
          <w:rFonts w:ascii="Arial" w:cs="Arial" w:eastAsia="Arial" w:hAnsi="Arial"/>
          <w:sz w:val="14"/>
          <w:szCs w:val="14"/>
          <w:color w:val="auto"/>
        </w:rPr>
        <w:t>Share price (including, but not limited to, growth measures and total shareholder return);</w:t>
      </w:r>
    </w:p>
    <w:p>
      <w:pPr>
        <w:spacing w:after="0" w:line="209" w:lineRule="exact"/>
        <w:rPr>
          <w:rFonts w:ascii="Arial" w:cs="Arial" w:eastAsia="Arial" w:hAnsi="Arial"/>
          <w:sz w:val="14"/>
          <w:szCs w:val="14"/>
          <w:color w:val="auto"/>
        </w:rPr>
      </w:pPr>
    </w:p>
    <w:p>
      <w:pPr>
        <w:ind w:left="1720" w:hanging="234"/>
        <w:spacing w:after="0"/>
        <w:tabs>
          <w:tab w:leader="none" w:pos="1720" w:val="left"/>
        </w:tabs>
        <w:numPr>
          <w:ilvl w:val="0"/>
          <w:numId w:val="9"/>
        </w:numPr>
        <w:rPr>
          <w:rFonts w:ascii="Arial" w:cs="Arial" w:eastAsia="Arial" w:hAnsi="Arial"/>
          <w:sz w:val="14"/>
          <w:szCs w:val="14"/>
          <w:color w:val="auto"/>
        </w:rPr>
      </w:pPr>
      <w:r>
        <w:rPr>
          <w:rFonts w:ascii="Arial" w:cs="Arial" w:eastAsia="Arial" w:hAnsi="Arial"/>
          <w:sz w:val="14"/>
          <w:szCs w:val="14"/>
          <w:color w:val="auto"/>
        </w:rPr>
        <w:t>Working capital targets relating to inventory and/or accounts receivable;</w:t>
      </w:r>
    </w:p>
    <w:p>
      <w:pPr>
        <w:spacing w:after="0" w:line="209" w:lineRule="exact"/>
        <w:rPr>
          <w:rFonts w:ascii="Arial" w:cs="Arial" w:eastAsia="Arial" w:hAnsi="Arial"/>
          <w:sz w:val="14"/>
          <w:szCs w:val="14"/>
          <w:color w:val="auto"/>
        </w:rPr>
      </w:pPr>
    </w:p>
    <w:p>
      <w:pPr>
        <w:ind w:left="1720" w:hanging="234"/>
        <w:spacing w:after="0"/>
        <w:tabs>
          <w:tab w:leader="none" w:pos="1720" w:val="left"/>
        </w:tabs>
        <w:numPr>
          <w:ilvl w:val="0"/>
          <w:numId w:val="9"/>
        </w:numPr>
        <w:rPr>
          <w:rFonts w:ascii="Arial" w:cs="Arial" w:eastAsia="Arial" w:hAnsi="Arial"/>
          <w:sz w:val="14"/>
          <w:szCs w:val="14"/>
          <w:color w:val="auto"/>
        </w:rPr>
      </w:pPr>
      <w:r>
        <w:rPr>
          <w:rFonts w:ascii="Arial" w:cs="Arial" w:eastAsia="Arial" w:hAnsi="Arial"/>
          <w:sz w:val="14"/>
          <w:szCs w:val="14"/>
          <w:color w:val="auto"/>
        </w:rPr>
        <w:t>Comparisons to the performance of other companies;</w:t>
      </w:r>
    </w:p>
    <w:p>
      <w:pPr>
        <w:spacing w:after="0" w:line="209" w:lineRule="exact"/>
        <w:rPr>
          <w:rFonts w:ascii="Arial" w:cs="Arial" w:eastAsia="Arial" w:hAnsi="Arial"/>
          <w:sz w:val="14"/>
          <w:szCs w:val="14"/>
          <w:color w:val="auto"/>
        </w:rPr>
      </w:pPr>
    </w:p>
    <w:p>
      <w:pPr>
        <w:ind w:left="1720" w:hanging="234"/>
        <w:spacing w:after="0"/>
        <w:tabs>
          <w:tab w:leader="none" w:pos="1720" w:val="left"/>
        </w:tabs>
        <w:numPr>
          <w:ilvl w:val="0"/>
          <w:numId w:val="9"/>
        </w:numPr>
        <w:rPr>
          <w:rFonts w:ascii="Arial" w:cs="Arial" w:eastAsia="Arial" w:hAnsi="Arial"/>
          <w:sz w:val="14"/>
          <w:szCs w:val="14"/>
          <w:color w:val="auto"/>
        </w:rPr>
      </w:pPr>
      <w:r>
        <w:rPr>
          <w:rFonts w:ascii="Arial" w:cs="Arial" w:eastAsia="Arial" w:hAnsi="Arial"/>
          <w:sz w:val="14"/>
          <w:szCs w:val="14"/>
          <w:color w:val="auto"/>
        </w:rPr>
        <w:t>Level of dividends; and</w:t>
      </w:r>
    </w:p>
    <w:p>
      <w:pPr>
        <w:spacing w:after="0" w:line="209" w:lineRule="exact"/>
        <w:rPr>
          <w:rFonts w:ascii="Arial" w:cs="Arial" w:eastAsia="Arial" w:hAnsi="Arial"/>
          <w:sz w:val="14"/>
          <w:szCs w:val="14"/>
          <w:color w:val="auto"/>
        </w:rPr>
      </w:pPr>
    </w:p>
    <w:p>
      <w:pPr>
        <w:ind w:left="1700" w:hanging="214"/>
        <w:spacing w:after="0"/>
        <w:tabs>
          <w:tab w:leader="none" w:pos="1700" w:val="left"/>
        </w:tabs>
        <w:numPr>
          <w:ilvl w:val="0"/>
          <w:numId w:val="9"/>
        </w:numPr>
        <w:rPr>
          <w:rFonts w:ascii="Arial" w:cs="Arial" w:eastAsia="Arial" w:hAnsi="Arial"/>
          <w:sz w:val="14"/>
          <w:szCs w:val="14"/>
          <w:color w:val="auto"/>
        </w:rPr>
      </w:pPr>
      <w:r>
        <w:rPr>
          <w:rFonts w:ascii="Arial" w:cs="Arial" w:eastAsia="Arial" w:hAnsi="Arial"/>
          <w:sz w:val="14"/>
          <w:szCs w:val="14"/>
          <w:color w:val="auto"/>
        </w:rPr>
        <w:t>Units sold.</w:t>
      </w:r>
    </w:p>
    <w:p>
      <w:pPr>
        <w:spacing w:after="0" w:line="210" w:lineRule="exact"/>
        <w:rPr>
          <w:sz w:val="20"/>
          <w:szCs w:val="20"/>
          <w:color w:val="auto"/>
        </w:rPr>
      </w:pPr>
    </w:p>
    <w:p>
      <w:pPr>
        <w:ind w:right="60" w:firstLine="494"/>
        <w:spacing w:after="0" w:line="403" w:lineRule="auto"/>
        <w:rPr>
          <w:sz w:val="20"/>
          <w:szCs w:val="20"/>
          <w:color w:val="auto"/>
        </w:rPr>
      </w:pPr>
      <w:r>
        <w:rPr>
          <w:rFonts w:ascii="Arial" w:cs="Arial" w:eastAsia="Arial" w:hAnsi="Arial"/>
          <w:sz w:val="11"/>
          <w:szCs w:val="11"/>
          <w:color w:val="auto"/>
        </w:rPr>
        <w:t>Any of the foregoing Performance Measures may be used to measure the performance of the Company as a whole or any business unit of the Company or any combination thereof, as the Board may deem appropriate, or any of the above goals as compared to the performance of a group of comparator companies, or published or special index that the Board, in its sole discretion deems appropriate.</w:t>
      </w:r>
    </w:p>
    <w:p>
      <w:pPr>
        <w:spacing w:after="0" w:line="111" w:lineRule="exact"/>
        <w:rPr>
          <w:sz w:val="20"/>
          <w:szCs w:val="20"/>
          <w:color w:val="auto"/>
        </w:rPr>
      </w:pPr>
    </w:p>
    <w:p>
      <w:pPr>
        <w:ind w:right="120" w:firstLine="494"/>
        <w:spacing w:after="0" w:line="265" w:lineRule="auto"/>
        <w:rPr>
          <w:sz w:val="20"/>
          <w:szCs w:val="20"/>
          <w:color w:val="auto"/>
        </w:rPr>
      </w:pPr>
      <w:r>
        <w:rPr>
          <w:rFonts w:ascii="Arial" w:cs="Arial" w:eastAsia="Arial" w:hAnsi="Arial"/>
          <w:sz w:val="14"/>
          <w:szCs w:val="14"/>
          <w:color w:val="auto"/>
        </w:rPr>
        <w:t>Awards that are designed to qualify as Performance-Based Compensation, and that are held by Covered Employees, may not be adjusted upward. The Board shall retain the discretion to adjust such Awards downward.</w:t>
      </w:r>
    </w:p>
    <w:p>
      <w:pPr>
        <w:spacing w:after="0" w:line="180" w:lineRule="exact"/>
        <w:rPr>
          <w:sz w:val="20"/>
          <w:szCs w:val="20"/>
          <w:color w:val="auto"/>
        </w:rPr>
      </w:pPr>
    </w:p>
    <w:p>
      <w:pPr>
        <w:ind w:right="160" w:firstLine="494"/>
        <w:spacing w:after="0" w:line="255" w:lineRule="auto"/>
        <w:rPr>
          <w:sz w:val="20"/>
          <w:szCs w:val="20"/>
          <w:color w:val="auto"/>
        </w:rPr>
      </w:pPr>
      <w:r>
        <w:rPr>
          <w:rFonts w:ascii="Arial" w:cs="Arial" w:eastAsia="Arial" w:hAnsi="Arial"/>
          <w:sz w:val="14"/>
          <w:szCs w:val="14"/>
          <w:color w:val="auto"/>
        </w:rPr>
        <w:t>In the event that applicable tax and/or securities laws change to permit Board discretion to alter the governing Performance Measures without obtaining stockholder approval of such changes, the Board shall have sole discretion to make such changes without obtaining stockholder approval. In addition, in the event that the Board determines that it is advisable to grant Awards that shall not qualify as Performance Based Compensation, the Board may make such grants without satisfying the requirements of Code Section 162(m).</w:t>
      </w:r>
    </w:p>
    <w:p>
      <w:pPr>
        <w:spacing w:after="0" w:line="18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ARTICLE XII BENEFICIARY DESIGNATION</w:t>
      </w:r>
    </w:p>
    <w:p>
      <w:pPr>
        <w:spacing w:after="0" w:line="214" w:lineRule="exact"/>
        <w:rPr>
          <w:sz w:val="20"/>
          <w:szCs w:val="20"/>
          <w:color w:val="auto"/>
        </w:rPr>
      </w:pPr>
    </w:p>
    <w:p>
      <w:pPr>
        <w:ind w:firstLine="494"/>
        <w:spacing w:after="0" w:line="252" w:lineRule="auto"/>
        <w:rPr>
          <w:sz w:val="20"/>
          <w:szCs w:val="20"/>
          <w:color w:val="auto"/>
        </w:rPr>
      </w:pPr>
      <w:r>
        <w:rPr>
          <w:rFonts w:ascii="Arial" w:cs="Arial" w:eastAsia="Arial" w:hAnsi="Arial"/>
          <w:sz w:val="14"/>
          <w:szCs w:val="14"/>
          <w:color w:val="auto"/>
        </w:rPr>
        <w:t>Each Participant under the Plan may, from time to time, name any beneficiary or beneficiaries (who may be named contingently or successively) to whom any benefit under the Plan is to be paid in case of his or her death before he or she receives any or all of such benefit. Each such designation shall revoke all prior designations by the same Participant, shall be in a form prescribed by the Company, and will be effective only when filed by the Participant in writing with the Company during the Participant’s lifetime. In the absence of any such designation, benefits remaining unpaid at the Participant’s death shall be paid to the Participant’s estate.</w:t>
      </w:r>
    </w:p>
    <w:p>
      <w:pPr>
        <w:spacing w:after="0" w:line="393" w:lineRule="exact"/>
        <w:rPr>
          <w:sz w:val="20"/>
          <w:szCs w:val="20"/>
          <w:color w:val="auto"/>
        </w:rPr>
      </w:pPr>
    </w:p>
    <w:p>
      <w:pPr>
        <w:jc w:val="center"/>
        <w:ind w:right="-59"/>
        <w:spacing w:after="0"/>
        <w:rPr>
          <w:sz w:val="20"/>
          <w:szCs w:val="20"/>
          <w:color w:val="auto"/>
        </w:rPr>
      </w:pPr>
      <w:r>
        <w:rPr>
          <w:rFonts w:ascii="Arial" w:cs="Arial" w:eastAsia="Arial" w:hAnsi="Arial"/>
          <w:sz w:val="11"/>
          <w:szCs w:val="11"/>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48895</wp:posOffset>
            </wp:positionV>
            <wp:extent cx="7285355" cy="190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5355" cy="19050"/>
                    </a:xfrm>
                    <a:prstGeom prst="rect">
                      <a:avLst/>
                    </a:prstGeom>
                    <a:noFill/>
                  </pic:spPr>
                </pic:pic>
              </a:graphicData>
            </a:graphic>
          </wp:anchor>
        </w:drawing>
      </w:r>
    </w:p>
    <w:p>
      <w:pPr>
        <w:sectPr>
          <w:pgSz w:w="11900" w:h="16838" w:orient="portrait"/>
          <w:cols w:equalWidth="0" w:num="1">
            <w:col w:w="11420"/>
          </w:cols>
          <w:pgMar w:left="220" w:top="335" w:right="259" w:bottom="1440" w:gutter="0" w:footer="0" w:header="0"/>
        </w:sectPr>
      </w:pPr>
    </w:p>
    <w:bookmarkStart w:id="16" w:name="page17"/>
    <w:bookmarkEnd w:id="16"/>
    <w:p>
      <w:pPr>
        <w:spacing w:after="0"/>
        <w:rPr>
          <w:sz w:val="20"/>
          <w:szCs w:val="20"/>
          <w:color w:val="auto"/>
        </w:rPr>
      </w:pPr>
      <w:r>
        <w:rPr>
          <w:rFonts w:ascii="Arial" w:cs="Arial" w:eastAsia="Arial" w:hAnsi="Arial"/>
          <w:sz w:val="14"/>
          <w:szCs w:val="14"/>
          <w:b w:val="1"/>
          <w:bCs w:val="1"/>
          <w:color w:val="auto"/>
        </w:rPr>
        <w:t>ARTICLE XIII DEFERRALS</w:t>
      </w:r>
    </w:p>
    <w:p>
      <w:pPr>
        <w:spacing w:after="0" w:line="214" w:lineRule="exact"/>
        <w:rPr>
          <w:sz w:val="20"/>
          <w:szCs w:val="20"/>
          <w:color w:val="auto"/>
        </w:rPr>
      </w:pPr>
    </w:p>
    <w:p>
      <w:pPr>
        <w:ind w:right="140" w:firstLine="494"/>
        <w:spacing w:after="0" w:line="255" w:lineRule="auto"/>
        <w:rPr>
          <w:sz w:val="20"/>
          <w:szCs w:val="20"/>
          <w:color w:val="auto"/>
        </w:rPr>
      </w:pPr>
      <w:r>
        <w:rPr>
          <w:rFonts w:ascii="Arial" w:cs="Arial" w:eastAsia="Arial" w:hAnsi="Arial"/>
          <w:sz w:val="14"/>
          <w:szCs w:val="14"/>
          <w:color w:val="auto"/>
        </w:rPr>
        <w:t>The Board may permit or require a Participant to defer the receipt of any payment of cash or the delivery of Shares that would otherwise be due to such Participant by virtue of the exercise of an Option or SAR, the lapse or waiver of restrictions with respect to Restricted Shares, or the satisfaction of any requirements or goals with respect to Performance Shares or Stock Awards. If any such deferral election is required or permitted, the Board shall, in its sole discretion, establish rules and procedures for such payment deferrals.</w:t>
      </w:r>
    </w:p>
    <w:p>
      <w:pPr>
        <w:spacing w:after="0" w:line="18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ARTICLE XIV RIGHTS OF PARTICIPANTS</w:t>
      </w:r>
    </w:p>
    <w:p>
      <w:pPr>
        <w:spacing w:after="0" w:line="210" w:lineRule="exact"/>
        <w:rPr>
          <w:sz w:val="20"/>
          <w:szCs w:val="20"/>
          <w:color w:val="auto"/>
        </w:rPr>
      </w:pPr>
    </w:p>
    <w:p>
      <w:pPr>
        <w:ind w:right="540" w:firstLine="494"/>
        <w:spacing w:after="0" w:line="310" w:lineRule="auto"/>
        <w:rPr>
          <w:sz w:val="20"/>
          <w:szCs w:val="20"/>
          <w:color w:val="auto"/>
        </w:rPr>
      </w:pPr>
      <w:r>
        <w:rPr>
          <w:rFonts w:ascii="Arial" w:cs="Arial" w:eastAsia="Arial" w:hAnsi="Arial"/>
          <w:sz w:val="13"/>
          <w:szCs w:val="13"/>
          <w:color w:val="auto"/>
        </w:rPr>
        <w:t xml:space="preserve">14.1 </w:t>
      </w:r>
      <w:r>
        <w:rPr>
          <w:rFonts w:ascii="Arial" w:cs="Arial" w:eastAsia="Arial" w:hAnsi="Arial"/>
          <w:sz w:val="13"/>
          <w:szCs w:val="13"/>
          <w:b w:val="1"/>
          <w:bCs w:val="1"/>
          <w:color w:val="auto"/>
        </w:rPr>
        <w:t>Employment</w:t>
      </w:r>
      <w:r>
        <w:rPr>
          <w:rFonts w:ascii="Arial" w:cs="Arial" w:eastAsia="Arial" w:hAnsi="Arial"/>
          <w:sz w:val="13"/>
          <w:szCs w:val="13"/>
          <w:color w:val="auto"/>
        </w:rPr>
        <w:t>. Nothing in the Plan or an Award Agreement shall interfere with or limit in any way the right of the Company to terminate any Participant’s employment or other service relationship at any time, nor confer upon any Participant any right to continue in the capacity in which he is employed or otherwise serves the Company.</w:t>
      </w:r>
    </w:p>
    <w:p>
      <w:pPr>
        <w:spacing w:after="0" w:line="153" w:lineRule="exact"/>
        <w:rPr>
          <w:sz w:val="20"/>
          <w:szCs w:val="20"/>
          <w:color w:val="auto"/>
        </w:rPr>
      </w:pPr>
    </w:p>
    <w:p>
      <w:pPr>
        <w:ind w:right="20" w:firstLine="494"/>
        <w:spacing w:after="0" w:line="255" w:lineRule="auto"/>
        <w:rPr>
          <w:sz w:val="20"/>
          <w:szCs w:val="20"/>
          <w:color w:val="auto"/>
        </w:rPr>
      </w:pPr>
      <w:r>
        <w:rPr>
          <w:rFonts w:ascii="Arial" w:cs="Arial" w:eastAsia="Arial" w:hAnsi="Arial"/>
          <w:sz w:val="14"/>
          <w:szCs w:val="14"/>
          <w:color w:val="auto"/>
        </w:rPr>
        <w:t>Neither an Award nor any benefits arising under this Plan shall constitute part of an employment contract with the Company or any Subsidiary or Affiliate, and, accordingly, subject to Section 16.3, this Plan and the benefits hereunder may be terminated at any time in the sole and exclusive discretion of the Board without giving rise to liability on the part of the Company or any Subsidiary or Affiliate for severance payments.</w:t>
      </w:r>
    </w:p>
    <w:p>
      <w:pPr>
        <w:spacing w:after="0" w:line="183" w:lineRule="exact"/>
        <w:rPr>
          <w:sz w:val="20"/>
          <w:szCs w:val="20"/>
          <w:color w:val="auto"/>
        </w:rPr>
      </w:pPr>
    </w:p>
    <w:p>
      <w:pPr>
        <w:ind w:left="500"/>
        <w:spacing w:after="0"/>
        <w:rPr>
          <w:sz w:val="20"/>
          <w:szCs w:val="20"/>
          <w:color w:val="auto"/>
        </w:rPr>
      </w:pPr>
      <w:r>
        <w:rPr>
          <w:rFonts w:ascii="Arial" w:cs="Arial" w:eastAsia="Arial" w:hAnsi="Arial"/>
          <w:sz w:val="14"/>
          <w:szCs w:val="14"/>
          <w:color w:val="auto"/>
        </w:rPr>
        <w:t xml:space="preserve">14.2 </w:t>
      </w:r>
      <w:r>
        <w:rPr>
          <w:rFonts w:ascii="Arial" w:cs="Arial" w:eastAsia="Arial" w:hAnsi="Arial"/>
          <w:sz w:val="14"/>
          <w:szCs w:val="14"/>
          <w:b w:val="1"/>
          <w:bCs w:val="1"/>
          <w:color w:val="auto"/>
        </w:rPr>
        <w:t>Participation</w:t>
      </w:r>
      <w:r>
        <w:rPr>
          <w:rFonts w:ascii="Arial" w:cs="Arial" w:eastAsia="Arial" w:hAnsi="Arial"/>
          <w:sz w:val="14"/>
          <w:szCs w:val="14"/>
          <w:color w:val="auto"/>
        </w:rPr>
        <w:t>. No person shall have the right to be selected to receive an Award under this Plan, or, having been so selected, to be selected to receive a future Award.</w:t>
      </w:r>
    </w:p>
    <w:p>
      <w:pPr>
        <w:spacing w:after="0" w:line="241" w:lineRule="exact"/>
        <w:rPr>
          <w:sz w:val="20"/>
          <w:szCs w:val="20"/>
          <w:color w:val="auto"/>
        </w:rPr>
      </w:pPr>
    </w:p>
    <w:p>
      <w:pPr>
        <w:ind w:left="440"/>
        <w:spacing w:after="0"/>
        <w:rPr>
          <w:sz w:val="20"/>
          <w:szCs w:val="20"/>
          <w:color w:val="auto"/>
        </w:rPr>
      </w:pPr>
      <w:r>
        <w:rPr>
          <w:rFonts w:ascii="Arial" w:cs="Arial" w:eastAsia="Arial" w:hAnsi="Arial"/>
          <w:sz w:val="11"/>
          <w:szCs w:val="11"/>
          <w:color w:val="auto"/>
        </w:rPr>
        <w:t xml:space="preserve">14.3 </w:t>
      </w:r>
      <w:r>
        <w:rPr>
          <w:rFonts w:ascii="Arial" w:cs="Arial" w:eastAsia="Arial" w:hAnsi="Arial"/>
          <w:sz w:val="11"/>
          <w:szCs w:val="11"/>
          <w:b w:val="1"/>
          <w:bCs w:val="1"/>
          <w:color w:val="auto"/>
        </w:rPr>
        <w:t>Rights as a Stockholder</w:t>
      </w:r>
      <w:r>
        <w:rPr>
          <w:rFonts w:ascii="Arial" w:cs="Arial" w:eastAsia="Arial" w:hAnsi="Arial"/>
          <w:sz w:val="11"/>
          <w:szCs w:val="11"/>
          <w:color w:val="auto"/>
        </w:rPr>
        <w:t>. A Participant shall have none of the rights of a stockholder with respect to Shares covered by any Award until the Participant becomes the record holder of such shares.</w:t>
      </w:r>
    </w:p>
    <w:p>
      <w:pPr>
        <w:spacing w:after="0" w:line="25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ARTICLE XV CHANGE IN CONTROL</w:t>
      </w:r>
    </w:p>
    <w:p>
      <w:pPr>
        <w:spacing w:after="0" w:line="214" w:lineRule="exact"/>
        <w:rPr>
          <w:sz w:val="20"/>
          <w:szCs w:val="20"/>
          <w:color w:val="auto"/>
        </w:rPr>
      </w:pPr>
    </w:p>
    <w:p>
      <w:pPr>
        <w:ind w:right="440"/>
        <w:spacing w:after="0" w:line="265" w:lineRule="auto"/>
        <w:rPr>
          <w:sz w:val="20"/>
          <w:szCs w:val="20"/>
          <w:color w:val="auto"/>
        </w:rPr>
      </w:pPr>
      <w:r>
        <w:rPr>
          <w:rFonts w:ascii="Arial" w:cs="Arial" w:eastAsia="Arial" w:hAnsi="Arial"/>
          <w:sz w:val="14"/>
          <w:szCs w:val="14"/>
          <w:color w:val="auto"/>
        </w:rPr>
        <w:t>Except as provided herein or a Participant’s Award Agreement, or unless otherwise prohibited under applicable laws or by the rules and regulations of any governing governmental agencies or national securities exchanges, in the event of a Change in Control:</w:t>
      </w:r>
    </w:p>
    <w:p>
      <w:pPr>
        <w:spacing w:after="0" w:line="180" w:lineRule="exact"/>
        <w:rPr>
          <w:sz w:val="20"/>
          <w:szCs w:val="20"/>
          <w:color w:val="auto"/>
        </w:rPr>
      </w:pPr>
    </w:p>
    <w:p>
      <w:pPr>
        <w:ind w:left="1000"/>
        <w:spacing w:after="0"/>
        <w:rPr>
          <w:sz w:val="20"/>
          <w:szCs w:val="20"/>
          <w:color w:val="auto"/>
        </w:rPr>
      </w:pPr>
      <w:r>
        <w:rPr>
          <w:rFonts w:ascii="Arial" w:cs="Arial" w:eastAsia="Arial" w:hAnsi="Arial"/>
          <w:sz w:val="14"/>
          <w:szCs w:val="14"/>
          <w:color w:val="auto"/>
        </w:rPr>
        <w:t>(i) Any and all Options and SARs granted hereunder shall become immediately exercisable, and shall remain exercisable throughout their entire term;</w:t>
      </w:r>
    </w:p>
    <w:p>
      <w:pPr>
        <w:spacing w:after="0" w:line="241" w:lineRule="exact"/>
        <w:rPr>
          <w:sz w:val="20"/>
          <w:szCs w:val="20"/>
          <w:color w:val="auto"/>
        </w:rPr>
      </w:pPr>
    </w:p>
    <w:p>
      <w:pPr>
        <w:ind w:left="1000"/>
        <w:spacing w:after="0"/>
        <w:tabs>
          <w:tab w:leader="none" w:pos="6200" w:val="left"/>
        </w:tabs>
        <w:rPr>
          <w:sz w:val="20"/>
          <w:szCs w:val="20"/>
          <w:color w:val="auto"/>
        </w:rPr>
      </w:pPr>
      <w:r>
        <w:rPr>
          <w:rFonts w:ascii="Arial" w:cs="Arial" w:eastAsia="Arial" w:hAnsi="Arial"/>
          <w:sz w:val="14"/>
          <w:szCs w:val="14"/>
          <w:color w:val="auto"/>
        </w:rPr>
        <w:t>(ii) Any Period of Restriction and restrictions imposed on Restricted Shares/Units shall</w:t>
      </w:r>
      <w:r>
        <w:rPr>
          <w:sz w:val="20"/>
          <w:szCs w:val="20"/>
          <w:color w:val="auto"/>
        </w:rPr>
        <w:tab/>
      </w:r>
      <w:r>
        <w:rPr>
          <w:rFonts w:ascii="Arial" w:cs="Arial" w:eastAsia="Arial" w:hAnsi="Arial"/>
          <w:sz w:val="11"/>
          <w:szCs w:val="11"/>
          <w:color w:val="auto"/>
        </w:rPr>
        <w:t>lapse; and</w:t>
      </w:r>
    </w:p>
    <w:p>
      <w:pPr>
        <w:spacing w:after="0" w:line="220" w:lineRule="exact"/>
        <w:rPr>
          <w:sz w:val="20"/>
          <w:szCs w:val="20"/>
          <w:color w:val="auto"/>
        </w:rPr>
      </w:pPr>
    </w:p>
    <w:p>
      <w:pPr>
        <w:ind w:left="1000" w:right="80" w:hanging="9"/>
        <w:spacing w:after="0" w:line="358" w:lineRule="auto"/>
        <w:tabs>
          <w:tab w:leader="none" w:pos="1240" w:val="left"/>
        </w:tabs>
        <w:numPr>
          <w:ilvl w:val="0"/>
          <w:numId w:val="10"/>
        </w:numPr>
        <w:rPr>
          <w:rFonts w:ascii="Arial" w:cs="Arial" w:eastAsia="Arial" w:hAnsi="Arial"/>
          <w:sz w:val="11"/>
          <w:szCs w:val="11"/>
          <w:color w:val="auto"/>
        </w:rPr>
      </w:pPr>
      <w:r>
        <w:rPr>
          <w:rFonts w:ascii="Arial" w:cs="Arial" w:eastAsia="Arial" w:hAnsi="Arial"/>
          <w:sz w:val="11"/>
          <w:szCs w:val="11"/>
          <w:color w:val="auto"/>
        </w:rPr>
        <w:t>The target payout opportunities attainable under all outstanding performance-based Awards shall be deemed to have been fully earned as of the effective date of the Change in Control and shall be paid, within thirty (30) days thereafter, pro rata to Participants in cash or in Shares, as applicable, with the proration determined as a function of the length of time within the Performance Period that has elapsed prior to the Change in Control, and based on an assumed achievement of all relevant targeted performance goals or Performance Measures.</w:t>
      </w:r>
    </w:p>
    <w:p>
      <w:pPr>
        <w:spacing w:after="0" w:line="134" w:lineRule="exact"/>
        <w:rPr>
          <w:sz w:val="20"/>
          <w:szCs w:val="20"/>
          <w:color w:val="auto"/>
        </w:rPr>
      </w:pPr>
    </w:p>
    <w:p>
      <w:pPr>
        <w:spacing w:after="0" w:line="330" w:lineRule="auto"/>
        <w:rPr>
          <w:sz w:val="20"/>
          <w:szCs w:val="20"/>
          <w:color w:val="auto"/>
        </w:rPr>
      </w:pPr>
      <w:r>
        <w:rPr>
          <w:rFonts w:ascii="Arial" w:cs="Arial" w:eastAsia="Arial" w:hAnsi="Arial"/>
          <w:sz w:val="11"/>
          <w:szCs w:val="11"/>
          <w:color w:val="auto"/>
        </w:rPr>
        <w:t>Notwithstanding the foregoing, (i), (ii) and (iii) above shall not apply in the event of a Change in Control under paragraph (b) or (c) of Section 2.6 (relating to s merger or sale of assets), if the successor entity either assumes the outstanding Award or substitutes an equivalent award with the successor entity (or its parent or any subsidiary). For the purposes of this paragraph, an Award shall be considered assumed if, immediately following the transaction, the Award confers the right to purchase or receive, for each Share subject to the Award immediately prior to such transaction, equal consideration (whether stock, cash, or other securities or property) as received by holders of each Share of common stock held on the effective date of the transaction (and if holders of Shares were offered a choice of consideration, the type of consideration chosen by the holders of a majority of the outstanding Shares); provided, however, that if such consideration received in the transaction is not solely common stock of the successor corporation (or its parent), the Committee may, with the consent of the successor entity, provide for the consideration to be received upon the exercise of the Award, for each Share subject to the Award, to be cash and/or other securities equal in fair market value to the per share consideration received by holders of common stock in the merger or sale of assets.</w:t>
      </w:r>
    </w:p>
    <w:p>
      <w:pPr>
        <w:spacing w:after="0" w:line="200" w:lineRule="exact"/>
        <w:rPr>
          <w:sz w:val="20"/>
          <w:szCs w:val="20"/>
          <w:color w:val="auto"/>
        </w:rPr>
      </w:pPr>
    </w:p>
    <w:p>
      <w:pPr>
        <w:spacing w:after="0" w:line="320" w:lineRule="exact"/>
        <w:rPr>
          <w:sz w:val="20"/>
          <w:szCs w:val="20"/>
          <w:color w:val="auto"/>
        </w:rPr>
      </w:pPr>
    </w:p>
    <w:p>
      <w:pPr>
        <w:jc w:val="center"/>
        <w:ind w:right="-59"/>
        <w:spacing w:after="0"/>
        <w:rPr>
          <w:sz w:val="20"/>
          <w:szCs w:val="20"/>
          <w:color w:val="auto"/>
        </w:rPr>
      </w:pPr>
      <w:r>
        <w:rPr>
          <w:rFonts w:ascii="Arial" w:cs="Arial" w:eastAsia="Arial" w:hAnsi="Arial"/>
          <w:sz w:val="11"/>
          <w:szCs w:val="11"/>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48895</wp:posOffset>
            </wp:positionV>
            <wp:extent cx="7285355" cy="190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5355" cy="19050"/>
                    </a:xfrm>
                    <a:prstGeom prst="rect">
                      <a:avLst/>
                    </a:prstGeom>
                    <a:noFill/>
                  </pic:spPr>
                </pic:pic>
              </a:graphicData>
            </a:graphic>
          </wp:anchor>
        </w:drawing>
      </w:r>
    </w:p>
    <w:p>
      <w:pPr>
        <w:sectPr>
          <w:pgSz w:w="11900" w:h="16838" w:orient="portrait"/>
          <w:cols w:equalWidth="0" w:num="1">
            <w:col w:w="11420"/>
          </w:cols>
          <w:pgMar w:left="220" w:top="331" w:right="259" w:bottom="1440" w:gutter="0" w:footer="0" w:header="0"/>
        </w:sectPr>
      </w:pPr>
    </w:p>
    <w:bookmarkStart w:id="17" w:name="page18"/>
    <w:bookmarkEnd w:id="17"/>
    <w:p>
      <w:pPr>
        <w:spacing w:after="0"/>
        <w:rPr>
          <w:sz w:val="20"/>
          <w:szCs w:val="20"/>
          <w:color w:val="auto"/>
        </w:rPr>
      </w:pPr>
      <w:r>
        <w:rPr>
          <w:rFonts w:ascii="Arial" w:cs="Arial" w:eastAsia="Arial" w:hAnsi="Arial"/>
          <w:sz w:val="14"/>
          <w:szCs w:val="14"/>
          <w:b w:val="1"/>
          <w:bCs w:val="1"/>
          <w:color w:val="auto"/>
        </w:rPr>
        <w:t>ARTICLE XVI AMENDMENT, MODIFICATION, SUSPENSION, AND TERMINATION</w:t>
      </w:r>
    </w:p>
    <w:p>
      <w:pPr>
        <w:spacing w:after="0" w:line="210" w:lineRule="exact"/>
        <w:rPr>
          <w:sz w:val="20"/>
          <w:szCs w:val="20"/>
          <w:color w:val="auto"/>
        </w:rPr>
      </w:pPr>
    </w:p>
    <w:p>
      <w:pPr>
        <w:ind w:firstLine="494"/>
        <w:spacing w:after="0" w:line="273" w:lineRule="auto"/>
        <w:rPr>
          <w:sz w:val="20"/>
          <w:szCs w:val="20"/>
          <w:color w:val="auto"/>
        </w:rPr>
      </w:pPr>
      <w:r>
        <w:rPr>
          <w:rFonts w:ascii="Arial" w:cs="Arial" w:eastAsia="Arial" w:hAnsi="Arial"/>
          <w:sz w:val="13"/>
          <w:szCs w:val="13"/>
          <w:color w:val="auto"/>
        </w:rPr>
        <w:t xml:space="preserve">16.1 </w:t>
      </w:r>
      <w:r>
        <w:rPr>
          <w:rFonts w:ascii="Arial" w:cs="Arial" w:eastAsia="Arial" w:hAnsi="Arial"/>
          <w:sz w:val="13"/>
          <w:szCs w:val="13"/>
          <w:b w:val="1"/>
          <w:bCs w:val="1"/>
          <w:color w:val="auto"/>
        </w:rPr>
        <w:t>Amendment, Modification, Suspension, and Termination</w:t>
      </w:r>
      <w:r>
        <w:rPr>
          <w:rFonts w:ascii="Arial" w:cs="Arial" w:eastAsia="Arial" w:hAnsi="Arial"/>
          <w:sz w:val="13"/>
          <w:szCs w:val="13"/>
          <w:color w:val="auto"/>
        </w:rPr>
        <w:t>. Subject to the terms of the Plan, the Board may at any time and from time to time, alter, amend, modify, suspend, or terminate the Plan in whole or in part; provided that no action shall be taken without the approval of the Company’s stockholders which would (i) except as provided in Section 4.2 hereof, materially increase the number of Shares which may be issued under the Plan; (ii) materially increase the benefits to Participants; (iii) permit the granting of Options at less than Fair Market Value; (iv) permit Options issued under the Plan to be repriced, replaced, or regranted through cancellation, or by lowering the exercise price of a previously granted Option; (v) amend the maximum number of Shares set forth in Section 4.1 that may be granted to a single Participant during any Fiscal Year; (vi) extend the duration of the Plan; (vii) expand the class of Participants eligible to participate in the Plan; (viii) expand the types of Awards provided under the Plan; or (ix) require stockholder approval under the listing standards of the Nasdaq Stock Market.</w:t>
      </w:r>
    </w:p>
    <w:p>
      <w:pPr>
        <w:spacing w:after="0" w:line="174" w:lineRule="exact"/>
        <w:rPr>
          <w:sz w:val="20"/>
          <w:szCs w:val="20"/>
          <w:color w:val="auto"/>
        </w:rPr>
      </w:pPr>
    </w:p>
    <w:p>
      <w:pPr>
        <w:ind w:right="40" w:firstLine="494"/>
        <w:spacing w:after="0" w:line="254" w:lineRule="auto"/>
        <w:rPr>
          <w:sz w:val="20"/>
          <w:szCs w:val="20"/>
          <w:color w:val="auto"/>
        </w:rPr>
      </w:pPr>
      <w:r>
        <w:rPr>
          <w:rFonts w:ascii="Arial" w:cs="Arial" w:eastAsia="Arial" w:hAnsi="Arial"/>
          <w:sz w:val="14"/>
          <w:szCs w:val="14"/>
          <w:color w:val="auto"/>
        </w:rPr>
        <w:t xml:space="preserve">16.2 </w:t>
      </w:r>
      <w:r>
        <w:rPr>
          <w:rFonts w:ascii="Arial" w:cs="Arial" w:eastAsia="Arial" w:hAnsi="Arial"/>
          <w:sz w:val="14"/>
          <w:szCs w:val="14"/>
          <w:b w:val="1"/>
          <w:bCs w:val="1"/>
          <w:color w:val="auto"/>
        </w:rPr>
        <w:t>Adjustment of Awards Upon the Occurrence of Certain Unusual or Nonrecurring Events</w:t>
      </w:r>
      <w:r>
        <w:rPr>
          <w:rFonts w:ascii="Arial" w:cs="Arial" w:eastAsia="Arial" w:hAnsi="Arial"/>
          <w:sz w:val="14"/>
          <w:szCs w:val="14"/>
          <w:color w:val="auto"/>
        </w:rPr>
        <w:t>. The Board may make adjustments in the terms and conditions of, and the criteria included in, Awards in recognition of unusual or nonrecurring events (including, without limitation, the events described in Section 4.2 hereof) affecting the Company or the financial statements of the Company or of changes in applicable laws, regulations, or accounting principles, whenever the Board determines that such adjustments are appropriate in order to prevent unintended dilution or enlargement of the benefits or potential benefits intended to be made available under the Plan.</w:t>
      </w:r>
    </w:p>
    <w:p>
      <w:pPr>
        <w:spacing w:after="0" w:line="184" w:lineRule="exact"/>
        <w:rPr>
          <w:sz w:val="20"/>
          <w:szCs w:val="20"/>
          <w:color w:val="auto"/>
        </w:rPr>
      </w:pPr>
    </w:p>
    <w:p>
      <w:pPr>
        <w:ind w:right="120" w:firstLine="494"/>
        <w:spacing w:after="0" w:line="271" w:lineRule="auto"/>
        <w:rPr>
          <w:sz w:val="20"/>
          <w:szCs w:val="20"/>
          <w:color w:val="auto"/>
        </w:rPr>
      </w:pPr>
      <w:r>
        <w:rPr>
          <w:rFonts w:ascii="Arial" w:cs="Arial" w:eastAsia="Arial" w:hAnsi="Arial"/>
          <w:sz w:val="14"/>
          <w:szCs w:val="14"/>
          <w:color w:val="auto"/>
        </w:rPr>
        <w:t xml:space="preserve">16.3 </w:t>
      </w:r>
      <w:r>
        <w:rPr>
          <w:rFonts w:ascii="Arial" w:cs="Arial" w:eastAsia="Arial" w:hAnsi="Arial"/>
          <w:sz w:val="14"/>
          <w:szCs w:val="14"/>
          <w:b w:val="1"/>
          <w:bCs w:val="1"/>
          <w:color w:val="auto"/>
        </w:rPr>
        <w:t>Awards Previously Granted</w:t>
      </w:r>
      <w:r>
        <w:rPr>
          <w:rFonts w:ascii="Arial" w:cs="Arial" w:eastAsia="Arial" w:hAnsi="Arial"/>
          <w:sz w:val="14"/>
          <w:szCs w:val="14"/>
          <w:color w:val="auto"/>
        </w:rPr>
        <w:t>. Notwithstanding any other provision of the Plan to the contrary, no termination, amendment, suspension, or modification of the Plan shall adversely affect in any material way any Award previously granted under the Plan, without the written consent of the Participant holding such Award.</w:t>
      </w:r>
    </w:p>
    <w:p>
      <w:pPr>
        <w:spacing w:after="0" w:line="17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ARTICLE XVII WITHHOLDING</w:t>
      </w:r>
    </w:p>
    <w:p>
      <w:pPr>
        <w:spacing w:after="0" w:line="210" w:lineRule="exact"/>
        <w:rPr>
          <w:sz w:val="20"/>
          <w:szCs w:val="20"/>
          <w:color w:val="auto"/>
        </w:rPr>
      </w:pPr>
    </w:p>
    <w:p>
      <w:pPr>
        <w:ind w:right="240" w:firstLine="494"/>
        <w:spacing w:after="0" w:line="271" w:lineRule="auto"/>
        <w:rPr>
          <w:sz w:val="20"/>
          <w:szCs w:val="20"/>
          <w:color w:val="auto"/>
        </w:rPr>
      </w:pPr>
      <w:r>
        <w:rPr>
          <w:rFonts w:ascii="Arial" w:cs="Arial" w:eastAsia="Arial" w:hAnsi="Arial"/>
          <w:sz w:val="14"/>
          <w:szCs w:val="14"/>
          <w:color w:val="auto"/>
        </w:rPr>
        <w:t xml:space="preserve">17.1 </w:t>
      </w:r>
      <w:r>
        <w:rPr>
          <w:rFonts w:ascii="Arial" w:cs="Arial" w:eastAsia="Arial" w:hAnsi="Arial"/>
          <w:sz w:val="14"/>
          <w:szCs w:val="14"/>
          <w:b w:val="1"/>
          <w:bCs w:val="1"/>
          <w:color w:val="auto"/>
        </w:rPr>
        <w:t>Tax Withholding</w:t>
      </w:r>
      <w:r>
        <w:rPr>
          <w:rFonts w:ascii="Arial" w:cs="Arial" w:eastAsia="Arial" w:hAnsi="Arial"/>
          <w:sz w:val="14"/>
          <w:szCs w:val="14"/>
          <w:color w:val="auto"/>
        </w:rPr>
        <w:t>. The Company shall have the power and the right to deduct or withhold, or require a Participant to remit to the Company, the minimum statutory amount to satisfy Federal, state, and local taxes, domestic or foreign, required by law or regulation to be withheld with respect to any taxable event arising as a result of this Plan.</w:t>
      </w:r>
    </w:p>
    <w:p>
      <w:pPr>
        <w:spacing w:after="0" w:line="172" w:lineRule="exact"/>
        <w:rPr>
          <w:sz w:val="20"/>
          <w:szCs w:val="20"/>
          <w:color w:val="auto"/>
        </w:rPr>
      </w:pPr>
    </w:p>
    <w:p>
      <w:pPr>
        <w:ind w:right="20" w:firstLine="494"/>
        <w:spacing w:after="0" w:line="279" w:lineRule="auto"/>
        <w:rPr>
          <w:sz w:val="20"/>
          <w:szCs w:val="20"/>
          <w:color w:val="auto"/>
        </w:rPr>
      </w:pPr>
      <w:r>
        <w:rPr>
          <w:rFonts w:ascii="Arial" w:cs="Arial" w:eastAsia="Arial" w:hAnsi="Arial"/>
          <w:sz w:val="13"/>
          <w:szCs w:val="13"/>
          <w:color w:val="auto"/>
        </w:rPr>
        <w:t xml:space="preserve">17.2 </w:t>
      </w:r>
      <w:r>
        <w:rPr>
          <w:rFonts w:ascii="Arial" w:cs="Arial" w:eastAsia="Arial" w:hAnsi="Arial"/>
          <w:sz w:val="13"/>
          <w:szCs w:val="13"/>
          <w:b w:val="1"/>
          <w:bCs w:val="1"/>
          <w:color w:val="auto"/>
        </w:rPr>
        <w:t>Share Withholding</w:t>
      </w:r>
      <w:r>
        <w:rPr>
          <w:rFonts w:ascii="Arial" w:cs="Arial" w:eastAsia="Arial" w:hAnsi="Arial"/>
          <w:sz w:val="13"/>
          <w:szCs w:val="13"/>
          <w:color w:val="auto"/>
        </w:rPr>
        <w:t>. With respect to withholding required upon the exercise of Options or SARs, upon the lapse of restrictions on Restricted Stock and Restricted Stock Units, or upon any other taxable event arising as a result of Awards granted hereunder, Participants may elect, subject to the approval of the Board, to satisfy the withholding requirement, in whole or in part, by having the Company withhold Shares having a Fair Market Value on the date the tax is to be determined equal to the minimum statutory total tax that could be imposed on the transaction. All such elections shall be irrevocable, made in writing and signed by the Participant, and shall be subject to any restrictions or limitations that the Board, in its sole discretion, deems appropriate.</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1"/>
          <w:szCs w:val="11"/>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48895</wp:posOffset>
            </wp:positionV>
            <wp:extent cx="7285355" cy="190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5355" cy="19050"/>
                    </a:xfrm>
                    <a:prstGeom prst="rect">
                      <a:avLst/>
                    </a:prstGeom>
                    <a:noFill/>
                  </pic:spPr>
                </pic:pic>
              </a:graphicData>
            </a:graphic>
          </wp:anchor>
        </w:drawing>
      </w:r>
    </w:p>
    <w:p>
      <w:pPr>
        <w:sectPr>
          <w:pgSz w:w="11900" w:h="16838" w:orient="portrait"/>
          <w:cols w:equalWidth="0" w:num="1">
            <w:col w:w="11460"/>
          </w:cols>
          <w:pgMar w:left="220" w:top="331" w:right="219" w:bottom="1440" w:gutter="0" w:footer="0" w:header="0"/>
        </w:sectPr>
      </w:pPr>
    </w:p>
    <w:bookmarkStart w:id="18" w:name="page19"/>
    <w:bookmarkEnd w:id="18"/>
    <w:p>
      <w:pPr>
        <w:spacing w:after="0"/>
        <w:rPr>
          <w:sz w:val="20"/>
          <w:szCs w:val="20"/>
          <w:color w:val="auto"/>
        </w:rPr>
      </w:pPr>
      <w:r>
        <w:rPr>
          <w:rFonts w:ascii="Arial" w:cs="Arial" w:eastAsia="Arial" w:hAnsi="Arial"/>
          <w:sz w:val="14"/>
          <w:szCs w:val="14"/>
          <w:b w:val="1"/>
          <w:bCs w:val="1"/>
          <w:color w:val="auto"/>
        </w:rPr>
        <w:t>ARTICLE XVIII INDEMNIFICATION</w:t>
      </w:r>
    </w:p>
    <w:p>
      <w:pPr>
        <w:spacing w:after="0" w:line="214" w:lineRule="exact"/>
        <w:rPr>
          <w:sz w:val="20"/>
          <w:szCs w:val="20"/>
          <w:color w:val="auto"/>
        </w:rPr>
      </w:pPr>
    </w:p>
    <w:p>
      <w:pPr>
        <w:ind w:right="40" w:firstLine="494"/>
        <w:spacing w:after="0" w:line="272" w:lineRule="auto"/>
        <w:rPr>
          <w:sz w:val="20"/>
          <w:szCs w:val="20"/>
          <w:color w:val="auto"/>
        </w:rPr>
      </w:pPr>
      <w:r>
        <w:rPr>
          <w:rFonts w:ascii="Arial" w:cs="Arial" w:eastAsia="Arial" w:hAnsi="Arial"/>
          <w:sz w:val="13"/>
          <w:szCs w:val="13"/>
          <w:color w:val="auto"/>
        </w:rPr>
        <w:t>Each person who is or shall have been a member of the Committee, or of the Board, or an officer of the Company to whom authority was delegated in accordance with Article III shall be indemnified and held harmless by the Company against and from any loss, cost, liability, or expense that may be imposed upon or reasonably incurred by him or her in connection with or resulting from any claim, action, suit, or proceeding to which he or she may be a party or in which he or she may be involved by reason of any action taken or failure to act under the Plan and against and from any and all amounts paid by him or her in settlement thereof, with the Company’s approval, or paid by him or her in satisfaction of any judgement in any such action, suit, or proceeding against him or her, provided he or she shall give the Company an opportunity, at its own expense, to handle and defend the same before he or she undertakes to handle and defend it on his or her own behalf, unless such loss, cost, liability, or expense is a result of his or her own willful misconduct or except as expressly provided by statute.</w:t>
      </w:r>
    </w:p>
    <w:p>
      <w:pPr>
        <w:spacing w:after="0" w:line="178" w:lineRule="exact"/>
        <w:rPr>
          <w:sz w:val="20"/>
          <w:szCs w:val="20"/>
          <w:color w:val="auto"/>
        </w:rPr>
      </w:pPr>
    </w:p>
    <w:p>
      <w:pPr>
        <w:ind w:firstLine="494"/>
        <w:spacing w:after="0" w:line="265" w:lineRule="auto"/>
        <w:rPr>
          <w:sz w:val="20"/>
          <w:szCs w:val="20"/>
          <w:color w:val="auto"/>
        </w:rPr>
      </w:pPr>
      <w:r>
        <w:rPr>
          <w:rFonts w:ascii="Arial" w:cs="Arial" w:eastAsia="Arial" w:hAnsi="Arial"/>
          <w:sz w:val="14"/>
          <w:szCs w:val="14"/>
          <w:color w:val="auto"/>
        </w:rPr>
        <w:t>The foregoing right of indemnification shall not be exclusive of any other rights of indemnification to which such persons may be entitled under the Company’s Articles of Incorporation or Bylaws, as a matter of law, or otherwise, or any power that the Company may have to indemnify them or hold them harmless.</w:t>
      </w:r>
    </w:p>
    <w:p>
      <w:pPr>
        <w:spacing w:after="0" w:line="17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ARTICLE XIX SUCCESSORS</w:t>
      </w:r>
    </w:p>
    <w:p>
      <w:pPr>
        <w:spacing w:after="0" w:line="214" w:lineRule="exact"/>
        <w:rPr>
          <w:sz w:val="20"/>
          <w:szCs w:val="20"/>
          <w:color w:val="auto"/>
        </w:rPr>
      </w:pPr>
    </w:p>
    <w:p>
      <w:pPr>
        <w:ind w:right="140" w:firstLine="494"/>
        <w:spacing w:after="0" w:line="265" w:lineRule="auto"/>
        <w:rPr>
          <w:sz w:val="20"/>
          <w:szCs w:val="20"/>
          <w:color w:val="auto"/>
        </w:rPr>
      </w:pPr>
      <w:r>
        <w:rPr>
          <w:rFonts w:ascii="Arial" w:cs="Arial" w:eastAsia="Arial" w:hAnsi="Arial"/>
          <w:sz w:val="14"/>
          <w:szCs w:val="14"/>
          <w:color w:val="auto"/>
        </w:rPr>
        <w:t>All obligations of the Company under the Plan with respect to Awards granted hereunder shall be binding on any successor to the Company, whether the existence of such successor is the result of a direct or indirect purchase, merger, consolidation, or otherwise, of all or substantially all of the business and/or assets of the Company.</w:t>
      </w:r>
    </w:p>
    <w:p>
      <w:pPr>
        <w:spacing w:after="0" w:line="17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ARTICLE XX GENERAL PROVISIONS</w:t>
      </w:r>
    </w:p>
    <w:p>
      <w:pPr>
        <w:spacing w:after="0" w:line="210" w:lineRule="exact"/>
        <w:rPr>
          <w:sz w:val="20"/>
          <w:szCs w:val="20"/>
          <w:color w:val="auto"/>
        </w:rPr>
      </w:pPr>
    </w:p>
    <w:p>
      <w:pPr>
        <w:ind w:right="120" w:firstLine="494"/>
        <w:spacing w:after="0" w:line="279" w:lineRule="auto"/>
        <w:rPr>
          <w:sz w:val="20"/>
          <w:szCs w:val="20"/>
          <w:color w:val="auto"/>
        </w:rPr>
      </w:pPr>
      <w:r>
        <w:rPr>
          <w:rFonts w:ascii="Arial" w:cs="Arial" w:eastAsia="Arial" w:hAnsi="Arial"/>
          <w:sz w:val="13"/>
          <w:szCs w:val="13"/>
          <w:color w:val="auto"/>
        </w:rPr>
        <w:t xml:space="preserve">20.1 </w:t>
      </w:r>
      <w:r>
        <w:rPr>
          <w:rFonts w:ascii="Arial" w:cs="Arial" w:eastAsia="Arial" w:hAnsi="Arial"/>
          <w:sz w:val="13"/>
          <w:szCs w:val="13"/>
          <w:b w:val="1"/>
          <w:bCs w:val="1"/>
          <w:color w:val="auto"/>
        </w:rPr>
        <w:t>Forfeiture Events</w:t>
      </w:r>
      <w:r>
        <w:rPr>
          <w:rFonts w:ascii="Arial" w:cs="Arial" w:eastAsia="Arial" w:hAnsi="Arial"/>
          <w:sz w:val="13"/>
          <w:szCs w:val="13"/>
          <w:color w:val="auto"/>
        </w:rPr>
        <w:t>. The Board may specify in an Award Agreement that the Participant’s rights, payments and benefits with respect to an Award shall be subject to reduction, cancellation, forfeiture or recoupment upon the occurrence of certain specified events, in addition to any otherwise applicable vesting or performance conditions of an Award. Such events shall include, but shall not be limited to, termination of employment for cause, violation of material Company or Affiliate policies, breach of noncompetition, confidentiality or other restrictive covenants that may apply to the Participant, or other conduct by the Participant that is detrimental to the business or reputation of the Company or any Affiliate.</w:t>
      </w:r>
    </w:p>
    <w:p>
      <w:pPr>
        <w:spacing w:after="0" w:line="170" w:lineRule="exact"/>
        <w:rPr>
          <w:sz w:val="20"/>
          <w:szCs w:val="20"/>
          <w:color w:val="auto"/>
        </w:rPr>
      </w:pPr>
    </w:p>
    <w:p>
      <w:pPr>
        <w:ind w:right="220" w:firstLine="494"/>
        <w:spacing w:after="0" w:line="258" w:lineRule="auto"/>
        <w:rPr>
          <w:sz w:val="20"/>
          <w:szCs w:val="20"/>
          <w:color w:val="auto"/>
        </w:rPr>
      </w:pPr>
      <w:r>
        <w:rPr>
          <w:rFonts w:ascii="Arial" w:cs="Arial" w:eastAsia="Arial" w:hAnsi="Arial"/>
          <w:sz w:val="14"/>
          <w:szCs w:val="14"/>
          <w:color w:val="auto"/>
        </w:rPr>
        <w:t xml:space="preserve">20.2 </w:t>
      </w:r>
      <w:r>
        <w:rPr>
          <w:rFonts w:ascii="Arial" w:cs="Arial" w:eastAsia="Arial" w:hAnsi="Arial"/>
          <w:sz w:val="14"/>
          <w:szCs w:val="14"/>
          <w:b w:val="1"/>
          <w:bCs w:val="1"/>
          <w:color w:val="auto"/>
        </w:rPr>
        <w:t>Legend</w:t>
      </w:r>
      <w:r>
        <w:rPr>
          <w:rFonts w:ascii="Arial" w:cs="Arial" w:eastAsia="Arial" w:hAnsi="Arial"/>
          <w:sz w:val="14"/>
          <w:szCs w:val="14"/>
          <w:color w:val="auto"/>
        </w:rPr>
        <w:t>. The Board may require each person receiving Shares pursuant to an Award under this Plan to represent to and agree with the Company in writing that the Participant is acquiring the Shares without a view to distribution thereof. In addition, to any legend required by this Plan, the certificates for such Shares may include any legend which the Board deems appropriate to reflect any restrictions on transfer of such Shares.</w:t>
      </w:r>
    </w:p>
    <w:p>
      <w:pPr>
        <w:spacing w:after="0" w:line="181" w:lineRule="exact"/>
        <w:rPr>
          <w:sz w:val="20"/>
          <w:szCs w:val="20"/>
          <w:color w:val="auto"/>
        </w:rPr>
      </w:pPr>
    </w:p>
    <w:p>
      <w:pPr>
        <w:ind w:right="260" w:firstLine="494"/>
        <w:spacing w:after="0" w:line="271" w:lineRule="auto"/>
        <w:rPr>
          <w:sz w:val="20"/>
          <w:szCs w:val="20"/>
          <w:color w:val="auto"/>
        </w:rPr>
      </w:pPr>
      <w:r>
        <w:rPr>
          <w:rFonts w:ascii="Arial" w:cs="Arial" w:eastAsia="Arial" w:hAnsi="Arial"/>
          <w:sz w:val="14"/>
          <w:szCs w:val="14"/>
          <w:color w:val="auto"/>
        </w:rPr>
        <w:t xml:space="preserve">20.3 </w:t>
      </w:r>
      <w:r>
        <w:rPr>
          <w:rFonts w:ascii="Arial" w:cs="Arial" w:eastAsia="Arial" w:hAnsi="Arial"/>
          <w:sz w:val="14"/>
          <w:szCs w:val="14"/>
          <w:b w:val="1"/>
          <w:bCs w:val="1"/>
          <w:color w:val="auto"/>
        </w:rPr>
        <w:t>Gender and Number</w:t>
      </w:r>
      <w:r>
        <w:rPr>
          <w:rFonts w:ascii="Arial" w:cs="Arial" w:eastAsia="Arial" w:hAnsi="Arial"/>
          <w:sz w:val="14"/>
          <w:szCs w:val="14"/>
          <w:color w:val="auto"/>
        </w:rPr>
        <w:t>. Except where otherwise indicated by the context, any masculine term used herein also shall include the feminine; the plural shall include the singular and the singular shall include the plural.</w:t>
      </w:r>
    </w:p>
    <w:p>
      <w:pPr>
        <w:spacing w:after="0" w:line="172" w:lineRule="exact"/>
        <w:rPr>
          <w:sz w:val="20"/>
          <w:szCs w:val="20"/>
          <w:color w:val="auto"/>
        </w:rPr>
      </w:pPr>
    </w:p>
    <w:p>
      <w:pPr>
        <w:ind w:right="100" w:firstLine="494"/>
        <w:spacing w:after="0" w:line="271" w:lineRule="auto"/>
        <w:rPr>
          <w:sz w:val="20"/>
          <w:szCs w:val="20"/>
          <w:color w:val="auto"/>
        </w:rPr>
      </w:pPr>
      <w:r>
        <w:rPr>
          <w:rFonts w:ascii="Arial" w:cs="Arial" w:eastAsia="Arial" w:hAnsi="Arial"/>
          <w:sz w:val="14"/>
          <w:szCs w:val="14"/>
          <w:color w:val="auto"/>
        </w:rPr>
        <w:t xml:space="preserve">20.4 </w:t>
      </w:r>
      <w:r>
        <w:rPr>
          <w:rFonts w:ascii="Arial" w:cs="Arial" w:eastAsia="Arial" w:hAnsi="Arial"/>
          <w:sz w:val="14"/>
          <w:szCs w:val="14"/>
          <w:b w:val="1"/>
          <w:bCs w:val="1"/>
          <w:color w:val="auto"/>
        </w:rPr>
        <w:t>Severability</w:t>
      </w:r>
      <w:r>
        <w:rPr>
          <w:rFonts w:ascii="Arial" w:cs="Arial" w:eastAsia="Arial" w:hAnsi="Arial"/>
          <w:sz w:val="14"/>
          <w:szCs w:val="14"/>
          <w:color w:val="auto"/>
        </w:rPr>
        <w:t>. In the event any provision of the Plan shall be held illegal or invalid for any reason, the illegality or invalidity shall not affect the remaining parts of the Plan, and the Plan shall be construed and enforced as if the illegal or invalid provision had not been included.</w:t>
      </w:r>
    </w:p>
    <w:p>
      <w:pPr>
        <w:spacing w:after="0" w:line="172" w:lineRule="exact"/>
        <w:rPr>
          <w:sz w:val="20"/>
          <w:szCs w:val="20"/>
          <w:color w:val="auto"/>
        </w:rPr>
      </w:pPr>
    </w:p>
    <w:p>
      <w:pPr>
        <w:ind w:right="720" w:firstLine="494"/>
        <w:spacing w:after="0" w:line="411" w:lineRule="auto"/>
        <w:rPr>
          <w:sz w:val="20"/>
          <w:szCs w:val="20"/>
          <w:color w:val="auto"/>
        </w:rPr>
      </w:pPr>
      <w:r>
        <w:rPr>
          <w:rFonts w:ascii="Arial" w:cs="Arial" w:eastAsia="Arial" w:hAnsi="Arial"/>
          <w:sz w:val="11"/>
          <w:szCs w:val="11"/>
          <w:color w:val="auto"/>
        </w:rPr>
        <w:t xml:space="preserve">20.5 </w:t>
      </w:r>
      <w:r>
        <w:rPr>
          <w:rFonts w:ascii="Arial" w:cs="Arial" w:eastAsia="Arial" w:hAnsi="Arial"/>
          <w:sz w:val="11"/>
          <w:szCs w:val="11"/>
          <w:b w:val="1"/>
          <w:bCs w:val="1"/>
          <w:color w:val="auto"/>
        </w:rPr>
        <w:t>Requirements of Law</w:t>
      </w:r>
      <w:r>
        <w:rPr>
          <w:rFonts w:ascii="Arial" w:cs="Arial" w:eastAsia="Arial" w:hAnsi="Arial"/>
          <w:sz w:val="11"/>
          <w:szCs w:val="11"/>
          <w:color w:val="auto"/>
        </w:rPr>
        <w:t>. The granting of Awards and the issuance of Shares under the Plan shall be subject to all applicable laws, rules, and regulations, and to such approvals by any governmental agencies or national securities exchanges as may be required. The Company shall receive the consideration required by law for the issuance of Awards under the Plan.</w:t>
      </w:r>
    </w:p>
    <w:p>
      <w:pPr>
        <w:spacing w:after="0" w:line="102" w:lineRule="exact"/>
        <w:rPr>
          <w:sz w:val="20"/>
          <w:szCs w:val="20"/>
          <w:color w:val="auto"/>
        </w:rPr>
      </w:pPr>
    </w:p>
    <w:p>
      <w:pPr>
        <w:ind w:right="80" w:firstLine="494"/>
        <w:spacing w:after="0" w:line="258" w:lineRule="auto"/>
        <w:rPr>
          <w:sz w:val="20"/>
          <w:szCs w:val="20"/>
          <w:color w:val="auto"/>
        </w:rPr>
      </w:pPr>
      <w:r>
        <w:rPr>
          <w:rFonts w:ascii="Arial" w:cs="Arial" w:eastAsia="Arial" w:hAnsi="Arial"/>
          <w:sz w:val="14"/>
          <w:szCs w:val="14"/>
          <w:color w:val="auto"/>
        </w:rPr>
        <w:t xml:space="preserve">20.6 </w:t>
      </w:r>
      <w:r>
        <w:rPr>
          <w:rFonts w:ascii="Arial" w:cs="Arial" w:eastAsia="Arial" w:hAnsi="Arial"/>
          <w:sz w:val="14"/>
          <w:szCs w:val="14"/>
          <w:b w:val="1"/>
          <w:bCs w:val="1"/>
          <w:color w:val="auto"/>
        </w:rPr>
        <w:t>Securities Law Compliance</w:t>
      </w:r>
      <w:r>
        <w:rPr>
          <w:rFonts w:ascii="Arial" w:cs="Arial" w:eastAsia="Arial" w:hAnsi="Arial"/>
          <w:sz w:val="14"/>
          <w:szCs w:val="14"/>
          <w:color w:val="auto"/>
        </w:rPr>
        <w:t>. With respect to Insiders, transactions under this Plan are intended to comply with all applicable conditions of Rule 16b-3 or its successor under the Exchange Act, unless determined otherwise by the Board. To the extent any provision of the Plan or action by the Board fails to so comply, it shall be deemed null and void, to the extent permitted by law and deemed advisable by the Board.</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1"/>
          <w:szCs w:val="11"/>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48895</wp:posOffset>
            </wp:positionV>
            <wp:extent cx="7285355" cy="190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5355" cy="19050"/>
                    </a:xfrm>
                    <a:prstGeom prst="rect">
                      <a:avLst/>
                    </a:prstGeom>
                    <a:noFill/>
                  </pic:spPr>
                </pic:pic>
              </a:graphicData>
            </a:graphic>
          </wp:anchor>
        </w:drawing>
      </w:r>
    </w:p>
    <w:p>
      <w:pPr>
        <w:sectPr>
          <w:pgSz w:w="11900" w:h="16838" w:orient="portrait"/>
          <w:cols w:equalWidth="0" w:num="1">
            <w:col w:w="11460"/>
          </w:cols>
          <w:pgMar w:left="220" w:top="125" w:right="219" w:bottom="1440" w:gutter="0" w:footer="0" w:header="0"/>
        </w:sectPr>
      </w:pPr>
    </w:p>
    <w:bookmarkStart w:id="19" w:name="page20"/>
    <w:bookmarkEnd w:id="19"/>
    <w:p>
      <w:pPr>
        <w:ind w:firstLine="494"/>
        <w:spacing w:after="0" w:line="258" w:lineRule="auto"/>
        <w:rPr>
          <w:sz w:val="20"/>
          <w:szCs w:val="20"/>
          <w:color w:val="auto"/>
        </w:rPr>
      </w:pPr>
      <w:r>
        <w:rPr>
          <w:rFonts w:ascii="Arial" w:cs="Arial" w:eastAsia="Arial" w:hAnsi="Arial"/>
          <w:sz w:val="14"/>
          <w:szCs w:val="14"/>
          <w:color w:val="auto"/>
        </w:rPr>
        <w:t xml:space="preserve">20.7 </w:t>
      </w:r>
      <w:r>
        <w:rPr>
          <w:rFonts w:ascii="Arial" w:cs="Arial" w:eastAsia="Arial" w:hAnsi="Arial"/>
          <w:sz w:val="14"/>
          <w:szCs w:val="14"/>
          <w:b w:val="1"/>
          <w:bCs w:val="1"/>
          <w:color w:val="auto"/>
        </w:rPr>
        <w:t>Restrictions on Share Transferability</w:t>
      </w:r>
      <w:r>
        <w:rPr>
          <w:rFonts w:ascii="Arial" w:cs="Arial" w:eastAsia="Arial" w:hAnsi="Arial"/>
          <w:sz w:val="14"/>
          <w:szCs w:val="14"/>
          <w:color w:val="auto"/>
        </w:rPr>
        <w:t>. The Board may impose such restrictions on any Shares acquired pursuant to an Award granted under this Plan as it may deem advisable, including, without limitation, restrictions under applicable federal securities laws, under the requirements of any stock exchange or market upon which such Shares are then listed and/or traded, and under any blue sky or state securities laws applicable to such Shares.</w:t>
      </w:r>
    </w:p>
    <w:p>
      <w:pPr>
        <w:spacing w:after="0" w:line="181" w:lineRule="exact"/>
        <w:rPr>
          <w:sz w:val="20"/>
          <w:szCs w:val="20"/>
          <w:color w:val="auto"/>
        </w:rPr>
      </w:pPr>
    </w:p>
    <w:p>
      <w:pPr>
        <w:ind w:right="200" w:firstLine="494"/>
        <w:spacing w:after="0" w:line="271" w:lineRule="auto"/>
        <w:rPr>
          <w:sz w:val="20"/>
          <w:szCs w:val="20"/>
          <w:color w:val="auto"/>
        </w:rPr>
      </w:pPr>
      <w:r>
        <w:rPr>
          <w:rFonts w:ascii="Arial" w:cs="Arial" w:eastAsia="Arial" w:hAnsi="Arial"/>
          <w:sz w:val="14"/>
          <w:szCs w:val="14"/>
          <w:color w:val="auto"/>
        </w:rPr>
        <w:t xml:space="preserve">20.8 </w:t>
      </w:r>
      <w:r>
        <w:rPr>
          <w:rFonts w:ascii="Arial" w:cs="Arial" w:eastAsia="Arial" w:hAnsi="Arial"/>
          <w:sz w:val="14"/>
          <w:szCs w:val="14"/>
          <w:b w:val="1"/>
          <w:bCs w:val="1"/>
          <w:color w:val="auto"/>
        </w:rPr>
        <w:t>Listing</w:t>
      </w:r>
      <w:r>
        <w:rPr>
          <w:rFonts w:ascii="Arial" w:cs="Arial" w:eastAsia="Arial" w:hAnsi="Arial"/>
          <w:sz w:val="14"/>
          <w:szCs w:val="14"/>
          <w:color w:val="auto"/>
        </w:rPr>
        <w:t>. The Company may use reasonable endeavors to register Shares allotted pursuant to the exercise of an Award with the United States Securities and Exchange Commission or to effect compliance with the registration, qualification, and listing requirements of any national securities laws, stock exchange, or automated quotation system.</w:t>
      </w:r>
    </w:p>
    <w:p>
      <w:pPr>
        <w:spacing w:after="0" w:line="172" w:lineRule="exact"/>
        <w:rPr>
          <w:sz w:val="20"/>
          <w:szCs w:val="20"/>
          <w:color w:val="auto"/>
        </w:rPr>
      </w:pPr>
    </w:p>
    <w:p>
      <w:pPr>
        <w:ind w:left="500"/>
        <w:spacing w:after="0"/>
        <w:rPr>
          <w:sz w:val="20"/>
          <w:szCs w:val="20"/>
          <w:color w:val="auto"/>
        </w:rPr>
      </w:pPr>
      <w:r>
        <w:rPr>
          <w:rFonts w:ascii="Arial" w:cs="Arial" w:eastAsia="Arial" w:hAnsi="Arial"/>
          <w:sz w:val="14"/>
          <w:szCs w:val="14"/>
          <w:color w:val="auto"/>
        </w:rPr>
        <w:t xml:space="preserve">20.9 </w:t>
      </w:r>
      <w:r>
        <w:rPr>
          <w:rFonts w:ascii="Arial" w:cs="Arial" w:eastAsia="Arial" w:hAnsi="Arial"/>
          <w:sz w:val="14"/>
          <w:szCs w:val="14"/>
          <w:b w:val="1"/>
          <w:bCs w:val="1"/>
          <w:color w:val="auto"/>
        </w:rPr>
        <w:t>Delivery of Title</w:t>
      </w:r>
      <w:r>
        <w:rPr>
          <w:rFonts w:ascii="Arial" w:cs="Arial" w:eastAsia="Arial" w:hAnsi="Arial"/>
          <w:sz w:val="14"/>
          <w:szCs w:val="14"/>
          <w:color w:val="auto"/>
        </w:rPr>
        <w:t>. The Company shall have no obligation to issue or deliver evidence of title for Shares awarded under the Plan prior to:</w:t>
      </w:r>
    </w:p>
    <w:p>
      <w:pPr>
        <w:spacing w:after="0" w:line="214" w:lineRule="exact"/>
        <w:rPr>
          <w:sz w:val="20"/>
          <w:szCs w:val="20"/>
          <w:color w:val="auto"/>
        </w:rPr>
      </w:pPr>
    </w:p>
    <w:p>
      <w:pPr>
        <w:ind w:left="1700" w:hanging="214"/>
        <w:spacing w:after="0"/>
        <w:tabs>
          <w:tab w:leader="none" w:pos="1700" w:val="left"/>
        </w:tabs>
        <w:numPr>
          <w:ilvl w:val="0"/>
          <w:numId w:val="11"/>
        </w:numPr>
        <w:rPr>
          <w:rFonts w:ascii="Arial" w:cs="Arial" w:eastAsia="Arial" w:hAnsi="Arial"/>
          <w:sz w:val="14"/>
          <w:szCs w:val="14"/>
          <w:color w:val="auto"/>
        </w:rPr>
      </w:pPr>
      <w:r>
        <w:rPr>
          <w:rFonts w:ascii="Arial" w:cs="Arial" w:eastAsia="Arial" w:hAnsi="Arial"/>
          <w:sz w:val="14"/>
          <w:szCs w:val="14"/>
          <w:color w:val="auto"/>
        </w:rPr>
        <w:t>Obtaining any approvals from governmental agencies that the Company determines are necessary or advisable; and</w:t>
      </w:r>
    </w:p>
    <w:p>
      <w:pPr>
        <w:spacing w:after="0" w:line="209" w:lineRule="exact"/>
        <w:rPr>
          <w:rFonts w:ascii="Arial" w:cs="Arial" w:eastAsia="Arial" w:hAnsi="Arial"/>
          <w:sz w:val="14"/>
          <w:szCs w:val="14"/>
          <w:color w:val="auto"/>
        </w:rPr>
      </w:pPr>
    </w:p>
    <w:p>
      <w:pPr>
        <w:ind w:left="500" w:firstLine="986"/>
        <w:spacing w:after="0" w:line="265" w:lineRule="auto"/>
        <w:tabs>
          <w:tab w:leader="none" w:pos="1717" w:val="left"/>
        </w:tabs>
        <w:numPr>
          <w:ilvl w:val="0"/>
          <w:numId w:val="11"/>
        </w:numPr>
        <w:rPr>
          <w:rFonts w:ascii="Arial" w:cs="Arial" w:eastAsia="Arial" w:hAnsi="Arial"/>
          <w:sz w:val="14"/>
          <w:szCs w:val="14"/>
          <w:color w:val="auto"/>
        </w:rPr>
      </w:pPr>
      <w:r>
        <w:rPr>
          <w:rFonts w:ascii="Arial" w:cs="Arial" w:eastAsia="Arial" w:hAnsi="Arial"/>
          <w:sz w:val="14"/>
          <w:szCs w:val="14"/>
          <w:color w:val="auto"/>
        </w:rPr>
        <w:t>Completion of any registration or other qualification of the Shares under any applicable national or foreign law or ruling of any governmental body that the Company determines to be necessary or advisable.</w:t>
      </w:r>
    </w:p>
    <w:p>
      <w:pPr>
        <w:spacing w:after="0" w:line="176" w:lineRule="exact"/>
        <w:rPr>
          <w:sz w:val="20"/>
          <w:szCs w:val="20"/>
          <w:color w:val="auto"/>
        </w:rPr>
      </w:pPr>
    </w:p>
    <w:p>
      <w:pPr>
        <w:ind w:right="40" w:firstLine="494"/>
        <w:spacing w:after="0" w:line="270" w:lineRule="auto"/>
        <w:rPr>
          <w:sz w:val="20"/>
          <w:szCs w:val="20"/>
          <w:color w:val="auto"/>
        </w:rPr>
      </w:pPr>
      <w:r>
        <w:rPr>
          <w:rFonts w:ascii="Arial" w:cs="Arial" w:eastAsia="Arial" w:hAnsi="Arial"/>
          <w:sz w:val="13"/>
          <w:szCs w:val="13"/>
          <w:color w:val="auto"/>
        </w:rPr>
        <w:t xml:space="preserve">20.10 </w:t>
      </w:r>
      <w:r>
        <w:rPr>
          <w:rFonts w:ascii="Arial" w:cs="Arial" w:eastAsia="Arial" w:hAnsi="Arial"/>
          <w:sz w:val="13"/>
          <w:szCs w:val="13"/>
          <w:b w:val="1"/>
          <w:bCs w:val="1"/>
          <w:color w:val="auto"/>
        </w:rPr>
        <w:t>Inability to Obtain Authority</w:t>
      </w:r>
      <w:r>
        <w:rPr>
          <w:rFonts w:ascii="Arial" w:cs="Arial" w:eastAsia="Arial" w:hAnsi="Arial"/>
          <w:sz w:val="13"/>
          <w:szCs w:val="13"/>
          <w:color w:val="auto"/>
        </w:rPr>
        <w:t>. Notwithstanding any provision in this Plan to the contrary, if at any time the Company shall determine (in accordance with the provisions of the following sentence) that it is necessary as a condition of, or in connection with, the grant or exercise of any Award or the distribution of any Shares or cash under the Plan to (1) satisfy withholding tax or other withholding liabilities, (2) effect the listing, registration or qualification on any securities exchange, on any quotation system, or under any federal, state or local law, of any Shares otherwise deliverable in connection with such grant, exercise or distribution or (3) obtain the consent or approval of any regulatory body, then in any such event such grant, exercise or distribution shall not be effective unless such withholding, listing, registration, qualification, consent or approval shall have been effected or obtained free of any conditions not acceptable to the Company in its reasonable and good faith judgment. In seeking to effect or obtain any such withholding, listing, registration, qualification, consent or approval, the Company shall act with all reasonable diligence. Any such postponement or limitation affecting the right to exercise an Award or the grant or distribution of an Award, Shares or cash shall not extend the time within which the Award may be granted or exercised or the Shares or cash distributed, unless the Company and the Participant choose to amend the terms of the Award to provide for such an extension; and neither the Company, nor any of its Directors or officers shall have any obligation or liability to the Participant (or to a beneficiary) by reason of any such postponement or limitation.</w:t>
      </w:r>
    </w:p>
    <w:p>
      <w:pPr>
        <w:spacing w:after="0" w:line="175" w:lineRule="exact"/>
        <w:rPr>
          <w:sz w:val="20"/>
          <w:szCs w:val="20"/>
          <w:color w:val="auto"/>
        </w:rPr>
      </w:pPr>
    </w:p>
    <w:p>
      <w:pPr>
        <w:ind w:right="20" w:firstLine="494"/>
        <w:spacing w:after="0" w:line="411" w:lineRule="auto"/>
        <w:rPr>
          <w:sz w:val="20"/>
          <w:szCs w:val="20"/>
          <w:color w:val="auto"/>
        </w:rPr>
      </w:pPr>
      <w:r>
        <w:rPr>
          <w:rFonts w:ascii="Arial" w:cs="Arial" w:eastAsia="Arial" w:hAnsi="Arial"/>
          <w:sz w:val="11"/>
          <w:szCs w:val="11"/>
          <w:color w:val="auto"/>
        </w:rPr>
        <w:t xml:space="preserve">20.11 </w:t>
      </w:r>
      <w:r>
        <w:rPr>
          <w:rFonts w:ascii="Arial" w:cs="Arial" w:eastAsia="Arial" w:hAnsi="Arial"/>
          <w:sz w:val="11"/>
          <w:szCs w:val="11"/>
          <w:b w:val="1"/>
          <w:bCs w:val="1"/>
          <w:color w:val="auto"/>
        </w:rPr>
        <w:t>Investment Representations</w:t>
      </w:r>
      <w:r>
        <w:rPr>
          <w:rFonts w:ascii="Arial" w:cs="Arial" w:eastAsia="Arial" w:hAnsi="Arial"/>
          <w:sz w:val="11"/>
          <w:szCs w:val="11"/>
          <w:color w:val="auto"/>
        </w:rPr>
        <w:t>. As a condition to the exercise of an Award, the Company may require the person exercising such Award to represent and warrant at the time of any such exercise that the Shares are being purchased only for investment and without any present intention to sell or distribute such Shares if, in the opinion of counsel for the Company, such a representation is required.</w:t>
      </w:r>
    </w:p>
    <w:p>
      <w:pPr>
        <w:spacing w:after="0" w:line="102" w:lineRule="exact"/>
        <w:rPr>
          <w:sz w:val="20"/>
          <w:szCs w:val="20"/>
          <w:color w:val="auto"/>
        </w:rPr>
      </w:pPr>
    </w:p>
    <w:p>
      <w:pPr>
        <w:ind w:left="500"/>
        <w:spacing w:after="0"/>
        <w:rPr>
          <w:sz w:val="20"/>
          <w:szCs w:val="20"/>
          <w:color w:val="auto"/>
        </w:rPr>
      </w:pPr>
      <w:r>
        <w:rPr>
          <w:rFonts w:ascii="Arial" w:cs="Arial" w:eastAsia="Arial" w:hAnsi="Arial"/>
          <w:sz w:val="11"/>
          <w:szCs w:val="11"/>
          <w:color w:val="auto"/>
        </w:rPr>
        <w:t xml:space="preserve">20.12 </w:t>
      </w:r>
      <w:r>
        <w:rPr>
          <w:rFonts w:ascii="Arial" w:cs="Arial" w:eastAsia="Arial" w:hAnsi="Arial"/>
          <w:sz w:val="11"/>
          <w:szCs w:val="11"/>
          <w:b w:val="1"/>
          <w:bCs w:val="1"/>
          <w:color w:val="auto"/>
        </w:rPr>
        <w:t>Employees Based Outside of the United States</w:t>
      </w:r>
      <w:r>
        <w:rPr>
          <w:rFonts w:ascii="Arial" w:cs="Arial" w:eastAsia="Arial" w:hAnsi="Arial"/>
          <w:sz w:val="11"/>
          <w:szCs w:val="11"/>
          <w:color w:val="auto"/>
        </w:rPr>
        <w:t>. Notwithstanding any provision of the Plan to the contrary, in order to comply with the laws in other countries in which the Company, its</w:t>
      </w:r>
    </w:p>
    <w:p>
      <w:pPr>
        <w:spacing w:after="0" w:line="52" w:lineRule="exact"/>
        <w:rPr>
          <w:sz w:val="20"/>
          <w:szCs w:val="20"/>
          <w:color w:val="auto"/>
        </w:rPr>
      </w:pPr>
    </w:p>
    <w:p>
      <w:pPr>
        <w:spacing w:after="0"/>
        <w:rPr>
          <w:sz w:val="20"/>
          <w:szCs w:val="20"/>
          <w:color w:val="auto"/>
        </w:rPr>
      </w:pPr>
      <w:r>
        <w:rPr>
          <w:rFonts w:ascii="Arial" w:cs="Arial" w:eastAsia="Arial" w:hAnsi="Arial"/>
          <w:sz w:val="14"/>
          <w:szCs w:val="14"/>
          <w:color w:val="auto"/>
        </w:rPr>
        <w:t>Affiliates, and its Subsidiaries operate or have Employees, the Board, in their sole discretion, shall have the power and authority to:</w:t>
      </w:r>
    </w:p>
    <w:p>
      <w:pPr>
        <w:spacing w:after="0" w:line="200" w:lineRule="exact"/>
        <w:rPr>
          <w:sz w:val="20"/>
          <w:szCs w:val="20"/>
          <w:color w:val="auto"/>
        </w:rPr>
      </w:pPr>
    </w:p>
    <w:p>
      <w:pPr>
        <w:ind w:left="1480"/>
        <w:spacing w:after="0"/>
        <w:rPr>
          <w:sz w:val="20"/>
          <w:szCs w:val="20"/>
          <w:color w:val="auto"/>
        </w:rPr>
      </w:pPr>
      <w:r>
        <w:rPr>
          <w:rFonts w:ascii="Arial" w:cs="Arial" w:eastAsia="Arial" w:hAnsi="Arial"/>
          <w:sz w:val="14"/>
          <w:szCs w:val="14"/>
          <w:color w:val="auto"/>
        </w:rPr>
        <w:t>(a) Determine which Affiliates and Subsidiaries shall be covered by the Plan;</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1"/>
          <w:szCs w:val="11"/>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48895</wp:posOffset>
            </wp:positionV>
            <wp:extent cx="7285355" cy="190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5355" cy="19050"/>
                    </a:xfrm>
                    <a:prstGeom prst="rect">
                      <a:avLst/>
                    </a:prstGeom>
                    <a:noFill/>
                  </pic:spPr>
                </pic:pic>
              </a:graphicData>
            </a:graphic>
          </wp:anchor>
        </w:drawing>
      </w:r>
    </w:p>
    <w:p>
      <w:pPr>
        <w:sectPr>
          <w:pgSz w:w="11900" w:h="16838" w:orient="portrait"/>
          <w:cols w:equalWidth="0" w:num="1">
            <w:col w:w="11440"/>
          </w:cols>
          <w:pgMar w:left="220" w:top="331" w:right="239" w:bottom="1440" w:gutter="0" w:footer="0" w:header="0"/>
        </w:sectPr>
      </w:pPr>
    </w:p>
    <w:bookmarkStart w:id="20" w:name="page21"/>
    <w:bookmarkEnd w:id="20"/>
    <w:p>
      <w:pPr>
        <w:ind w:left="1720" w:hanging="234"/>
        <w:spacing w:after="0"/>
        <w:tabs>
          <w:tab w:leader="none" w:pos="1720" w:val="left"/>
        </w:tabs>
        <w:numPr>
          <w:ilvl w:val="0"/>
          <w:numId w:val="12"/>
        </w:numPr>
        <w:rPr>
          <w:rFonts w:ascii="Arial" w:cs="Arial" w:eastAsia="Arial" w:hAnsi="Arial"/>
          <w:sz w:val="14"/>
          <w:szCs w:val="14"/>
          <w:color w:val="auto"/>
        </w:rPr>
      </w:pPr>
      <w:r>
        <w:rPr>
          <w:rFonts w:ascii="Arial" w:cs="Arial" w:eastAsia="Arial" w:hAnsi="Arial"/>
          <w:sz w:val="14"/>
          <w:szCs w:val="14"/>
          <w:color w:val="auto"/>
        </w:rPr>
        <w:t>Determine which persons outside the United States are eligible to participate in the Plan;</w:t>
      </w:r>
    </w:p>
    <w:p>
      <w:pPr>
        <w:spacing w:after="0" w:line="209" w:lineRule="exact"/>
        <w:rPr>
          <w:rFonts w:ascii="Arial" w:cs="Arial" w:eastAsia="Arial" w:hAnsi="Arial"/>
          <w:sz w:val="14"/>
          <w:szCs w:val="14"/>
          <w:color w:val="auto"/>
        </w:rPr>
      </w:pPr>
    </w:p>
    <w:p>
      <w:pPr>
        <w:ind w:left="1700" w:hanging="214"/>
        <w:spacing w:after="0"/>
        <w:tabs>
          <w:tab w:leader="none" w:pos="1700" w:val="left"/>
        </w:tabs>
        <w:numPr>
          <w:ilvl w:val="0"/>
          <w:numId w:val="12"/>
        </w:numPr>
        <w:rPr>
          <w:rFonts w:ascii="Arial" w:cs="Arial" w:eastAsia="Arial" w:hAnsi="Arial"/>
          <w:sz w:val="14"/>
          <w:szCs w:val="14"/>
          <w:color w:val="auto"/>
        </w:rPr>
      </w:pPr>
      <w:r>
        <w:rPr>
          <w:rFonts w:ascii="Arial" w:cs="Arial" w:eastAsia="Arial" w:hAnsi="Arial"/>
          <w:sz w:val="14"/>
          <w:szCs w:val="14"/>
          <w:color w:val="auto"/>
        </w:rPr>
        <w:t>Modify the terms and conditions of any Award granted to persons outside the United States to comply with applicable foreign laws;</w:t>
      </w:r>
    </w:p>
    <w:p>
      <w:pPr>
        <w:spacing w:after="0" w:line="209" w:lineRule="exact"/>
        <w:rPr>
          <w:rFonts w:ascii="Arial" w:cs="Arial" w:eastAsia="Arial" w:hAnsi="Arial"/>
          <w:sz w:val="14"/>
          <w:szCs w:val="14"/>
          <w:color w:val="auto"/>
        </w:rPr>
      </w:pPr>
    </w:p>
    <w:p>
      <w:pPr>
        <w:ind w:left="1720" w:hanging="234"/>
        <w:spacing w:after="0"/>
        <w:tabs>
          <w:tab w:leader="none" w:pos="1720" w:val="left"/>
        </w:tabs>
        <w:numPr>
          <w:ilvl w:val="0"/>
          <w:numId w:val="12"/>
        </w:numPr>
        <w:rPr>
          <w:rFonts w:ascii="Arial" w:cs="Arial" w:eastAsia="Arial" w:hAnsi="Arial"/>
          <w:sz w:val="14"/>
          <w:szCs w:val="14"/>
          <w:color w:val="auto"/>
        </w:rPr>
      </w:pPr>
      <w:r>
        <w:rPr>
          <w:rFonts w:ascii="Arial" w:cs="Arial" w:eastAsia="Arial" w:hAnsi="Arial"/>
          <w:sz w:val="14"/>
          <w:szCs w:val="14"/>
          <w:color w:val="auto"/>
        </w:rPr>
        <w:t>Establish subplans and modify exercise procedures, and other terms and procedures to the extent such actions may be necessary or advisable; and</w:t>
      </w:r>
    </w:p>
    <w:p>
      <w:pPr>
        <w:spacing w:after="0" w:line="209" w:lineRule="exact"/>
        <w:rPr>
          <w:rFonts w:ascii="Arial" w:cs="Arial" w:eastAsia="Arial" w:hAnsi="Arial"/>
          <w:sz w:val="14"/>
          <w:szCs w:val="14"/>
          <w:color w:val="auto"/>
        </w:rPr>
      </w:pPr>
    </w:p>
    <w:p>
      <w:pPr>
        <w:ind w:left="1700" w:hanging="214"/>
        <w:spacing w:after="0"/>
        <w:tabs>
          <w:tab w:leader="none" w:pos="1700" w:val="left"/>
        </w:tabs>
        <w:numPr>
          <w:ilvl w:val="0"/>
          <w:numId w:val="12"/>
        </w:numPr>
        <w:rPr>
          <w:rFonts w:ascii="Arial" w:cs="Arial" w:eastAsia="Arial" w:hAnsi="Arial"/>
          <w:sz w:val="13"/>
          <w:szCs w:val="13"/>
          <w:color w:val="auto"/>
        </w:rPr>
      </w:pPr>
      <w:r>
        <w:rPr>
          <w:rFonts w:ascii="Arial" w:cs="Arial" w:eastAsia="Arial" w:hAnsi="Arial"/>
          <w:sz w:val="13"/>
          <w:szCs w:val="13"/>
          <w:color w:val="auto"/>
        </w:rPr>
        <w:t>Take any action, before or after an Award is made, that it deems advisable to obtain approval or comply with any necessary local government regulatory exemptions or</w:t>
      </w:r>
    </w:p>
    <w:p>
      <w:pPr>
        <w:spacing w:after="0" w:line="25" w:lineRule="exact"/>
        <w:rPr>
          <w:sz w:val="20"/>
          <w:szCs w:val="20"/>
          <w:color w:val="auto"/>
        </w:rPr>
      </w:pPr>
    </w:p>
    <w:p>
      <w:pPr>
        <w:ind w:left="500"/>
        <w:spacing w:after="0"/>
        <w:rPr>
          <w:sz w:val="20"/>
          <w:szCs w:val="20"/>
          <w:color w:val="auto"/>
        </w:rPr>
      </w:pPr>
      <w:r>
        <w:rPr>
          <w:rFonts w:ascii="Arial" w:cs="Arial" w:eastAsia="Arial" w:hAnsi="Arial"/>
          <w:sz w:val="14"/>
          <w:szCs w:val="14"/>
          <w:color w:val="auto"/>
        </w:rPr>
        <w:t>approvals.</w:t>
      </w:r>
    </w:p>
    <w:p>
      <w:pPr>
        <w:spacing w:after="0" w:line="200" w:lineRule="exact"/>
        <w:rPr>
          <w:sz w:val="20"/>
          <w:szCs w:val="20"/>
          <w:color w:val="auto"/>
        </w:rPr>
      </w:pPr>
    </w:p>
    <w:p>
      <w:pPr>
        <w:ind w:right="120" w:firstLine="494"/>
        <w:spacing w:after="0" w:line="265" w:lineRule="auto"/>
        <w:rPr>
          <w:sz w:val="20"/>
          <w:szCs w:val="20"/>
          <w:color w:val="auto"/>
        </w:rPr>
      </w:pPr>
      <w:r>
        <w:rPr>
          <w:rFonts w:ascii="Arial" w:cs="Arial" w:eastAsia="Arial" w:hAnsi="Arial"/>
          <w:sz w:val="14"/>
          <w:szCs w:val="14"/>
          <w:color w:val="auto"/>
        </w:rPr>
        <w:t>Notwithstanding the above, the Board may not take any actions hereunder, and no Awards shall be granted, that would violate the Exchange Act, the Code, any securities law or governing statute or any other applicable law.</w:t>
      </w:r>
    </w:p>
    <w:p>
      <w:pPr>
        <w:spacing w:after="0" w:line="176" w:lineRule="exact"/>
        <w:rPr>
          <w:sz w:val="20"/>
          <w:szCs w:val="20"/>
          <w:color w:val="auto"/>
        </w:rPr>
      </w:pPr>
    </w:p>
    <w:p>
      <w:pPr>
        <w:ind w:right="120" w:firstLine="494"/>
        <w:spacing w:after="0" w:line="271" w:lineRule="auto"/>
        <w:rPr>
          <w:sz w:val="20"/>
          <w:szCs w:val="20"/>
          <w:color w:val="auto"/>
        </w:rPr>
      </w:pPr>
      <w:r>
        <w:rPr>
          <w:rFonts w:ascii="Arial" w:cs="Arial" w:eastAsia="Arial" w:hAnsi="Arial"/>
          <w:sz w:val="14"/>
          <w:szCs w:val="14"/>
          <w:color w:val="auto"/>
        </w:rPr>
        <w:t xml:space="preserve">20.13 </w:t>
      </w:r>
      <w:r>
        <w:rPr>
          <w:rFonts w:ascii="Arial" w:cs="Arial" w:eastAsia="Arial" w:hAnsi="Arial"/>
          <w:sz w:val="14"/>
          <w:szCs w:val="14"/>
          <w:b w:val="1"/>
          <w:bCs w:val="1"/>
          <w:color w:val="auto"/>
        </w:rPr>
        <w:t>Noncertificated Shares</w:t>
      </w:r>
      <w:r>
        <w:rPr>
          <w:rFonts w:ascii="Arial" w:cs="Arial" w:eastAsia="Arial" w:hAnsi="Arial"/>
          <w:sz w:val="14"/>
          <w:szCs w:val="14"/>
          <w:color w:val="auto"/>
        </w:rPr>
        <w:t>. To the extent that the Plan provides for issuance of certificates to reflect the transfer of Shares, the transfer of such Shares may be effected on a noncertificated basis, to the extent not prohibited by applicable law or the rules of any stock exchange.</w:t>
      </w:r>
    </w:p>
    <w:p>
      <w:pPr>
        <w:spacing w:after="0" w:line="172" w:lineRule="exact"/>
        <w:rPr>
          <w:sz w:val="20"/>
          <w:szCs w:val="20"/>
          <w:color w:val="auto"/>
        </w:rPr>
      </w:pPr>
    </w:p>
    <w:p>
      <w:pPr>
        <w:ind w:firstLine="494"/>
        <w:spacing w:after="0" w:line="252" w:lineRule="auto"/>
        <w:rPr>
          <w:sz w:val="20"/>
          <w:szCs w:val="20"/>
          <w:color w:val="auto"/>
        </w:rPr>
      </w:pPr>
      <w:r>
        <w:rPr>
          <w:rFonts w:ascii="Arial" w:cs="Arial" w:eastAsia="Arial" w:hAnsi="Arial"/>
          <w:sz w:val="14"/>
          <w:szCs w:val="14"/>
          <w:color w:val="auto"/>
        </w:rPr>
        <w:t xml:space="preserve">20.14 </w:t>
      </w:r>
      <w:r>
        <w:rPr>
          <w:rFonts w:ascii="Arial" w:cs="Arial" w:eastAsia="Arial" w:hAnsi="Arial"/>
          <w:sz w:val="14"/>
          <w:szCs w:val="14"/>
          <w:b w:val="1"/>
          <w:bCs w:val="1"/>
          <w:color w:val="auto"/>
        </w:rPr>
        <w:t>Unfunded Plan</w:t>
      </w:r>
      <w:r>
        <w:rPr>
          <w:rFonts w:ascii="Arial" w:cs="Arial" w:eastAsia="Arial" w:hAnsi="Arial"/>
          <w:sz w:val="14"/>
          <w:szCs w:val="14"/>
          <w:color w:val="auto"/>
        </w:rPr>
        <w:t>. Participants shall have no right, title, or interest whatsoever in or to any investments that the Company may make to aid it in meeting its obligations under the Plan. Nothing contained in the Plan, and no action taken pursuant to its provisions, shall create or be construed to create a trust of any kind, or a fiduciary relationship between the Company and any Participant, beneficiary, legal representative or any other person. To the extent that any person acquires a right to receive payments from the Company under the Plan, such right shall be no greater than the right of an unsecured general creditor of the Company. All payments to be made hereunder shall be paid from the general funds of the Company and no special or separate fund shall be established and no segregation of assets shall be made to assure payment of such amounts except as expressly set forth in the Plan.</w:t>
      </w:r>
    </w:p>
    <w:p>
      <w:pPr>
        <w:spacing w:after="0" w:line="189" w:lineRule="exact"/>
        <w:rPr>
          <w:sz w:val="20"/>
          <w:szCs w:val="20"/>
          <w:color w:val="auto"/>
        </w:rPr>
      </w:pPr>
    </w:p>
    <w:p>
      <w:pPr>
        <w:ind w:left="500"/>
        <w:spacing w:after="0"/>
        <w:rPr>
          <w:sz w:val="20"/>
          <w:szCs w:val="20"/>
          <w:color w:val="auto"/>
        </w:rPr>
      </w:pPr>
      <w:r>
        <w:rPr>
          <w:rFonts w:ascii="Arial" w:cs="Arial" w:eastAsia="Arial" w:hAnsi="Arial"/>
          <w:sz w:val="14"/>
          <w:szCs w:val="14"/>
          <w:color w:val="auto"/>
        </w:rPr>
        <w:t>The Plan is not intended to be subject to the Employee Retirement Income Security Act of 1974.</w:t>
      </w:r>
    </w:p>
    <w:p>
      <w:pPr>
        <w:spacing w:after="0" w:line="206" w:lineRule="exact"/>
        <w:rPr>
          <w:sz w:val="20"/>
          <w:szCs w:val="20"/>
          <w:color w:val="auto"/>
        </w:rPr>
      </w:pPr>
    </w:p>
    <w:p>
      <w:pPr>
        <w:ind w:right="320" w:firstLine="494"/>
        <w:spacing w:after="0" w:line="271" w:lineRule="auto"/>
        <w:rPr>
          <w:sz w:val="20"/>
          <w:szCs w:val="20"/>
          <w:color w:val="auto"/>
        </w:rPr>
      </w:pPr>
      <w:r>
        <w:rPr>
          <w:rFonts w:ascii="Arial" w:cs="Arial" w:eastAsia="Arial" w:hAnsi="Arial"/>
          <w:sz w:val="14"/>
          <w:szCs w:val="14"/>
          <w:color w:val="auto"/>
        </w:rPr>
        <w:t xml:space="preserve">20.15 </w:t>
      </w:r>
      <w:r>
        <w:rPr>
          <w:rFonts w:ascii="Arial" w:cs="Arial" w:eastAsia="Arial" w:hAnsi="Arial"/>
          <w:sz w:val="14"/>
          <w:szCs w:val="14"/>
          <w:b w:val="1"/>
          <w:bCs w:val="1"/>
          <w:color w:val="auto"/>
        </w:rPr>
        <w:t>No Fractional Shares</w:t>
      </w:r>
      <w:r>
        <w:rPr>
          <w:rFonts w:ascii="Arial" w:cs="Arial" w:eastAsia="Arial" w:hAnsi="Arial"/>
          <w:sz w:val="14"/>
          <w:szCs w:val="14"/>
          <w:color w:val="auto"/>
        </w:rPr>
        <w:t>. No fractional Shares shall be issued or delivered pursuant to the Plan or any Award. The Board shall determine whether cash, or Awards, or other property shall be issued or paid in lieu of fractional Shares or whether such fractional Shares or any rights thereto shall be forfeited or otherwise eliminated.</w:t>
      </w:r>
    </w:p>
    <w:p>
      <w:pPr>
        <w:spacing w:after="0" w:line="172" w:lineRule="exact"/>
        <w:rPr>
          <w:sz w:val="20"/>
          <w:szCs w:val="20"/>
          <w:color w:val="auto"/>
        </w:rPr>
      </w:pPr>
    </w:p>
    <w:p>
      <w:pPr>
        <w:ind w:right="20" w:firstLine="494"/>
        <w:spacing w:after="0" w:line="361" w:lineRule="auto"/>
        <w:rPr>
          <w:sz w:val="20"/>
          <w:szCs w:val="20"/>
          <w:color w:val="auto"/>
        </w:rPr>
      </w:pPr>
      <w:r>
        <w:rPr>
          <w:rFonts w:ascii="Arial" w:cs="Arial" w:eastAsia="Arial" w:hAnsi="Arial"/>
          <w:sz w:val="11"/>
          <w:szCs w:val="11"/>
          <w:color w:val="auto"/>
        </w:rPr>
        <w:t xml:space="preserve">20.16 </w:t>
      </w:r>
      <w:r>
        <w:rPr>
          <w:rFonts w:ascii="Arial" w:cs="Arial" w:eastAsia="Arial" w:hAnsi="Arial"/>
          <w:sz w:val="11"/>
          <w:szCs w:val="11"/>
          <w:b w:val="1"/>
          <w:bCs w:val="1"/>
          <w:color w:val="auto"/>
        </w:rPr>
        <w:t>Governing Law</w:t>
      </w:r>
      <w:r>
        <w:rPr>
          <w:rFonts w:ascii="Arial" w:cs="Arial" w:eastAsia="Arial" w:hAnsi="Arial"/>
          <w:sz w:val="11"/>
          <w:szCs w:val="11"/>
          <w:color w:val="auto"/>
        </w:rPr>
        <w:t>. The Plan and each Award Agreement shall be governed by the laws of the state of Delaware, excluding any conflicts or choice of law rule or principle that might otherwise refer construction or interpretation of the Plan to the substantive law of another jurisdiction. Unless otherwise provided in the Award Agreement, recipients of an Award under the Plan are deemed to submit to the exclusive jurisdiction and venue of the federal or state courts of Tennessee, Washington County, to resolve any and all issues that may arise out of or relate to the Plan or any related Award Agreement.</w:t>
      </w:r>
    </w:p>
    <w:p>
      <w:pPr>
        <w:spacing w:after="0" w:line="337" w:lineRule="exact"/>
        <w:rPr>
          <w:sz w:val="20"/>
          <w:szCs w:val="20"/>
          <w:color w:val="auto"/>
        </w:rPr>
      </w:pPr>
    </w:p>
    <w:p>
      <w:pPr>
        <w:jc w:val="center"/>
        <w:ind w:right="-39"/>
        <w:spacing w:after="0"/>
        <w:rPr>
          <w:sz w:val="20"/>
          <w:szCs w:val="20"/>
          <w:color w:val="auto"/>
        </w:rPr>
      </w:pPr>
      <w:r>
        <w:rPr>
          <w:rFonts w:ascii="Arial" w:cs="Arial" w:eastAsia="Arial" w:hAnsi="Arial"/>
          <w:sz w:val="11"/>
          <w:szCs w:val="11"/>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48895</wp:posOffset>
            </wp:positionV>
            <wp:extent cx="7285355" cy="190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5355" cy="19050"/>
                    </a:xfrm>
                    <a:prstGeom prst="rect">
                      <a:avLst/>
                    </a:prstGeom>
                    <a:noFill/>
                  </pic:spPr>
                </pic:pic>
              </a:graphicData>
            </a:graphic>
          </wp:anchor>
        </w:drawing>
      </w:r>
    </w:p>
    <w:p>
      <w:pPr>
        <w:sectPr>
          <w:pgSz w:w="11900" w:h="16838" w:orient="portrait"/>
          <w:cols w:equalWidth="0" w:num="1">
            <w:col w:w="11440"/>
          </w:cols>
          <w:pgMar w:left="220" w:top="335" w:right="239" w:bottom="1440" w:gutter="0" w:footer="0" w:header="0"/>
        </w:sectPr>
      </w:pPr>
    </w:p>
    <w:bookmarkStart w:id="21" w:name="page22"/>
    <w:bookmarkEnd w:id="21"/>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22" w:name="page23"/>
    <w:bookmarkEnd w:id="22"/>
    <w:p>
      <w:pPr>
        <w:ind w:left="9380"/>
        <w:spacing w:after="0"/>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138430</wp:posOffset>
            </wp:positionH>
            <wp:positionV relativeFrom="page">
              <wp:posOffset>88900</wp:posOffset>
            </wp:positionV>
            <wp:extent cx="7298690" cy="292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98690" cy="29210"/>
                    </a:xfrm>
                    <a:prstGeom prst="rect">
                      <a:avLst/>
                    </a:prstGeom>
                    <a:noFill/>
                  </pic:spPr>
                </pic:pic>
              </a:graphicData>
            </a:graphic>
          </wp:anchor>
        </w:drawing>
        <w:t>Exhibit 5.1</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[Letterhead of Baker, Donelson, Bearman, Caldwell &amp; Berkowitz, PC]</w:t>
      </w: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December 16, 2005</w:t>
      </w:r>
    </w:p>
    <w:p>
      <w:pPr>
        <w:spacing w:after="0" w:line="210" w:lineRule="exact"/>
        <w:rPr>
          <w:sz w:val="20"/>
          <w:szCs w:val="20"/>
          <w:color w:val="auto"/>
        </w:rPr>
      </w:pPr>
    </w:p>
    <w:p>
      <w:pPr>
        <w:spacing w:after="0"/>
        <w:rPr>
          <w:sz w:val="20"/>
          <w:szCs w:val="20"/>
          <w:color w:val="auto"/>
        </w:rPr>
      </w:pPr>
      <w:r>
        <w:rPr>
          <w:rFonts w:ascii="Arial" w:cs="Arial" w:eastAsia="Arial" w:hAnsi="Arial"/>
          <w:sz w:val="14"/>
          <w:szCs w:val="14"/>
          <w:color w:val="auto"/>
        </w:rPr>
        <w:t>NN, Inc.</w:t>
      </w:r>
    </w:p>
    <w:p>
      <w:pPr>
        <w:spacing w:after="0" w:line="13" w:lineRule="exact"/>
        <w:rPr>
          <w:sz w:val="20"/>
          <w:szCs w:val="20"/>
          <w:color w:val="auto"/>
        </w:rPr>
      </w:pPr>
    </w:p>
    <w:p>
      <w:pPr>
        <w:spacing w:after="0"/>
        <w:rPr>
          <w:sz w:val="20"/>
          <w:szCs w:val="20"/>
          <w:color w:val="auto"/>
        </w:rPr>
      </w:pPr>
      <w:r>
        <w:rPr>
          <w:rFonts w:ascii="Arial" w:cs="Arial" w:eastAsia="Arial" w:hAnsi="Arial"/>
          <w:sz w:val="14"/>
          <w:szCs w:val="14"/>
          <w:color w:val="auto"/>
        </w:rPr>
        <w:t>2000 Waters Edge Drive</w:t>
      </w:r>
    </w:p>
    <w:p>
      <w:pPr>
        <w:spacing w:after="0" w:line="4" w:lineRule="exact"/>
        <w:rPr>
          <w:sz w:val="20"/>
          <w:szCs w:val="20"/>
          <w:color w:val="auto"/>
        </w:rPr>
      </w:pPr>
    </w:p>
    <w:p>
      <w:pPr>
        <w:spacing w:after="0"/>
        <w:rPr>
          <w:sz w:val="20"/>
          <w:szCs w:val="20"/>
          <w:color w:val="auto"/>
        </w:rPr>
      </w:pPr>
      <w:r>
        <w:rPr>
          <w:rFonts w:ascii="Arial" w:cs="Arial" w:eastAsia="Arial" w:hAnsi="Arial"/>
          <w:sz w:val="14"/>
          <w:szCs w:val="14"/>
          <w:color w:val="auto"/>
        </w:rPr>
        <w:t>Building C, Suite 12</w:t>
      </w:r>
    </w:p>
    <w:p>
      <w:pPr>
        <w:spacing w:after="0" w:line="4" w:lineRule="exact"/>
        <w:rPr>
          <w:sz w:val="20"/>
          <w:szCs w:val="20"/>
          <w:color w:val="auto"/>
        </w:rPr>
      </w:pPr>
    </w:p>
    <w:p>
      <w:pPr>
        <w:spacing w:after="0"/>
        <w:rPr>
          <w:sz w:val="20"/>
          <w:szCs w:val="20"/>
          <w:color w:val="auto"/>
        </w:rPr>
      </w:pPr>
      <w:r>
        <w:rPr>
          <w:rFonts w:ascii="Arial" w:cs="Arial" w:eastAsia="Arial" w:hAnsi="Arial"/>
          <w:sz w:val="14"/>
          <w:szCs w:val="14"/>
          <w:color w:val="auto"/>
        </w:rPr>
        <w:t>Johnson City, Tennessee 37604</w:t>
      </w:r>
    </w:p>
    <w:p>
      <w:pPr>
        <w:spacing w:after="0" w:line="200" w:lineRule="exact"/>
        <w:rPr>
          <w:sz w:val="20"/>
          <w:szCs w:val="20"/>
          <w:color w:val="auto"/>
        </w:rPr>
      </w:pPr>
    </w:p>
    <w:p>
      <w:pPr>
        <w:ind w:left="520"/>
        <w:spacing w:after="0"/>
        <w:tabs>
          <w:tab w:leader="none" w:pos="820" w:val="left"/>
        </w:tabs>
        <w:rPr>
          <w:sz w:val="20"/>
          <w:szCs w:val="20"/>
          <w:color w:val="auto"/>
        </w:rPr>
      </w:pPr>
      <w:r>
        <w:rPr>
          <w:rFonts w:ascii="Arial" w:cs="Arial" w:eastAsia="Arial" w:hAnsi="Arial"/>
          <w:sz w:val="14"/>
          <w:szCs w:val="14"/>
          <w:color w:val="auto"/>
        </w:rPr>
        <w:t>Re:</w:t>
      </w:r>
      <w:r>
        <w:rPr>
          <w:sz w:val="20"/>
          <w:szCs w:val="20"/>
          <w:color w:val="auto"/>
        </w:rPr>
        <w:tab/>
      </w:r>
      <w:r>
        <w:rPr>
          <w:rFonts w:ascii="Arial" w:cs="Arial" w:eastAsia="Arial" w:hAnsi="Arial"/>
          <w:sz w:val="11"/>
          <w:szCs w:val="11"/>
          <w:color w:val="auto"/>
        </w:rPr>
        <w:t>Registration Statement on Form S-8</w:t>
      </w:r>
    </w:p>
    <w:p>
      <w:pPr>
        <w:spacing w:after="0" w:line="210" w:lineRule="exact"/>
        <w:rPr>
          <w:sz w:val="20"/>
          <w:szCs w:val="20"/>
          <w:color w:val="auto"/>
        </w:rPr>
      </w:pPr>
    </w:p>
    <w:p>
      <w:pPr>
        <w:spacing w:after="0"/>
        <w:rPr>
          <w:sz w:val="20"/>
          <w:szCs w:val="20"/>
          <w:color w:val="auto"/>
        </w:rPr>
      </w:pPr>
      <w:r>
        <w:rPr>
          <w:rFonts w:ascii="Arial" w:cs="Arial" w:eastAsia="Arial" w:hAnsi="Arial"/>
          <w:sz w:val="14"/>
          <w:szCs w:val="14"/>
          <w:color w:val="auto"/>
        </w:rPr>
        <w:t>Ladies and Gentlemen:</w:t>
      </w:r>
    </w:p>
    <w:p>
      <w:pPr>
        <w:spacing w:after="0" w:line="210" w:lineRule="exact"/>
        <w:rPr>
          <w:sz w:val="20"/>
          <w:szCs w:val="20"/>
          <w:color w:val="auto"/>
        </w:rPr>
      </w:pPr>
    </w:p>
    <w:p>
      <w:pPr>
        <w:ind w:firstLine="494"/>
        <w:spacing w:after="0" w:line="284" w:lineRule="auto"/>
        <w:rPr>
          <w:sz w:val="20"/>
          <w:szCs w:val="20"/>
          <w:color w:val="auto"/>
        </w:rPr>
      </w:pPr>
      <w:r>
        <w:rPr>
          <w:rFonts w:ascii="Arial" w:cs="Arial" w:eastAsia="Arial" w:hAnsi="Arial"/>
          <w:sz w:val="13"/>
          <w:szCs w:val="13"/>
          <w:color w:val="auto"/>
        </w:rPr>
        <w:t>We have acted as counsel for NN, Inc., a Delaware corporation (the "Company"), in connection with the Registration Statement on Form S-8 (the "Registration Statement") filed by the Company with the Securities and Exchange Commission under the Securities Act of 1933, as amended, with respect to one million three hundred thousand (1,300,000) shares of the Company's common stock, par value $1.00 per share (the "Shares"), issuable under the terms of the Company's 2005 Stock Incentive Plan as referenced in the Registration Statement (the "Plan").</w:t>
      </w:r>
    </w:p>
    <w:p>
      <w:pPr>
        <w:spacing w:after="0" w:line="170" w:lineRule="exact"/>
        <w:rPr>
          <w:sz w:val="20"/>
          <w:szCs w:val="20"/>
          <w:color w:val="auto"/>
        </w:rPr>
      </w:pPr>
    </w:p>
    <w:p>
      <w:pPr>
        <w:ind w:right="20" w:firstLine="494"/>
        <w:spacing w:after="0" w:line="265" w:lineRule="auto"/>
        <w:rPr>
          <w:sz w:val="20"/>
          <w:szCs w:val="20"/>
          <w:color w:val="auto"/>
        </w:rPr>
      </w:pPr>
      <w:r>
        <w:rPr>
          <w:rFonts w:ascii="Arial" w:cs="Arial" w:eastAsia="Arial" w:hAnsi="Arial"/>
          <w:sz w:val="14"/>
          <w:szCs w:val="14"/>
          <w:color w:val="auto"/>
        </w:rPr>
        <w:t>In connection therewith, we have relied upon, among other things, our examination of the Certificate of Incorporation and bylaws of the Company and such other documents, records of the Company, and certificates of its officers and public officials, as we have deemed necessary for purposes of the opinion expressed below.</w:t>
      </w:r>
    </w:p>
    <w:p>
      <w:pPr>
        <w:spacing w:after="0" w:line="180" w:lineRule="exact"/>
        <w:rPr>
          <w:sz w:val="20"/>
          <w:szCs w:val="20"/>
          <w:color w:val="auto"/>
        </w:rPr>
      </w:pPr>
    </w:p>
    <w:p>
      <w:pPr>
        <w:ind w:left="500"/>
        <w:spacing w:after="0"/>
        <w:rPr>
          <w:sz w:val="20"/>
          <w:szCs w:val="20"/>
          <w:color w:val="auto"/>
        </w:rPr>
      </w:pPr>
      <w:r>
        <w:rPr>
          <w:rFonts w:ascii="Arial" w:cs="Arial" w:eastAsia="Arial" w:hAnsi="Arial"/>
          <w:sz w:val="14"/>
          <w:szCs w:val="14"/>
          <w:color w:val="auto"/>
        </w:rPr>
        <w:t>Based upon the foregoing, and having regard for such legal considerations as we have deemed relevant, we are of the opinion that:</w:t>
      </w:r>
    </w:p>
    <w:p>
      <w:pPr>
        <w:spacing w:after="0" w:line="210" w:lineRule="exact"/>
        <w:rPr>
          <w:sz w:val="20"/>
          <w:szCs w:val="20"/>
          <w:color w:val="auto"/>
        </w:rPr>
      </w:pPr>
    </w:p>
    <w:p>
      <w:pPr>
        <w:ind w:left="1760" w:hanging="882"/>
        <w:spacing w:after="0"/>
        <w:tabs>
          <w:tab w:leader="none" w:pos="1760" w:val="left"/>
        </w:tabs>
        <w:numPr>
          <w:ilvl w:val="0"/>
          <w:numId w:val="13"/>
        </w:numPr>
        <w:rPr>
          <w:rFonts w:ascii="Arial" w:cs="Arial" w:eastAsia="Arial" w:hAnsi="Arial"/>
          <w:sz w:val="14"/>
          <w:szCs w:val="14"/>
          <w:color w:val="auto"/>
        </w:rPr>
      </w:pPr>
      <w:r>
        <w:rPr>
          <w:rFonts w:ascii="Arial" w:cs="Arial" w:eastAsia="Arial" w:hAnsi="Arial"/>
          <w:sz w:val="14"/>
          <w:szCs w:val="14"/>
          <w:color w:val="auto"/>
        </w:rPr>
        <w:t>The Company is duly incorporated, validly existing and in good standing under the laws of the State of Delaware; and</w:t>
      </w:r>
    </w:p>
    <w:p>
      <w:pPr>
        <w:spacing w:after="0" w:line="250" w:lineRule="exact"/>
        <w:rPr>
          <w:rFonts w:ascii="Arial" w:cs="Arial" w:eastAsia="Arial" w:hAnsi="Arial"/>
          <w:sz w:val="14"/>
          <w:szCs w:val="14"/>
          <w:color w:val="auto"/>
        </w:rPr>
      </w:pPr>
    </w:p>
    <w:p>
      <w:pPr>
        <w:ind w:left="1760" w:right="140" w:hanging="882"/>
        <w:spacing w:after="0" w:line="265" w:lineRule="auto"/>
        <w:tabs>
          <w:tab w:leader="none" w:pos="1760" w:val="left"/>
        </w:tabs>
        <w:numPr>
          <w:ilvl w:val="0"/>
          <w:numId w:val="13"/>
        </w:numPr>
        <w:rPr>
          <w:rFonts w:ascii="Arial" w:cs="Arial" w:eastAsia="Arial" w:hAnsi="Arial"/>
          <w:sz w:val="14"/>
          <w:szCs w:val="14"/>
          <w:color w:val="auto"/>
        </w:rPr>
      </w:pPr>
      <w:r>
        <w:rPr>
          <w:rFonts w:ascii="Arial" w:cs="Arial" w:eastAsia="Arial" w:hAnsi="Arial"/>
          <w:sz w:val="14"/>
          <w:szCs w:val="14"/>
          <w:color w:val="auto"/>
        </w:rPr>
        <w:t>The Shares covered by the Registration Statement have been duly authorized for issuance and, when issued pursuant to the terms of the Plan, will be legally issued, fully paid and nonassessable.</w:t>
      </w:r>
    </w:p>
    <w:p>
      <w:pPr>
        <w:spacing w:after="0" w:line="180" w:lineRule="exact"/>
        <w:rPr>
          <w:sz w:val="20"/>
          <w:szCs w:val="20"/>
          <w:color w:val="auto"/>
        </w:rPr>
      </w:pPr>
    </w:p>
    <w:p>
      <w:pPr>
        <w:ind w:right="100" w:firstLine="494"/>
        <w:spacing w:after="0" w:line="265" w:lineRule="auto"/>
        <w:rPr>
          <w:sz w:val="20"/>
          <w:szCs w:val="20"/>
          <w:color w:val="auto"/>
        </w:rPr>
      </w:pPr>
      <w:r>
        <w:rPr>
          <w:rFonts w:ascii="Arial" w:cs="Arial" w:eastAsia="Arial" w:hAnsi="Arial"/>
          <w:sz w:val="14"/>
          <w:szCs w:val="14"/>
          <w:color w:val="auto"/>
        </w:rPr>
        <w:t>This opinion is furnished to you solely for your benefit in connection with the filing of the Registration Statement and is not to be used, quoted or otherwise referred to for any other purpose without our prior written consent. We hereby consent to the filing of this opinion as Exhibit 5.1 to, and to the use of our name in, the Registration Statement.</w:t>
      </w:r>
    </w:p>
    <w:p>
      <w:pPr>
        <w:spacing w:after="0" w:line="180" w:lineRule="exact"/>
        <w:rPr>
          <w:sz w:val="20"/>
          <w:szCs w:val="20"/>
          <w:color w:val="auto"/>
        </w:rPr>
      </w:pPr>
    </w:p>
    <w:p>
      <w:pPr>
        <w:ind w:left="2480"/>
        <w:spacing w:after="0"/>
        <w:rPr>
          <w:sz w:val="20"/>
          <w:szCs w:val="20"/>
          <w:color w:val="auto"/>
        </w:rPr>
      </w:pPr>
      <w:r>
        <w:rPr>
          <w:rFonts w:ascii="Arial" w:cs="Arial" w:eastAsia="Arial" w:hAnsi="Arial"/>
          <w:sz w:val="14"/>
          <w:szCs w:val="14"/>
          <w:color w:val="auto"/>
        </w:rPr>
        <w:t>Very truly yours,</w:t>
      </w:r>
    </w:p>
    <w:p>
      <w:pPr>
        <w:spacing w:after="0" w:line="210" w:lineRule="exact"/>
        <w:rPr>
          <w:sz w:val="20"/>
          <w:szCs w:val="20"/>
          <w:color w:val="auto"/>
        </w:rPr>
      </w:pPr>
    </w:p>
    <w:p>
      <w:pPr>
        <w:ind w:left="2480"/>
        <w:spacing w:after="0"/>
        <w:rPr>
          <w:sz w:val="20"/>
          <w:szCs w:val="20"/>
          <w:color w:val="auto"/>
        </w:rPr>
      </w:pPr>
      <w:r>
        <w:rPr>
          <w:rFonts w:ascii="Arial" w:cs="Arial" w:eastAsia="Arial" w:hAnsi="Arial"/>
          <w:sz w:val="14"/>
          <w:szCs w:val="14"/>
          <w:color w:val="auto"/>
        </w:rPr>
        <w:t>BAKER, DONELSON, BEARMAN, CALDWELL &amp; BERKOWITZ, PC</w:t>
      </w:r>
    </w:p>
    <w:p>
      <w:pPr>
        <w:spacing w:after="0" w:line="210" w:lineRule="exact"/>
        <w:rPr>
          <w:sz w:val="20"/>
          <w:szCs w:val="20"/>
          <w:color w:val="auto"/>
        </w:rPr>
      </w:pPr>
    </w:p>
    <w:p>
      <w:pPr>
        <w:ind w:left="2480"/>
        <w:spacing w:after="0"/>
        <w:rPr>
          <w:sz w:val="20"/>
          <w:szCs w:val="20"/>
          <w:color w:val="auto"/>
        </w:rPr>
      </w:pPr>
      <w:r>
        <w:rPr>
          <w:rFonts w:ascii="Arial" w:cs="Arial" w:eastAsia="Arial" w:hAnsi="Arial"/>
          <w:sz w:val="14"/>
          <w:szCs w:val="14"/>
          <w:color w:val="auto"/>
        </w:rPr>
        <w:t xml:space="preserve">By: </w:t>
      </w:r>
      <w:r>
        <w:rPr>
          <w:rFonts w:ascii="Arial" w:cs="Arial" w:eastAsia="Arial" w:hAnsi="Arial"/>
          <w:sz w:val="14"/>
          <w:szCs w:val="14"/>
          <w:u w:val="single" w:color="auto"/>
          <w:color w:val="auto"/>
        </w:rPr>
        <w:t>/s/ Linda M. Crouch-McCreadie</w:t>
      </w:r>
    </w:p>
    <w:p>
      <w:pPr>
        <w:spacing w:after="0" w:line="13" w:lineRule="exact"/>
        <w:rPr>
          <w:sz w:val="20"/>
          <w:szCs w:val="20"/>
          <w:color w:val="auto"/>
        </w:rPr>
      </w:pPr>
    </w:p>
    <w:p>
      <w:pPr>
        <w:ind w:left="2480"/>
        <w:spacing w:after="0"/>
        <w:rPr>
          <w:sz w:val="20"/>
          <w:szCs w:val="20"/>
          <w:color w:val="auto"/>
        </w:rPr>
      </w:pPr>
      <w:r>
        <w:rPr>
          <w:rFonts w:ascii="Arial" w:cs="Arial" w:eastAsia="Arial" w:hAnsi="Arial"/>
          <w:sz w:val="14"/>
          <w:szCs w:val="14"/>
          <w:color w:val="auto"/>
        </w:rPr>
        <w:t>Linda M. Crouch-McCreadie</w:t>
      </w:r>
    </w:p>
    <w:p>
      <w:pPr>
        <w:sectPr>
          <w:pgSz w:w="11900" w:h="16838" w:orient="portrait"/>
          <w:cols w:equalWidth="0" w:num="1">
            <w:col w:w="11440"/>
          </w:cols>
          <w:pgMar w:left="220" w:top="434" w:right="239" w:bottom="1440" w:gutter="0" w:footer="0" w:header="0"/>
        </w:sectPr>
      </w:pPr>
    </w:p>
    <w:bookmarkStart w:id="23" w:name="page24"/>
    <w:bookmarkEnd w:id="23"/>
    <w:p>
      <w:pPr>
        <w:ind w:left="858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138430</wp:posOffset>
            </wp:positionH>
            <wp:positionV relativeFrom="page">
              <wp:posOffset>255905</wp:posOffset>
            </wp:positionV>
            <wp:extent cx="7298690" cy="3238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98690" cy="32385"/>
                    </a:xfrm>
                    <a:prstGeom prst="rect">
                      <a:avLst/>
                    </a:prstGeom>
                    <a:noFill/>
                  </pic:spPr>
                </pic:pic>
              </a:graphicData>
            </a:graphic>
          </wp:anchor>
        </w:drawing>
        <w:t>EXHIBIT 23.1</w:t>
      </w:r>
    </w:p>
    <w:p>
      <w:pPr>
        <w:spacing w:after="0" w:line="200" w:lineRule="exact"/>
        <w:rPr>
          <w:sz w:val="20"/>
          <w:szCs w:val="20"/>
          <w:color w:val="auto"/>
        </w:rPr>
      </w:pPr>
    </w:p>
    <w:p>
      <w:pPr>
        <w:spacing w:after="0" w:line="388" w:lineRule="exact"/>
        <w:rPr>
          <w:sz w:val="20"/>
          <w:szCs w:val="20"/>
          <w:color w:val="auto"/>
        </w:rPr>
      </w:pPr>
    </w:p>
    <w:p>
      <w:pPr>
        <w:jc w:val="center"/>
        <w:ind w:right="40"/>
        <w:spacing w:after="0"/>
        <w:rPr>
          <w:sz w:val="20"/>
          <w:szCs w:val="20"/>
          <w:color w:val="auto"/>
        </w:rPr>
      </w:pPr>
      <w:r>
        <w:rPr>
          <w:rFonts w:ascii="Arial" w:cs="Arial" w:eastAsia="Arial" w:hAnsi="Arial"/>
          <w:sz w:val="14"/>
          <w:szCs w:val="14"/>
          <w:u w:val="single" w:color="auto"/>
          <w:color w:val="auto"/>
        </w:rPr>
        <w:t>CONSENT OF INDEPENDENT REGISTERED PUBLIC ACCOUNTING FIRM</w:t>
      </w:r>
    </w:p>
    <w:p>
      <w:pPr>
        <w:spacing w:after="0" w:line="210" w:lineRule="exact"/>
        <w:rPr>
          <w:sz w:val="20"/>
          <w:szCs w:val="20"/>
          <w:color w:val="auto"/>
        </w:rPr>
      </w:pPr>
    </w:p>
    <w:p>
      <w:pPr>
        <w:jc w:val="both"/>
        <w:spacing w:after="0" w:line="255" w:lineRule="auto"/>
        <w:rPr>
          <w:sz w:val="20"/>
          <w:szCs w:val="20"/>
          <w:color w:val="auto"/>
        </w:rPr>
      </w:pPr>
      <w:r>
        <w:rPr>
          <w:rFonts w:ascii="Arial" w:cs="Arial" w:eastAsia="Arial" w:hAnsi="Arial"/>
          <w:sz w:val="14"/>
          <w:szCs w:val="14"/>
          <w:color w:val="auto"/>
        </w:rPr>
        <w:t>We hereby consent to the incorporation by reference in this Registration Statement on Form S-8 of our report dated March 15, 2005 relating to the financial statements, management’s assessment of the effectiveness of internal control over financial reporting and the effectiveness of internal control over financial reporting, of NN, Inc., which appears in NN, Inc.'s Annual Report on Form 10-K for the year ended December 31, 2004.</w:t>
      </w:r>
    </w:p>
    <w:p>
      <w:pPr>
        <w:spacing w:after="0" w:line="393" w:lineRule="exact"/>
        <w:rPr>
          <w:sz w:val="20"/>
          <w:szCs w:val="20"/>
          <w:color w:val="auto"/>
        </w:rPr>
      </w:pPr>
    </w:p>
    <w:p>
      <w:pPr>
        <w:spacing w:after="0"/>
        <w:rPr>
          <w:sz w:val="20"/>
          <w:szCs w:val="20"/>
          <w:color w:val="auto"/>
        </w:rPr>
      </w:pPr>
      <w:r>
        <w:rPr>
          <w:rFonts w:ascii="Arial" w:cs="Arial" w:eastAsia="Arial" w:hAnsi="Arial"/>
          <w:sz w:val="14"/>
          <w:szCs w:val="14"/>
          <w:color w:val="auto"/>
        </w:rPr>
        <w:t>/s/PricewaterhouseCoopers LLP</w:t>
      </w:r>
    </w:p>
    <w:p>
      <w:pPr>
        <w:spacing w:after="0" w:line="13"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w:t>
      </w:r>
    </w:p>
    <w:p>
      <w:pPr>
        <w:spacing w:after="0" w:line="4" w:lineRule="exact"/>
        <w:rPr>
          <w:sz w:val="20"/>
          <w:szCs w:val="20"/>
          <w:color w:val="auto"/>
        </w:rPr>
      </w:pPr>
    </w:p>
    <w:p>
      <w:pPr>
        <w:spacing w:after="0"/>
        <w:rPr>
          <w:sz w:val="20"/>
          <w:szCs w:val="20"/>
          <w:color w:val="auto"/>
        </w:rPr>
      </w:pPr>
      <w:r>
        <w:rPr>
          <w:rFonts w:ascii="Arial" w:cs="Arial" w:eastAsia="Arial" w:hAnsi="Arial"/>
          <w:sz w:val="14"/>
          <w:szCs w:val="14"/>
          <w:color w:val="auto"/>
        </w:rPr>
        <w:t>PricewaterhouseCoopers LLP</w:t>
      </w:r>
    </w:p>
    <w:p>
      <w:pPr>
        <w:spacing w:after="0" w:line="4" w:lineRule="exact"/>
        <w:rPr>
          <w:sz w:val="20"/>
          <w:szCs w:val="20"/>
          <w:color w:val="auto"/>
        </w:rPr>
      </w:pPr>
    </w:p>
    <w:p>
      <w:pPr>
        <w:spacing w:after="0"/>
        <w:rPr>
          <w:sz w:val="20"/>
          <w:szCs w:val="20"/>
          <w:color w:val="auto"/>
        </w:rPr>
      </w:pPr>
      <w:r>
        <w:rPr>
          <w:rFonts w:ascii="Arial" w:cs="Arial" w:eastAsia="Arial" w:hAnsi="Arial"/>
          <w:sz w:val="14"/>
          <w:szCs w:val="14"/>
          <w:color w:val="auto"/>
        </w:rPr>
        <w:t>Charlotte, North Carolina</w:t>
      </w:r>
    </w:p>
    <w:p>
      <w:pPr>
        <w:spacing w:after="0" w:line="4" w:lineRule="exact"/>
        <w:rPr>
          <w:sz w:val="20"/>
          <w:szCs w:val="20"/>
          <w:color w:val="auto"/>
        </w:rPr>
      </w:pPr>
    </w:p>
    <w:p>
      <w:pPr>
        <w:spacing w:after="0"/>
        <w:rPr>
          <w:sz w:val="20"/>
          <w:szCs w:val="20"/>
          <w:color w:val="auto"/>
        </w:rPr>
      </w:pPr>
      <w:r>
        <w:rPr>
          <w:rFonts w:ascii="Arial" w:cs="Arial" w:eastAsia="Arial" w:hAnsi="Arial"/>
          <w:sz w:val="14"/>
          <w:szCs w:val="14"/>
          <w:color w:val="auto"/>
        </w:rPr>
        <w:t>December 16, 2005</w:t>
      </w:r>
    </w:p>
    <w:sectPr>
      <w:pgSz w:w="11900" w:h="16838" w:orient="portrait"/>
      <w:cols w:equalWidth="0" w:num="1">
        <w:col w:w="11020"/>
      </w:cols>
      <w:pgMar w:left="460" w:top="510" w:right="4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1B71EFB"/>
    <w:multiLevelType w:val="hybridMultilevel"/>
    <w:lvl w:ilvl="0">
      <w:lvlJc w:val="left"/>
      <w:lvlText w:val="(%1)"/>
      <w:numFmt w:val="decimal"/>
      <w:start w:val="1"/>
    </w:lvl>
  </w:abstractNum>
  <w:abstractNum w:abstractNumId="1">
    <w:nsid w:val="79E2A9E3"/>
    <w:multiLevelType w:val="hybridMultilevel"/>
    <w:lvl w:ilvl="0">
      <w:lvlJc w:val="left"/>
      <w:lvlText w:val="%1."/>
      <w:numFmt w:val="decimal"/>
      <w:start w:val="1"/>
    </w:lvl>
  </w:abstractNum>
  <w:abstractNum w:abstractNumId="2">
    <w:nsid w:val="7545E146"/>
    <w:multiLevelType w:val="hybridMultilevel"/>
    <w:lvl w:ilvl="0">
      <w:lvlJc w:val="left"/>
      <w:lvlText w:val="(%1)"/>
      <w:numFmt w:val="lowerLetter"/>
      <w:start w:val="1"/>
    </w:lvl>
    <w:lvl w:ilvl="1">
      <w:lvlJc w:val="left"/>
      <w:lvlText w:val="(%2)"/>
      <w:numFmt w:val="lowerLetter"/>
      <w:start w:val="1"/>
    </w:lvl>
    <w:lvl w:ilvl="2">
      <w:lvlJc w:val="left"/>
      <w:lvlText w:val="(%3)"/>
      <w:numFmt w:val="decimal"/>
      <w:start w:val="1"/>
    </w:lvl>
    <w:lvl w:ilvl="3">
      <w:lvlJc w:val="left"/>
      <w:lvlText w:val="(%4)"/>
      <w:numFmt w:val="lowerRoman"/>
      <w:start w:val="1"/>
    </w:lvl>
  </w:abstractNum>
  <w:abstractNum w:abstractNumId="3">
    <w:nsid w:val="515F007C"/>
    <w:multiLevelType w:val="hybridMultilevel"/>
    <w:lvl w:ilvl="0">
      <w:lvlJc w:val="left"/>
      <w:lvlText w:val="(%1)"/>
      <w:numFmt w:val="lowerLetter"/>
      <w:start w:val="3"/>
    </w:lvl>
  </w:abstractNum>
  <w:abstractNum w:abstractNumId="4">
    <w:nsid w:val="5BD062C2"/>
    <w:multiLevelType w:val="hybridMultilevel"/>
    <w:lvl w:ilvl="0">
      <w:lvlJc w:val="left"/>
      <w:lvlText w:val="%1"/>
      <w:numFmt w:val="lowerLetter"/>
      <w:start w:val="1"/>
    </w:lvl>
    <w:lvl w:ilvl="1">
      <w:lvlJc w:val="left"/>
      <w:lvlText w:val="(%2)"/>
      <w:numFmt w:val="lowerLetter"/>
      <w:start w:val="1"/>
    </w:lvl>
  </w:abstractNum>
  <w:abstractNum w:abstractNumId="5">
    <w:nsid w:val="12200854"/>
    <w:multiLevelType w:val="hybridMultilevel"/>
    <w:lvl w:ilvl="0">
      <w:lvlJc w:val="left"/>
      <w:lvlText w:val="(%1)"/>
      <w:numFmt w:val="lowerLetter"/>
      <w:start w:val="2"/>
    </w:lvl>
    <w:lvl w:ilvl="1">
      <w:lvlJc w:val="left"/>
      <w:lvlText w:val="%2"/>
      <w:numFmt w:val="lowerLetter"/>
      <w:start w:val="1"/>
    </w:lvl>
  </w:abstractNum>
  <w:abstractNum w:abstractNumId="6">
    <w:nsid w:val="4DB127F8"/>
    <w:multiLevelType w:val="hybridMultilevel"/>
    <w:lvl w:ilvl="0">
      <w:lvlJc w:val="left"/>
      <w:lvlText w:val="(%1)"/>
      <w:numFmt w:val="lowerLetter"/>
      <w:start w:val="1"/>
    </w:lvl>
  </w:abstractNum>
  <w:abstractNum w:abstractNumId="7">
    <w:nsid w:val="216231B"/>
    <w:multiLevelType w:val="hybridMultilevel"/>
    <w:lvl w:ilvl="0">
      <w:lvlJc w:val="left"/>
      <w:lvlText w:val="(%1)"/>
      <w:numFmt w:val="lowerLetter"/>
      <w:start w:val="1"/>
    </w:lvl>
  </w:abstractNum>
  <w:abstractNum w:abstractNumId="8">
    <w:nsid w:val="1F16E9E8"/>
    <w:multiLevelType w:val="hybridMultilevel"/>
    <w:lvl w:ilvl="0">
      <w:lvlJc w:val="left"/>
      <w:lvlText w:val="(%1)"/>
      <w:numFmt w:val="lowerLetter"/>
      <w:start w:val="8"/>
    </w:lvl>
  </w:abstractNum>
  <w:abstractNum w:abstractNumId="9">
    <w:nsid w:val="1190CDE7"/>
    <w:multiLevelType w:val="hybridMultilevel"/>
    <w:lvl w:ilvl="0">
      <w:lvlJc w:val="left"/>
      <w:lvlText w:val="(%1)"/>
      <w:numFmt w:val="lowerRoman"/>
      <w:start w:val="3"/>
    </w:lvl>
  </w:abstractNum>
  <w:abstractNum w:abstractNumId="10">
    <w:nsid w:val="66EF438D"/>
    <w:multiLevelType w:val="hybridMultilevel"/>
    <w:lvl w:ilvl="0">
      <w:lvlJc w:val="left"/>
      <w:lvlText w:val="(%1)"/>
      <w:numFmt w:val="lowerLetter"/>
      <w:start w:val="1"/>
    </w:lvl>
  </w:abstractNum>
  <w:abstractNum w:abstractNumId="11">
    <w:nsid w:val="140E0F76"/>
    <w:multiLevelType w:val="hybridMultilevel"/>
    <w:lvl w:ilvl="0">
      <w:lvlJc w:val="left"/>
      <w:lvlText w:val="(%1)"/>
      <w:numFmt w:val="lowerLetter"/>
      <w:start w:val="2"/>
    </w:lvl>
  </w:abstractNum>
  <w:abstractNum w:abstractNumId="12">
    <w:nsid w:val="3352255A"/>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2019-12-14T03:09:22Z</dcterms:created>
  <dcterms:modified xsi:type="dcterms:W3CDTF">2019-12-14T03:09:22Z</dcterms:modified>
</cp:coreProperties>
</file>