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33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10-K</w:t>
      </w:r>
    </w:p>
    <w:p>
      <w:pPr>
        <w:spacing w:after="0" w:line="175" w:lineRule="exact"/>
        <w:rPr>
          <w:sz w:val="24"/>
          <w:szCs w:val="24"/>
          <w:color w:val="auto"/>
        </w:rPr>
      </w:pPr>
    </w:p>
    <w:p>
      <w:pPr>
        <w:ind w:left="710" w:right="4939" w:hanging="710"/>
        <w:spacing w:after="0" w:line="235" w:lineRule="auto"/>
        <w:tabs>
          <w:tab w:leader="none" w:pos="2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0"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For the fiscal year ended December 31, 2000</w:t>
      </w:r>
    </w:p>
    <w:p>
      <w:pPr>
        <w:jc w:val="center"/>
        <w:ind w:right="3170"/>
        <w:spacing w:after="0"/>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ind w:left="710" w:right="4579" w:hanging="710"/>
        <w:spacing w:after="0" w:line="235" w:lineRule="auto"/>
        <w:tabs>
          <w:tab w:leader="none" w:pos="2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For the transition period from to</w:t>
      </w:r>
    </w:p>
    <w:p>
      <w:pPr>
        <w:spacing w:after="0" w:line="169" w:lineRule="exact"/>
        <w:rPr>
          <w:sz w:val="24"/>
          <w:szCs w:val="24"/>
          <w:color w:val="auto"/>
        </w:rPr>
      </w:pPr>
    </w:p>
    <w:p>
      <w:pPr>
        <w:ind w:left="2210"/>
        <w:spacing w:after="0"/>
        <w:rPr>
          <w:sz w:val="20"/>
          <w:szCs w:val="20"/>
          <w:color w:val="auto"/>
        </w:rPr>
      </w:pPr>
      <w:r>
        <w:rPr>
          <w:rFonts w:ascii="Courier New" w:cs="Courier New" w:eastAsia="Courier New" w:hAnsi="Courier New"/>
          <w:sz w:val="15"/>
          <w:szCs w:val="15"/>
          <w:color w:val="auto"/>
        </w:rPr>
        <w:t>Commission file number 0-23486</w:t>
      </w:r>
    </w:p>
    <w:p>
      <w:pPr>
        <w:spacing w:after="0" w:line="200" w:lineRule="exact"/>
        <w:rPr>
          <w:sz w:val="24"/>
          <w:szCs w:val="24"/>
          <w:color w:val="auto"/>
        </w:rPr>
      </w:pPr>
    </w:p>
    <w:p>
      <w:pPr>
        <w:spacing w:after="0" w:line="30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NN, INC.</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63" w:orient="portrait"/>
          <w:cols w:equalWidth="0" w:num="1">
            <w:col w:w="10229"/>
          </w:cols>
          <w:pgMar w:left="230" w:top="226" w:right="1440" w:bottom="0" w:gutter="0" w:footer="0" w:header="0"/>
        </w:sectPr>
      </w:pPr>
    </w:p>
    <w:p>
      <w:pPr>
        <w:spacing w:after="0" w:line="175" w:lineRule="exact"/>
        <w:rPr>
          <w:sz w:val="24"/>
          <w:szCs w:val="24"/>
          <w:color w:val="auto"/>
        </w:rPr>
      </w:pPr>
    </w:p>
    <w:p>
      <w:pPr>
        <w:ind w:left="185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89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ind w:left="97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62-1096725</w:t>
      </w: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63" w:orient="portrait"/>
          <w:cols w:equalWidth="0" w:num="2">
            <w:col w:w="3770" w:space="720"/>
            <w:col w:w="5739"/>
          </w:cols>
          <w:pgMar w:left="230" w:top="226" w:right="1440" w:bottom="0" w:gutter="0" w:footer="0" w:header="0"/>
          <w:type w:val="continuous"/>
        </w:sectPr>
      </w:pPr>
    </w:p>
    <w:p>
      <w:pPr>
        <w:ind w:left="1590"/>
        <w:spacing w:after="0"/>
        <w:rPr>
          <w:sz w:val="20"/>
          <w:szCs w:val="20"/>
          <w:color w:val="auto"/>
        </w:rPr>
      </w:pPr>
      <w:r>
        <w:rPr>
          <w:rFonts w:ascii="Courier New" w:cs="Courier New" w:eastAsia="Courier New" w:hAnsi="Courier New"/>
          <w:sz w:val="15"/>
          <w:szCs w:val="15"/>
          <w:color w:val="auto"/>
        </w:rPr>
        <w:t>2000 Waters Edge Drive</w:t>
      </w:r>
    </w:p>
    <w:p>
      <w:pPr>
        <w:ind w:left="1590"/>
        <w:spacing w:after="0"/>
        <w:rPr>
          <w:sz w:val="20"/>
          <w:szCs w:val="20"/>
          <w:color w:val="auto"/>
        </w:rPr>
      </w:pPr>
      <w:r>
        <w:rPr>
          <w:rFonts w:ascii="Courier New" w:cs="Courier New" w:eastAsia="Courier New" w:hAnsi="Courier New"/>
          <w:sz w:val="15"/>
          <w:szCs w:val="15"/>
          <w:color w:val="auto"/>
        </w:rPr>
        <w:t>Johnson City, Tennessee</w:t>
      </w:r>
    </w:p>
    <w:p>
      <w:pPr>
        <w:spacing w:after="0" w:line="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37604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63" w:orient="portrait"/>
          <w:cols w:equalWidth="0" w:num="2">
            <w:col w:w="4390" w:space="720"/>
            <w:col w:w="5119"/>
          </w:cols>
          <w:pgMar w:left="230" w:top="226" w:right="1440" w:bottom="0" w:gutter="0" w:footer="0" w:header="0"/>
          <w:type w:val="continuous"/>
        </w:sectPr>
      </w:pPr>
    </w:p>
    <w:p>
      <w:pPr>
        <w:ind w:left="610"/>
        <w:spacing w:after="0"/>
        <w:rPr>
          <w:sz w:val="20"/>
          <w:szCs w:val="20"/>
          <w:color w:val="auto"/>
        </w:rPr>
      </w:pPr>
      <w:r>
        <w:rPr>
          <w:rFonts w:ascii="Courier New" w:cs="Courier New" w:eastAsia="Courier New" w:hAnsi="Courier New"/>
          <w:sz w:val="15"/>
          <w:szCs w:val="15"/>
          <w:color w:val="auto"/>
        </w:rPr>
        <w:t>Registrant's telephone number, including area code: (423) 743-9151</w:t>
      </w:r>
    </w:p>
    <w:p>
      <w:pPr>
        <w:spacing w:after="0" w:line="169"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9" w:lineRule="exact"/>
        <w:rPr>
          <w:sz w:val="24"/>
          <w:szCs w:val="24"/>
          <w:color w:val="auto"/>
        </w:rPr>
      </w:pPr>
    </w:p>
    <w:tbl>
      <w:tblPr>
        <w:tblLayout w:type="fixed"/>
        <w:tblInd w:w="1490" w:type="dxa"/>
        <w:tblCellMar>
          <w:top w:w="0" w:type="dxa"/>
          <w:left w:w="0" w:type="dxa"/>
          <w:bottom w:w="0" w:type="dxa"/>
          <w:right w:w="0" w:type="dxa"/>
        </w:tblCellMar>
      </w:tblPr>
      <w:tr>
        <w:trPr>
          <w:trHeight w:val="170"/>
        </w:trPr>
        <w:tc>
          <w:tcPr>
            <w:tcW w:w="1720" w:type="dxa"/>
            <w:vAlign w:val="bottom"/>
          </w:tcPr>
          <w:p>
            <w:pPr>
              <w:jc w:val="center"/>
              <w:ind w:right="747"/>
              <w:spacing w:after="0"/>
              <w:rPr>
                <w:sz w:val="20"/>
                <w:szCs w:val="20"/>
                <w:color w:val="auto"/>
              </w:rPr>
            </w:pPr>
            <w:r>
              <w:rPr>
                <w:rFonts w:ascii="Courier New" w:cs="Courier New" w:eastAsia="Courier New" w:hAnsi="Courier New"/>
                <w:sz w:val="15"/>
                <w:szCs w:val="15"/>
                <w:color w:val="auto"/>
                <w:w w:val="97"/>
              </w:rPr>
              <w:t>Title of</w:t>
            </w:r>
          </w:p>
        </w:tc>
        <w:tc>
          <w:tcPr>
            <w:tcW w:w="270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8"/>
              </w:rPr>
              <w:t>Name of each exchange</w:t>
            </w:r>
          </w:p>
        </w:tc>
      </w:tr>
      <w:tr>
        <w:trPr>
          <w:trHeight w:val="170"/>
        </w:trPr>
        <w:tc>
          <w:tcPr>
            <w:tcW w:w="1720" w:type="dxa"/>
            <w:vAlign w:val="bottom"/>
          </w:tcPr>
          <w:p>
            <w:pPr>
              <w:jc w:val="center"/>
              <w:ind w:right="747"/>
              <w:spacing w:after="0"/>
              <w:rPr>
                <w:sz w:val="20"/>
                <w:szCs w:val="20"/>
                <w:color w:val="auto"/>
              </w:rPr>
            </w:pPr>
            <w:r>
              <w:rPr>
                <w:rFonts w:ascii="Courier New" w:cs="Courier New" w:eastAsia="Courier New" w:hAnsi="Courier New"/>
                <w:sz w:val="15"/>
                <w:szCs w:val="15"/>
                <w:color w:val="auto"/>
                <w:w w:val="99"/>
              </w:rPr>
              <w:t>each class</w:t>
            </w:r>
          </w:p>
        </w:tc>
        <w:tc>
          <w:tcPr>
            <w:tcW w:w="270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7"/>
              </w:rPr>
              <w:t>on which registered</w:t>
            </w:r>
          </w:p>
        </w:tc>
      </w:tr>
      <w:tr>
        <w:trPr>
          <w:trHeight w:val="170"/>
        </w:trPr>
        <w:tc>
          <w:tcPr>
            <w:tcW w:w="1720" w:type="dxa"/>
            <w:vAlign w:val="bottom"/>
          </w:tcPr>
          <w:p>
            <w:pPr>
              <w:jc w:val="center"/>
              <w:ind w:right="747"/>
              <w:spacing w:after="0"/>
              <w:rPr>
                <w:sz w:val="20"/>
                <w:szCs w:val="20"/>
                <w:color w:val="auto"/>
              </w:rPr>
            </w:pPr>
            <w:r>
              <w:rPr>
                <w:rFonts w:ascii="Courier New" w:cs="Courier New" w:eastAsia="Courier New" w:hAnsi="Courier New"/>
                <w:sz w:val="15"/>
                <w:szCs w:val="15"/>
                <w:color w:val="auto"/>
                <w:w w:val="99"/>
              </w:rPr>
              <w:t>----------</w:t>
            </w:r>
          </w:p>
        </w:tc>
        <w:tc>
          <w:tcPr>
            <w:tcW w:w="270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1720" w:type="dxa"/>
            <w:vAlign w:val="bottom"/>
          </w:tcPr>
          <w:p>
            <w:pPr>
              <w:ind w:left="360"/>
              <w:spacing w:after="0"/>
              <w:rPr>
                <w:sz w:val="20"/>
                <w:szCs w:val="20"/>
                <w:color w:val="auto"/>
              </w:rPr>
            </w:pPr>
            <w:r>
              <w:rPr>
                <w:rFonts w:ascii="Courier New" w:cs="Courier New" w:eastAsia="Courier New" w:hAnsi="Courier New"/>
                <w:sz w:val="15"/>
                <w:szCs w:val="15"/>
                <w:color w:val="auto"/>
              </w:rPr>
              <w:t>None</w:t>
            </w:r>
          </w:p>
        </w:tc>
        <w:tc>
          <w:tcPr>
            <w:tcW w:w="2700" w:type="dxa"/>
            <w:vAlign w:val="bottom"/>
          </w:tcPr>
          <w:p>
            <w:pPr>
              <w:ind w:left="1640"/>
              <w:spacing w:after="0"/>
              <w:rPr>
                <w:sz w:val="20"/>
                <w:szCs w:val="20"/>
                <w:color w:val="auto"/>
              </w:rPr>
            </w:pPr>
            <w:r>
              <w:rPr>
                <w:rFonts w:ascii="Courier New" w:cs="Courier New" w:eastAsia="Courier New" w:hAnsi="Courier New"/>
                <w:sz w:val="15"/>
                <w:szCs w:val="15"/>
                <w:color w:val="auto"/>
              </w:rPr>
              <w:t>None</w:t>
            </w:r>
          </w:p>
        </w:tc>
      </w:tr>
    </w:tbl>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Common Stock, par value $.01</w:t>
      </w:r>
    </w:p>
    <w:p>
      <w:pPr>
        <w:jc w:val="center"/>
        <w:ind w:right="3170"/>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ind w:left="10" w:right="3259" w:firstLine="705"/>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173" w:lineRule="exact"/>
        <w:rPr>
          <w:sz w:val="24"/>
          <w:szCs w:val="24"/>
          <w:color w:val="auto"/>
        </w:rPr>
      </w:pPr>
    </w:p>
    <w:p>
      <w:pPr>
        <w:ind w:left="10"/>
        <w:spacing w:after="0"/>
        <w:tabs>
          <w:tab w:leader="none" w:pos="589" w:val="left"/>
          <w:tab w:leader="none" w:pos="1469" w:val="left"/>
          <w:tab w:leader="none" w:pos="2009"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4"/>
          <w:szCs w:val="14"/>
          <w:color w:val="auto"/>
        </w:rPr>
        <w:t>|_|</w:t>
      </w:r>
    </w:p>
    <w:p>
      <w:pPr>
        <w:spacing w:after="0" w:line="344" w:lineRule="exact"/>
        <w:rPr>
          <w:sz w:val="24"/>
          <w:szCs w:val="24"/>
          <w:color w:val="auto"/>
        </w:rPr>
      </w:pPr>
    </w:p>
    <w:p>
      <w:pPr>
        <w:ind w:left="10" w:right="3359" w:firstLine="705"/>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8" w:lineRule="exact"/>
        <w:rPr>
          <w:sz w:val="24"/>
          <w:szCs w:val="24"/>
          <w:color w:val="auto"/>
        </w:rPr>
      </w:pPr>
    </w:p>
    <w:p>
      <w:pPr>
        <w:ind w:left="10" w:right="3539" w:firstLine="705"/>
        <w:spacing w:after="0" w:line="235" w:lineRule="auto"/>
        <w:rPr>
          <w:sz w:val="20"/>
          <w:szCs w:val="20"/>
          <w:color w:val="auto"/>
        </w:rPr>
      </w:pPr>
      <w:r>
        <w:rPr>
          <w:rFonts w:ascii="Courier New" w:cs="Courier New" w:eastAsia="Courier New" w:hAnsi="Courier New"/>
          <w:sz w:val="15"/>
          <w:szCs w:val="15"/>
          <w:color w:val="auto"/>
        </w:rPr>
        <w:t>The number of shares of the registrant's common stock outstanding on March 23, 2001 was 15,246,909.</w:t>
      </w:r>
    </w:p>
    <w:p>
      <w:pPr>
        <w:spacing w:after="0" w:line="176" w:lineRule="exact"/>
        <w:rPr>
          <w:sz w:val="24"/>
          <w:szCs w:val="24"/>
          <w:color w:val="auto"/>
        </w:rPr>
      </w:pPr>
    </w:p>
    <w:p>
      <w:pPr>
        <w:ind w:left="10" w:right="3179" w:firstLine="705"/>
        <w:spacing w:after="0" w:line="237"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March 23, 2001, based on the closing price on the NASDAQ National Market System on that date was approximately $109,587,158.</w:t>
      </w:r>
    </w:p>
    <w:p>
      <w:pPr>
        <w:spacing w:after="0" w:line="169" w:lineRule="exact"/>
        <w:rPr>
          <w:sz w:val="24"/>
          <w:szCs w:val="24"/>
          <w:color w:val="auto"/>
        </w:rPr>
      </w:pPr>
    </w:p>
    <w:p>
      <w:pPr>
        <w:ind w:left="203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ind w:left="10" w:right="3259" w:firstLine="705"/>
        <w:spacing w:after="0" w:line="265" w:lineRule="auto"/>
        <w:rPr>
          <w:sz w:val="20"/>
          <w:szCs w:val="20"/>
          <w:color w:val="auto"/>
        </w:rPr>
      </w:pPr>
      <w:r>
        <w:rPr>
          <w:rFonts w:ascii="Courier New" w:cs="Courier New" w:eastAsia="Courier New" w:hAnsi="Courier New"/>
          <w:sz w:val="14"/>
          <w:szCs w:val="14"/>
          <w:color w:val="auto"/>
        </w:rPr>
        <w:t>Portions of the Proxy Statement with respect to the 2001 Annual Meeting of Stockholders are incorporated by reference in Part III of this Form 10-K.</w:t>
      </w:r>
    </w:p>
    <w:p>
      <w:pPr>
        <w:spacing w:after="0" w:line="153"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pacing w:after="0" w:line="316"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4"/>
          <w:szCs w:val="24"/>
          <w:color w:val="auto"/>
        </w:rPr>
      </w:pPr>
    </w:p>
    <w:p>
      <w:pPr>
        <w:ind w:left="10"/>
        <w:spacing w:after="0"/>
        <w:tabs>
          <w:tab w:leader="none" w:pos="68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4"/>
          <w:szCs w:val="24"/>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NN, Inc. (the "Company") is an independent manufacturer and supplier of high quality, precision steel balls and rollers to both domestic and international anti-friction bearing manufacturers. The Company supplies high quality, precision steel balls and rollers, both directly and indirectly through its sales to bearing manufacturers, to automotive original equipment manufacturers ("OEMs") and the automotive aftermarket, to the gas and mining industries, and to producers of water, gas and oil well drilling bits and stainless steel valves and pumps. Precision steel balls and rollers are critical moving parts of anti-friction bearings, which in turn, are integral components of machines with moving parts. The Company also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w:t>
      </w:r>
    </w:p>
    <w:p>
      <w:pPr>
        <w:spacing w:after="0" w:line="184" w:lineRule="exact"/>
        <w:rPr>
          <w:sz w:val="24"/>
          <w:szCs w:val="24"/>
          <w:color w:val="auto"/>
        </w:rPr>
      </w:pPr>
    </w:p>
    <w:p>
      <w:pPr>
        <w:ind w:left="10" w:right="3259" w:firstLine="705"/>
        <w:spacing w:after="0" w:line="265" w:lineRule="auto"/>
        <w:rPr>
          <w:sz w:val="20"/>
          <w:szCs w:val="20"/>
          <w:color w:val="auto"/>
        </w:rPr>
      </w:pPr>
      <w:r>
        <w:rPr>
          <w:rFonts w:ascii="Courier New" w:cs="Courier New" w:eastAsia="Courier New" w:hAnsi="Courier New"/>
          <w:sz w:val="14"/>
          <w:szCs w:val="14"/>
          <w:color w:val="auto"/>
        </w:rPr>
        <w:t>The Company was organized in October 1980 by a group of senior managers of the ball and roller division of Hoover Precision Products, Inc. (formerly</w:t>
      </w:r>
    </w:p>
    <w:p>
      <w:pPr>
        <w:sectPr>
          <w:pgSz w:w="11900" w:h="16863" w:orient="portrait"/>
          <w:cols w:equalWidth="0" w:num="1">
            <w:col w:w="10229"/>
          </w:cols>
          <w:pgMar w:left="230" w:top="226" w:right="1440" w:bottom="0" w:gutter="0" w:footer="0" w:header="0"/>
          <w:type w:val="continuous"/>
        </w:sectPr>
      </w:pPr>
    </w:p>
    <w:bookmarkStart w:id="1" w:name="page2"/>
    <w:bookmarkEnd w:id="1"/>
    <w:p>
      <w:pPr>
        <w:ind w:right="3179"/>
        <w:spacing w:after="0" w:line="238" w:lineRule="auto"/>
        <w:rPr>
          <w:sz w:val="20"/>
          <w:szCs w:val="20"/>
          <w:color w:val="auto"/>
        </w:rPr>
      </w:pPr>
      <w:r>
        <w:rPr>
          <w:rFonts w:ascii="Courier New" w:cs="Courier New" w:eastAsia="Courier New" w:hAnsi="Courier New"/>
          <w:sz w:val="15"/>
          <w:szCs w:val="15"/>
          <w:color w:val="auto"/>
        </w:rPr>
        <w:t>Hoover Universal, Inc.), led by Richard Ennen, the Company's Chairman. The Company was founded in order to meet the bearings industry's need for a dependable source of high quality, precision balls and rollers. During 2000, the Company sold its products to over 500 customers located in 24 different countries, and its primary customers included SKF Bearing Industries ("SKF"), FAG Bearings Corporation ("FAG"), SNR Roulements, and the Torrington Company.</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On July 4, 1999, the Company, through a series of wholly owned subsidiary entities, acquired substantially all of the assets of Earsley Capital Corporation, formerly known as Industrial Molding Corporation ("IMC"). The Company currently operates IMC through these subsidiary entities under the name Industrial Molding Corporation.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w:t>
      </w:r>
    </w:p>
    <w:p>
      <w:pPr>
        <w:spacing w:after="0" w:line="180"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The Company is also a 50% owner of NN General, LLC, a Delaware limited liability company, ("NN General"), which owns a 60% position in Jiangsu General Ball &amp; Roller Company, Ltd. ("JGBR"), a Chinese precision ball and roller manufacturer located in Rugao City, Jiangsu Providence, China. The Company's investment includes a cash loan of $3.4 million. The remaining 40% of the Chinese company is owned by Jiangsu Steel Ball Factory.</w:t>
      </w:r>
    </w:p>
    <w:p>
      <w:pPr>
        <w:spacing w:after="0" w:line="176"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On March 12, 2000, the Company experienced a fire at its Erwin, Tennessee facility. The fire, which was contained to approximately 30% of the production area, occurred in the early morning hours when only three employees were in the facility. These employees were immediately evacuated and no one was injured. Effected production was shifted to the Company's other facilities as possible as well as to other suppliers to protect product supply to customers. Production has substantially returned to normal. Insurance coverage was available for the loss. Negotiations to reach a final settlement with the insurance carrier are continuing.</w:t>
      </w:r>
    </w:p>
    <w:p>
      <w:pPr>
        <w:spacing w:after="0" w:line="179"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On July 31, 2000, the Company formed a majority owned stand-alone company in Europe, NN Euroball ApS ("Euroball"), for the manufacture and sale of chrome steel balls used for ball bearings and other products. The Company owns 54% of Euroball. AB SKF and FAG Kugelfisher Georg Shafer AG, the parent companies of SKF and FAG respectively each own 23%. As part of the transaction, Euroball acquired the ball factories located in Pinerolo, Italy (previously owned by SKF), Eltmann, Germany (previously owned by FAG), and Kilkenny, Ireland (previously owned by the Company).</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On August 31, 2000 the Company acquired a 51% ownership interest in NN Mexico, LLC ("NN Mexico"), a Delaware limited liability company. NN Mexico holds as its sole investment a 100% ownership interest in NN Arte, a manufacturer of plastic components located in Guadalajara, Mexico. To acquire its 51% ownership of NN Mexico, the Company made an initial contribution of $879,000, an additional contribution of $671,000 and is obligated to provide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1" w:right="1440" w:bottom="1440" w:gutter="0" w:footer="0" w:header="0"/>
        </w:sectPr>
      </w:pPr>
    </w:p>
    <w:bookmarkStart w:id="2" w:name="page3"/>
    <w:bookmarkEnd w:id="2"/>
    <w:p>
      <w:pPr>
        <w:ind w:right="3699"/>
        <w:spacing w:after="0" w:line="265" w:lineRule="auto"/>
        <w:rPr>
          <w:sz w:val="20"/>
          <w:szCs w:val="20"/>
          <w:color w:val="auto"/>
        </w:rPr>
      </w:pPr>
      <w:r>
        <w:rPr>
          <w:rFonts w:ascii="Courier New" w:cs="Courier New" w:eastAsia="Courier New" w:hAnsi="Courier New"/>
          <w:sz w:val="14"/>
          <w:szCs w:val="14"/>
          <w:color w:val="auto"/>
        </w:rPr>
        <w:t>additional funding of $600,000 payable upon certain performance conditions at NN Arte. At December 31, 2000, NN Arte had not commenced operations.</w:t>
      </w:r>
    </w:p>
    <w:p>
      <w:pPr>
        <w:spacing w:after="0" w:line="158" w:lineRule="exact"/>
        <w:rPr>
          <w:sz w:val="20"/>
          <w:szCs w:val="20"/>
          <w:color w:val="auto"/>
        </w:rPr>
      </w:pPr>
    </w:p>
    <w:p>
      <w:pPr>
        <w:ind w:right="3439" w:firstLine="705"/>
        <w:spacing w:after="0" w:line="238" w:lineRule="auto"/>
        <w:rPr>
          <w:sz w:val="20"/>
          <w:szCs w:val="20"/>
          <w:color w:val="auto"/>
        </w:rPr>
      </w:pPr>
      <w:r>
        <w:rPr>
          <w:rFonts w:ascii="Courier New" w:cs="Courier New" w:eastAsia="Courier New" w:hAnsi="Courier New"/>
          <w:sz w:val="15"/>
          <w:szCs w:val="15"/>
          <w:color w:val="auto"/>
        </w:rPr>
        <w:t>For managerial and financial analysis purposes, management views the Company in three segments. The domestic ball and roller operations of Erwin, Tennessee, Walterboro, South Carolina and Mountain City, Tennessee ("Domestic Ball and Roller Division"), the Euroball facilities of Kilkenny, Ireland, Eltmann, Germany and Pinerolo, Italy ("Euroball Division") and the "Plastics Division" which consists of IMC and NN Arte.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At its ball and roller facilities in Erwin, Tennessee, Walterboro, South Carolina and Mountain City, Tennessee, the Company produces high quality, precision steel balls in sizes ranging in diameter from 3/16 of an inch to 2 1/2 inches and rollers in a limited variety of sizes. At its newly formed Euroball joint venture, the Company produces high quality steel balls in sizes ranging from 1/8 of an inch to 12 1/2 inches in diameter. The Company produces balls in a variety of grades ranging from grade 3 to grade 1000 and rollers in a variety of grades ranging from grade 50 to grade 1000. The grade number for a ball or a roller indicates the degree of spherical or cylindrical precision of the ball or roller; for example, grade 3 balls are manufactured to within three millionths of an inch of roundness and grade 50 rollers are manufactured to within fifty millionths of an inch of roundness. At its Domestic Ball and Roller Division, sales of steel balls accounted for approximately 91%, 92% and 92% of the division's ball and roller net sales in 1998, 1999 and 2000, respectively. Sales of rollers accounted for the balance of the division's ball and roller sales in such years.</w:t>
      </w:r>
    </w:p>
    <w:p>
      <w:pPr>
        <w:spacing w:after="0" w:line="186"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Precision Steel Balls. The Company manufactures high quality, precision balls in three different types of steel: 52100 steel, 440C stainless steel and S2 rock bit steel. Each of the different types of steel has unique characteristics that make it suitable for particular applications.</w:t>
      </w:r>
    </w:p>
    <w:p>
      <w:pPr>
        <w:spacing w:after="0" w:line="176"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During 2000, approximately 98% of the balls produced by the Company's domestic ball and roller operations were made from 52100 steel ("52100 Steel"). 100% of the balls produced by the Company's Euroball joint venture were made from 52100 Steel. See also "Business--Raw Materials." The 52100 Steel balls have a high degree of hardness and provide excellent resistance to wear and deformation. The 52100 Steel balls are used primarily by manufacturers of anti-friction ball bearings where precise spherical and tolerance accuracy are required. The Company produces 52100 Steel balls in eleven grades ranging from grade 1000 to grade 3 (highest precision), and in sizes ranging in diameter from 1/8 of an inch to 12 1/2 inches. The primary grades of the 52100 Steel balls are grade 16, grade 10 and grade 5 and grade 3.</w:t>
      </w:r>
    </w:p>
    <w:p>
      <w:pPr>
        <w:spacing w:after="0" w:line="166" w:lineRule="exact"/>
        <w:rPr>
          <w:sz w:val="20"/>
          <w:szCs w:val="20"/>
          <w:color w:val="auto"/>
        </w:rPr>
      </w:pPr>
    </w:p>
    <w:p>
      <w:pPr>
        <w:ind w:right="3259" w:firstLine="705"/>
        <w:spacing w:after="0" w:line="258" w:lineRule="auto"/>
        <w:rPr>
          <w:sz w:val="20"/>
          <w:szCs w:val="20"/>
          <w:color w:val="auto"/>
        </w:rPr>
      </w:pPr>
      <w:r>
        <w:rPr>
          <w:rFonts w:ascii="Courier New" w:cs="Courier New" w:eastAsia="Courier New" w:hAnsi="Courier New"/>
          <w:sz w:val="14"/>
          <w:szCs w:val="14"/>
          <w:color w:val="auto"/>
        </w:rPr>
        <w:t>Precision Steel Rollers. The Company manufactures rollers at its Erwin, Tennessee facility in three types of steel: 52100 Steel, 440C stainless steel and S2 rock bit steel. Rollers are the primary components of anti-friction bearings which are subjected to heavy load conditions. The Company's roller products are used primarily for applications similar to those of its ball product lines, with the addition of hydraulic pumps and motors.</w:t>
      </w:r>
    </w:p>
    <w:p>
      <w:pPr>
        <w:spacing w:after="0" w:line="164"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IMC, manufactures a wide range of plastic molded products through its two facilities in Lubbock, Texas. IMC's products can be classified into three primary market segments - bearing retainers, automotive under the hood components and other hardware products which include other automotive components, electronic instrument cases and precision electronic connectors and lenses as well as a variety of other specialized parts.</w:t>
      </w:r>
    </w:p>
    <w:p>
      <w:pPr>
        <w:spacing w:after="0" w:line="176"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Bearing Retainers. IMC manufactures high precision plastic retainers for ball bearings used in automotive products. During 2000, sales of bearing retainers accounted for approximately 38% of the Plastics Division sales.</w:t>
      </w:r>
    </w:p>
    <w:p>
      <w:pPr>
        <w:spacing w:after="0" w:line="175" w:lineRule="exact"/>
        <w:rPr>
          <w:sz w:val="20"/>
          <w:szCs w:val="20"/>
          <w:color w:val="auto"/>
        </w:rPr>
      </w:pPr>
    </w:p>
    <w:p>
      <w:pPr>
        <w:ind w:right="3179" w:firstLine="705"/>
        <w:spacing w:after="0" w:line="259" w:lineRule="auto"/>
        <w:rPr>
          <w:sz w:val="20"/>
          <w:szCs w:val="20"/>
          <w:color w:val="auto"/>
        </w:rPr>
      </w:pPr>
      <w:r>
        <w:rPr>
          <w:rFonts w:ascii="Courier New" w:cs="Courier New" w:eastAsia="Courier New" w:hAnsi="Courier New"/>
          <w:sz w:val="14"/>
          <w:szCs w:val="14"/>
          <w:color w:val="auto"/>
        </w:rPr>
        <w:t>Automotive Components. IMC manufacturers high precision plastic automotive under the hood parts. These parts utilize high performance engineered polymers that draw upon IMC's ability to mold highly technical cylindrical dimension parts. Other molded automotive components include hydraulic</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3" w:name="page4"/>
    <w:bookmarkEnd w:id="3"/>
    <w:p>
      <w:pPr>
        <w:jc w:val="both"/>
        <w:ind w:right="3179"/>
        <w:spacing w:after="0" w:line="265" w:lineRule="auto"/>
        <w:rPr>
          <w:sz w:val="20"/>
          <w:szCs w:val="20"/>
          <w:color w:val="auto"/>
        </w:rPr>
      </w:pPr>
      <w:r>
        <w:rPr>
          <w:rFonts w:ascii="Courier New" w:cs="Courier New" w:eastAsia="Courier New" w:hAnsi="Courier New"/>
          <w:sz w:val="14"/>
          <w:szCs w:val="14"/>
          <w:color w:val="auto"/>
        </w:rPr>
        <w:t>cylinders, clutch systems, seat belts, gears and transmission components. During 2000, sales of automotive parts accounted for approximately 25 % of IMC's sales.</w:t>
      </w:r>
    </w:p>
    <w:p>
      <w:pPr>
        <w:spacing w:after="0" w:line="158" w:lineRule="exact"/>
        <w:rPr>
          <w:sz w:val="20"/>
          <w:szCs w:val="20"/>
          <w:color w:val="auto"/>
        </w:rPr>
      </w:pPr>
    </w:p>
    <w:p>
      <w:pPr>
        <w:jc w:val="both"/>
        <w:ind w:right="3439" w:firstLine="705"/>
        <w:spacing w:after="0" w:line="259" w:lineRule="auto"/>
        <w:rPr>
          <w:sz w:val="20"/>
          <w:szCs w:val="20"/>
          <w:color w:val="auto"/>
        </w:rPr>
      </w:pPr>
      <w:r>
        <w:rPr>
          <w:rFonts w:ascii="Courier New" w:cs="Courier New" w:eastAsia="Courier New" w:hAnsi="Courier New"/>
          <w:sz w:val="14"/>
          <w:szCs w:val="14"/>
          <w:color w:val="auto"/>
        </w:rPr>
        <w:t>Other. IMC also manufactures a variety of high precision molded parts including plastic instrument cases, seasonal consumer hardware, precision end connectors and lenses for fiber optics as well as other specialized parts. During 2000, sales for these items accounted for 37% of IMC's sales.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5"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The Company markets balls and rollers in the United States and abroad primarily through seven salaried sales employees. Additional internal sales employees handle customer orders and provide sales support.</w:t>
      </w:r>
    </w:p>
    <w:p>
      <w:pPr>
        <w:spacing w:after="0" w:line="175"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IMC markets its products through commissioned sales representatives or directly through three salaried marketing and sales employees. Four additional internal customer service employees handle customer orders and provide sales support. Additionally, certain engineers and manufacturing employees provide sales support due to the technical nature of the products.</w:t>
      </w:r>
    </w:p>
    <w:p>
      <w:pPr>
        <w:spacing w:after="0" w:line="178" w:lineRule="exact"/>
        <w:rPr>
          <w:sz w:val="20"/>
          <w:szCs w:val="20"/>
          <w:color w:val="auto"/>
        </w:rPr>
      </w:pPr>
    </w:p>
    <w:p>
      <w:pPr>
        <w:ind w:right="3259" w:firstLine="705"/>
        <w:spacing w:after="0" w:line="235" w:lineRule="auto"/>
        <w:rPr>
          <w:sz w:val="20"/>
          <w:szCs w:val="20"/>
          <w:color w:val="auto"/>
        </w:rPr>
      </w:pPr>
      <w:r>
        <w:rPr>
          <w:rFonts w:ascii="Courier New" w:cs="Courier New" w:eastAsia="Courier New" w:hAnsi="Courier New"/>
          <w:sz w:val="15"/>
          <w:szCs w:val="15"/>
          <w:color w:val="auto"/>
        </w:rPr>
        <w:t>The following table presents a breakdown of the Company's net sales for fiscal years 1998 through 2000:</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Domestic Ball and Roller</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rPr>
              <w:t>Division</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$67,637</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$67,736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$73,006</w:t>
            </w:r>
          </w:p>
        </w:tc>
      </w:tr>
      <w:tr>
        <w:trPr>
          <w:trHeight w:val="170"/>
        </w:trPr>
        <w:tc>
          <w:tcPr>
            <w:tcW w:w="23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51.2%</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Euroball Division</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33,988</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25.7%</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Plastics Division</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30,504</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17,558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$132,129</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$ 85,294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$ 73,006</w:t>
            </w:r>
          </w:p>
        </w:tc>
      </w:tr>
      <w:tr>
        <w:trPr>
          <w:trHeight w:val="170"/>
        </w:trPr>
        <w:tc>
          <w:tcPr>
            <w:tcW w:w="23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320" w:type="dxa"/>
            <w:vAlign w:val="bottom"/>
          </w:tcPr>
          <w:p>
            <w:pPr>
              <w:spacing w:after="0"/>
              <w:rPr>
                <w:sz w:val="14"/>
                <w:szCs w:val="14"/>
                <w:color w:val="auto"/>
              </w:rPr>
            </w:pPr>
          </w:p>
        </w:tc>
        <w:tc>
          <w:tcPr>
            <w:tcW w:w="2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44"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Company's marketing strategy relative to the Ball and Roller Division is to increase its share of the domestic and international market for bearing components by offering a wide variety of high quality, precision balls and rollers to existing and prospective customers on a timely basis and in a cost-effective manner. In marketing its products, the Company has focused its efforts on bearing manufacturers with their own ball or roller manufacturing divisions. The Company's sales staff emphasizes the potential quality advantages and cost savings associated with the outsourcing of such bearing manufacturers' needs by purchasing precision components from the Company instead of manufacturing such components internally.</w:t>
      </w:r>
    </w:p>
    <w:p>
      <w:pPr>
        <w:spacing w:after="0" w:line="180"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Plastic Division's marketing strategy is to increase its share of the market by offering custom manufactured, high quality, precision parts in a cost-effective manner. This strategy focuses on relationships with key customers that require technically difficult parts which enable IMC to take advantage of its strengths in product development, tool design and tight tolerance molding processes. IMC has historically focused on the North American market. However, management believes certain synergies exist between the Domestic Ball and Roller Division and IMC that will allow IMC to further penetrate the North American market as well as broaden the European and Asian presence by leveraging the Company's global relationships.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4" w:name="page5"/>
    <w:bookmarkEnd w:id="4"/>
    <w:p>
      <w:pPr>
        <w:ind w:right="3179" w:firstLine="705"/>
        <w:spacing w:after="0" w:line="238" w:lineRule="auto"/>
        <w:rPr>
          <w:sz w:val="20"/>
          <w:szCs w:val="20"/>
          <w:color w:val="auto"/>
        </w:rPr>
      </w:pPr>
      <w:r>
        <w:rPr>
          <w:rFonts w:ascii="Courier New" w:cs="Courier New" w:eastAsia="Courier New" w:hAnsi="Courier New"/>
          <w:sz w:val="15"/>
          <w:szCs w:val="15"/>
          <w:color w:val="auto"/>
        </w:rPr>
        <w:t>The Company's arrangements with its domestic customers typically provide that payments are due within 30 days following the date of shipment of goods. With respect to foreign customers (other than foreign customers that participate in the Company's inventory management program), payments generally are due within either 90 to 120 days following the date of shipment in order to allow for additional freight time and customs clearance. For customers that participate in the Company's inventory management program, sales are recorded when the customer uses the product, and payments typically are due 30 days thereafter. See "Business -- Customers" and "Management's Discussion and Analysis of Financial Condition and Results of Operations -- Liquidity and Capital Resources." See Note 10 of the Notes to Consolidated Financial Statements for additional financial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During 2000, the Company's ten largest customers accounted for approximately 69% of its consolidated net sales. Sales to various U.S. and foreign divisions of SKF, which is one of the largest bearing manufacturers in the world, accounted for approximately 32% of net sales in 2000 and sales to FAG accounted for approximately 17% of net sales in 2000. None of the Company's other customers accounted for more than 5% of its net sales in 2000.</w:t>
      </w:r>
    </w:p>
    <w:p>
      <w:pPr>
        <w:spacing w:after="0" w:line="176" w:lineRule="exact"/>
        <w:rPr>
          <w:sz w:val="20"/>
          <w:szCs w:val="20"/>
          <w:color w:val="auto"/>
        </w:rPr>
      </w:pPr>
    </w:p>
    <w:p>
      <w:pPr>
        <w:jc w:val="both"/>
        <w:ind w:right="3259" w:firstLine="705"/>
        <w:spacing w:after="0" w:line="256" w:lineRule="auto"/>
        <w:rPr>
          <w:sz w:val="20"/>
          <w:szCs w:val="20"/>
          <w:color w:val="auto"/>
        </w:rPr>
      </w:pPr>
      <w:r>
        <w:rPr>
          <w:rFonts w:ascii="Courier New" w:cs="Courier New" w:eastAsia="Courier New" w:hAnsi="Courier New"/>
          <w:sz w:val="14"/>
          <w:szCs w:val="14"/>
          <w:color w:val="auto"/>
        </w:rPr>
        <w:t>During 2000, the Domestic Ball and Roller Division sold its products to more than 500 customers located in 24 different countries. Approximately 50% of ball and roller net sales in 2000 were to customers outside the United States.</w:t>
      </w:r>
    </w:p>
    <w:p>
      <w:pPr>
        <w:spacing w:after="0" w:line="1"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Sales to the Ball &amp; Roller Division's top ten customers accounted for approximately 78% of the divisions' net sales in 2000. Sales to SKF and FAG accounted for approximately 35% and 17% of the division's net sales in 2000 respectively.</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During 2000, the Euroball Division sold its products to more than 40 customers located in 15 different countries. Approximately 86% of its net sales in 2000 were to customers within Europe. Sales to the division's top ten customers accounted for approximately 92% of the divisions' net sales in 2000. Sales to SKF and FAG accounted for approximately 49% and 28% of the division's net sales in 2000 respectively</w:t>
      </w:r>
    </w:p>
    <w:p>
      <w:pPr>
        <w:spacing w:after="0" w:line="176"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During 2000, the Plastics Division sold its products to 55 customers located in 12 different countries. Approximately 8% of plastic net sales were to customers outside the United States. Sales to the division's top ten customers accounted for approximately 68% of the divisions' net sales in 2000. Sales to Gary Products Group accounted for approximately 20% of the division's net sales in 2000.</w:t>
      </w:r>
    </w:p>
    <w:p>
      <w:pPr>
        <w:spacing w:after="0" w:line="176" w:lineRule="exact"/>
        <w:rPr>
          <w:sz w:val="20"/>
          <w:szCs w:val="20"/>
          <w:color w:val="auto"/>
        </w:rPr>
      </w:pPr>
    </w:p>
    <w:p>
      <w:pPr>
        <w:ind w:right="3619" w:firstLine="705"/>
        <w:spacing w:after="0" w:line="258" w:lineRule="auto"/>
        <w:rPr>
          <w:sz w:val="20"/>
          <w:szCs w:val="20"/>
          <w:color w:val="auto"/>
        </w:rPr>
      </w:pPr>
      <w:r>
        <w:rPr>
          <w:rFonts w:ascii="Courier New" w:cs="Courier New" w:eastAsia="Courier New" w:hAnsi="Courier New"/>
          <w:sz w:val="14"/>
          <w:szCs w:val="14"/>
          <w:color w:val="auto"/>
        </w:rPr>
        <w:t>See Note 10 of the Notes to Financial Statements and "Management's Discussion and Analysis of Financial Condition and Results of Operations -- Results of Operations" for additional geographic information. In both the foreign and domestic markets, the Company principally sells its products directly to manufacturers and not to distributors.</w:t>
      </w:r>
    </w:p>
    <w:p>
      <w:pPr>
        <w:spacing w:after="0" w:line="165" w:lineRule="exact"/>
        <w:rPr>
          <w:sz w:val="20"/>
          <w:szCs w:val="20"/>
          <w:color w:val="auto"/>
        </w:rPr>
      </w:pPr>
    </w:p>
    <w:p>
      <w:pPr>
        <w:ind w:right="3179" w:firstLine="705"/>
        <w:spacing w:after="0" w:line="239" w:lineRule="auto"/>
        <w:rPr>
          <w:sz w:val="20"/>
          <w:szCs w:val="20"/>
          <w:color w:val="auto"/>
        </w:rPr>
      </w:pPr>
      <w:r>
        <w:rPr>
          <w:rFonts w:ascii="Courier New" w:cs="Courier New" w:eastAsia="Courier New" w:hAnsi="Courier New"/>
          <w:sz w:val="15"/>
          <w:szCs w:val="15"/>
          <w:color w:val="auto"/>
        </w:rPr>
        <w:t>The Company ordinarily ships its products directly to customers within 60 days, but in some cases, in the same calendar month, of the date on which a sales order is placed. Accordingly, the Company generally has an insignificant amount of open (backlog) orders from customers at month end. Certain of the Company's customers have entered into contracts with the Company pursuant to which they have agreed to purchase all of their requirements of specified balls and rollers and plastic molded products from the Company, but under which they are not obligated to purchase any specific amounts. While firm orders generally are received only monthly, the Company normally is aware of reasonably anticipated future orders well in advance of the placement of a firm order. The Company has installed a computerized, bar coded inventory management system with most of its major customers pursuant to which the Company, through a direct computer link, automatically monitors the customer's ball and roller inventories. This system permits the Company to determine on a day-to-day basis the amount of balls and/or rollers remaining in a customer's inventory. When such inventories fall below certain levels, the Company automatically ships additional goods. The Company follows industry practice in handling its inventory, which is a first in, first out policy.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As of December 31, 2000, the Company had 1,362 full-time employees of whom 1,206 were engaged in production/maintenance. Of these 1,362 employees, 298 were employed at the Domestic Ball and Roller facilities, 725 at the Euroball Division, 306 at the Plastics Division and 33 at Corporate Division. The Company believes that relations with its employees are good.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precision ball and roller industry is intensely competitive, and many of the Company's competitors have greater financial resources than the Company. The Company's primary domestic competitor is Hoover Precision Products, Inc., a division of Tsubakimoto Precision Products Co. Ltd. The Company's primary foreign competitors are Amatsuji Steel Ball Manufacturing Company, Ltd. and Tsubakimoto Precision Products Co. Ltd. The Company's ability to compete with foreign-based competitors could be adversely affected by an increase in the value of the United States dollar relative to foreign currencies.</w:t>
      </w:r>
    </w:p>
    <w:p>
      <w:pPr>
        <w:spacing w:after="0" w:line="16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Company believes that competition within the precision ball and roller market is based principally on quality, price and the ability to consistently meet customer delivery requirements. Management believes that the Company's competitive strengths are its precision manufacturing capabilities, its reputation for consistent quality and reliability, and the productivity of its workforce. In recent years, certain bearing manufacturers with captive ball and roller manufacturing divisions, including American NTN Bearing Manufacturing Corporation and divisions of SKF based in Sweden, Brazil and Mexico, have turned to the Company as a source of supply.</w:t>
      </w:r>
    </w:p>
    <w:p>
      <w:pPr>
        <w:spacing w:after="0" w:line="179"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markets for IMC's products are also intensely competitive. Since the industry is currently very fragmented, IMC must compete with numerous companies in each of their marketing segments. Many of these companies have substantially greater financial resources than IMC and many currently offer competing products nationally and internationally. IMC's primary competitor in the bearing retainer segment is Nakanishi Manufacturing Corporation. Nypro, Inc. and Key Plastics are the main domestic competitors in the automotive segment.</w:t>
      </w:r>
    </w:p>
    <w:p>
      <w:pPr>
        <w:spacing w:after="0" w:line="16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Company believes that competition within the plastic injection molding industry is based principally on quality, price, design capabilities and speed of responsiveness and delivery. Management believes that IMC's competitive strengths are product development, tool design and fabrication and tight tolerance molding processes as well as its reputation in the marketplace as a quality producer of technically difficult products.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Raw Materials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primary raw material used by the Company in its Domestic Ball and Roller Division and Euroball Division is 52100 Steel. During 2000, approximately 98% and 100% of the steel used by these two divisions, respectively was 52100 Steel. The Company's other steel requirements include type 440C stainless steel and type S2 rock bit steel. The Domestic Ball and Roller Division purchases substantially all of its 52100 Steel requirements from foreign mills because of the lack of domestic producers of such steel at the quality level required by the Company. The Euroball Division purchases all of its 52100 Steel requirements from European mills. The other steel requirements of the Company also are purchased principally from foreign steel manufacturers.</w:t>
      </w:r>
    </w:p>
    <w:p>
      <w:pPr>
        <w:spacing w:after="0" w:line="166"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Company allocates its steel purchases among suppliers on the basis of price and quality. Generally, the Company does not enter into written supply agreements with its suppliers or commit itself to maintain minimum monthly purchases of steel. The Company's pricing arrangements with its suppliers typically are subject to adjustment once every six months.</w:t>
      </w:r>
    </w:p>
    <w:p>
      <w:pPr>
        <w:spacing w:after="0" w:line="178" w:lineRule="exact"/>
        <w:rPr>
          <w:sz w:val="20"/>
          <w:szCs w:val="20"/>
          <w:color w:val="auto"/>
        </w:rPr>
      </w:pPr>
    </w:p>
    <w:p>
      <w:pPr>
        <w:jc w:val="both"/>
        <w:ind w:right="3359" w:firstLine="705"/>
        <w:spacing w:after="0" w:line="237" w:lineRule="auto"/>
        <w:rPr>
          <w:sz w:val="20"/>
          <w:szCs w:val="20"/>
          <w:color w:val="auto"/>
        </w:rPr>
      </w:pPr>
      <w:r>
        <w:rPr>
          <w:rFonts w:ascii="Courier New" w:cs="Courier New" w:eastAsia="Courier New" w:hAnsi="Courier New"/>
          <w:sz w:val="15"/>
          <w:szCs w:val="15"/>
          <w:color w:val="auto"/>
        </w:rPr>
        <w:t>Because 52100 Steel is principally produced by foreign manufacturers, the Company's operating results would be negatively affected in the event that the U.S. or European governments imposes any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1440" w:gutter="0" w:footer="0" w:header="0"/>
        </w:sectPr>
      </w:pPr>
    </w:p>
    <w:bookmarkStart w:id="6" w:name="page7"/>
    <w:bookmarkEnd w:id="6"/>
    <w:p>
      <w:pPr>
        <w:ind w:right="3179"/>
        <w:spacing w:after="0" w:line="237" w:lineRule="auto"/>
        <w:rPr>
          <w:sz w:val="20"/>
          <w:szCs w:val="20"/>
          <w:color w:val="auto"/>
        </w:rPr>
      </w:pPr>
      <w:r>
        <w:rPr>
          <w:rFonts w:ascii="Courier New" w:cs="Courier New" w:eastAsia="Courier New" w:hAnsi="Courier New"/>
          <w:sz w:val="15"/>
          <w:szCs w:val="15"/>
          <w:color w:val="auto"/>
        </w:rPr>
        <w:t>significant quotas, tariffs or other duties or restrictions on the import of such steel or if the United States dollar decreases in value relative to foreign currencies.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primary raw materials used by IMC are engineered resins and polypropylene resins. Injection grade nylon is utilized in bearing retainers, automotive and other industrial products and polypropylene is utilized for seasonal hardware products. The Company purchases substantially all of its resin requirements from domestic manufacturers and suppliers. The majority of these suppliers are international companies with resin manufacturing facilities located throughout the world.</w:t>
      </w:r>
    </w:p>
    <w:p>
      <w:pPr>
        <w:spacing w:after="0" w:line="177" w:lineRule="exact"/>
        <w:rPr>
          <w:sz w:val="20"/>
          <w:szCs w:val="20"/>
          <w:color w:val="auto"/>
        </w:rPr>
      </w:pPr>
    </w:p>
    <w:p>
      <w:pPr>
        <w:ind w:right="3259" w:firstLine="705"/>
        <w:spacing w:after="0" w:line="259" w:lineRule="auto"/>
        <w:rPr>
          <w:sz w:val="20"/>
          <w:szCs w:val="20"/>
          <w:color w:val="auto"/>
        </w:rPr>
      </w:pPr>
      <w:r>
        <w:rPr>
          <w:rFonts w:ascii="Courier New" w:cs="Courier New" w:eastAsia="Courier New" w:hAnsi="Courier New"/>
          <w:sz w:val="14"/>
          <w:szCs w:val="14"/>
          <w:color w:val="auto"/>
        </w:rPr>
        <w:t>The Company bases purchase decisions on price, quality and service. Generally, the Company does not enter into written supply contracts with its suppliers or commit itself to maintain minimum monthly purchases of resins. The pricing arrangements with its suppliers typically can be adjusted at anytime.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5" w:lineRule="exact"/>
        <w:rPr>
          <w:sz w:val="20"/>
          <w:szCs w:val="20"/>
          <w:color w:val="auto"/>
        </w:rPr>
      </w:pPr>
    </w:p>
    <w:p>
      <w:pPr>
        <w:ind w:right="3179" w:firstLine="705"/>
        <w:spacing w:after="0" w:line="258" w:lineRule="auto"/>
        <w:rPr>
          <w:sz w:val="20"/>
          <w:szCs w:val="20"/>
          <w:color w:val="auto"/>
        </w:rPr>
      </w:pPr>
      <w:r>
        <w:rPr>
          <w:rFonts w:ascii="Courier New" w:cs="Courier New" w:eastAsia="Courier New" w:hAnsi="Courier New"/>
          <w:sz w:val="14"/>
          <w:szCs w:val="14"/>
          <w:color w:val="auto"/>
        </w:rPr>
        <w:t>The Company does not own any U.S. or foreign patents, trademarks or licenses that are material to its business. The Company does rely on certain data and processes, including trade secrets and know-how, and the success of its business depends, to some extent, on such information remaining confidential. Each executive officer of the Company is subject to a non-competition and confidentiality agreement that seeks to protect this information.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 Nature of Business</w:t>
      </w:r>
    </w:p>
    <w:p>
      <w:pPr>
        <w:spacing w:after="0" w:line="175" w:lineRule="exact"/>
        <w:rPr>
          <w:sz w:val="20"/>
          <w:szCs w:val="20"/>
          <w:color w:val="auto"/>
        </w:rPr>
      </w:pPr>
    </w:p>
    <w:p>
      <w:pPr>
        <w:ind w:right="3359" w:firstLine="705"/>
        <w:spacing w:after="0" w:line="260" w:lineRule="auto"/>
        <w:rPr>
          <w:sz w:val="20"/>
          <w:szCs w:val="20"/>
          <w:color w:val="auto"/>
        </w:rPr>
      </w:pPr>
      <w:r>
        <w:rPr>
          <w:rFonts w:ascii="Courier New" w:cs="Courier New" w:eastAsia="Courier New" w:hAnsi="Courier New"/>
          <w:sz w:val="14"/>
          <w:szCs w:val="14"/>
          <w:color w:val="auto"/>
        </w:rPr>
        <w:t>Historically, due to increased sales to foreign customers, seasonality has become a factor for the Company in that some foreign customers typically cease their production activities during the month of August.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Company's operations and products are subject to extensive federal, state and local regulatory requirements relating to pollution control and protection of the environment. The Company maintains a compliance program to assist in preventing and, if necessary, correcting environmental problems. Based on information compiled to date, management believes that the Company's current operations are in substantial compliance with applicable environmental laws and regulations, the violation of which would have a material adverse effect on the Company. There can be no assurance, however, that currently unknown matters, new laws and regulations, or stricter interpretations of existing laws and regulations will not materially affect the Company's business or operations in the future. More specifically, although management believes that the Company disposes of its wastes in material compliance with applicable environmental laws and regulations, there can be no assurance that the Company will not incur significant liabilities in the future in connection with the clean-up of waste disposal sites.</w:t>
      </w:r>
    </w:p>
    <w:p>
      <w:pPr>
        <w:spacing w:after="0" w:line="18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In the past, the Company has incurred certain expenses in complying with applicable environmental laws associated with the removal of four underground storage tanks containing kerosene and waste oil, the remediation of soil and groundwater contamination resulting from a leak in one of the tanks, and the closing of a sludge disposal area at one of its ball and roller facilities. The remediation project is now complete, but the Company has certain ongoing monitoring responsibilities. The amounts expended by the Company in connection with this remediation project have not been material, and based upon information currently available to the Company, management does not believe that the future costs associated with the project will have a material adverse effect on the Company's results of operations or financial condition.</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executive officers of the Company consist of the following persons:</w:t>
      </w:r>
    </w:p>
    <w:p>
      <w:pPr>
        <w:spacing w:after="0" w:line="169"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160" w:type="dxa"/>
            <w:vAlign w:val="bottom"/>
          </w:tcPr>
          <w:p>
            <w:pPr>
              <w:ind w:left="880"/>
              <w:spacing w:after="0"/>
              <w:rPr>
                <w:sz w:val="20"/>
                <w:szCs w:val="20"/>
                <w:color w:val="auto"/>
              </w:rPr>
            </w:pPr>
            <w:r>
              <w:rPr>
                <w:rFonts w:ascii="Courier New" w:cs="Courier New" w:eastAsia="Courier New" w:hAnsi="Courier New"/>
                <w:sz w:val="15"/>
                <w:szCs w:val="15"/>
                <w:color w:val="auto"/>
              </w:rPr>
              <w:t>Name</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Age</w:t>
            </w:r>
          </w:p>
        </w:tc>
        <w:tc>
          <w:tcPr>
            <w:tcW w:w="1680" w:type="dxa"/>
            <w:vAlign w:val="bottom"/>
          </w:tcPr>
          <w:p>
            <w:pPr>
              <w:spacing w:after="0"/>
              <w:rPr>
                <w:sz w:val="14"/>
                <w:szCs w:val="14"/>
                <w:color w:val="auto"/>
              </w:rPr>
            </w:pPr>
          </w:p>
        </w:tc>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Position</w:t>
            </w:r>
          </w:p>
        </w:tc>
      </w:tr>
      <w:tr>
        <w:trPr>
          <w:trHeight w:val="170"/>
        </w:trPr>
        <w:tc>
          <w:tcPr>
            <w:tcW w:w="216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509"/>
        </w:trPr>
        <w:tc>
          <w:tcPr>
            <w:tcW w:w="2160" w:type="dxa"/>
            <w:vAlign w:val="bottom"/>
          </w:tcPr>
          <w:p>
            <w:pPr>
              <w:spacing w:after="0"/>
              <w:rPr>
                <w:sz w:val="20"/>
                <w:szCs w:val="20"/>
                <w:color w:val="auto"/>
              </w:rPr>
            </w:pPr>
            <w:r>
              <w:rPr>
                <w:rFonts w:ascii="Courier New" w:cs="Courier New" w:eastAsia="Courier New" w:hAnsi="Courier New"/>
                <w:sz w:val="15"/>
                <w:szCs w:val="15"/>
                <w:color w:val="auto"/>
              </w:rPr>
              <w:t>Richard D. Ennen</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73</w:t>
            </w:r>
          </w:p>
        </w:tc>
        <w:tc>
          <w:tcPr>
            <w:tcW w:w="4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Chairman of the Board and Director</w:t>
            </w:r>
          </w:p>
        </w:tc>
      </w:tr>
      <w:tr>
        <w:trPr>
          <w:trHeight w:val="339"/>
        </w:trPr>
        <w:tc>
          <w:tcPr>
            <w:tcW w:w="216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47</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President, Chief</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Executive Officer and Director</w:t>
            </w:r>
          </w:p>
        </w:tc>
      </w:tr>
      <w:tr>
        <w:trPr>
          <w:trHeight w:val="339"/>
        </w:trPr>
        <w:tc>
          <w:tcPr>
            <w:tcW w:w="2160" w:type="dxa"/>
            <w:vAlign w:val="bottom"/>
          </w:tcPr>
          <w:p>
            <w:pPr>
              <w:spacing w:after="0"/>
              <w:rPr>
                <w:sz w:val="20"/>
                <w:szCs w:val="20"/>
                <w:color w:val="auto"/>
              </w:rPr>
            </w:pPr>
            <w:r>
              <w:rPr>
                <w:rFonts w:ascii="Courier New" w:cs="Courier New" w:eastAsia="Courier New" w:hAnsi="Courier New"/>
                <w:sz w:val="15"/>
                <w:szCs w:val="15"/>
                <w:color w:val="auto"/>
              </w:rPr>
              <w:t>Frank T. Gentry, III</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45</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Manufacturing</w:t>
            </w:r>
          </w:p>
        </w:tc>
      </w:tr>
      <w:tr>
        <w:trPr>
          <w:trHeight w:val="339"/>
        </w:trPr>
        <w:tc>
          <w:tcPr>
            <w:tcW w:w="2160" w:type="dxa"/>
            <w:vAlign w:val="bottom"/>
          </w:tcPr>
          <w:p>
            <w:pPr>
              <w:spacing w:after="0"/>
              <w:rPr>
                <w:sz w:val="20"/>
                <w:szCs w:val="20"/>
                <w:color w:val="auto"/>
              </w:rPr>
            </w:pPr>
            <w:r>
              <w:rPr>
                <w:rFonts w:ascii="Courier New" w:cs="Courier New" w:eastAsia="Courier New" w:hAnsi="Courier New"/>
                <w:sz w:val="15"/>
                <w:szCs w:val="15"/>
                <w:color w:val="auto"/>
              </w:rPr>
              <w:t>Robert R. Sams</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43</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Market Services</w:t>
            </w:r>
          </w:p>
        </w:tc>
      </w:tr>
      <w:tr>
        <w:trPr>
          <w:trHeight w:val="339"/>
        </w:trPr>
        <w:tc>
          <w:tcPr>
            <w:tcW w:w="2160" w:type="dxa"/>
            <w:vAlign w:val="bottom"/>
          </w:tcPr>
          <w:p>
            <w:pPr>
              <w:spacing w:after="0"/>
              <w:rPr>
                <w:sz w:val="20"/>
                <w:szCs w:val="20"/>
                <w:color w:val="auto"/>
              </w:rPr>
            </w:pPr>
            <w:r>
              <w:rPr>
                <w:rFonts w:ascii="Courier New" w:cs="Courier New" w:eastAsia="Courier New" w:hAnsi="Courier New"/>
                <w:sz w:val="15"/>
                <w:szCs w:val="15"/>
                <w:color w:val="auto"/>
              </w:rPr>
              <w:t>David L. Dyckman</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36</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w:t>
            </w: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Business Development and Chief</w:t>
            </w:r>
          </w:p>
        </w:tc>
      </w:tr>
      <w:tr>
        <w:trPr>
          <w:trHeight w:val="170"/>
        </w:trPr>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Financial Officer</w:t>
            </w:r>
          </w:p>
        </w:tc>
        <w:tc>
          <w:tcPr>
            <w:tcW w:w="2820" w:type="dxa"/>
            <w:vAlign w:val="bottom"/>
          </w:tcPr>
          <w:p>
            <w:pPr>
              <w:spacing w:after="0"/>
              <w:rPr>
                <w:sz w:val="14"/>
                <w:szCs w:val="14"/>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William C. Kelly, Jr.</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42</w:t>
            </w:r>
          </w:p>
        </w:tc>
        <w:tc>
          <w:tcPr>
            <w:tcW w:w="4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Treasurer, Secretary and Chief Accounting Officer</w:t>
            </w:r>
          </w:p>
        </w:tc>
      </w:tr>
    </w:tbl>
    <w:p>
      <w:pPr>
        <w:spacing w:after="0" w:line="175" w:lineRule="exact"/>
        <w:rPr>
          <w:sz w:val="20"/>
          <w:szCs w:val="20"/>
          <w:color w:val="auto"/>
        </w:rPr>
      </w:pPr>
    </w:p>
    <w:p>
      <w:pPr>
        <w:ind w:right="3979" w:firstLine="705"/>
        <w:spacing w:after="0" w:line="265" w:lineRule="auto"/>
        <w:rPr>
          <w:sz w:val="20"/>
          <w:szCs w:val="20"/>
          <w:color w:val="auto"/>
        </w:rPr>
      </w:pPr>
      <w:r>
        <w:rPr>
          <w:rFonts w:ascii="Courier New" w:cs="Courier New" w:eastAsia="Courier New" w:hAnsi="Courier New"/>
          <w:sz w:val="14"/>
          <w:szCs w:val="14"/>
          <w:color w:val="auto"/>
        </w:rPr>
        <w:t>Biographical Information. Set forth below is certain additional information with respect to each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Richard D. Ennen is the principal founder of the Company and has been the Chairman of the Board and a director of the Company since its formation in 1980. He served as Chief Executive Officer of the Company from its inception until 1997 and as President of the Company from its inception until 1990. In recent years, Mr. Ennen has focused on the development and implementation of the Company's business strategy, rather than the day-to-day operations of the Company.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182"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Roderick R. Baty became President and Chief Executive Officer in July 1997. He joined the Company in July 1995 as Vice President and Chief Financial Officer and was elected to the Board of Directors in 1995. Prior to joining the Company, Mr. Baty served as President and Chief Operating Officer of Hoover Precision Products from 1990 until January 1995, and as Vice President and General Manager of Hoover Precision Products from 1985 to 1990.</w:t>
      </w:r>
    </w:p>
    <w:p>
      <w:pPr>
        <w:spacing w:after="0" w:line="176"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Frank T. Gentry, III, was originally appointed Vice President - Manufacturing in August 1995. Mr. Gentry's responsibilities include purchasing, inventory control and transportation. Mr. Gentry joined the Company in 1981 and held various production control positions within the Company from 1981 to August 1995.</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Robert R. Sams joined the Company in 1996 as Plant Manager of the Mountain City, Tennessee facility. In 1997, Mr. Sams served as Managing Director of the Kilkenny facility and in 1999 was elected to the position of Vice President - Market Services. Prior to joining the Company, Mr. Sams held various positions with Hoover Precision Products from 1980 to 1994 and most recently as Vice President of Production for Blum, Inc. from 1994 to 1996.</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David L. Dyckman was appointed Vice President of Business Development and Chief Financial Officer in April 1998. Prior to joining the Company, Mr. Dyckman served from January 1997 until April 1998 as Vice President--Marketing and International Sales for the Veeder-Root Division of the Danaher Corporation. From 1987 until 1997, Mr. Dyckman held various positions with Emerson Electric Company including General Manager and Vice President of the Gearing Division of Emerson's Power Transmission subsidiary.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1300" w:right="1440" w:bottom="1440" w:gutter="0" w:footer="0" w:header="0"/>
        </w:sectPr>
      </w:pPr>
    </w:p>
    <w:bookmarkStart w:id="8" w:name="page9"/>
    <w:bookmarkEnd w:id="8"/>
    <w:p>
      <w:pPr>
        <w:ind w:right="3179" w:firstLine="705"/>
        <w:spacing w:after="0" w:line="238" w:lineRule="auto"/>
        <w:rPr>
          <w:sz w:val="20"/>
          <w:szCs w:val="20"/>
          <w:color w:val="auto"/>
        </w:rPr>
      </w:pPr>
      <w:r>
        <w:rPr>
          <w:rFonts w:ascii="Courier New" w:cs="Courier New" w:eastAsia="Courier New" w:hAnsi="Courier New"/>
          <w:sz w:val="15"/>
          <w:szCs w:val="15"/>
          <w:color w:val="auto"/>
        </w:rPr>
        <w:t>William C. Kelly, Jr. joined the Company in 1993 as Assistant Treasurer and Manager of Investor Relations. In July 1994, Mr. Kelly was elected to serve as the Company's Chief Accounting Officer, and in February 1995, was elected Treasurer and Assistant Secretary. In March 1999 he was elected Secretary of the Company. Prior to joining the Company, Mr. Kelly served from 1988 to 1993 as a Staff Accountant and as a Senior Auditor with the accounting firm of PricewaterhouseCoopers LLP.</w:t>
      </w:r>
    </w:p>
    <w:p>
      <w:pPr>
        <w:spacing w:after="0" w:line="17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Company has three domestic ball manufacturing facilities located in Erwin, Tennessee, Walterboro, South Carolina and Mountain City, Tennessee. Rollers are only produced at the Erwin, Tennessee facility. Production began in early 1996 at the Mountain City facility.</w:t>
      </w:r>
    </w:p>
    <w:p>
      <w:pPr>
        <w:spacing w:after="0" w:line="176"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The Erwin, Walterboro and Mountain City plants currently have approximately 125,000, 100,000 and 48,000 square feet of manufacturing space, respectively. The Walterboro plant is located on a 10 acre tract of land owned by the Company, the Erwin plant is located on a 12 acre tract of land owned by the Company and the Mountain City plant is located on an 8 acre tract of land owned by the Company.</w:t>
      </w:r>
    </w:p>
    <w:p>
      <w:pPr>
        <w:spacing w:after="0" w:line="176"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Through its newly formed joint venture company, Euroball, the Company manufactures high precision steel balls in three manufacturing facilities located in Kilkenny, Ireland, Eltmann, Germany and Pinerolo, Italy. The facilities currently have approximately 136,000, 54,000 and 112,000 square feet of manufacturing space, respectively. The Kilkenny facility is located on a two acre tract owned by Euroball, the Eltmann facility is leased from FAG and the Pinerolo facility is located on a 9 acre tract owned by Euroball.</w:t>
      </w:r>
    </w:p>
    <w:p>
      <w:pPr>
        <w:spacing w:after="0" w:line="177"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Industrial Molding Corporation manufactures a wide range of plastic molded products through two facilities located in Lubbock, Texas. The Slaton facility, located on a 6.5 acre tract of land owned by the Company, contains approximately 193,000 square feet of manufacturing, warehouse and office space. The Cedar facility is situated on a 2.5 acre tract of land which is also owned by the Company and contains approximately 35,000 square feet of manufacturing and warehouse space.</w:t>
      </w:r>
    </w:p>
    <w:p>
      <w:pPr>
        <w:spacing w:after="0" w:line="177" w:lineRule="exact"/>
        <w:rPr>
          <w:sz w:val="20"/>
          <w:szCs w:val="20"/>
          <w:color w:val="auto"/>
        </w:rPr>
      </w:pPr>
    </w:p>
    <w:p>
      <w:pPr>
        <w:jc w:val="both"/>
        <w:ind w:right="3179" w:firstLine="705"/>
        <w:spacing w:after="0" w:line="237" w:lineRule="auto"/>
        <w:rPr>
          <w:sz w:val="20"/>
          <w:szCs w:val="20"/>
          <w:color w:val="auto"/>
        </w:rPr>
      </w:pPr>
      <w:r>
        <w:rPr>
          <w:rFonts w:ascii="Courier New" w:cs="Courier New" w:eastAsia="Courier New" w:hAnsi="Courier New"/>
          <w:sz w:val="15"/>
          <w:szCs w:val="15"/>
          <w:color w:val="auto"/>
        </w:rPr>
        <w:t>During 2000, the Company added new machinery and equipment at all of its facilities. See "Management's Discussion and Analysis of Financial Condition and Results of Operations -- Liquidity and Capital Resources."</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5" w:lineRule="exact"/>
        <w:rPr>
          <w:sz w:val="20"/>
          <w:szCs w:val="20"/>
          <w:color w:val="auto"/>
        </w:rPr>
      </w:pPr>
    </w:p>
    <w:p>
      <w:pPr>
        <w:ind w:right="3359" w:firstLine="705"/>
        <w:spacing w:after="0" w:line="235" w:lineRule="auto"/>
        <w:rPr>
          <w:sz w:val="20"/>
          <w:szCs w:val="20"/>
          <w:color w:val="auto"/>
        </w:rPr>
      </w:pPr>
      <w:r>
        <w:rPr>
          <w:rFonts w:ascii="Courier New" w:cs="Courier New" w:eastAsia="Courier New" w:hAnsi="Courier New"/>
          <w:sz w:val="15"/>
          <w:szCs w:val="15"/>
          <w:color w:val="auto"/>
        </w:rPr>
        <w:t>No matters were submitted for a vote of stockholders during the fourth quarter of 2000.</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II</w:t>
      </w:r>
    </w:p>
    <w:p>
      <w:pPr>
        <w:spacing w:after="0" w:line="175" w:lineRule="exact"/>
        <w:rPr>
          <w:sz w:val="20"/>
          <w:szCs w:val="20"/>
          <w:color w:val="auto"/>
        </w:rPr>
      </w:pPr>
    </w:p>
    <w:p>
      <w:pPr>
        <w:ind w:left="700" w:right="3799" w:hanging="704"/>
        <w:spacing w:after="0" w:line="235" w:lineRule="auto"/>
        <w:tabs>
          <w:tab w:leader="none" w:pos="680" w:val="left"/>
        </w:tabs>
        <w:rPr>
          <w:sz w:val="20"/>
          <w:szCs w:val="20"/>
          <w:color w:val="auto"/>
        </w:rPr>
      </w:pPr>
      <w:r>
        <w:rPr>
          <w:rFonts w:ascii="Courier New" w:cs="Courier New" w:eastAsia="Courier New" w:hAnsi="Courier New"/>
          <w:sz w:val="15"/>
          <w:szCs w:val="15"/>
          <w:color w:val="auto"/>
        </w:rPr>
        <w:t>Item 5</w:t>
        <w:tab/>
        <w:t>Market for the Registrant's Common Equity and Related Stockholder Matters</w:t>
      </w:r>
    </w:p>
    <w:p>
      <w:pPr>
        <w:spacing w:after="0" w:line="17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5" w:lineRule="exact"/>
        <w:rPr>
          <w:sz w:val="20"/>
          <w:szCs w:val="20"/>
          <w:color w:val="auto"/>
        </w:rPr>
      </w:pPr>
    </w:p>
    <w:p>
      <w:pPr>
        <w:ind w:right="3179" w:firstLine="705"/>
        <w:spacing w:after="0" w:line="259" w:lineRule="auto"/>
        <w:rPr>
          <w:sz w:val="20"/>
          <w:szCs w:val="20"/>
          <w:color w:val="auto"/>
        </w:rPr>
      </w:pPr>
      <w:r>
        <w:rPr>
          <w:rFonts w:ascii="Courier New" w:cs="Courier New" w:eastAsia="Courier New" w:hAnsi="Courier New"/>
          <w:sz w:val="14"/>
          <w:szCs w:val="14"/>
          <w:color w:val="auto"/>
        </w:rPr>
        <w:t>The following selected financial data of the Company are qualified by reference to and should be read in conjunction with the Financial Statements and the Notes thereto included as Item 8. The data set forth below as of December 31, 2000 has been derived from the Financial Statements of the Company which</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7" w:right="1440" w:bottom="1440" w:gutter="0" w:footer="0" w:header="0"/>
        </w:sectPr>
      </w:pPr>
    </w:p>
    <w:bookmarkStart w:id="9" w:name="page10"/>
    <w:bookmarkEnd w:id="9"/>
    <w:p>
      <w:pPr>
        <w:ind w:right="3259"/>
        <w:spacing w:after="0" w:line="238" w:lineRule="auto"/>
        <w:rPr>
          <w:sz w:val="20"/>
          <w:szCs w:val="20"/>
          <w:color w:val="auto"/>
        </w:rPr>
      </w:pPr>
      <w:r>
        <w:rPr>
          <w:rFonts w:ascii="Courier New" w:cs="Courier New" w:eastAsia="Courier New" w:hAnsi="Courier New"/>
          <w:sz w:val="15"/>
          <w:szCs w:val="15"/>
          <w:color w:val="auto"/>
        </w:rPr>
        <w:t>have been audited by KPMG LLP, independent accountants, whose report thereon is included as part of Item 8. The data below as of December 31, 1999 and for each of the three years in the period ended December 31, 1999 have been derived from the Financial Statements of the Company which have been audited by PricewaterhouseCoopers LLP, independent accountants. These historical results are not necessarily indicative of the results to be expected in the future. See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12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c>
          <w:tcPr>
            <w:tcW w:w="80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12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43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(In Thousands, Except Per Share Data)</w:t>
            </w:r>
          </w:p>
        </w:tc>
        <w:tc>
          <w:tcPr>
            <w:tcW w:w="80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Statement of Income Data:</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$132,129</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$85,294</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$73,006</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$75,252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$84,539</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93,926</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59,967</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50,353</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51,707</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56,695</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38,203</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25,327</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22,653</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23,545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27,844</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11,571</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6,854</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5,896</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5,518</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4,890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9,165</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6,131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4,557</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4,106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3,358</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17,467</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12,342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12,200</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13,921</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19,596</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1,773</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296</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Equity in earnings of unconsolidated</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affiliate</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Gain on involuntary conversion</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(728)</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16,606</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11,819</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12,136</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13,892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19,300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5,959</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4,060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4,480</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5,382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6,835</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Minority interest in income of</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consolidated Subsidiary</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660</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$9,987</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$7,759</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$7,656</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$8,510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$12,465</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$0.66</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$0.52</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$0.57</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$ 0.83</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Diluted income per share</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$0.64</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$0.52</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$0.57</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$0.83</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income per share</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$0.81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$0.82</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$0.94</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$0.32</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$0.32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$0.32</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$0.32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$0.32</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15,247</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15,021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14,804</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14,804</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15,042</w:t>
            </w:r>
          </w:p>
        </w:tc>
      </w:tr>
      <w:tr>
        <w:trPr>
          <w:trHeight w:val="170"/>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Outstanding - Basic</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600" w:type="dxa"/>
            <w:vAlign w:val="bottom"/>
          </w:tcPr>
          <w:p>
            <w:pPr>
              <w:spacing w:after="0"/>
              <w:rPr>
                <w:sz w:val="14"/>
                <w:szCs w:val="14"/>
                <w:color w:val="auto"/>
              </w:rPr>
            </w:pP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$64,038</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$34,397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$28,571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$26,185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$26,727</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35,859</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10,478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7,638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7,471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8,374</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187,808</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91,363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66,860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63,273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59,292</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50,515</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17,151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62,246</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60,128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56,242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52,971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48,710</w:t>
            </w:r>
          </w:p>
        </w:tc>
      </w:tr>
      <w:tr>
        <w:trPr>
          <w:trHeight w:val="678"/>
        </w:trPr>
        <w:tc>
          <w:tcPr>
            <w:tcW w:w="2600" w:type="dxa"/>
            <w:vAlign w:val="bottom"/>
          </w:tcPr>
          <w:p>
            <w:pPr>
              <w:spacing w:after="0"/>
              <w:rPr>
                <w:sz w:val="24"/>
                <w:szCs w:val="24"/>
                <w:color w:val="auto"/>
              </w:rPr>
            </w:pPr>
          </w:p>
        </w:tc>
        <w:tc>
          <w:tcPr>
            <w:tcW w:w="19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627" w:right="1440" w:bottom="1440" w:gutter="0" w:footer="0" w:header="0"/>
        </w:sectPr>
      </w:pPr>
    </w:p>
    <w:bookmarkStart w:id="10" w:name="page11"/>
    <w:bookmarkEnd w:id="10"/>
    <w:p>
      <w:pPr>
        <w:ind w:right="369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following discussion should be read in conjunction with, and is qualified in its entirety by, the Financial Statements and the Notes thereto and Selected Financial Data included elsewhere in this Form 10-K. Historical operating results and percentage relationships among any amounts included in the Financial Statements are not necessarily indicative of trends in operating results for any future period.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Company's core business is the manufacture and sale of high quality, precision steel balls and rollers. In 2000, sales of balls and rollers accounted for approximately 77% of the Company's total net sales. Of this 77%, balls accounted for 72% and rollers accounted for 5%. Sales of precision molded plastic parts accounted for the remaining 23%. See Note 10 of the Notes to Financial Statements.</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Since the Company was formed, growth factors include its displacement of captive ball manufacturing divisions of domestic and international bearing manufacturers as a source of precision balls and increased sales of high precision balls for quiet bearing applications. Sales of high precision balls produced by the Company for use in quiet bearing applications has grown to approximately 85% of total net ball sales. Management believes that the Company's sales growth since its formation has been due to its ability to capitalize on opportunities in overseas markets and provide precision balls at competitive prices, as well as its emphasis on product quality and customer service.</w:t>
      </w:r>
    </w:p>
    <w:p>
      <w:pPr>
        <w:spacing w:after="0" w:line="180"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As a result of changing dynamics in the marketplace, the Company developed and is implementing an extensive new long-term growth strategy involving both its core business and opportunities beyond the core markets that are consistent with the Company's strengths and culture.</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On July 4, 1999, the Company, acquired substantially all of the assets of Earsley Capital Corporation, formerly known as Industrial Molding Corporation ("IMC").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 During 2000, IMC sold its products to approximately 55 customers in 12 different countries.</w:t>
      </w:r>
    </w:p>
    <w:p>
      <w:pPr>
        <w:spacing w:after="0" w:line="179"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On March 16, 2000, the Company entered into a 50/50 joint venture with General Bearing Corporation called NN General LLC ("NN General"), which owns a 60% position in Jiangsu General Ball &amp; Roller Company, Ltd. ("JGBR"), a Chinese precision ball and roller manufacturer located in Rugao City, Jiangsu Providence, China. The Company's investment includes a cash loan of $3.4 million. The remaining 40% of the Chinese company is owned by Jiangsu Steel Ball Factory.</w:t>
      </w:r>
    </w:p>
    <w:p>
      <w:pPr>
        <w:spacing w:after="0" w:line="17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On July 31, 2000, the Company formed a majority owned stand-alone company in Europe, NN Euroball ApS ("Euroball"), for the manufacture and sale of chrome steel balls used for ball bearings and other products. The Company owns 54% of Euroball. AB SKF and FAG Kugelfisher Georg Shafer AG, the parent companies of SKF and FAG respectively each own 23%. As part of the transaction, Euroball acquired the ball factories located in Pinerolo, Italy (previously owned by SKF), Eltmann, Germany (previously owned by FAG), and Kilkenny, Ireland (previously owned by the Company). Acquisition financing of approximately 31.5 million euro (approximately $29.7 million) was drawn at closing, and the credit facility provides for additional working capital expenditure financing. The Company is required to consolidate Euroball due to its ability to exercise control over its operations and has accounted for the acquisitions of the Pinerolo, Italy and Eltmann, Germany ball factories using the purchase method of accounting. Goodwill arising from this acquisition is being amortized on a straight-line basis over 20 years.</w:t>
      </w:r>
    </w:p>
    <w:p>
      <w:pPr>
        <w:spacing w:after="0" w:line="18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On August 31, 2000 the Company acquired a 51% ownership interest in NN Mexico, LLC ("NN Mexico"), a Delaware limited liability company. NN Mexico holds as its sole investment a 100% ownership interest in NN Arte, a manufacturer of plastic components located in Guadalajara, Mexico. To acquire its 51% ownership of NN Mexico, the Company made an initial contribution of $879,000, an additional contribution of $671,000 and is obligated to provide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additional funding of $600,000 payable upon certain performance conditions</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at NN Arte. The Company is required to consolidate NN Mexico due to its ability to exercise control over NN Arte's operations and has accounted for this acquisition using the purchase method of accounting. At December 31, 2000, NN Arte had not commenced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following table sets forth for the periods indicated selected financial data and the percentage of the Company's net sales represented by each income statement line item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92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As a percentage of Net Sales</w:t>
            </w:r>
          </w:p>
        </w:tc>
      </w:tr>
      <w:tr>
        <w:trPr>
          <w:trHeight w:val="170"/>
        </w:trPr>
        <w:tc>
          <w:tcPr>
            <w:tcW w:w="4220" w:type="dxa"/>
            <w:vAlign w:val="bottom"/>
          </w:tcPr>
          <w:p>
            <w:pPr>
              <w:spacing w:after="0"/>
              <w:rPr>
                <w:sz w:val="14"/>
                <w:szCs w:val="14"/>
                <w:color w:val="auto"/>
              </w:rPr>
            </w:pPr>
          </w:p>
        </w:tc>
        <w:tc>
          <w:tcPr>
            <w:tcW w:w="2920" w:type="dxa"/>
            <w:vAlign w:val="bottom"/>
            <w:gridSpan w:val="3"/>
          </w:tcPr>
          <w:p>
            <w:pPr>
              <w:jc w:val="right"/>
              <w:ind w:right="3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2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2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509"/>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Cost of product sold</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71.1</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70.3</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69.0</w:t>
            </w:r>
          </w:p>
        </w:tc>
      </w:tr>
      <w:tr>
        <w:trPr>
          <w:trHeight w:val="170"/>
        </w:trPr>
        <w:tc>
          <w:tcPr>
            <w:tcW w:w="4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28.9</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29.7</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31.0</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8.8</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6.9</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w:t>
            </w:r>
          </w:p>
        </w:tc>
      </w:tr>
      <w:tr>
        <w:trPr>
          <w:trHeight w:val="170"/>
        </w:trPr>
        <w:tc>
          <w:tcPr>
            <w:tcW w:w="4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13.2</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0.6</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Equity in earnings of unconsolidated affiliates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Gain on involuntary conversion</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(0.6)</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12.6</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Minority interest in income of consolidated</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subsidiary</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w:t>
            </w:r>
          </w:p>
        </w:tc>
      </w:tr>
      <w:tr>
        <w:trPr>
          <w:trHeight w:val="170"/>
        </w:trPr>
        <w:tc>
          <w:tcPr>
            <w:tcW w:w="4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2000 Compared to the Year Ended December 31, 1999</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Net Sales. The Company's net sales increased $46.8 million or 54.9%, from $85.3 million in 1999 to $132.1 million in 2000. The formation of Euroball in August of 2000 contributed $30.4 million of the increase, excluding the third and fourth quarter sales of the Ireland facility, which were consolidated into the results of the Company prior to the formation of Euroball. Additionally the inclusion of a full year of IMC's net sales contributed $15.6 million. The Company acquired IMC on July 4, 1999, thus six months of IMC's results were included in the Company's 1999 results. The remainder of the increase is due to increased ball and roller sales in the first half of the year, offset by slowing domestic demand for balls and rollers in the second half of the year. The Company experienced decreased sales in the second half of the year for the Plastics Division due primarily to decreased sales to one customer.</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sectPr>
      </w:pPr>
    </w:p>
    <w:bookmarkStart w:id="12" w:name="page13"/>
    <w:bookmarkEnd w:id="12"/>
    <w:p>
      <w:pPr>
        <w:ind w:right="3179" w:firstLine="705"/>
        <w:spacing w:after="0" w:line="238" w:lineRule="auto"/>
        <w:rPr>
          <w:sz w:val="20"/>
          <w:szCs w:val="20"/>
          <w:color w:val="auto"/>
        </w:rPr>
      </w:pPr>
      <w:r>
        <w:rPr>
          <w:rFonts w:ascii="Courier New" w:cs="Courier New" w:eastAsia="Courier New" w:hAnsi="Courier New"/>
          <w:sz w:val="15"/>
          <w:szCs w:val="15"/>
          <w:color w:val="auto"/>
        </w:rPr>
        <w:t>Gross Profit. Gross profit increased by $12.9 million, or 50.8% from $25.3 million in 1999 to $38.2 million in 2000. Net of the Ireland facility's third and fourth quarter gross profit, the Euroball joint venture accounted for $7.5 million of the increase. The inclusion of a full year of IMC's gross profit contributed an additional $4.0 million in gross profit. The remainder of the increase is primarily attributed to increased sales at the Domestic Ball and Roller Division. To a lesser degree, decreased costs as a percentage of sales at the Domestic Ball and Roller Division contributed to the increase in gross profit. This was due mainly to inventory builds during the fourth quarter of 2000. As a percentage of net sales, gross profit decreased from 29.7% in 1999 to 28.9% in 2000.</w:t>
      </w:r>
    </w:p>
    <w:p>
      <w:pPr>
        <w:spacing w:after="0" w:line="181"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by $4.7 million, or 68.8% from $6.9 million in 1999 to $11.6 million in 2000. The Euroball Division, net of the Ireland facility, accounted for $2.4 million of the increase. The inclusion of a full year of IMC's results accounted for $1.6 million of the increase. The remainder of the increase is primarily attributed to increased administrative expenses associated with the Company's business development activity during the year. As a percentage of net sales, selling, general and administrative expenses increased from 8.0% in 1999 to 8.8% in 2000.</w:t>
      </w:r>
    </w:p>
    <w:p>
      <w:pPr>
        <w:spacing w:after="0" w:line="179" w:lineRule="exact"/>
        <w:rPr>
          <w:sz w:val="20"/>
          <w:szCs w:val="20"/>
          <w:color w:val="auto"/>
        </w:rPr>
      </w:pPr>
    </w:p>
    <w:p>
      <w:pPr>
        <w:ind w:right="3259" w:firstLine="705"/>
        <w:spacing w:after="0" w:line="258" w:lineRule="auto"/>
        <w:rPr>
          <w:sz w:val="20"/>
          <w:szCs w:val="20"/>
          <w:color w:val="auto"/>
        </w:rPr>
      </w:pPr>
      <w:r>
        <w:rPr>
          <w:rFonts w:ascii="Courier New" w:cs="Courier New" w:eastAsia="Courier New" w:hAnsi="Courier New"/>
          <w:sz w:val="14"/>
          <w:szCs w:val="14"/>
          <w:color w:val="auto"/>
        </w:rPr>
        <w:t>Depreciation and Amortization. Depreciation and amortization expenses increased $3.0 million, or 49.5% from $6.1 million in 1999 to $9.2 million in 2000. The addition of Euroball, adjusting for the Ireland facility, accounted for $2.4 million of the increase. The inclusion of a full year of IMC's results accounted for the remainder of the increase. As a percentage of net sales, depreciation and amortization decreased from 7.2% in 1999 to 6.9% in 2000.</w:t>
      </w:r>
    </w:p>
    <w:p>
      <w:pPr>
        <w:spacing w:after="0" w:line="15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Interest Expense. Interest expense increased by $1.2 million from</w:t>
      </w:r>
    </w:p>
    <w:p>
      <w:pPr>
        <w:spacing w:after="0"/>
        <w:rPr>
          <w:sz w:val="20"/>
          <w:szCs w:val="20"/>
          <w:color w:val="auto"/>
        </w:rPr>
      </w:pPr>
      <w:r>
        <w:rPr>
          <w:rFonts w:ascii="Courier New" w:cs="Courier New" w:eastAsia="Courier New" w:hAnsi="Courier New"/>
          <w:sz w:val="15"/>
          <w:szCs w:val="15"/>
          <w:color w:val="auto"/>
        </w:rPr>
        <w:t>$523,000 in 1999 to $1.8 million in 2000. Interest expense related to the debt</w:t>
      </w:r>
    </w:p>
    <w:p>
      <w:pPr>
        <w:spacing w:after="0"/>
        <w:rPr>
          <w:sz w:val="20"/>
          <w:szCs w:val="20"/>
          <w:color w:val="auto"/>
        </w:rPr>
      </w:pPr>
      <w:r>
        <w:rPr>
          <w:rFonts w:ascii="Courier New" w:cs="Courier New" w:eastAsia="Courier New" w:hAnsi="Courier New"/>
          <w:sz w:val="15"/>
          <w:szCs w:val="15"/>
          <w:color w:val="auto"/>
        </w:rPr>
        <w:t>incurred by Euroball to finance the joint venture transaction accounted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$622,000 of the increase. Additionally, the inclusion of a full year of interest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related to the purchase of the IMC business accounted for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 of the increase. The remainder of the increase is due to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expenditures associated with the Company's business development activity during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Additionally, the timing of expenditures associated with the March 12,</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2000 fire and the reimbursement of insurance proceeds has caused an increase in the levels outstanding under the Company's domestic line of credit. As a percentage of net sales, interest expense increased from 0.6% in 1999 to 1.3% in 2000. See "Management's Discussion and Analysis of Financial Condition - Liquidity and Capital Resources."</w:t>
      </w:r>
    </w:p>
    <w:p>
      <w:pPr>
        <w:spacing w:after="0" w:line="178" w:lineRule="exact"/>
        <w:rPr>
          <w:sz w:val="20"/>
          <w:szCs w:val="20"/>
          <w:color w:val="auto"/>
        </w:rPr>
      </w:pPr>
    </w:p>
    <w:p>
      <w:pPr>
        <w:ind w:right="3179" w:firstLine="705"/>
        <w:spacing w:after="0" w:line="258" w:lineRule="auto"/>
        <w:rPr>
          <w:sz w:val="20"/>
          <w:szCs w:val="20"/>
          <w:color w:val="auto"/>
        </w:rPr>
      </w:pPr>
      <w:r>
        <w:rPr>
          <w:rFonts w:ascii="Courier New" w:cs="Courier New" w:eastAsia="Courier New" w:hAnsi="Courier New"/>
          <w:sz w:val="14"/>
          <w:szCs w:val="14"/>
          <w:color w:val="auto"/>
        </w:rPr>
        <w:t>Equity in Earnings of Unconsolidated Affiliates. Equity in earnings of unconsolidated affiliates increased $48,000 from $0 in 1999 to $48,000. The increase is due to the Company's share of earnings from the NN General joint venture with General Bearing Corporation. Earnings from this venture were offset by losses incurred from the start-up of the marketing arm of this venture and losses sustained from start-up expenses from the investment in NN Mexico LLC.</w:t>
      </w:r>
    </w:p>
    <w:p>
      <w:pPr>
        <w:spacing w:after="0" w:line="164"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Gain on Involuntary Conversion. The Company had a gain on involuntary conversion of $728,000 in 2000 related to the excess of insurance proceeds over the net book value of assets destroyed in the fire and direct costs due to the March 12, 2000 fire at the Erwin facility.</w:t>
      </w:r>
    </w:p>
    <w:p>
      <w:pPr>
        <w:spacing w:after="0" w:line="176"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Minority Interest of Consolidated Subsidiary. Minority interest of consolidated subsidiary increased $660,000 from $0 in 1999 to $660,000 in 2000. This increase is due entirely to the Euroball joint venture. The Company is required to consolidate Euroball due to its ability to exercise control over the operations. The Company owns 54% of the shares of the joint venture with the minority partners owning the remaining 46%. Minority interest of consolidated interest represents the combined 46% interest of the minority partners.</w:t>
      </w:r>
    </w:p>
    <w:p>
      <w:pPr>
        <w:spacing w:after="0" w:line="167" w:lineRule="exact"/>
        <w:rPr>
          <w:sz w:val="20"/>
          <w:szCs w:val="20"/>
          <w:color w:val="auto"/>
        </w:rPr>
      </w:pPr>
    </w:p>
    <w:p>
      <w:pPr>
        <w:jc w:val="both"/>
        <w:ind w:right="3619" w:firstLine="705"/>
        <w:spacing w:after="0" w:line="237" w:lineRule="auto"/>
        <w:rPr>
          <w:sz w:val="20"/>
          <w:szCs w:val="20"/>
          <w:color w:val="auto"/>
        </w:rPr>
      </w:pPr>
      <w:r>
        <w:rPr>
          <w:rFonts w:ascii="Courier New" w:cs="Courier New" w:eastAsia="Courier New" w:hAnsi="Courier New"/>
          <w:sz w:val="15"/>
          <w:szCs w:val="15"/>
          <w:color w:val="auto"/>
        </w:rPr>
        <w:t>Net Income. Net income increased $2.2 million, or 28.7%, from $7.8 million in 1999 to $10.0 million in 2000. As a percentage of net sales, net income decreased from 9.1% in 2000 to 7.6% in 2000.</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Year Ended December 31, 1999 Compared to the Year Ended December 31, 1998</w:t>
      </w:r>
    </w:p>
    <w:p>
      <w:pPr>
        <w:spacing w:after="0" w:line="17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Net Sales. The Company's net sales increased $12.3 million, or 16.8%, from $73.0 million in 1998 to $85.3 million in 1999. The IMC acquisition accounted for $17.6 million in additional sales for the twelve-month period in 1999. Foreign net sales decreased $1.3 million or 3.9%, from $33.7 million in 1998 to $32.4 million in 1999. The decrease in foreign net sales was due primarily to decreased sales volumes with existing customers, largely due to general economic conditions in Asia and the impact of the relative strength of the U.S. dollar against world currencies in the first two quarters of the year. This was partially offset by the addition of $880,000 in foreign sales contributed by the IMC acquisition. Domestic net sales increased $13.6 million, or 34.6%, from $39.3 million in 1998 to $52.9 million in 1999. This increase was primarily due to the IMC acquisition which contributed $16.7 million in domestic sales for 1999. This was partially offset by decreased domestic sales primarily to one customer.</w:t>
      </w:r>
    </w:p>
    <w:p>
      <w:pPr>
        <w:spacing w:after="0" w:line="17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Gross Profit. Gross profit increased by $2.6 million, or 11.5% from</w:t>
      </w:r>
    </w:p>
    <w:p>
      <w:pPr>
        <w:spacing w:after="0"/>
        <w:rPr>
          <w:sz w:val="20"/>
          <w:szCs w:val="20"/>
          <w:color w:val="auto"/>
        </w:rPr>
      </w:pPr>
      <w:r>
        <w:rPr>
          <w:rFonts w:ascii="Courier New" w:cs="Courier New" w:eastAsia="Courier New" w:hAnsi="Courier New"/>
          <w:sz w:val="15"/>
          <w:szCs w:val="15"/>
          <w:color w:val="auto"/>
        </w:rPr>
        <w:t>$22.7 million in 1998 to $25.3 million in 1999. The IMC acquisition accounted</w:t>
      </w:r>
    </w:p>
    <w:p>
      <w:pPr>
        <w:spacing w:after="0"/>
        <w:rPr>
          <w:sz w:val="20"/>
          <w:szCs w:val="20"/>
          <w:color w:val="auto"/>
        </w:rPr>
      </w:pPr>
      <w:r>
        <w:rPr>
          <w:rFonts w:ascii="Courier New" w:cs="Courier New" w:eastAsia="Courier New" w:hAnsi="Courier New"/>
          <w:sz w:val="15"/>
          <w:szCs w:val="15"/>
          <w:color w:val="auto"/>
        </w:rPr>
        <w:t>for $4.3 million in increased gross profit but was mostly offset by increased</w:t>
      </w:r>
    </w:p>
    <w:p>
      <w:pPr>
        <w:spacing w:after="0" w:line="238" w:lineRule="auto"/>
        <w:rPr>
          <w:sz w:val="20"/>
          <w:szCs w:val="20"/>
          <w:color w:val="auto"/>
        </w:rPr>
      </w:pPr>
      <w:r>
        <w:rPr>
          <w:rFonts w:ascii="Courier New" w:cs="Courier New" w:eastAsia="Courier New" w:hAnsi="Courier New"/>
          <w:sz w:val="15"/>
          <w:szCs w:val="15"/>
          <w:color w:val="auto"/>
        </w:rPr>
        <w:t>costs associated with capacity under-utilization in the Ball &amp; Roller division</w:t>
      </w:r>
    </w:p>
    <w:p>
      <w:pPr>
        <w:spacing w:after="0"/>
        <w:rPr>
          <w:sz w:val="20"/>
          <w:szCs w:val="20"/>
          <w:color w:val="auto"/>
        </w:rPr>
      </w:pPr>
      <w:r>
        <w:rPr>
          <w:rFonts w:ascii="Courier New" w:cs="Courier New" w:eastAsia="Courier New" w:hAnsi="Courier New"/>
          <w:sz w:val="15"/>
          <w:szCs w:val="15"/>
          <w:color w:val="auto"/>
        </w:rPr>
        <w:t>due to decreased levels of volume during 1999 as well as the short-term impact</w:t>
      </w:r>
    </w:p>
    <w:p>
      <w:pPr>
        <w:spacing w:after="0"/>
        <w:rPr>
          <w:sz w:val="20"/>
          <w:szCs w:val="20"/>
          <w:color w:val="auto"/>
        </w:rPr>
      </w:pPr>
      <w:r>
        <w:rPr>
          <w:rFonts w:ascii="Courier New" w:cs="Courier New" w:eastAsia="Courier New" w:hAnsi="Courier New"/>
          <w:sz w:val="15"/>
          <w:szCs w:val="15"/>
          <w:color w:val="auto"/>
        </w:rPr>
        <w:t>of the inventory reduction efforts. As a percentage of net sales, gross profit</w:t>
      </w:r>
    </w:p>
    <w:p>
      <w:pPr>
        <w:spacing w:after="0" w:line="238" w:lineRule="auto"/>
        <w:rPr>
          <w:sz w:val="20"/>
          <w:szCs w:val="20"/>
          <w:color w:val="auto"/>
        </w:rPr>
      </w:pPr>
      <w:r>
        <w:rPr>
          <w:rFonts w:ascii="Courier New" w:cs="Courier New" w:eastAsia="Courier New" w:hAnsi="Courier New"/>
          <w:sz w:val="15"/>
          <w:szCs w:val="15"/>
          <w:color w:val="auto"/>
        </w:rPr>
        <w:t>decreased from 31.0% in 1998 to 29.7% in 1999.</w:t>
      </w:r>
    </w:p>
    <w:p>
      <w:pPr>
        <w:spacing w:after="0" w:line="17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by $958,000, or 16.2% in 1999 to $6.9 million from $5.9 million in 1998. The acquisition of IMC accounted for $1.8 million of the increase offset by decreased spending in the Ball &amp; Roller division. As a percentage of net sales, selling, general and administrative expenses decreased slightly to 8.0% in 1999 from 8.1% in 1998.</w:t>
      </w:r>
    </w:p>
    <w:p>
      <w:pPr>
        <w:spacing w:after="0" w:line="176" w:lineRule="exact"/>
        <w:rPr>
          <w:sz w:val="20"/>
          <w:szCs w:val="20"/>
          <w:color w:val="auto"/>
        </w:rPr>
      </w:pPr>
    </w:p>
    <w:p>
      <w:pPr>
        <w:ind w:right="3359" w:firstLine="705"/>
        <w:spacing w:after="0" w:line="258" w:lineRule="auto"/>
        <w:rPr>
          <w:sz w:val="20"/>
          <w:szCs w:val="20"/>
          <w:color w:val="auto"/>
        </w:rPr>
      </w:pPr>
      <w:r>
        <w:rPr>
          <w:rFonts w:ascii="Courier New" w:cs="Courier New" w:eastAsia="Courier New" w:hAnsi="Courier New"/>
          <w:sz w:val="14"/>
          <w:szCs w:val="14"/>
          <w:color w:val="auto"/>
        </w:rPr>
        <w:t>Depreciation and Amortization Expense. Depreciation expense increased $1.5 million, or 34.5%, to $6.1 million in 1999 from $4.6 million in 1998. The acquisition of IMC accounted for $1.2 million of increased depreciation and amortization expense. The remainder of the increase was due to purchases of capital equipment at the Company's ball and roller facilities. As a percentage of net sales, depreciation increased to 7.2% in 1999 from 6.2% in 1998.</w:t>
      </w:r>
    </w:p>
    <w:p>
      <w:pPr>
        <w:spacing w:after="0" w:line="164" w:lineRule="exact"/>
        <w:rPr>
          <w:sz w:val="20"/>
          <w:szCs w:val="20"/>
          <w:color w:val="auto"/>
        </w:rPr>
      </w:pPr>
    </w:p>
    <w:p>
      <w:pPr>
        <w:ind w:right="3359" w:firstLine="705"/>
        <w:spacing w:after="0" w:line="258" w:lineRule="auto"/>
        <w:rPr>
          <w:sz w:val="20"/>
          <w:szCs w:val="20"/>
          <w:color w:val="auto"/>
        </w:rPr>
      </w:pPr>
      <w:r>
        <w:rPr>
          <w:rFonts w:ascii="Courier New" w:cs="Courier New" w:eastAsia="Courier New" w:hAnsi="Courier New"/>
          <w:sz w:val="14"/>
          <w:szCs w:val="14"/>
          <w:color w:val="auto"/>
        </w:rPr>
        <w:t>Interest Expense. Interest expense increased $459,000 from $64,000 in 1998 to $523,000 in 1999. The increase was due to increased levels outstanding under the Company's line of credit in 1999. In July of 1999, the Company borrowed $18.5 million under the line of credit for the purchase of selected assets of the Earsley Capital Corporation. See "Management's Discussion and Analysis of Financial Condition --Liquidity and Capital Resources."</w:t>
      </w:r>
    </w:p>
    <w:p>
      <w:pPr>
        <w:spacing w:after="0" w:line="164"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Net Income. Net income increased $103,000, or 1.3% from $7.7 million in 1998 to $7.8 million in 1999. As a percentage of net sales, net income decreased to 9.1% in 1999 from 10.5% in 1998. The decrease in net income as a percentage of net sales was due primarily to excess capacity at the Company's Ball &amp; Roller division and a related gross profit margin decrease, increased depreciation expense and interest expense related to the IMC acquisition. Offsetting these factors was a slightly lower federal tax rate.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In July 1997, the Company entered into a loan agreement with First American National Bank ("First American") which provides for a revolving credit facility of up to $25 million, expiring on June 30, 2000. In July, 1999, the Company extended the terms of the loan agreement with First American to expire on October 30, 2001. Amounts outstanding under the revolving facility are unsecured and bear interest at a floating rate equal to, at the Company's option, either LIBOR plus 0.65% or the Fed Funds effective rate plus 1.5%. In August 2000, the Company entered into an agreement, which provided an additional $2 million of availability to the revolving credit facility through December 31, 2000.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declaration. The loan agreement also prohibits sales of property outside of the ordinary</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14" w:name="page15"/>
    <w:bookmarkEnd w:id="14"/>
    <w:p>
      <w:pPr>
        <w:ind w:right="3179"/>
        <w:spacing w:after="0" w:line="258" w:lineRule="auto"/>
        <w:rPr>
          <w:sz w:val="20"/>
          <w:szCs w:val="20"/>
          <w:color w:val="auto"/>
        </w:rPr>
      </w:pPr>
      <w:r>
        <w:rPr>
          <w:rFonts w:ascii="Courier New" w:cs="Courier New" w:eastAsia="Courier New" w:hAnsi="Courier New"/>
          <w:sz w:val="14"/>
          <w:szCs w:val="14"/>
          <w:color w:val="auto"/>
        </w:rPr>
        <w:t>course of business. The loan agreement also contains customary financial covenants with respect to the Company, including a covenant that the Company's earnings will not decrease in any year by more than fifty percent of earnings in the Company's immediately preceding fiscal year. The Company extended and restated this facility in February 2001. See "Management's Discussion and Analysis of Financial Condition and Results of Operations - "Subsequent Events."</w:t>
      </w:r>
    </w:p>
    <w:p>
      <w:pPr>
        <w:spacing w:after="0" w:line="164"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July 2000, NN Euroball ApS, and its subsidiaries entered into a loan agreement with HypoVereinsbank Luxembourg S.A. as agent for Bayerische Hypo-und Vereinsbank AG of Munich, Germany for a senior secured revolving credit facility of Euro 5,000,000, expiring on July 15, 2006 and a senior secured term loan of Euro 36,000,000, expiring on July 15, 2006. On July 31, 2000, upon closing of the joint venture, NN Euroball ApS borrowed a total of Euro 31,500,000 against these facilities for acquisition financing. Additional working capital and capital expenditure financing are provided for under the facility. Amounts outstanding under the facilities accrue interest at a floating rate equal to EURIBOR plus an applicable margin of between 1.125% to 2.25% based upon calculated financial ratios. The loan agreement contains various restrictive financial and non financial covenants. The Company, as of December 31, 2000, was in compliance with all such covenants.</w:t>
      </w:r>
    </w:p>
    <w:p>
      <w:pPr>
        <w:spacing w:after="0" w:line="183"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 Company's net sales historically have not been of a seasonal nature. However, seasonality has become a factor for the foreign ball and roller sales in that many foreign customers cease production during the month of August. The Company also experiences seasonal fluctuation through its Plastics Division which provides several lines of seasonal hardware. For information concerning the Company's quarterly results of operations for the years ended December 31, 2000 and 1999, see Note 14 of the Notes to Financial Statements.</w:t>
      </w:r>
    </w:p>
    <w:p>
      <w:pPr>
        <w:spacing w:after="0" w:line="16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Company bills and receives payment from some of its foreign customers in their local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16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Working capital, which consists principally of accounts receivable and inventories, was $28.2 million at December 31, 2000 as compared to $22.9 million at December 31, 1999. The ratio of current assets to current liabilities decreased from 3.2:1 at December 31, 1999 to 1.79:1 at December 31, 2000. Cash flow from operations increased to $24.2 million during 2000 from $17.8 million during 1999. This increase was primarily attributed to changes in working capital accounts due to Euroball joint venture transaction completed in August of 2000.</w:t>
      </w:r>
    </w:p>
    <w:p>
      <w:pPr>
        <w:spacing w:after="0" w:line="178"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During 2001, the Company plans to spend approximately $5.3 million on capital expenditures.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2001.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Events</w:t>
      </w:r>
    </w:p>
    <w:p>
      <w:pPr>
        <w:spacing w:after="0" w:line="175"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On February 16, 2001, the Company completed the acquisition of all of the outstanding stock of The Delta Rubber Company, a Connecticut corporation ("Delta") for $22.5 million in cash, of which $500,000 is to be held in escrow for one year from the date of closing. Delta provides high quality engineered bearing seals and other precision-molded rubber products to original equipment manufacturers. NN plans to continue the operation of the Delta business, which operates a manufacturing facility in Danielson, Connecticut. AmSouth Bank provided financing for the transaction.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7" w:right="1440" w:bottom="1440" w:gutter="0" w:footer="0" w:header="0"/>
        </w:sectPr>
      </w:pPr>
    </w:p>
    <w:bookmarkStart w:id="15" w:name="page16"/>
    <w:bookmarkEnd w:id="15"/>
    <w:p>
      <w:pPr>
        <w:ind w:right="3179" w:firstLine="705"/>
        <w:spacing w:after="0" w:line="238" w:lineRule="auto"/>
        <w:rPr>
          <w:sz w:val="20"/>
          <w:szCs w:val="20"/>
          <w:color w:val="auto"/>
        </w:rPr>
      </w:pPr>
      <w:r>
        <w:rPr>
          <w:rFonts w:ascii="Courier New" w:cs="Courier New" w:eastAsia="Courier New" w:hAnsi="Courier New"/>
          <w:sz w:val="15"/>
          <w:szCs w:val="15"/>
          <w:color w:val="auto"/>
        </w:rPr>
        <w:t>In February of 2001, the Company extended and restated the $25 million revolving credit facility with AmSouth Bank to temporarily increase the facility to $50 million. The facility will be reduced to $25 million on June 30, 2001 in anticipation of the Company structuring long-term financing arrangements for this amount. The original $25 million revolving credit facility will expire on July 25, 2003. In February 2001, the Company drew $23 million against the new line to finance the acquisition of Delta. Amounts outstanding under the amended revolving facility are unsecured and bear interest at a floating rate equal to LIBOR plus an applicable margin of between 0.65% and 2.15% based upon calculated financial ratios. The loan contains various restrictive financial and non-financial covenants. The Company, as of March 23, 2001, was in compliance with all such covenants.</w:t>
      </w:r>
    </w:p>
    <w:p>
      <w:pPr>
        <w:spacing w:after="0" w:line="182"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On March 1, 2001, the Company entered into an agreement with AmSouth Bank which provides an additional $2 million of availability to the revolving credit facility through June 1, 2001. At March 23, 2001, the Company had no amounts outstanding under this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Euro</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will continue to circulate but be in sub-units of the Euro. At the end of the transitional period, Euro bank notes and coins will be issued, and the national currencies of the member states will be legal tender no later than June 30, 2002.</w:t>
      </w:r>
    </w:p>
    <w:p>
      <w:pPr>
        <w:spacing w:after="0" w:line="180"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Company currently has operations in Ireland, Germany and Italy, which are Euro participating countries, and each facility sells product to customers in many of the participating countries. The functional currency of the Company's Euroball operations is the Euro.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Fluctuation in Quarterly Results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Company's net sales historically have not been of a seasonal nature. However, as foreign sales have increased as a percentage of total sales, seasonality has become a factor for the Company in that many foreign customers cease production during the month of August. For information concerning the Company's quarterly results of operations for the years ended December 31, 2000 and 1999, see Note 14 of the Notes to Financial Statements.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and Changes in Prices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While the Company's operations have not been affected by inflation during recent years, prices for 52100 Steel and other raw materials purchased by the Company are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Typically, the Company's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Steel price increases by taking such measures.</w:t>
      </w:r>
    </w:p>
    <w:p>
      <w:pPr>
        <w:spacing w:after="0" w:line="18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Cautionary Statements for Purposes of the "Safe Harbor" Provisions of the Private Securities Litigation Reform Act of 1995</w:t>
      </w:r>
    </w:p>
    <w:p>
      <w:pPr>
        <w:spacing w:after="0" w:line="176" w:lineRule="exact"/>
        <w:rPr>
          <w:sz w:val="20"/>
          <w:szCs w:val="20"/>
          <w:color w:val="auto"/>
        </w:rPr>
      </w:pPr>
    </w:p>
    <w:p>
      <w:pPr>
        <w:ind w:right="3439" w:firstLine="705"/>
        <w:spacing w:after="0" w:line="238" w:lineRule="auto"/>
        <w:rPr>
          <w:sz w:val="20"/>
          <w:szCs w:val="20"/>
          <w:color w:val="auto"/>
        </w:rPr>
      </w:pPr>
      <w:r>
        <w:rPr>
          <w:rFonts w:ascii="Courier New" w:cs="Courier New" w:eastAsia="Courier New" w:hAnsi="Courier New"/>
          <w:sz w:val="15"/>
          <w:szCs w:val="15"/>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Readers can identify these forward-looking statements by the use of such verbs as expects, anticipates, believes or similar verbs or</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6" w:name="page17"/>
    <w:bookmarkEnd w:id="16"/>
    <w:p>
      <w:pPr>
        <w:ind w:right="3179"/>
        <w:spacing w:after="0" w:line="257" w:lineRule="auto"/>
        <w:rPr>
          <w:sz w:val="20"/>
          <w:szCs w:val="20"/>
          <w:color w:val="auto"/>
        </w:rPr>
      </w:pPr>
      <w:r>
        <w:rPr>
          <w:rFonts w:ascii="Courier New" w:cs="Courier New" w:eastAsia="Courier New" w:hAnsi="Courier New"/>
          <w:sz w:val="14"/>
          <w:szCs w:val="14"/>
          <w:color w:val="auto"/>
        </w:rPr>
        <w:t>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 Readers are strongly encouraged to consider these factors when evaluating any such forward-looking statement.</w:t>
      </w:r>
    </w:p>
    <w:p>
      <w:pPr>
        <w:spacing w:after="0" w:line="16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update or revise any forward-looking statements, whether as a result of new information, future events or otherwise.</w:t>
      </w:r>
    </w:p>
    <w:p>
      <w:pPr>
        <w:spacing w:after="0" w:line="17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Industry Risks. Both the precision ball and roller and precision plastics industries are cyclical and tend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Competition. The precision ball and roller market and the precision plastics market are highly competitive, and many of manufacturers in each of the markets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ball and roller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182"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Rapid Growth. The Company has significantly expanded its ball and roller production facilities and capacity over the last several years. During 1997, the Company purchased an additional manufacturing plant in Kilkenny, Ireland. The Company continued this expansion in 2000 through its 54% ownership of the NN Euroball joint venture with SKF and FAG. In addition, the Company invested in Jiangsu General Ball &amp; Roller Company, a Chinese joint venture specializing in various types of ball production. The Company's Ball &amp; Roller Division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these joint ventures and expansions.</w:t>
      </w:r>
    </w:p>
    <w:p>
      <w:pPr>
        <w:spacing w:after="0" w:line="182"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Risks Associated with International Trade. Because the Company (a) obtains a majority of its raw materials for the manufacture of balls and rollers from overseas suppliers, (b) now actively participates in overseas manufacturing operations and (c) sells to a large number of international customers, the Company faces risks associated with (i) adverse foreign currency fluctuations,(ii) 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manufacturing operations, and customers are located. An increase in the value of the United States dollar relative to foreign currencies adversely affects the ability of the Company to compete with its foreign-based competitors for international as well as domestic sales.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17" w:name="page18"/>
    <w:bookmarkEnd w:id="17"/>
    <w:p>
      <w:pPr>
        <w:ind w:right="3179" w:firstLine="705"/>
        <w:spacing w:after="0" w:line="238" w:lineRule="auto"/>
        <w:rPr>
          <w:sz w:val="20"/>
          <w:szCs w:val="20"/>
          <w:color w:val="auto"/>
        </w:rPr>
      </w:pPr>
      <w:r>
        <w:rPr>
          <w:rFonts w:ascii="Courier New" w:cs="Courier New" w:eastAsia="Courier New" w:hAnsi="Courier New"/>
          <w:sz w:val="15"/>
          <w:szCs w:val="15"/>
          <w:color w:val="auto"/>
        </w:rPr>
        <w:t>Dependence on Major Customers. During 2000, the Company's ten largest customers accounted for approximately 69% of its net sales. Sales to various US and foreign divisions of SKF, which is one of the largest bearing manufacturers in the world, accounted for approximately 32% of net sales in 2000, and sales to FAG accounted for approximately 17% of net sales. None of the Company's other customers accounted for more than 5% of its net sales in 2000. The loss of all or a substantial portion of sales to these customers would have a material adverse effect on the Company's business.</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Acquisitions. The Company's growth strategy includes growth through acquisitions. In 1999, the Company acquired the IMC businesses as part of that strategy. In 2000, the Company formed the NN Euroball joint venture with SKF and FAG and began operating two new ball manufacturing facilities. Although the Company believes that it will be able to continue to integrate the operations of IMC, NN Euroball and other companies acquired in the future into its operations without substantial cost, delays or other problems, its ability to do so will depend on, among other things, the adequacy of its implementation plans, the ability of its management to effectively oversee and operate the combined operations of the Company and the acquired businesses and its ability to achieve desired operating efficiencies and sales goals. If the Company is not able to successfully integrate the operations of acquired companies into its business, its future earnings and profitability could be materially and adversely affected.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establishes accounting and reporting standards for derivative instruments and hedging activities and is effective for the Company's 2001 reporting cycle. The adoption of this standard by the Company is not expected to result in significant adjustments to existing accounting practices as the Company does not currently hold any derivative financial instruments as of December 31, 2000.</w:t>
      </w:r>
    </w:p>
    <w:p>
      <w:pPr>
        <w:spacing w:after="0" w:line="17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will be effective January 1, 2001. The adoption of this standard by the Company is not expected to result in significant adjustments to existing accounting practices as the Company does not currently hold any derivative financial instruments or participate in speculative activities.</w:t>
      </w:r>
    </w:p>
    <w:p>
      <w:pPr>
        <w:spacing w:after="0" w:line="17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5" w:lineRule="exact"/>
        <w:rPr>
          <w:sz w:val="20"/>
          <w:szCs w:val="20"/>
          <w:color w:val="auto"/>
        </w:rPr>
      </w:pPr>
    </w:p>
    <w:p>
      <w:pPr>
        <w:ind w:right="3179" w:firstLine="705"/>
        <w:spacing w:after="0" w:line="258" w:lineRule="auto"/>
        <w:rPr>
          <w:sz w:val="20"/>
          <w:szCs w:val="20"/>
          <w:color w:val="auto"/>
        </w:rPr>
      </w:pPr>
      <w:r>
        <w:rPr>
          <w:rFonts w:ascii="Courier New" w:cs="Courier New" w:eastAsia="Courier New" w:hAnsi="Courier New"/>
          <w:sz w:val="14"/>
          <w:szCs w:val="14"/>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w:t>
      </w:r>
    </w:p>
    <w:p>
      <w:pPr>
        <w:spacing w:after="0" w:line="16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Company is exposed to changes in interest rates primarily as a result of its borrowing activities, which include a $27 million floating rate revolving credit facility which is used to maintain liquidity and fund its business operations domestically. Additionally, Euroball has a 5 million euro floating rate revolving credit facility and a 36.0 million euro floating rate secured term loan. At December 31, 2000, the Company had $26.7 million outstanding under the domestic revolving credit facility and Euroball had $25.8 million outstanding under the Euroball revolving credit facility and term loan. A one-percent increase in the interest rate charged on the Company's outstanding borrowings under the revolving credit facility would result in interest expense increasing by approximately $564,000. The nature and amount of the Company's borrowings may vary as a result of future business requirements, market conditions and other factors.</w:t>
      </w:r>
    </w:p>
    <w:p>
      <w:pPr>
        <w:spacing w:after="0" w:line="183"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Company's operating cash flows denominated in foreign currencies are exposed to changes in foreign exchange rates. Beginning in the 1997 fourth quarter, upon the commencement of production in its Kilkenny, Ireland facility, the Company began to bill and receive payment from some of its foreign customers in their own currency. To date, the Company has not been materially adversely affected by currency fluctuations of foreign exchange restrictions. However, to help reduce exposure to foreign currency fluctuations, management has implemented a foreign currency hedging program. The Company did not hold a position in any foreign currency instruments of December 31, 2000.</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8"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0"/>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Item 8. Financial Statements and Supplementary Data</w:t>
            </w:r>
          </w:p>
        </w:tc>
        <w:tc>
          <w:tcPr>
            <w:tcW w:w="340" w:type="dxa"/>
            <w:vAlign w:val="bottom"/>
          </w:tcPr>
          <w:p>
            <w:pPr>
              <w:spacing w:after="0"/>
              <w:rPr>
                <w:sz w:val="14"/>
                <w:szCs w:val="14"/>
                <w:color w:val="auto"/>
              </w:rPr>
            </w:pPr>
          </w:p>
        </w:tc>
      </w:tr>
      <w:tr>
        <w:trPr>
          <w:trHeight w:val="339"/>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340" w:type="dxa"/>
            <w:vAlign w:val="bottom"/>
          </w:tcPr>
          <w:p>
            <w:pPr>
              <w:spacing w:after="0"/>
              <w:rPr>
                <w:sz w:val="24"/>
                <w:szCs w:val="24"/>
                <w:color w:val="auto"/>
              </w:rPr>
            </w:pP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Financial Statements</w:t>
            </w:r>
          </w:p>
        </w:tc>
        <w:tc>
          <w:tcPr>
            <w:tcW w:w="5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Page</w:t>
            </w:r>
          </w:p>
        </w:tc>
      </w:tr>
      <w:tr>
        <w:trPr>
          <w:trHeight w:val="509"/>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Report of Independent Accountants for the year ended December 31, 2000......</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20</w:t>
            </w:r>
          </w:p>
        </w:tc>
      </w:tr>
      <w:tr>
        <w:trPr>
          <w:trHeight w:val="339"/>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Report of Independent Accountants for the year ended December 31, 1999</w:t>
            </w:r>
          </w:p>
        </w:tc>
        <w:tc>
          <w:tcPr>
            <w:tcW w:w="340" w:type="dxa"/>
            <w:vAlign w:val="bottom"/>
          </w:tcPr>
          <w:p>
            <w:pPr>
              <w:spacing w:after="0"/>
              <w:rPr>
                <w:sz w:val="24"/>
                <w:szCs w:val="24"/>
                <w:color w:val="auto"/>
              </w:rPr>
            </w:pPr>
          </w:p>
        </w:tc>
      </w:tr>
      <w:tr>
        <w:trPr>
          <w:trHeight w:val="170"/>
        </w:trPr>
        <w:tc>
          <w:tcPr>
            <w:tcW w:w="1800" w:type="dxa"/>
            <w:vAlign w:val="bottom"/>
          </w:tcPr>
          <w:p>
            <w:pPr>
              <w:ind w:left="700"/>
              <w:spacing w:after="0"/>
              <w:rPr>
                <w:sz w:val="20"/>
                <w:szCs w:val="20"/>
                <w:color w:val="auto"/>
              </w:rPr>
            </w:pPr>
            <w:r>
              <w:rPr>
                <w:rFonts w:ascii="Courier New" w:cs="Courier New" w:eastAsia="Courier New" w:hAnsi="Courier New"/>
                <w:sz w:val="15"/>
                <w:szCs w:val="15"/>
                <w:color w:val="auto"/>
                <w:w w:val="99"/>
              </w:rPr>
              <w:t>and December</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w w:val="97"/>
              </w:rPr>
              <w:t>31, 1998.......................................................</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21</w:t>
            </w:r>
          </w:p>
        </w:tc>
      </w:tr>
      <w:tr>
        <w:trPr>
          <w:trHeight w:val="339"/>
        </w:trPr>
        <w:tc>
          <w:tcPr>
            <w:tcW w:w="1800" w:type="dxa"/>
            <w:vAlign w:val="bottom"/>
          </w:tcPr>
          <w:p>
            <w:pPr>
              <w:ind w:left="700"/>
              <w:spacing w:after="0"/>
              <w:rPr>
                <w:sz w:val="20"/>
                <w:szCs w:val="20"/>
                <w:color w:val="auto"/>
              </w:rPr>
            </w:pPr>
            <w:r>
              <w:rPr>
                <w:rFonts w:ascii="Courier New" w:cs="Courier New" w:eastAsia="Courier New" w:hAnsi="Courier New"/>
                <w:sz w:val="15"/>
                <w:szCs w:val="15"/>
                <w:color w:val="auto"/>
                <w:w w:val="99"/>
              </w:rPr>
              <w:t>Consolidated</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w w:val="97"/>
              </w:rPr>
              <w:t>Balance Sheets at December 31, 2000 and 1999...................</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22</w:t>
            </w:r>
          </w:p>
        </w:tc>
      </w:tr>
      <w:tr>
        <w:trPr>
          <w:trHeight w:val="339"/>
        </w:trPr>
        <w:tc>
          <w:tcPr>
            <w:tcW w:w="1800" w:type="dxa"/>
            <w:vAlign w:val="bottom"/>
          </w:tcPr>
          <w:p>
            <w:pPr>
              <w:ind w:left="700"/>
              <w:spacing w:after="0"/>
              <w:rPr>
                <w:sz w:val="20"/>
                <w:szCs w:val="20"/>
                <w:color w:val="auto"/>
              </w:rPr>
            </w:pPr>
            <w:r>
              <w:rPr>
                <w:rFonts w:ascii="Courier New" w:cs="Courier New" w:eastAsia="Courier New" w:hAnsi="Courier New"/>
                <w:sz w:val="15"/>
                <w:szCs w:val="15"/>
                <w:color w:val="auto"/>
                <w:w w:val="99"/>
              </w:rPr>
              <w:t>Consolidated</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rPr>
              <w:t>Statements of Income and Comprehensive Income for the</w:t>
            </w:r>
          </w:p>
        </w:tc>
        <w:tc>
          <w:tcPr>
            <w:tcW w:w="340" w:type="dxa"/>
            <w:vAlign w:val="bottom"/>
          </w:tcPr>
          <w:p>
            <w:pPr>
              <w:spacing w:after="0"/>
              <w:rPr>
                <w:sz w:val="24"/>
                <w:szCs w:val="24"/>
                <w:color w:val="auto"/>
              </w:rPr>
            </w:pPr>
          </w:p>
        </w:tc>
      </w:tr>
      <w:tr>
        <w:trPr>
          <w:trHeight w:val="170"/>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three years ended December 31, 2000.........................................</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23</w:t>
            </w:r>
          </w:p>
        </w:tc>
      </w:tr>
      <w:tr>
        <w:trPr>
          <w:trHeight w:val="339"/>
        </w:trPr>
        <w:tc>
          <w:tcPr>
            <w:tcW w:w="1800" w:type="dxa"/>
            <w:vAlign w:val="bottom"/>
          </w:tcPr>
          <w:p>
            <w:pPr>
              <w:ind w:left="700"/>
              <w:spacing w:after="0"/>
              <w:rPr>
                <w:sz w:val="20"/>
                <w:szCs w:val="20"/>
                <w:color w:val="auto"/>
              </w:rPr>
            </w:pPr>
            <w:r>
              <w:rPr>
                <w:rFonts w:ascii="Courier New" w:cs="Courier New" w:eastAsia="Courier New" w:hAnsi="Courier New"/>
                <w:sz w:val="15"/>
                <w:szCs w:val="15"/>
                <w:color w:val="auto"/>
                <w:w w:val="99"/>
              </w:rPr>
              <w:t>Consolidated</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rPr>
              <w:t>Statements of Changes in Stockholder's Equity for the three</w:t>
            </w:r>
          </w:p>
        </w:tc>
        <w:tc>
          <w:tcPr>
            <w:tcW w:w="340" w:type="dxa"/>
            <w:vAlign w:val="bottom"/>
          </w:tcPr>
          <w:p>
            <w:pPr>
              <w:spacing w:after="0"/>
              <w:rPr>
                <w:sz w:val="24"/>
                <w:szCs w:val="24"/>
                <w:color w:val="auto"/>
              </w:rPr>
            </w:pPr>
          </w:p>
        </w:tc>
      </w:tr>
      <w:tr>
        <w:trPr>
          <w:trHeight w:val="170"/>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years ended December 31, 2000...............................................</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24</w:t>
            </w:r>
          </w:p>
        </w:tc>
      </w:tr>
      <w:tr>
        <w:trPr>
          <w:trHeight w:val="339"/>
        </w:trPr>
        <w:tc>
          <w:tcPr>
            <w:tcW w:w="1800" w:type="dxa"/>
            <w:vAlign w:val="bottom"/>
          </w:tcPr>
          <w:p>
            <w:pPr>
              <w:ind w:left="700"/>
              <w:spacing w:after="0"/>
              <w:rPr>
                <w:sz w:val="20"/>
                <w:szCs w:val="20"/>
                <w:color w:val="auto"/>
              </w:rPr>
            </w:pPr>
            <w:r>
              <w:rPr>
                <w:rFonts w:ascii="Courier New" w:cs="Courier New" w:eastAsia="Courier New" w:hAnsi="Courier New"/>
                <w:sz w:val="15"/>
                <w:szCs w:val="15"/>
                <w:color w:val="auto"/>
                <w:w w:val="99"/>
              </w:rPr>
              <w:t>Consolidated</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rPr>
              <w:t>Statements of Cash Flows for the three years ended</w:t>
            </w:r>
          </w:p>
        </w:tc>
        <w:tc>
          <w:tcPr>
            <w:tcW w:w="340" w:type="dxa"/>
            <w:vAlign w:val="bottom"/>
          </w:tcPr>
          <w:p>
            <w:pPr>
              <w:spacing w:after="0"/>
              <w:rPr>
                <w:sz w:val="24"/>
                <w:szCs w:val="24"/>
                <w:color w:val="auto"/>
              </w:rPr>
            </w:pPr>
          </w:p>
        </w:tc>
      </w:tr>
      <w:tr>
        <w:trPr>
          <w:trHeight w:val="170"/>
        </w:trPr>
        <w:tc>
          <w:tcPr>
            <w:tcW w:w="1800" w:type="dxa"/>
            <w:vAlign w:val="bottom"/>
          </w:tcPr>
          <w:p>
            <w:pPr>
              <w:ind w:left="700"/>
              <w:spacing w:after="0"/>
              <w:rPr>
                <w:sz w:val="20"/>
                <w:szCs w:val="20"/>
                <w:color w:val="auto"/>
              </w:rPr>
            </w:pPr>
            <w:r>
              <w:rPr>
                <w:rFonts w:ascii="Courier New" w:cs="Courier New" w:eastAsia="Courier New" w:hAnsi="Courier New"/>
                <w:sz w:val="15"/>
                <w:szCs w:val="15"/>
                <w:color w:val="auto"/>
                <w:w w:val="99"/>
              </w:rPr>
              <w:t>December 31,</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w w:val="97"/>
              </w:rPr>
              <w:t>2000...........................................................</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25</w:t>
            </w:r>
          </w:p>
        </w:tc>
      </w:tr>
      <w:tr>
        <w:trPr>
          <w:trHeight w:val="339"/>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Notes to Consolidated Financial Statements..................................</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26</w:t>
            </w:r>
          </w:p>
        </w:tc>
      </w:tr>
      <w:tr>
        <w:trPr>
          <w:trHeight w:val="848"/>
        </w:trPr>
        <w:tc>
          <w:tcPr>
            <w:tcW w:w="1800" w:type="dxa"/>
            <w:vAlign w:val="bottom"/>
          </w:tcPr>
          <w:p>
            <w:pPr>
              <w:spacing w:after="0"/>
              <w:rPr>
                <w:sz w:val="24"/>
                <w:szCs w:val="24"/>
                <w:color w:val="auto"/>
              </w:rPr>
            </w:pPr>
          </w:p>
        </w:tc>
        <w:tc>
          <w:tcPr>
            <w:tcW w:w="5600" w:type="dxa"/>
            <w:vAlign w:val="bottom"/>
          </w:tcPr>
          <w:p>
            <w:pPr>
              <w:ind w:left="1620"/>
              <w:spacing w:after="0"/>
              <w:rPr>
                <w:sz w:val="20"/>
                <w:szCs w:val="20"/>
                <w:color w:val="auto"/>
              </w:rPr>
            </w:pPr>
            <w:r>
              <w:rPr>
                <w:rFonts w:ascii="Courier New" w:cs="Courier New" w:eastAsia="Courier New" w:hAnsi="Courier New"/>
                <w:sz w:val="15"/>
                <w:szCs w:val="15"/>
                <w:color w:val="auto"/>
              </w:rPr>
              <w:t>19</w:t>
            </w:r>
          </w:p>
        </w:tc>
        <w:tc>
          <w:tcPr>
            <w:tcW w:w="340" w:type="dxa"/>
            <w:vAlign w:val="bottom"/>
          </w:tcPr>
          <w:p>
            <w:pPr>
              <w:spacing w:after="0"/>
              <w:rPr>
                <w:sz w:val="24"/>
                <w:szCs w:val="24"/>
                <w:color w:val="auto"/>
              </w:rPr>
            </w:pPr>
          </w:p>
        </w:tc>
      </w:tr>
    </w:tbl>
    <w:p>
      <w:pPr>
        <w:sectPr>
          <w:pgSz w:w="11900" w:h="16838" w:orient="portrait"/>
          <w:cols w:equalWidth="0" w:num="1">
            <w:col w:w="10219"/>
          </w:cols>
          <w:pgMar w:left="240" w:top="961" w:right="1440" w:bottom="1440" w:gutter="0" w:footer="0" w:header="0"/>
        </w:sectPr>
      </w:pPr>
    </w:p>
    <w:bookmarkStart w:id="19" w:name="page20"/>
    <w:bookmarkEnd w:id="19"/>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rPr>
          <w:sz w:val="20"/>
          <w:szCs w:val="20"/>
          <w:color w:val="auto"/>
        </w:rPr>
      </w:pPr>
      <w:r>
        <w:rPr>
          <w:rFonts w:ascii="Courier New" w:cs="Courier New" w:eastAsia="Courier New" w:hAnsi="Courier New"/>
          <w:sz w:val="15"/>
          <w:szCs w:val="15"/>
          <w:color w:val="auto"/>
        </w:rPr>
        <w:t>NN, Inc.:</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 of NN, Inc. as of December 31, 2000 and the related consolidated statement of income and comprehensive income, consolidated statement of changes in stockholders' equity, and consolidated statement of cash flows for the year then ended. These consolidated financial statements are the responsibility of the Company's management. Our responsibility is to express an opinion on these consolidated financial statements based on our audit. The accompanying consolidated balance sheet of NN, Inc. as of December 31, 1999 and the related consolidated statements of income and comprehensive income, changes in stockholder's equity, and cash flows for each of the years in the two year period ended December 31, 1999, were audited by other auditors whose report, dated February 4, 2000, expressed an unqualified opinion on those statements.</w:t>
      </w:r>
    </w:p>
    <w:p>
      <w:pPr>
        <w:spacing w:after="0" w:line="182"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NN, Inc. as of December 31, 2000 and the results of their operations and their cash flows for the year then ended in conformity with accounting principles generally accepted in the United States of America.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rPr>
          <w:sz w:val="20"/>
          <w:szCs w:val="20"/>
          <w:color w:val="auto"/>
        </w:rPr>
      </w:pPr>
      <w:r>
        <w:rPr>
          <w:rFonts w:ascii="Courier New" w:cs="Courier New" w:eastAsia="Courier New" w:hAnsi="Courier New"/>
          <w:sz w:val="15"/>
          <w:szCs w:val="15"/>
          <w:color w:val="auto"/>
        </w:rPr>
        <w:t>Charlotte, North Carolina</w:t>
      </w:r>
    </w:p>
    <w:p>
      <w:pPr>
        <w:spacing w:after="0"/>
        <w:rPr>
          <w:sz w:val="20"/>
          <w:szCs w:val="20"/>
          <w:color w:val="auto"/>
        </w:rPr>
      </w:pPr>
      <w:r>
        <w:rPr>
          <w:rFonts w:ascii="Courier New" w:cs="Courier New" w:eastAsia="Courier New" w:hAnsi="Courier New"/>
          <w:sz w:val="15"/>
          <w:szCs w:val="15"/>
          <w:color w:val="auto"/>
        </w:rPr>
        <w:t>February 27, 2001</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1300" w:right="1440" w:bottom="1440" w:gutter="0" w:footer="0" w:header="0"/>
        </w:sectPr>
      </w:pPr>
    </w:p>
    <w:bookmarkStart w:id="20" w:name="page21"/>
    <w:bookmarkEnd w:id="20"/>
    <w:p>
      <w:pPr>
        <w:ind w:left="246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NN, Inc.</w:t>
      </w:r>
    </w:p>
    <w:p>
      <w:pPr>
        <w:spacing w:after="0" w:line="17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In our opinion, the consolidated financial statements listed in the accompanying index present fairly, in all material respects, the financial position of NN, Inc. (formerly known as NN Ball &amp; Roller, Inc.) and its subsidiaries at December 31, 1999 and 1998, and the results of their operations and their cash flows for each of the two years in the period ended December 31, 1999,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rPr>
          <w:sz w:val="20"/>
          <w:szCs w:val="20"/>
          <w:color w:val="auto"/>
        </w:rPr>
      </w:pPr>
      <w:r>
        <w:rPr>
          <w:rFonts w:ascii="Courier New" w:cs="Courier New" w:eastAsia="Courier New" w:hAnsi="Courier New"/>
          <w:sz w:val="15"/>
          <w:szCs w:val="15"/>
          <w:color w:val="auto"/>
        </w:rPr>
        <w:t>February 4, 2000</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2" w:right="1440" w:bottom="1440" w:gutter="0" w:footer="0" w:header="0"/>
        </w:sectPr>
      </w:pPr>
    </w:p>
    <w:bookmarkStart w:id="21" w:name="page22"/>
    <w:bookmarkEnd w:id="21"/>
    <w:p>
      <w:pPr>
        <w:jc w:val="center"/>
        <w:ind w:right="3179"/>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December 31, 2000 and 1999</w:t>
      </w:r>
    </w:p>
    <w:tbl>
      <w:tblPr>
        <w:tblLayout w:type="fixed"/>
        <w:tblInd w:w="0" w:type="dxa"/>
        <w:tblCellMar>
          <w:top w:w="0" w:type="dxa"/>
          <w:left w:w="0" w:type="dxa"/>
          <w:bottom w:w="0" w:type="dxa"/>
          <w:right w:w="0" w:type="dxa"/>
        </w:tblCellMar>
      </w:tblPr>
      <w:tr>
        <w:trPr>
          <w:trHeight w:val="170"/>
        </w:trPr>
        <w:tc>
          <w:tcPr>
            <w:tcW w:w="5240" w:type="dxa"/>
            <w:vAlign w:val="bottom"/>
          </w:tcPr>
          <w:p>
            <w:pPr>
              <w:ind w:left="1920"/>
              <w:spacing w:after="0"/>
              <w:rPr>
                <w:sz w:val="20"/>
                <w:szCs w:val="20"/>
                <w:color w:val="auto"/>
              </w:rPr>
            </w:pPr>
            <w:r>
              <w:rPr>
                <w:rFonts w:ascii="Courier New" w:cs="Courier New" w:eastAsia="Courier New" w:hAnsi="Courier New"/>
                <w:sz w:val="15"/>
                <w:szCs w:val="15"/>
                <w:color w:val="auto"/>
                <w:w w:val="99"/>
              </w:rPr>
              <w:t>(In thousands, except per share data)</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9"/>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r>
      <w:tr>
        <w:trPr>
          <w:trHeight w:val="170"/>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9"/>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8,273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1,409</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 net</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29,549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18,183</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23,742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13,122</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1,512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688</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Net current deferred tax asset</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995</w:t>
            </w:r>
          </w:p>
        </w:tc>
      </w:tr>
      <w:tr>
        <w:trPr>
          <w:trHeight w:val="170"/>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ind w:left="1320"/>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24"/>
                <w:szCs w:val="2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64,038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34,397</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80" w:type="dxa"/>
            <w:vAlign w:val="bottom"/>
          </w:tcPr>
          <w:p>
            <w:pPr>
              <w:spacing w:after="0"/>
              <w:rPr>
                <w:sz w:val="24"/>
                <w:szCs w:val="2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91,693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43,452</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Goodwill, net of accumulated amortization of</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$1,297 in 2000 and $325 in 1999</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27,865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12,779</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4,212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735</w:t>
            </w:r>
          </w:p>
        </w:tc>
      </w:tr>
      <w:tr>
        <w:trPr>
          <w:trHeight w:val="170"/>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ind w:left="1320"/>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187,808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91,363</w:t>
            </w:r>
          </w:p>
        </w:tc>
      </w:tr>
      <w:tr>
        <w:trPr>
          <w:trHeight w:val="170"/>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ind w:left="960"/>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16,883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4,104</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Bank overdraft</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1,239</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Accrued salaries, wages and benefits</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6,929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234</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1,341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1,283</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Accrued pension</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2,133</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Payable to affiliates</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1,762</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Short-term loans</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Other liabilities</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4,357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3,618</w:t>
            </w:r>
          </w:p>
        </w:tc>
      </w:tr>
      <w:tr>
        <w:trPr>
          <w:trHeight w:val="170"/>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ind w:left="1400"/>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35,859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10,478</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subsidiaries</w:t>
            </w:r>
          </w:p>
        </w:tc>
        <w:tc>
          <w:tcPr>
            <w:tcW w:w="180" w:type="dxa"/>
            <w:vAlign w:val="bottom"/>
          </w:tcPr>
          <w:p>
            <w:pPr>
              <w:spacing w:after="0"/>
              <w:rPr>
                <w:sz w:val="24"/>
                <w:szCs w:val="2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30,257</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5,353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3,606</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50,515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17,151</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578</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ind w:left="1320"/>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122,562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31,235</w:t>
            </w:r>
          </w:p>
        </w:tc>
      </w:tr>
      <w:tr>
        <w:trPr>
          <w:trHeight w:val="170"/>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Common stock - $0.01 par value, authorized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45,000 shares, issued and outstanding -</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15,247 shares in 2000 and 15,244 shares in 1999</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30,414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30,398</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36,364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31,255</w:t>
            </w:r>
          </w:p>
        </w:tc>
      </w:tr>
      <w:tr>
        <w:trPr>
          <w:trHeight w:val="170"/>
        </w:trPr>
        <w:tc>
          <w:tcPr>
            <w:tcW w:w="5240" w:type="dxa"/>
            <w:vAlign w:val="bottom"/>
          </w:tcPr>
          <w:p>
            <w:pPr>
              <w:ind w:left="340"/>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8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(1,685)</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(1,678)</w:t>
            </w:r>
          </w:p>
        </w:tc>
      </w:tr>
      <w:tr>
        <w:trPr>
          <w:trHeight w:val="170"/>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ind w:left="1320"/>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24"/>
                <w:szCs w:val="2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65,246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60,128</w:t>
            </w:r>
          </w:p>
        </w:tc>
      </w:tr>
      <w:tr>
        <w:trPr>
          <w:trHeight w:val="170"/>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ind w:left="132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$ 187,808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$ 91,363</w:t>
            </w:r>
          </w:p>
        </w:tc>
      </w:tr>
      <w:tr>
        <w:trPr>
          <w:trHeight w:val="170"/>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1300" w:right="1440" w:bottom="1440" w:gutter="0" w:footer="0" w:header="0"/>
        </w:sectPr>
      </w:pPr>
    </w:p>
    <w:bookmarkStart w:id="22" w:name="page23"/>
    <w:bookmarkEnd w:id="22"/>
    <w:p>
      <w:pPr>
        <w:jc w:val="center"/>
        <w:ind w:right="3179"/>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Income and Comprehensive Income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Years Ended December 31, 2000, 1999 and 1998</w:t>
      </w: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Years Ended December 31,</w:t>
            </w:r>
          </w:p>
        </w:tc>
        <w:tc>
          <w:tcPr>
            <w:tcW w:w="110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4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132,129</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85,294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73,006</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Cost of products sold</w:t>
            </w:r>
          </w:p>
        </w:tc>
        <w:tc>
          <w:tcPr>
            <w:tcW w:w="48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93,926</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59,967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50,353</w:t>
            </w:r>
          </w:p>
        </w:tc>
      </w:t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ind w:left="700"/>
              <w:spacing w:after="0"/>
              <w:rPr>
                <w:sz w:val="20"/>
                <w:szCs w:val="20"/>
                <w:color w:val="auto"/>
              </w:rPr>
            </w:pPr>
            <w:r>
              <w:rPr>
                <w:rFonts w:ascii="Courier New" w:cs="Courier New" w:eastAsia="Courier New" w:hAnsi="Courier New"/>
                <w:sz w:val="15"/>
                <w:szCs w:val="15"/>
                <w:color w:val="auto"/>
              </w:rPr>
              <w:t>Gross profit</w:t>
            </w:r>
          </w:p>
        </w:tc>
        <w:tc>
          <w:tcPr>
            <w:tcW w:w="48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38,203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25,327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22,653</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48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11,571</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6,854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5,896</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9,165</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6,131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4,557</w:t>
            </w:r>
          </w:p>
        </w:tc>
      </w:t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ind w:left="880"/>
              <w:spacing w:after="0"/>
              <w:rPr>
                <w:sz w:val="20"/>
                <w:szCs w:val="20"/>
                <w:color w:val="auto"/>
              </w:rPr>
            </w:pPr>
            <w:r>
              <w:rPr>
                <w:rFonts w:ascii="Courier New" w:cs="Courier New" w:eastAsia="Courier New" w:hAnsi="Courier New"/>
                <w:sz w:val="15"/>
                <w:szCs w:val="15"/>
                <w:color w:val="auto"/>
              </w:rPr>
              <w:t>Income from operations</w:t>
            </w:r>
          </w:p>
        </w:tc>
        <w:tc>
          <w:tcPr>
            <w:tcW w:w="48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17,467</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12,342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12,200</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Equity in earnings of unconsolidated affiliate</w:t>
            </w: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Net gain on involuntary conversion</w:t>
            </w: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(728)</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48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16,606</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11,819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12,136</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8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5,959</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4,060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4,480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subsidiary</w:t>
            </w:r>
          </w:p>
        </w:tc>
        <w:tc>
          <w:tcPr>
            <w:tcW w:w="48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ind w:left="880"/>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9,987</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7,759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7,656</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 comprehensive (loss) income:</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w:t>
            </w: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w:t>
            </w:r>
          </w:p>
        </w:tc>
      </w:t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ind w:left="880"/>
              <w:spacing w:after="0"/>
              <w:rPr>
                <w:sz w:val="20"/>
                <w:szCs w:val="20"/>
                <w:color w:val="auto"/>
              </w:rPr>
            </w:pPr>
            <w:r>
              <w:rPr>
                <w:rFonts w:ascii="Courier New" w:cs="Courier New" w:eastAsia="Courier New" w:hAnsi="Courier New"/>
                <w:sz w:val="15"/>
                <w:szCs w:val="15"/>
                <w:color w:val="auto"/>
              </w:rPr>
              <w:t>Other comprehensive (loss) income</w:t>
            </w:r>
          </w:p>
        </w:tc>
        <w:tc>
          <w:tcPr>
            <w:tcW w:w="480" w:type="dxa"/>
            <w:vAlign w:val="bottom"/>
          </w:tcPr>
          <w:p>
            <w:pPr>
              <w:spacing w:after="0"/>
              <w:rPr>
                <w:sz w:val="24"/>
                <w:szCs w:val="2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w:t>
            </w:r>
          </w:p>
        </w:tc>
      </w:t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ind w:left="880"/>
              <w:spacing w:after="0"/>
              <w:rPr>
                <w:sz w:val="20"/>
                <w:szCs w:val="20"/>
                <w:color w:val="auto"/>
              </w:rPr>
            </w:pPr>
            <w:r>
              <w:rPr>
                <w:rFonts w:ascii="Courier New" w:cs="Courier New" w:eastAsia="Courier New" w:hAnsi="Courier New"/>
                <w:sz w:val="15"/>
                <w:szCs w:val="15"/>
                <w:color w:val="auto"/>
              </w:rPr>
              <w:t>Comprehensive income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9,980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6,196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8,008</w:t>
            </w:r>
          </w:p>
        </w:tc>
      </w:t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0.66</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0.52</w:t>
            </w:r>
          </w:p>
        </w:tc>
      </w:t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48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15,247</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15,021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14,804</w:t>
            </w:r>
          </w:p>
        </w:tc>
      </w:t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0.64</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0.52</w:t>
            </w:r>
          </w:p>
        </w:tc>
      </w:t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48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15,531</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15,038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14,804</w:t>
            </w:r>
          </w:p>
        </w:tc>
      </w:tr>
      <w:tr>
        <w:trPr>
          <w:trHeight w:val="170"/>
        </w:trPr>
        <w:tc>
          <w:tcPr>
            <w:tcW w:w="4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1130" w:right="1440" w:bottom="1440" w:gutter="0" w:footer="0" w:header="0"/>
        </w:sectPr>
      </w:pPr>
    </w:p>
    <w:bookmarkStart w:id="23" w:name="page24"/>
    <w:bookmarkEnd w:id="23"/>
    <w:p>
      <w:pPr>
        <w:jc w:val="center"/>
        <w:ind w:right="4480"/>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jc w:val="center"/>
        <w:ind w:right="4480"/>
        <w:spacing w:after="0"/>
        <w:rPr>
          <w:sz w:val="20"/>
          <w:szCs w:val="20"/>
          <w:color w:val="auto"/>
        </w:rPr>
      </w:pPr>
      <w:r>
        <w:rPr>
          <w:rFonts w:ascii="Courier New" w:cs="Courier New" w:eastAsia="Courier New" w:hAnsi="Courier New"/>
          <w:sz w:val="15"/>
          <w:szCs w:val="15"/>
          <w:color w:val="auto"/>
        </w:rPr>
        <w:t>(In thousands)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Years Ended December 31, 2000, 1999 and 1998</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80" w:type="dxa"/>
            <w:vAlign w:val="bottom"/>
          </w:tcPr>
          <w:p>
            <w:pPr>
              <w:ind w:left="320"/>
              <w:spacing w:after="0"/>
              <w:rPr>
                <w:sz w:val="20"/>
                <w:szCs w:val="20"/>
                <w:color w:val="auto"/>
              </w:rPr>
            </w:pPr>
            <w:r>
              <w:rPr>
                <w:rFonts w:ascii="Courier New" w:cs="Courier New" w:eastAsia="Courier New" w:hAnsi="Courier New"/>
                <w:sz w:val="15"/>
                <w:szCs w:val="15"/>
                <w:color w:val="auto"/>
              </w:rPr>
              <w:t>Accumulated</w:t>
            </w:r>
          </w:p>
        </w:tc>
        <w:tc>
          <w:tcPr>
            <w:tcW w:w="144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Additional</w:t>
            </w:r>
          </w:p>
        </w:tc>
        <w:tc>
          <w:tcPr>
            <w:tcW w:w="1360" w:type="dxa"/>
            <w:vAlign w:val="bottom"/>
          </w:tcPr>
          <w:p>
            <w:pPr>
              <w:spacing w:after="0"/>
              <w:rPr>
                <w:sz w:val="14"/>
                <w:szCs w:val="14"/>
                <w:color w:val="auto"/>
              </w:rPr>
            </w:pPr>
          </w:p>
        </w:tc>
        <w:tc>
          <w:tcPr>
            <w:tcW w:w="1680" w:type="dxa"/>
            <w:vAlign w:val="bottom"/>
          </w:tcPr>
          <w:p>
            <w:pPr>
              <w:ind w:left="500"/>
              <w:spacing w:after="0"/>
              <w:rPr>
                <w:sz w:val="20"/>
                <w:szCs w:val="20"/>
                <w:color w:val="auto"/>
              </w:rPr>
            </w:pPr>
            <w:r>
              <w:rPr>
                <w:rFonts w:ascii="Courier New" w:cs="Courier New" w:eastAsia="Courier New" w:hAnsi="Courier New"/>
                <w:sz w:val="15"/>
                <w:szCs w:val="15"/>
                <w:color w:val="auto"/>
              </w:rPr>
              <w:t>Other</w:t>
            </w:r>
          </w:p>
        </w:tc>
        <w:tc>
          <w:tcPr>
            <w:tcW w:w="144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480" w:type="dxa"/>
            <w:vAlign w:val="bottom"/>
          </w:tcPr>
          <w:p>
            <w:pPr>
              <w:ind w:left="440"/>
              <w:spacing w:after="0"/>
              <w:rPr>
                <w:sz w:val="20"/>
                <w:szCs w:val="20"/>
                <w:color w:val="auto"/>
              </w:rPr>
            </w:pPr>
            <w:r>
              <w:rPr>
                <w:rFonts w:ascii="Courier New" w:cs="Courier New" w:eastAsia="Courier New" w:hAnsi="Courier New"/>
                <w:sz w:val="15"/>
                <w:szCs w:val="15"/>
                <w:color w:val="auto"/>
              </w:rPr>
              <w:t>Number of</w:t>
            </w:r>
          </w:p>
        </w:tc>
        <w:tc>
          <w:tcPr>
            <w:tcW w:w="140" w:type="dxa"/>
            <w:vAlign w:val="bottom"/>
          </w:tcPr>
          <w:p>
            <w:pPr>
              <w:spacing w:after="0"/>
              <w:rPr>
                <w:sz w:val="14"/>
                <w:szCs w:val="14"/>
                <w:color w:val="auto"/>
              </w:rPr>
            </w:pPr>
          </w:p>
        </w:tc>
        <w:tc>
          <w:tcPr>
            <w:tcW w:w="1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Par</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Paid-in</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Retained</w:t>
            </w:r>
          </w:p>
        </w:tc>
        <w:tc>
          <w:tcPr>
            <w:tcW w:w="1680" w:type="dxa"/>
            <w:vAlign w:val="bottom"/>
          </w:tcPr>
          <w:p>
            <w:pPr>
              <w:ind w:left="220"/>
              <w:spacing w:after="0"/>
              <w:rPr>
                <w:sz w:val="20"/>
                <w:szCs w:val="20"/>
                <w:color w:val="auto"/>
              </w:rPr>
            </w:pPr>
            <w:r>
              <w:rPr>
                <w:rFonts w:ascii="Courier New" w:cs="Courier New" w:eastAsia="Courier New" w:hAnsi="Courier New"/>
                <w:sz w:val="15"/>
                <w:szCs w:val="15"/>
                <w:color w:val="auto"/>
              </w:rPr>
              <w:t>Comprehensive</w:t>
            </w:r>
          </w:p>
        </w:tc>
        <w:tc>
          <w:tcPr>
            <w:tcW w:w="144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1480" w:type="dxa"/>
            <w:vAlign w:val="bottom"/>
          </w:tcPr>
          <w:p>
            <w:pPr>
              <w:ind w:left="600"/>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Value</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Capital</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Earnings</w:t>
            </w:r>
          </w:p>
        </w:tc>
        <w:tc>
          <w:tcPr>
            <w:tcW w:w="1680" w:type="dxa"/>
            <w:vAlign w:val="bottom"/>
          </w:tcPr>
          <w:p>
            <w:pPr>
              <w:ind w:left="500"/>
              <w:spacing w:after="0"/>
              <w:rPr>
                <w:sz w:val="20"/>
                <w:szCs w:val="20"/>
                <w:color w:val="auto"/>
              </w:rPr>
            </w:pPr>
            <w:r>
              <w:rPr>
                <w:rFonts w:ascii="Courier New" w:cs="Courier New" w:eastAsia="Courier New" w:hAnsi="Courier New"/>
                <w:sz w:val="15"/>
                <w:szCs w:val="15"/>
                <w:color w:val="auto"/>
                <w:w w:val="99"/>
              </w:rPr>
              <w:t>Income (Loss)</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820" w:type="dxa"/>
            <w:vAlign w:val="bottom"/>
          </w:tcPr>
          <w:p>
            <w:pPr>
              <w:spacing w:after="0"/>
              <w:rPr>
                <w:sz w:val="14"/>
                <w:szCs w:val="14"/>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14,804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149</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27,902</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25,387</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rPr>
              <w:t>(467)</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52,971</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7,656</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7,656</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Dividends paid</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(4,737)</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(4,737)</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Cumulative translation</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352</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352</w:t>
            </w:r>
          </w:p>
        </w:tc>
      </w:tr>
      <w:tr>
        <w:trPr>
          <w:trHeight w:val="170"/>
        </w:trPr>
        <w:tc>
          <w:tcPr>
            <w:tcW w:w="2820" w:type="dxa"/>
            <w:vAlign w:val="bottom"/>
          </w:tcPr>
          <w:p>
            <w:pPr>
              <w:spacing w:after="0"/>
              <w:rPr>
                <w:sz w:val="14"/>
                <w:szCs w:val="14"/>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14,804</w:t>
            </w:r>
          </w:p>
        </w:tc>
        <w:tc>
          <w:tcPr>
            <w:tcW w:w="140" w:type="dxa"/>
            <w:vAlign w:val="bottom"/>
          </w:tcPr>
          <w:p>
            <w:pPr>
              <w:spacing w:after="0"/>
              <w:rPr>
                <w:sz w:val="24"/>
                <w:szCs w:val="2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149</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27,902</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28,306</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rPr>
              <w:t>(115)</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56,242</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Shares issued</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440</w:t>
            </w:r>
          </w:p>
        </w:tc>
        <w:tc>
          <w:tcPr>
            <w:tcW w:w="14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2,496</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7,759</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7,759</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Dividends paid</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(4,810)</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(4,810)</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Cumulative translation</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(1,563)</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(1,563)</w:t>
            </w:r>
          </w:p>
        </w:tc>
      </w:tr>
      <w:tr>
        <w:trPr>
          <w:trHeight w:val="170"/>
        </w:trPr>
        <w:tc>
          <w:tcPr>
            <w:tcW w:w="2820" w:type="dxa"/>
            <w:vAlign w:val="bottom"/>
          </w:tcPr>
          <w:p>
            <w:pPr>
              <w:spacing w:after="0"/>
              <w:rPr>
                <w:sz w:val="14"/>
                <w:szCs w:val="14"/>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Balance at December 31, 1999</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15,244</w:t>
            </w:r>
          </w:p>
        </w:tc>
        <w:tc>
          <w:tcPr>
            <w:tcW w:w="14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153</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30,398</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31,255</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rPr>
              <w:t>(1,678)</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60,128</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Shares issued</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14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16</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9,987</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9,987</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Dividends paid</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(4,878)</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(4,878)</w:t>
            </w:r>
          </w:p>
        </w:tc>
      </w:tr>
      <w:tr>
        <w:trPr>
          <w:trHeight w:val="170"/>
        </w:trPr>
        <w:tc>
          <w:tcPr>
            <w:tcW w:w="2820" w:type="dxa"/>
            <w:vAlign w:val="bottom"/>
          </w:tcPr>
          <w:p>
            <w:pPr>
              <w:ind w:left="260"/>
              <w:spacing w:after="0"/>
              <w:rPr>
                <w:sz w:val="20"/>
                <w:szCs w:val="20"/>
                <w:color w:val="auto"/>
              </w:rPr>
            </w:pPr>
            <w:r>
              <w:rPr>
                <w:rFonts w:ascii="Courier New" w:cs="Courier New" w:eastAsia="Courier New" w:hAnsi="Courier New"/>
                <w:sz w:val="15"/>
                <w:szCs w:val="15"/>
                <w:color w:val="auto"/>
              </w:rPr>
              <w:t>Cumulative translation</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w:t>
            </w:r>
          </w:p>
        </w:tc>
      </w:tr>
      <w:tr>
        <w:trPr>
          <w:trHeight w:val="170"/>
        </w:trPr>
        <w:tc>
          <w:tcPr>
            <w:tcW w:w="2820" w:type="dxa"/>
            <w:vAlign w:val="bottom"/>
          </w:tcPr>
          <w:p>
            <w:pPr>
              <w:spacing w:after="0"/>
              <w:rPr>
                <w:sz w:val="14"/>
                <w:szCs w:val="14"/>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Balance December 31, 2000</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15,247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153</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30,414</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36,364</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rPr>
              <w:t>(1,685)</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65,246</w:t>
            </w:r>
          </w:p>
        </w:tc>
      </w:tr>
      <w:tr>
        <w:trPr>
          <w:trHeight w:val="170"/>
        </w:trPr>
        <w:tc>
          <w:tcPr>
            <w:tcW w:w="2820" w:type="dxa"/>
            <w:vAlign w:val="bottom"/>
          </w:tcPr>
          <w:p>
            <w:pPr>
              <w:spacing w:after="0"/>
              <w:rPr>
                <w:sz w:val="14"/>
                <w:szCs w:val="14"/>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5"/>
                <w:szCs w:val="15"/>
                <w:color w:val="auto"/>
                <w:w w:val="95"/>
              </w:rPr>
              <w:t>=============</w:t>
            </w:r>
          </w:p>
        </w:tc>
        <w:tc>
          <w:tcPr>
            <w:tcW w:w="140" w:type="dxa"/>
            <w:vAlign w:val="bottom"/>
          </w:tcPr>
          <w:p>
            <w:pPr>
              <w:spacing w:after="0"/>
              <w:rPr>
                <w:sz w:val="14"/>
                <w:szCs w:val="14"/>
                <w:color w:val="auto"/>
              </w:rPr>
            </w:pP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520"/>
          </w:cols>
          <w:pgMar w:left="240" w:top="1300" w:right="1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6020" w:type="dxa"/>
            <w:vAlign w:val="bottom"/>
          </w:tcPr>
          <w:p>
            <w:pPr>
              <w:jc w:val="center"/>
              <w:ind w:left="927"/>
              <w:spacing w:after="0"/>
              <w:rPr>
                <w:sz w:val="20"/>
                <w:szCs w:val="20"/>
                <w:color w:val="auto"/>
              </w:rPr>
            </w:pPr>
            <w:r>
              <w:rPr>
                <w:rFonts w:ascii="Courier New" w:cs="Courier New" w:eastAsia="Courier New" w:hAnsi="Courier New"/>
                <w:sz w:val="15"/>
                <w:szCs w:val="15"/>
                <w:color w:val="auto"/>
                <w:w w:val="97"/>
              </w:rPr>
              <w:t>NN, INC.</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6020" w:type="dxa"/>
            <w:vAlign w:val="bottom"/>
          </w:tcPr>
          <w:p>
            <w:pPr>
              <w:ind w:left="1920"/>
              <w:spacing w:after="0"/>
              <w:rPr>
                <w:sz w:val="20"/>
                <w:szCs w:val="20"/>
                <w:color w:val="auto"/>
              </w:rPr>
            </w:pPr>
            <w:r>
              <w:rPr>
                <w:rFonts w:ascii="Courier New" w:cs="Courier New" w:eastAsia="Courier New" w:hAnsi="Courier New"/>
                <w:sz w:val="15"/>
                <w:szCs w:val="15"/>
                <w:color w:val="auto"/>
              </w:rPr>
              <w:t>Consolidated Statements of Cash Flows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602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8"/>
              </w:rPr>
              <w:t>(In thousands)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02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7"/>
              </w:rPr>
              <w:t>Years Ended December 31, 2000, 1999 and 1998</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6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6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1998</w:t>
            </w:r>
          </w:p>
        </w:tc>
      </w:tr>
      <w:tr>
        <w:trPr>
          <w:trHeight w:val="170"/>
        </w:trPr>
        <w:tc>
          <w:tcPr>
            <w:tcW w:w="602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9,987</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7,759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7,656</w:t>
            </w: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02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9,165</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6,131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4,557</w:t>
            </w:r>
          </w:p>
        </w:tc>
      </w:tr>
      <w:tr>
        <w:trPr>
          <w:trHeight w:val="170"/>
        </w:trPr>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Loss on disposals of property, plant and equipment</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1,194</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Equity in earnings unconsolidated affiliate</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Deferred income taxes</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1,185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w:t>
            </w:r>
          </w:p>
        </w:tc>
      </w:tr>
      <w:tr>
        <w:trPr>
          <w:trHeight w:val="170"/>
        </w:trPr>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w w:val="98"/>
              </w:rPr>
              <w:t>Interest income from receivable from unconsolidated affiliate</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Minority interest in consolidated subsidiary</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660</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ind w:left="60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Accounts receivable</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1,955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806</w:t>
            </w:r>
          </w:p>
        </w:tc>
      </w:tr>
      <w:tr>
        <w:trPr>
          <w:trHeight w:val="170"/>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Inventories</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(3,021)</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5,121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(2,560)</w:t>
            </w:r>
          </w:p>
        </w:tc>
      </w:tr>
      <w:tr>
        <w:trPr>
          <w:trHeight w:val="170"/>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Other current assets</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432</w:t>
            </w:r>
          </w:p>
        </w:tc>
      </w:tr>
      <w:tr>
        <w:trPr>
          <w:trHeight w:val="170"/>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Other assets</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(1,719)</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5,544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789</w:t>
            </w:r>
          </w:p>
        </w:tc>
      </w:tr>
      <w:tr>
        <w:trPr>
          <w:trHeight w:val="170"/>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Other liabilities</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2,227</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858</w:t>
            </w:r>
          </w:p>
        </w:tc>
      </w:tr>
      <w:tr>
        <w:trPr>
          <w:trHeight w:val="170"/>
        </w:trPr>
        <w:tc>
          <w:tcPr>
            <w:tcW w:w="6020" w:type="dxa"/>
            <w:vAlign w:val="bottom"/>
          </w:tcPr>
          <w:p>
            <w:pPr>
              <w:spacing w:after="0"/>
              <w:rPr>
                <w:sz w:val="14"/>
                <w:szCs w:val="14"/>
                <w:color w:val="auto"/>
              </w:rPr>
            </w:pP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ind w:left="960"/>
              <w:spacing w:after="0"/>
              <w:rPr>
                <w:sz w:val="20"/>
                <w:szCs w:val="20"/>
                <w:color w:val="auto"/>
              </w:rPr>
            </w:pPr>
            <w:r>
              <w:rPr>
                <w:rFonts w:ascii="Courier New" w:cs="Courier New" w:eastAsia="Courier New" w:hAnsi="Courier New"/>
                <w:sz w:val="15"/>
                <w:szCs w:val="15"/>
                <w:color w:val="auto"/>
              </w:rPr>
              <w:t>Net cash provided by operations</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26,864</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17,845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12,687</w:t>
            </w:r>
          </w:p>
        </w:tc>
      </w:tr>
      <w:tr>
        <w:trPr>
          <w:trHeight w:val="170"/>
        </w:trPr>
        <w:tc>
          <w:tcPr>
            <w:tcW w:w="6020" w:type="dxa"/>
            <w:vAlign w:val="bottom"/>
          </w:tcPr>
          <w:p>
            <w:pPr>
              <w:spacing w:after="0"/>
              <w:rPr>
                <w:sz w:val="14"/>
                <w:szCs w:val="14"/>
                <w:color w:val="auto"/>
              </w:rPr>
            </w:pP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Acquisition of NN Euroball ApS</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(57,788)</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Acquisition of Industrial Molding Corporation</w:t>
            </w:r>
          </w:p>
        </w:tc>
        <w:tc>
          <w:tcPr>
            <w:tcW w:w="3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(27,535)</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Long-term note receivable</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(3,440)</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(17,910)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(5,758)</w:t>
            </w: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Investment in unconsolidated affiliate</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disposals of property, plant and equipment</w:t>
            </w:r>
          </w:p>
        </w:tc>
        <w:tc>
          <w:tcPr>
            <w:tcW w:w="3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spacing w:after="0"/>
              <w:rPr>
                <w:sz w:val="14"/>
                <w:szCs w:val="14"/>
                <w:color w:val="auto"/>
              </w:rPr>
            </w:pP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ind w:left="960"/>
              <w:spacing w:after="0"/>
              <w:rPr>
                <w:sz w:val="20"/>
                <w:szCs w:val="20"/>
                <w:color w:val="auto"/>
              </w:rPr>
            </w:pPr>
            <w:r>
              <w:rPr>
                <w:rFonts w:ascii="Courier New" w:cs="Courier New" w:eastAsia="Courier New" w:hAnsi="Courier New"/>
                <w:sz w:val="15"/>
                <w:szCs w:val="15"/>
                <w:color w:val="auto"/>
              </w:rPr>
              <w:t>Net cash used in investing activities</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(79,310)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(29,883)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(5,758)</w:t>
            </w:r>
          </w:p>
        </w:tc>
      </w:tr>
      <w:tr>
        <w:trPr>
          <w:trHeight w:val="170"/>
        </w:trPr>
        <w:tc>
          <w:tcPr>
            <w:tcW w:w="6020" w:type="dxa"/>
            <w:vAlign w:val="bottom"/>
          </w:tcPr>
          <w:p>
            <w:pPr>
              <w:spacing w:after="0"/>
              <w:rPr>
                <w:sz w:val="14"/>
                <w:szCs w:val="14"/>
                <w:color w:val="auto"/>
              </w:rPr>
            </w:pP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Net borrowings (repayments) under revolving line of credit</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7,547</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17,151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(1,480)</w:t>
            </w: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Minority shareholder contribution</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29,600</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long-term debt</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25,817</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Bank overdrafts</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(785)</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1,239</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Cash dividends</w:t>
            </w:r>
          </w:p>
        </w:tc>
        <w:tc>
          <w:tcPr>
            <w:tcW w:w="32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(4,878)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(4,810)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(4,737)</w:t>
            </w: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short-term loan</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issuance of stock</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020" w:type="dxa"/>
            <w:vAlign w:val="bottom"/>
          </w:tcPr>
          <w:p>
            <w:pPr>
              <w:spacing w:after="0"/>
              <w:rPr>
                <w:sz w:val="14"/>
                <w:szCs w:val="14"/>
                <w:color w:val="auto"/>
              </w:rPr>
            </w:pP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ind w:left="960"/>
              <w:spacing w:after="0"/>
              <w:rPr>
                <w:sz w:val="20"/>
                <w:szCs w:val="20"/>
                <w:color w:val="auto"/>
              </w:rPr>
            </w:pPr>
            <w:r>
              <w:rPr>
                <w:rFonts w:ascii="Courier New" w:cs="Courier New" w:eastAsia="Courier New" w:hAnsi="Courier New"/>
                <w:sz w:val="15"/>
                <w:szCs w:val="15"/>
                <w:color w:val="auto"/>
              </w:rPr>
              <w:t>Net cash provided by (used for) financing activities</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59,317</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13,580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(6,217)</w:t>
            </w:r>
          </w:p>
        </w:tc>
      </w:tr>
      <w:tr>
        <w:trPr>
          <w:trHeight w:val="170"/>
        </w:trPr>
        <w:tc>
          <w:tcPr>
            <w:tcW w:w="6020" w:type="dxa"/>
            <w:vAlign w:val="bottom"/>
          </w:tcPr>
          <w:p>
            <w:pPr>
              <w:spacing w:after="0"/>
              <w:rPr>
                <w:sz w:val="14"/>
                <w:szCs w:val="14"/>
                <w:color w:val="auto"/>
              </w:rPr>
            </w:pP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60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352</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6,871</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712</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32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1,409</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1,430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366</w:t>
            </w:r>
          </w:p>
        </w:tc>
      </w:tr>
      <w:tr>
        <w:trPr>
          <w:trHeight w:val="170"/>
        </w:trPr>
        <w:tc>
          <w:tcPr>
            <w:tcW w:w="6020" w:type="dxa"/>
            <w:vAlign w:val="bottom"/>
          </w:tcPr>
          <w:p>
            <w:pPr>
              <w:spacing w:after="0"/>
              <w:rPr>
                <w:sz w:val="14"/>
                <w:szCs w:val="14"/>
                <w:color w:val="auto"/>
              </w:rPr>
            </w:pP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8,273</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1,409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1,430</w:t>
            </w:r>
          </w:p>
        </w:tc>
      </w:tr>
      <w:tr>
        <w:trPr>
          <w:trHeight w:val="170"/>
        </w:trPr>
        <w:tc>
          <w:tcPr>
            <w:tcW w:w="6020" w:type="dxa"/>
            <w:vAlign w:val="bottom"/>
          </w:tcPr>
          <w:p>
            <w:pPr>
              <w:spacing w:after="0"/>
              <w:rPr>
                <w:sz w:val="14"/>
                <w:szCs w:val="14"/>
                <w:color w:val="auto"/>
              </w:rPr>
            </w:pP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1300" w:right="1440" w:bottom="1440" w:gutter="0" w:footer="0" w:header="0"/>
        </w:sectPr>
      </w:pPr>
    </w:p>
    <w:bookmarkStart w:id="25" w:name="page26"/>
    <w:bookmarkEnd w:id="25"/>
    <w:p>
      <w:pPr>
        <w:jc w:val="center"/>
        <w:ind w:right="3170"/>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December 31, 2000, 1999 and 1998</w:t>
      </w: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p>
      <w:pPr>
        <w:ind w:left="530" w:hanging="530"/>
        <w:spacing w:after="0"/>
        <w:tabs>
          <w:tab w:leader="none" w:pos="5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and Practices</w:t>
      </w:r>
    </w:p>
    <w:p>
      <w:pPr>
        <w:spacing w:after="0" w:line="169" w:lineRule="exact"/>
        <w:rPr>
          <w:sz w:val="20"/>
          <w:szCs w:val="20"/>
          <w:color w:val="auto"/>
        </w:rPr>
      </w:pPr>
    </w:p>
    <w:p>
      <w:pPr>
        <w:ind w:left="710" w:hanging="710"/>
        <w:spacing w:after="0"/>
        <w:tabs>
          <w:tab w:leader="none" w:pos="71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5" w:lineRule="exact"/>
        <w:rPr>
          <w:sz w:val="20"/>
          <w:szCs w:val="20"/>
          <w:color w:val="auto"/>
        </w:rPr>
      </w:pPr>
    </w:p>
    <w:p>
      <w:pPr>
        <w:ind w:left="970" w:right="3179"/>
        <w:spacing w:after="0" w:line="257" w:lineRule="auto"/>
        <w:rPr>
          <w:sz w:val="20"/>
          <w:szCs w:val="20"/>
          <w:color w:val="auto"/>
        </w:rPr>
      </w:pPr>
      <w:r>
        <w:rPr>
          <w:rFonts w:ascii="Courier New" w:cs="Courier New" w:eastAsia="Courier New" w:hAnsi="Courier New"/>
          <w:sz w:val="14"/>
          <w:szCs w:val="14"/>
          <w:color w:val="auto"/>
        </w:rPr>
        <w:t>NN, Inc. (the "Company") is a manufacturer of precision balls, rollers, and plastic injection molded products. The Company's balls and rollers are used primarily in the domestic and international anti-friction bearing industry. The Company's plastic injection molded products are used in the bearing, automotive, instrumentation, fiber optic, and consumer hardware industries. The ball and roller segment comprises three manufacturing facilities located in the eastern United States. The Company's Euroball segment, which was acquired in July 2000 (see note 2) comprises manufacturing facilities located in Kilkenny, Ireland, Eltman, Germany, and Pinerolo, Italy. All of the facilities in the Euroball segment are engaged in the production of precision balls and rollers. The plastic injection molding segment, which was acquired in July 1999, (See note 2) has a manufacturing facility located in Texas. All of the Company's segments sell to foreign and domestic customers.</w:t>
      </w:r>
    </w:p>
    <w:p>
      <w:pPr>
        <w:spacing w:after="0" w:line="329" w:lineRule="exact"/>
        <w:rPr>
          <w:sz w:val="20"/>
          <w:szCs w:val="20"/>
          <w:color w:val="auto"/>
        </w:rPr>
      </w:pPr>
    </w:p>
    <w:p>
      <w:pPr>
        <w:ind w:left="970" w:hanging="441"/>
        <w:spacing w:after="0"/>
        <w:tabs>
          <w:tab w:leader="none" w:pos="9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w:t>
      </w:r>
    </w:p>
    <w:p>
      <w:pPr>
        <w:spacing w:after="0" w:line="174" w:lineRule="exact"/>
        <w:rPr>
          <w:rFonts w:ascii="Courier New" w:cs="Courier New" w:eastAsia="Courier New" w:hAnsi="Courier New"/>
          <w:sz w:val="15"/>
          <w:szCs w:val="15"/>
          <w:color w:val="auto"/>
        </w:rPr>
      </w:pPr>
    </w:p>
    <w:p>
      <w:pPr>
        <w:ind w:left="97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considers all highly liquid investments with an original maturity of three months or less as cash equivalents.</w:t>
      </w:r>
    </w:p>
    <w:p>
      <w:pPr>
        <w:spacing w:after="0" w:line="170" w:lineRule="exact"/>
        <w:rPr>
          <w:rFonts w:ascii="Courier New" w:cs="Courier New" w:eastAsia="Courier New" w:hAnsi="Courier New"/>
          <w:sz w:val="15"/>
          <w:szCs w:val="15"/>
          <w:color w:val="auto"/>
        </w:rPr>
      </w:pPr>
    </w:p>
    <w:p>
      <w:pPr>
        <w:ind w:left="970" w:hanging="441"/>
        <w:spacing w:after="0"/>
        <w:tabs>
          <w:tab w:leader="none" w:pos="9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4" w:lineRule="exact"/>
        <w:rPr>
          <w:rFonts w:ascii="Courier New" w:cs="Courier New" w:eastAsia="Courier New" w:hAnsi="Courier New"/>
          <w:sz w:val="15"/>
          <w:szCs w:val="15"/>
          <w:color w:val="auto"/>
        </w:rPr>
      </w:pPr>
    </w:p>
    <w:p>
      <w:pPr>
        <w:ind w:left="970" w:right="37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stated at the lower of cost or market. Cost is determined using the first-in, first-out method.</w:t>
      </w:r>
    </w:p>
    <w:p>
      <w:pPr>
        <w:spacing w:after="0" w:line="170" w:lineRule="exact"/>
        <w:rPr>
          <w:rFonts w:ascii="Courier New" w:cs="Courier New" w:eastAsia="Courier New" w:hAnsi="Courier New"/>
          <w:sz w:val="15"/>
          <w:szCs w:val="15"/>
          <w:color w:val="auto"/>
        </w:rPr>
      </w:pPr>
    </w:p>
    <w:p>
      <w:pPr>
        <w:ind w:left="970" w:hanging="441"/>
        <w:spacing w:after="0"/>
        <w:tabs>
          <w:tab w:leader="none" w:pos="9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4" w:lineRule="exact"/>
        <w:rPr>
          <w:rFonts w:ascii="Courier New" w:cs="Courier New" w:eastAsia="Courier New" w:hAnsi="Courier New"/>
          <w:sz w:val="15"/>
          <w:szCs w:val="15"/>
          <w:color w:val="auto"/>
        </w:rPr>
      </w:pPr>
    </w:p>
    <w:p>
      <w:pPr>
        <w:ind w:left="97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are stated at cost less accumulated depreciation. Expenditures for maintenance and repairs are charged to expense as incurred. Major renewals and betterments are capitalized. When a major property item is retired, its cost and related accumulated depreciation or amortization are removed from the property accounts and any gain or loss is recorded in income or expense, respectively. The Company reviews the carrying values of long-lived assets for impairment whenever events or changes in circumstances indicate the carrying amount of an asset may not be recoverable. In management's opinion, no material impairment exists at December 31, 2000 or 1999.</w:t>
      </w:r>
    </w:p>
    <w:p>
      <w:pPr>
        <w:spacing w:after="0" w:line="180" w:lineRule="exact"/>
        <w:rPr>
          <w:rFonts w:ascii="Courier New" w:cs="Courier New" w:eastAsia="Courier New" w:hAnsi="Courier New"/>
          <w:sz w:val="15"/>
          <w:szCs w:val="15"/>
          <w:color w:val="auto"/>
        </w:rPr>
      </w:pPr>
    </w:p>
    <w:p>
      <w:pPr>
        <w:ind w:left="97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(Continued)</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622" w:right="1440" w:bottom="1440" w:gutter="0" w:footer="0" w:header="0"/>
        </w:sectPr>
      </w:pPr>
    </w:p>
    <w:bookmarkStart w:id="26" w:name="page27"/>
    <w:bookmarkEnd w:id="26"/>
    <w:p>
      <w:pPr>
        <w:jc w:val="center"/>
        <w:ind w:right="3698"/>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69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1581"/>
        <w:spacing w:after="0"/>
        <w:rPr>
          <w:sz w:val="20"/>
          <w:szCs w:val="20"/>
          <w:color w:val="auto"/>
        </w:rPr>
      </w:pPr>
      <w:r>
        <w:rPr>
          <w:rFonts w:ascii="Courier New" w:cs="Courier New" w:eastAsia="Courier New" w:hAnsi="Courier New"/>
          <w:sz w:val="15"/>
          <w:szCs w:val="15"/>
          <w:color w:val="auto"/>
        </w:rPr>
        <w:t>December 31, 2000, 1999 and 1998</w:t>
      </w:r>
    </w:p>
    <w:p>
      <w:pPr>
        <w:ind w:left="132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p>
      <w:pPr>
        <w:ind w:left="441" w:hanging="441"/>
        <w:spacing w:after="0"/>
        <w:tabs>
          <w:tab w:leader="none" w:pos="44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4" w:lineRule="exact"/>
        <w:rPr>
          <w:rFonts w:ascii="Courier New" w:cs="Courier New" w:eastAsia="Courier New" w:hAnsi="Courier New"/>
          <w:sz w:val="15"/>
          <w:szCs w:val="15"/>
          <w:color w:val="auto"/>
        </w:rPr>
      </w:pPr>
    </w:p>
    <w:p>
      <w:pPr>
        <w:ind w:left="441"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generally recognizes a sale when goods are shipped and ownership is assumed by the customer. The Company has an inventory management program for certain major ball and roller customers whereby sales are recognized when products are used by the customer from consigned stock, rather than at the time of shipment. Inventory on consignment at December 31, 2000 and 1999 was approximately $4,083 and $2,766, respectively.</w:t>
      </w:r>
    </w:p>
    <w:p>
      <w:pPr>
        <w:spacing w:after="0" w:line="170" w:lineRule="exact"/>
        <w:rPr>
          <w:rFonts w:ascii="Courier New" w:cs="Courier New" w:eastAsia="Courier New" w:hAnsi="Courier New"/>
          <w:sz w:val="15"/>
          <w:szCs w:val="15"/>
          <w:color w:val="auto"/>
        </w:rPr>
      </w:pPr>
    </w:p>
    <w:p>
      <w:pPr>
        <w:ind w:left="441" w:hanging="441"/>
        <w:spacing w:after="0"/>
        <w:tabs>
          <w:tab w:leader="none" w:pos="44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rFonts w:ascii="Courier New" w:cs="Courier New" w:eastAsia="Courier New" w:hAnsi="Courier New"/>
          <w:sz w:val="15"/>
          <w:szCs w:val="15"/>
          <w:color w:val="auto"/>
        </w:rPr>
      </w:pPr>
    </w:p>
    <w:p>
      <w:pPr>
        <w:ind w:left="441"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w:t>
      </w:r>
    </w:p>
    <w:p>
      <w:pPr>
        <w:spacing w:after="0" w:line="3" w:lineRule="exact"/>
        <w:rPr>
          <w:rFonts w:ascii="Courier New" w:cs="Courier New" w:eastAsia="Courier New" w:hAnsi="Courier New"/>
          <w:sz w:val="15"/>
          <w:szCs w:val="15"/>
          <w:color w:val="auto"/>
        </w:rPr>
      </w:pPr>
    </w:p>
    <w:p>
      <w:pPr>
        <w:ind w:left="441"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liabilities of a change in tax rates is recognized in income in the period that includes the enactment date.</w:t>
      </w:r>
    </w:p>
    <w:p>
      <w:pPr>
        <w:spacing w:after="0" w:line="170" w:lineRule="exact"/>
        <w:rPr>
          <w:rFonts w:ascii="Courier New" w:cs="Courier New" w:eastAsia="Courier New" w:hAnsi="Courier New"/>
          <w:sz w:val="15"/>
          <w:szCs w:val="15"/>
          <w:color w:val="auto"/>
        </w:rPr>
      </w:pPr>
    </w:p>
    <w:p>
      <w:pPr>
        <w:ind w:left="441" w:hanging="441"/>
        <w:spacing w:after="0"/>
        <w:tabs>
          <w:tab w:leader="none" w:pos="44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Common Share</w:t>
      </w:r>
    </w:p>
    <w:p>
      <w:pPr>
        <w:spacing w:after="0" w:line="174" w:lineRule="exact"/>
        <w:rPr>
          <w:rFonts w:ascii="Courier New" w:cs="Courier New" w:eastAsia="Courier New" w:hAnsi="Courier New"/>
          <w:sz w:val="15"/>
          <w:szCs w:val="15"/>
          <w:color w:val="auto"/>
        </w:rPr>
      </w:pPr>
    </w:p>
    <w:p>
      <w:pPr>
        <w:ind w:left="441" w:right="35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Basic earnings per share reflect reported earnings divided by the weighted average number of common shares outstanding. Diluted earnings per share include the effect of dilutive stock options outstanding during the year.</w:t>
      </w:r>
    </w:p>
    <w:p>
      <w:pPr>
        <w:spacing w:after="0" w:line="170" w:lineRule="exact"/>
        <w:rPr>
          <w:rFonts w:ascii="Courier New" w:cs="Courier New" w:eastAsia="Courier New" w:hAnsi="Courier New"/>
          <w:sz w:val="15"/>
          <w:szCs w:val="15"/>
          <w:color w:val="auto"/>
        </w:rPr>
      </w:pPr>
    </w:p>
    <w:p>
      <w:pPr>
        <w:ind w:left="441" w:hanging="441"/>
        <w:spacing w:after="0"/>
        <w:tabs>
          <w:tab w:leader="none" w:pos="44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Incentive Plan</w:t>
      </w:r>
    </w:p>
    <w:p>
      <w:pPr>
        <w:spacing w:after="0" w:line="174" w:lineRule="exact"/>
        <w:rPr>
          <w:rFonts w:ascii="Courier New" w:cs="Courier New" w:eastAsia="Courier New" w:hAnsi="Courier New"/>
          <w:sz w:val="15"/>
          <w:szCs w:val="15"/>
          <w:color w:val="auto"/>
        </w:rPr>
      </w:pPr>
    </w:p>
    <w:p>
      <w:pPr>
        <w:ind w:left="441"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applies the intrinsic value-based method of accounting prescribed by Accounting Principles Board ("APB") Opinion No. 25, "Accounting for Stock Issued to Employees," and related interpretations including Financial Accounting Standards</w:t>
      </w:r>
    </w:p>
    <w:p>
      <w:pPr>
        <w:spacing w:after="0" w:line="6" w:lineRule="exact"/>
        <w:rPr>
          <w:rFonts w:ascii="Courier New" w:cs="Courier New" w:eastAsia="Courier New" w:hAnsi="Courier New"/>
          <w:sz w:val="15"/>
          <w:szCs w:val="15"/>
          <w:color w:val="auto"/>
        </w:rPr>
      </w:pPr>
    </w:p>
    <w:p>
      <w:pPr>
        <w:ind w:left="441"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Board (FASB) Interpretation No. 44, "Accounting for Certain Transactions involving Stock Compensation (an interpretation of APB Opinion No. 25)" issued in March 2000, to account for its fixed plan stock options. Under this method, compensation expense is recorded on the date of grant only if the current market price of the underlying stock exceeded the exercise price. Statement of Financial Accounting Standards (SFAS) No. 123, "Accounting for Stock-Based Compensation," established accounting and disclosure</w:t>
      </w:r>
    </w:p>
    <w:p>
      <w:pPr>
        <w:spacing w:after="0" w:line="8" w:lineRule="exact"/>
        <w:rPr>
          <w:rFonts w:ascii="Courier New" w:cs="Courier New" w:eastAsia="Courier New" w:hAnsi="Courier New"/>
          <w:sz w:val="15"/>
          <w:szCs w:val="15"/>
          <w:color w:val="auto"/>
        </w:rPr>
      </w:pPr>
    </w:p>
    <w:p>
      <w:pPr>
        <w:ind w:left="441"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w:t>
      </w:r>
    </w:p>
    <w:p>
      <w:pPr>
        <w:spacing w:after="0" w:line="17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8" w:lineRule="exact"/>
        <w:rPr>
          <w:sz w:val="20"/>
          <w:szCs w:val="20"/>
          <w:color w:val="auto"/>
        </w:rPr>
      </w:pPr>
    </w:p>
    <w:p>
      <w:pPr>
        <w:ind w:left="2901"/>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700"/>
          </w:cols>
          <w:pgMar w:left="759" w:top="622" w:right="1440" w:bottom="1440" w:gutter="0" w:footer="0" w:header="0"/>
        </w:sectPr>
      </w:pPr>
    </w:p>
    <w:bookmarkStart w:id="27" w:name="page28"/>
    <w:bookmarkEnd w:id="27"/>
    <w:p>
      <w:pPr>
        <w:jc w:val="center"/>
        <w:ind w:right="3610"/>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6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1669"/>
        <w:spacing w:after="0"/>
        <w:rPr>
          <w:sz w:val="20"/>
          <w:szCs w:val="20"/>
          <w:color w:val="auto"/>
        </w:rPr>
      </w:pPr>
      <w:r>
        <w:rPr>
          <w:rFonts w:ascii="Courier New" w:cs="Courier New" w:eastAsia="Courier New" w:hAnsi="Courier New"/>
          <w:sz w:val="15"/>
          <w:szCs w:val="15"/>
          <w:color w:val="auto"/>
        </w:rPr>
        <w:t>December 31, 2000, 1999 and 1998</w:t>
      </w:r>
    </w:p>
    <w:p>
      <w:pPr>
        <w:ind w:left="140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p>
      <w:pPr>
        <w:ind w:left="529" w:hanging="441"/>
        <w:spacing w:after="0"/>
        <w:tabs>
          <w:tab w:leader="none" w:pos="52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w:t>
      </w:r>
    </w:p>
    <w:p>
      <w:pPr>
        <w:spacing w:after="0" w:line="174" w:lineRule="exact"/>
        <w:rPr>
          <w:rFonts w:ascii="Courier New" w:cs="Courier New" w:eastAsia="Courier New" w:hAnsi="Courier New"/>
          <w:sz w:val="15"/>
          <w:szCs w:val="15"/>
          <w:color w:val="auto"/>
        </w:rPr>
      </w:pPr>
    </w:p>
    <w:p>
      <w:pPr>
        <w:ind w:left="529" w:right="325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consolidated financial statements include the accounts of NN, Inc. and subsidiaries in which the Company owns more than</w:t>
      </w:r>
    </w:p>
    <w:p>
      <w:pPr>
        <w:ind w:left="529"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 Unconsolidated subsidiaries and investments where ownership is between 20% and 50% are accounted for under the equity method. All significant intercompany profits, transactions, and balances have been eliminated in consolidation. The ownership interests of other shareholders in companies that are more than 50% owned, but</w:t>
      </w:r>
    </w:p>
    <w:p>
      <w:pPr>
        <w:spacing w:after="0" w:line="8" w:lineRule="exact"/>
        <w:rPr>
          <w:rFonts w:ascii="Courier New" w:cs="Courier New" w:eastAsia="Courier New" w:hAnsi="Courier New"/>
          <w:sz w:val="15"/>
          <w:szCs w:val="15"/>
          <w:color w:val="auto"/>
        </w:rPr>
      </w:pPr>
    </w:p>
    <w:p>
      <w:pPr>
        <w:ind w:left="529" w:right="39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less than 100% owned, are reflected as minority interests. Minority interest represents the minority shareholders of NN Euroball ApS and the minority shareholder of NN Mexico, LLC.</w:t>
      </w:r>
    </w:p>
    <w:p>
      <w:pPr>
        <w:spacing w:after="0" w:line="157" w:lineRule="exact"/>
        <w:rPr>
          <w:rFonts w:ascii="Courier New" w:cs="Courier New" w:eastAsia="Courier New" w:hAnsi="Courier New"/>
          <w:sz w:val="15"/>
          <w:szCs w:val="15"/>
          <w:color w:val="auto"/>
        </w:rPr>
      </w:pPr>
    </w:p>
    <w:p>
      <w:pPr>
        <w:ind w:left="529" w:hanging="441"/>
        <w:spacing w:after="0"/>
        <w:tabs>
          <w:tab w:leader="none" w:pos="52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Translation</w:t>
      </w:r>
    </w:p>
    <w:p>
      <w:pPr>
        <w:spacing w:after="0" w:line="174" w:lineRule="exact"/>
        <w:rPr>
          <w:rFonts w:ascii="Courier New" w:cs="Courier New" w:eastAsia="Courier New" w:hAnsi="Courier New"/>
          <w:sz w:val="15"/>
          <w:szCs w:val="15"/>
          <w:color w:val="auto"/>
        </w:rPr>
      </w:pPr>
    </w:p>
    <w:p>
      <w:pPr>
        <w:ind w:left="529"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liabilities of the Company's foreign subsidiary are translated at current exchange rates, while revenue and expenses are translated at average rates prevailing during the year. Translation adjustments are reported as a component of other comprehensive income.</w:t>
      </w:r>
    </w:p>
    <w:p>
      <w:pPr>
        <w:spacing w:after="0" w:line="172" w:lineRule="exact"/>
        <w:rPr>
          <w:rFonts w:ascii="Courier New" w:cs="Courier New" w:eastAsia="Courier New" w:hAnsi="Courier New"/>
          <w:sz w:val="15"/>
          <w:szCs w:val="15"/>
          <w:color w:val="auto"/>
        </w:rPr>
      </w:pPr>
    </w:p>
    <w:p>
      <w:pPr>
        <w:ind w:left="529" w:hanging="441"/>
        <w:spacing w:after="0"/>
        <w:tabs>
          <w:tab w:leader="none" w:pos="52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w:t>
      </w:r>
    </w:p>
    <w:p>
      <w:pPr>
        <w:spacing w:after="0" w:line="174" w:lineRule="exact"/>
        <w:rPr>
          <w:rFonts w:ascii="Courier New" w:cs="Courier New" w:eastAsia="Courier New" w:hAnsi="Courier New"/>
          <w:sz w:val="15"/>
          <w:szCs w:val="15"/>
          <w:color w:val="auto"/>
        </w:rPr>
      </w:pPr>
    </w:p>
    <w:p>
      <w:pPr>
        <w:ind w:left="529"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which represents the excess of purchase price over fair value of net assets acquired, is amortized on a straight-line basis over the expected periods to be benefited, generally 20 years. The Company assesses the recoverability of this intangible asset by determining whether the amortization of the goodwill balance over its remaining life can be recovered through undiscounted future operating cash flows of the acquired operation. The amount of goodwill impairment, if any, is meansred based on projected discounted future operating cash flows using a discount rate reflecting the Company's average cost of funds.</w:t>
      </w:r>
    </w:p>
    <w:p>
      <w:pPr>
        <w:spacing w:after="0" w:line="179" w:lineRule="exact"/>
        <w:rPr>
          <w:rFonts w:ascii="Courier New" w:cs="Courier New" w:eastAsia="Courier New" w:hAnsi="Courier New"/>
          <w:sz w:val="15"/>
          <w:szCs w:val="15"/>
          <w:color w:val="auto"/>
        </w:rPr>
      </w:pPr>
    </w:p>
    <w:p>
      <w:pPr>
        <w:ind w:left="529" w:right="4059" w:hanging="529"/>
        <w:spacing w:after="0" w:line="235" w:lineRule="auto"/>
        <w:tabs>
          <w:tab w:leader="none" w:pos="5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of Long-Lived Assets and Long-Lived Assets to Be Disposed Of</w:t>
      </w:r>
    </w:p>
    <w:p>
      <w:pPr>
        <w:spacing w:after="0" w:line="175" w:lineRule="exact"/>
        <w:rPr>
          <w:rFonts w:ascii="Courier New" w:cs="Courier New" w:eastAsia="Courier New" w:hAnsi="Courier New"/>
          <w:sz w:val="15"/>
          <w:szCs w:val="15"/>
          <w:color w:val="auto"/>
        </w:rPr>
      </w:pPr>
    </w:p>
    <w:p>
      <w:pPr>
        <w:ind w:left="529"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long-lived assets in accordance with the provisions of SFAS No. 121, "Accounting for the Impairment of Long-Lived Assets and for Long-Lived Assets to Be Disposed Of." This statement requires that long-lived assets and certain identifiable intangibles be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7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(Continued)</w:t>
      </w:r>
    </w:p>
    <w:p>
      <w:pPr>
        <w:spacing w:after="0" w:line="339" w:lineRule="exact"/>
        <w:rPr>
          <w:sz w:val="20"/>
          <w:szCs w:val="20"/>
          <w:color w:val="auto"/>
        </w:rPr>
      </w:pPr>
    </w:p>
    <w:p>
      <w:pPr>
        <w:ind w:left="2989"/>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788"/>
          </w:cols>
          <w:pgMar w:left="671" w:top="622" w:right="1440" w:bottom="1440" w:gutter="0" w:footer="0" w:header="0"/>
        </w:sectPr>
      </w:pPr>
    </w:p>
    <w:bookmarkStart w:id="28" w:name="page29"/>
    <w:bookmarkEnd w:id="28"/>
    <w:p>
      <w:pPr>
        <w:jc w:val="center"/>
        <w:ind w:right="3170"/>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December 31, 2000, 1999 and 1998</w:t>
      </w: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p>
      <w:pPr>
        <w:ind w:left="970" w:hanging="441"/>
        <w:spacing w:after="0"/>
        <w:tabs>
          <w:tab w:leader="none" w:pos="97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 in the preparation of financial statements.</w:t>
      </w:r>
    </w:p>
    <w:p>
      <w:pPr>
        <w:spacing w:after="0" w:line="174" w:lineRule="exact"/>
        <w:rPr>
          <w:rFonts w:ascii="Courier New" w:cs="Courier New" w:eastAsia="Courier New" w:hAnsi="Courier New"/>
          <w:sz w:val="15"/>
          <w:szCs w:val="15"/>
          <w:color w:val="auto"/>
        </w:rPr>
      </w:pPr>
    </w:p>
    <w:p>
      <w:pPr>
        <w:ind w:left="97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0" w:lineRule="exact"/>
        <w:rPr>
          <w:rFonts w:ascii="Courier New" w:cs="Courier New" w:eastAsia="Courier New" w:hAnsi="Courier New"/>
          <w:sz w:val="15"/>
          <w:szCs w:val="15"/>
          <w:color w:val="auto"/>
        </w:rPr>
      </w:pPr>
    </w:p>
    <w:p>
      <w:pPr>
        <w:ind w:left="970" w:hanging="441"/>
        <w:spacing w:after="0"/>
        <w:tabs>
          <w:tab w:leader="none" w:pos="97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Recently Issued Accounting Standards</w:t>
      </w:r>
    </w:p>
    <w:p>
      <w:pPr>
        <w:spacing w:after="0" w:line="174" w:lineRule="exact"/>
        <w:rPr>
          <w:rFonts w:ascii="Courier New" w:cs="Courier New" w:eastAsia="Courier New" w:hAnsi="Courier New"/>
          <w:sz w:val="15"/>
          <w:szCs w:val="15"/>
          <w:color w:val="auto"/>
        </w:rPr>
      </w:pPr>
    </w:p>
    <w:p>
      <w:pPr>
        <w:ind w:left="97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will be effective January 1, 2001. The adoption of this standard by the Company is not expected to result in significant adjustments to existing accounting practices as</w:t>
      </w:r>
    </w:p>
    <w:p>
      <w:pPr>
        <w:spacing w:after="0" w:line="4" w:lineRule="exact"/>
        <w:rPr>
          <w:rFonts w:ascii="Courier New" w:cs="Courier New" w:eastAsia="Courier New" w:hAnsi="Courier New"/>
          <w:sz w:val="15"/>
          <w:szCs w:val="15"/>
          <w:color w:val="auto"/>
        </w:rPr>
      </w:pPr>
    </w:p>
    <w:p>
      <w:pPr>
        <w:ind w:left="970" w:right="397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does not currently hold any derivative financial instruments or participate in speculative activities.</w:t>
      </w:r>
    </w:p>
    <w:p>
      <w:pPr>
        <w:spacing w:after="0" w:line="152" w:lineRule="exact"/>
        <w:rPr>
          <w:rFonts w:ascii="Courier New" w:cs="Courier New" w:eastAsia="Courier New" w:hAnsi="Courier New"/>
          <w:sz w:val="15"/>
          <w:szCs w:val="15"/>
          <w:color w:val="auto"/>
        </w:rPr>
      </w:pPr>
    </w:p>
    <w:p>
      <w:pPr>
        <w:ind w:left="970" w:hanging="441"/>
        <w:spacing w:after="0"/>
        <w:tabs>
          <w:tab w:leader="none" w:pos="97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w:t>
      </w:r>
    </w:p>
    <w:p>
      <w:pPr>
        <w:spacing w:after="0" w:line="174" w:lineRule="exact"/>
        <w:rPr>
          <w:rFonts w:ascii="Courier New" w:cs="Courier New" w:eastAsia="Courier New" w:hAnsi="Courier New"/>
          <w:sz w:val="15"/>
          <w:szCs w:val="15"/>
          <w:color w:val="auto"/>
        </w:rPr>
      </w:pPr>
    </w:p>
    <w:p>
      <w:pPr>
        <w:ind w:left="97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1999 and 1998 amounts have been reclassified to conform with the 2000 presentation.</w:t>
      </w:r>
    </w:p>
    <w:p>
      <w:pPr>
        <w:spacing w:after="0" w:line="170"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74" w:lineRule="exact"/>
        <w:rPr>
          <w:rFonts w:ascii="Courier New" w:cs="Courier New" w:eastAsia="Courier New" w:hAnsi="Courier New"/>
          <w:sz w:val="15"/>
          <w:szCs w:val="15"/>
          <w:color w:val="auto"/>
        </w:rPr>
      </w:pPr>
    </w:p>
    <w:p>
      <w:pPr>
        <w:ind w:left="530" w:right="38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July 31, 2000, the Company completed its Euroball transaction. Completion of the transaction required the Company to</w:t>
      </w:r>
    </w:p>
    <w:p>
      <w:pPr>
        <w:ind w:left="53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start a majority owned stand-alone company in Europe, NN Euroball ApS, for the manufacture and sale of precision steel balls used for ball bearings and other products. The Company owns 54% of the shares of NN Euroball, ApS, AB SKF (SKF), a Swedish Company, and FAG Kugelfischer Georg Schager AG (FAG), a German Company, own 23% each. NN Euroball ApS subsequently acquired the steel ball manufacturing facilities located in Pinerolo, Italy (previously owned by SKF), Eltman, Germany (previously owned by FAG) and Kilkenny, Ireland (previously owned by the Company). NN Euroball ApS paid approximately $57,788 for the net assets acquired from SKF and FAG. The acquisitions of the Pinerolo, Italy and Eltmann, Germany ball manufacturing facilities have been accounted for by the purchase method of accounting and, accordingly, the results of operations of Euroball have been included in the Company's consolidated financial statements from July 31, 2000. The excess of the purchase price over the fair value of the net identifiable assets acquired of $15,507 has been recorded as goodwill and is being amortized on a straight-line basis over twenty years.</w:t>
      </w:r>
    </w:p>
    <w:p>
      <w:pPr>
        <w:spacing w:after="0" w:line="32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622" w:right="1440" w:bottom="1440" w:gutter="0" w:footer="0" w:header="0"/>
        </w:sectPr>
      </w:pPr>
    </w:p>
    <w:bookmarkStart w:id="29" w:name="page30"/>
    <w:bookmarkEnd w:id="29"/>
    <w:p>
      <w:pPr>
        <w:jc w:val="center"/>
        <w:ind w:right="3699"/>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December 31, 2000, 1999 and 1998</w:t>
      </w:r>
    </w:p>
    <w:p>
      <w:pPr>
        <w:ind w:left="13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Under the terms of a Shareholder Agreement between the Company, SKF and FAG, at any time after December 31, 2002, SKF and FAG can require the Company to purchase their shares of NN Euroball ApS. The purchase price of the shares is to be calculated using a purchase price formula specified in the Shareholder Agreement.</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following unaudited pro forma summary presents the financial information as if the Company's Euroball transaction had occurred on January 1, 2000 and 1999. The 1999 unaudited proforma amounts also include financial information as if the Company's acquisition of IMC had occurred on January 1, 1999. These proforma results have been prepared for comparative purposes and do not purport to be indicative of what would have occurred had the acquisition been made on January 1, 2000 and 1999, nor is it indicative of future results.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(Unaudited)</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(Unaudited)</w:t>
            </w:r>
          </w:p>
        </w:tc>
      </w:tr>
      <w:tr>
        <w:trPr>
          <w:trHeight w:val="170"/>
        </w:trPr>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December 31,</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509"/>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213,891</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187,616</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tcPr>
          <w:p>
            <w:pPr>
              <w:spacing w:after="0"/>
              <w:rPr>
                <w:sz w:val="14"/>
                <w:szCs w:val="14"/>
                <w:color w:val="auto"/>
              </w:rPr>
            </w:pP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15,220</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7,230</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440" w:type="dxa"/>
            <w:vAlign w:val="bottom"/>
          </w:tcPr>
          <w:p>
            <w:pPr>
              <w:spacing w:after="0"/>
              <w:rPr>
                <w:sz w:val="14"/>
                <w:szCs w:val="14"/>
                <w:color w:val="auto"/>
              </w:rPr>
            </w:pP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0.48</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440" w:type="dxa"/>
            <w:vAlign w:val="bottom"/>
          </w:tcPr>
          <w:p>
            <w:pPr>
              <w:spacing w:after="0"/>
              <w:rPr>
                <w:sz w:val="14"/>
                <w:szCs w:val="14"/>
                <w:color w:val="auto"/>
              </w:rPr>
            </w:pP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0.98</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0.48</w:t>
            </w:r>
          </w:p>
        </w:tc>
      </w:tr>
    </w:tbl>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Effective July 4, 1999, the Company acquired substantially all of the assets and assumed certain liabilities of Earsley Capital Corporation, a Nevada corporation and successor to and formerly known as Industrial Molding Corporation ("IMC"). IMC, located in Lubbock, Texas, operates as a premier full-service designer and manufacturer of precision plastic injection molded components. The Company paid consideration of approximately $30,000, consisting of $27,500 in cash and 440 shares of its common stock, for the net assets acquired from IMC. The Company has accounted for the IMC acquisition using the purchase method of accounting and, accordingly, the results of operations of IMC have been included in the Company's consolidated financial statements from July 4, 1999. The excess of the purchase price over the fair value of the net identifiable assets acquired of $13,200 has been recorded as goodwill, which is being amortized, on a straight-line basis over twenty years.</w:t>
      </w:r>
    </w:p>
    <w:p>
      <w:pPr>
        <w:spacing w:after="0" w:line="18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following unaudited pro forma summary presents the financial information as if the Company's acquisition of IMC had occurred on January 1, 1999 and 1998. These unaudited proforma results have been prepared for comparative purposes and do not purport to be indicative of what would have occurred had the acquisition been made on January 1, 1999 and 1998, nor is it indicative of future results.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(Unaudited)</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(Unaudited)</w:t>
            </w:r>
          </w:p>
        </w:tc>
      </w:tr>
      <w:tr>
        <w:trPr>
          <w:trHeight w:val="170"/>
        </w:trPr>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December 31,</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339"/>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101,562</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101,135</w:t>
            </w:r>
          </w:p>
        </w:tc>
      </w:t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7,558</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6,637</w:t>
            </w:r>
          </w:p>
        </w:tc>
      </w:t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40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0.50</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0.44</w:t>
            </w:r>
          </w:p>
        </w:tc>
      </w:t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Dilutive earnings per share</w:t>
            </w:r>
          </w:p>
        </w:tc>
        <w:tc>
          <w:tcPr>
            <w:tcW w:w="140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0.50</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0.44</w:t>
            </w:r>
          </w:p>
        </w:tc>
      </w:tr>
    </w:tbl>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699"/>
          </w:cols>
          <w:pgMar w:left="760" w:top="622" w:right="1440" w:bottom="1440" w:gutter="0" w:footer="0" w:header="0"/>
        </w:sectPr>
      </w:pPr>
    </w:p>
    <w:bookmarkStart w:id="30" w:name="page31"/>
    <w:bookmarkEnd w:id="30"/>
    <w:p>
      <w:pPr>
        <w:jc w:val="center"/>
        <w:ind w:right="3170"/>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December 31, 2000, 1999 and 1998</w:t>
      </w: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p>
      <w:pPr>
        <w:ind w:left="530" w:hanging="530"/>
        <w:spacing w:after="0"/>
        <w:tabs>
          <w:tab w:leader="none" w:pos="5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Affiliated Companies</w:t>
      </w:r>
    </w:p>
    <w:p>
      <w:pPr>
        <w:spacing w:after="0" w:line="174" w:lineRule="exact"/>
        <w:rPr>
          <w:rFonts w:ascii="Courier New" w:cs="Courier New" w:eastAsia="Courier New" w:hAnsi="Courier New"/>
          <w:sz w:val="15"/>
          <w:szCs w:val="15"/>
          <w:color w:val="auto"/>
        </w:rPr>
      </w:pPr>
    </w:p>
    <w:p>
      <w:pPr>
        <w:ind w:left="53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affiliated companies consist of 50% of the member interest of NN General, LLC and 33% of the member interest of NNA, LLC.</w:t>
      </w:r>
    </w:p>
    <w:p>
      <w:pPr>
        <w:spacing w:after="0" w:line="175" w:lineRule="exact"/>
        <w:rPr>
          <w:rFonts w:ascii="Courier New" w:cs="Courier New" w:eastAsia="Courier New" w:hAnsi="Courier New"/>
          <w:sz w:val="15"/>
          <w:szCs w:val="15"/>
          <w:color w:val="auto"/>
        </w:rPr>
      </w:pPr>
    </w:p>
    <w:p>
      <w:pPr>
        <w:ind w:left="53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NN General, LLC was formed in March 2000 between the Company and General Bearing Corporation. NN General, LLC owns 60% of the Jiangsu General Ball and Roller, Company, Ltd., a Chinese precision ball and roller manufacturer located in Rugao City, Jiangsu, Province, China. The Company's investment in NN General, LLC includes $215 of member equity and a note receivable of $3,440 at December 31, 2000 which are included in other non-current assets in the accompanying consolidated balance sheet. The note receivable bears interest at variable rates (6.24% at December 31, 2000) and is due December 31, 2020. Accrued interest income on this note is $159 at December 31, 2000 and is included in other current assets in the accompanying consolidated balance sheet.</w:t>
      </w:r>
    </w:p>
    <w:p>
      <w:pPr>
        <w:spacing w:after="0" w:line="181" w:lineRule="exact"/>
        <w:rPr>
          <w:sz w:val="20"/>
          <w:szCs w:val="20"/>
          <w:color w:val="auto"/>
        </w:rPr>
      </w:pPr>
    </w:p>
    <w:p>
      <w:pPr>
        <w:ind w:left="530" w:right="3179"/>
        <w:spacing w:after="0" w:line="238" w:lineRule="auto"/>
        <w:rPr>
          <w:sz w:val="20"/>
          <w:szCs w:val="20"/>
          <w:color w:val="auto"/>
        </w:rPr>
      </w:pPr>
      <w:r>
        <w:rPr>
          <w:rFonts w:ascii="Courier New" w:cs="Courier New" w:eastAsia="Courier New" w:hAnsi="Courier New"/>
          <w:sz w:val="15"/>
          <w:szCs w:val="15"/>
          <w:color w:val="auto"/>
        </w:rPr>
        <w:t>NNA, LLC was formed in March 2000 and is a marketing company designed to promote the products of NN General, LLC. NNA, LLC is owned equally by the Company, General Bearing Corporation and the 40% owner of the Jiangsu General Ball and Roller Company, Ltd. The Company's investment in NNA, LLC at December 31, 2000 is comprised of $189 of advances for operating expenses and is included in accounts receivable, net in the accompanying consolidated balance sheet.</w:t>
      </w:r>
    </w:p>
    <w:p>
      <w:pPr>
        <w:spacing w:after="0" w:line="177" w:lineRule="exact"/>
        <w:rPr>
          <w:sz w:val="20"/>
          <w:szCs w:val="20"/>
          <w:color w:val="auto"/>
        </w:rPr>
      </w:pPr>
    </w:p>
    <w:p>
      <w:pPr>
        <w:ind w:left="530" w:right="3439"/>
        <w:spacing w:after="0" w:line="265" w:lineRule="auto"/>
        <w:rPr>
          <w:sz w:val="20"/>
          <w:szCs w:val="20"/>
          <w:color w:val="auto"/>
        </w:rPr>
      </w:pPr>
      <w:r>
        <w:rPr>
          <w:rFonts w:ascii="Courier New" w:cs="Courier New" w:eastAsia="Courier New" w:hAnsi="Courier New"/>
          <w:sz w:val="14"/>
          <w:szCs w:val="14"/>
          <w:color w:val="auto"/>
        </w:rPr>
        <w:t>Summarized combined unaudited financial information for the investee companies as of and for the year ended December 31, 2000 is as follows.</w:t>
      </w: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r>
      <w:tr>
        <w:trPr>
          <w:trHeight w:val="339"/>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6,634</w:t>
            </w:r>
          </w:p>
        </w:tc>
        <w:tc>
          <w:tcPr>
            <w:tcW w:w="1020" w:type="dxa"/>
            <w:vAlign w:val="bottom"/>
          </w:tcPr>
          <w:p>
            <w:pPr>
              <w:spacing w:after="0"/>
              <w:rPr>
                <w:sz w:val="24"/>
                <w:szCs w:val="2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Liabilities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6,419</w:t>
            </w:r>
          </w:p>
        </w:tc>
        <w:tc>
          <w:tcPr>
            <w:tcW w:w="102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r>
      <w:tr>
        <w:trPr>
          <w:trHeight w:val="170"/>
        </w:trPr>
        <w:tc>
          <w:tcPr>
            <w:tcW w:w="3080" w:type="dxa"/>
            <w:vAlign w:val="bottom"/>
          </w:tcPr>
          <w:p>
            <w:pPr>
              <w:ind w:left="960"/>
              <w:spacing w:after="0"/>
              <w:rPr>
                <w:sz w:val="20"/>
                <w:szCs w:val="20"/>
                <w:color w:val="auto"/>
              </w:rPr>
            </w:pPr>
            <w:r>
              <w:rPr>
                <w:rFonts w:ascii="Courier New" w:cs="Courier New" w:eastAsia="Courier New" w:hAnsi="Courier New"/>
                <w:sz w:val="15"/>
                <w:szCs w:val="15"/>
                <w:color w:val="auto"/>
                <w:w w:val="97"/>
              </w:rPr>
              <w:t>Net participants' equity</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215</w:t>
            </w:r>
          </w:p>
        </w:tc>
        <w:tc>
          <w:tcPr>
            <w:tcW w:w="102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Revenues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7,939</w:t>
            </w:r>
          </w:p>
        </w:tc>
        <w:tc>
          <w:tcPr>
            <w:tcW w:w="102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Net Income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(4)   Accounts Receivable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9"/>
        </w:trPr>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Trade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29,028</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18,918</w:t>
            </w: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Employees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rPr>
              <w:t>55</w:t>
            </w: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1,297</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116</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30,325</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19,089</w:t>
            </w:r>
          </w:p>
        </w:tc>
      </w:tr>
      <w:tr>
        <w:trPr>
          <w:trHeight w:val="170"/>
        </w:trPr>
        <w:tc>
          <w:tcPr>
            <w:tcW w:w="444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Less - Allowance for doubtful accounts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776</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906</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29,549</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18,183</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848"/>
        </w:trPr>
        <w:tc>
          <w:tcPr>
            <w:tcW w:w="4440" w:type="dxa"/>
            <w:vAlign w:val="bottom"/>
            <w:gridSpan w:val="3"/>
          </w:tcPr>
          <w:p>
            <w:pPr>
              <w:spacing w:after="0"/>
              <w:rPr>
                <w:sz w:val="20"/>
                <w:szCs w:val="20"/>
                <w:color w:val="auto"/>
              </w:rPr>
            </w:pPr>
            <w:r>
              <w:rPr>
                <w:rFonts w:ascii="Courier New" w:cs="Courier New" w:eastAsia="Courier New" w:hAnsi="Courier New"/>
                <w:sz w:val="15"/>
                <w:szCs w:val="15"/>
                <w:color w:val="auto"/>
              </w:rPr>
              <w:t>Allowance for doubtful accounts is as follows: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315</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271</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rPr>
              <w:t>586</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586</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320</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rPr>
              <w:t>906</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30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906</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130</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rPr>
              <w:t>776</w:t>
            </w:r>
          </w:p>
        </w:tc>
      </w:tr>
      <w:tr>
        <w:trPr>
          <w:trHeight w:val="170"/>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Deductions represent amounts written off.</w:t>
      </w:r>
    </w:p>
    <w:p>
      <w:pPr>
        <w:ind w:left="5990"/>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9"/>
          </w:cols>
          <w:pgMar w:left="230" w:top="452" w:right="1440" w:bottom="565" w:gutter="0" w:footer="0" w:header="0"/>
        </w:sectPr>
      </w:pPr>
    </w:p>
    <w:bookmarkStart w:id="31" w:name="page32"/>
    <w:bookmarkEnd w:id="31"/>
    <w:p>
      <w:pPr>
        <w:jc w:val="center"/>
        <w:ind w:right="3170"/>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December 31, 2000, 1999 and 1998</w:t>
      </w: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(5)   Inventories</w:t>
            </w:r>
          </w:p>
        </w:tc>
        <w:tc>
          <w:tcPr>
            <w:tcW w:w="1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9"/>
        </w:trPr>
        <w:tc>
          <w:tcPr>
            <w:tcW w:w="3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Raw materials</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4,431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3,131</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Work in process</w:t>
            </w:r>
          </w:p>
        </w:tc>
        <w:tc>
          <w:tcPr>
            <w:tcW w:w="180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5,265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2,585</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Finished goods</w:t>
            </w:r>
          </w:p>
        </w:tc>
        <w:tc>
          <w:tcPr>
            <w:tcW w:w="180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14,106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7,466</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Less - Inventory reserve</w:t>
            </w:r>
          </w:p>
        </w:tc>
        <w:tc>
          <w:tcPr>
            <w:tcW w:w="180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w:t>
            </w:r>
          </w:p>
        </w:tc>
      </w:tr>
      <w:tr>
        <w:trPr>
          <w:trHeight w:val="170"/>
        </w:trPr>
        <w:tc>
          <w:tcPr>
            <w:tcW w:w="3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7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23,742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13,122</w:t>
            </w:r>
          </w:p>
        </w:tc>
      </w:tr>
      <w:tr>
        <w:trPr>
          <w:trHeight w:val="170"/>
        </w:trPr>
        <w:tc>
          <w:tcPr>
            <w:tcW w:w="3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509"/>
        </w:trPr>
        <w:tc>
          <w:tcPr>
            <w:tcW w:w="3780" w:type="dxa"/>
            <w:vAlign w:val="bottom"/>
          </w:tcPr>
          <w:p>
            <w:pPr>
              <w:spacing w:after="0"/>
              <w:rPr>
                <w:sz w:val="20"/>
                <w:szCs w:val="20"/>
                <w:color w:val="auto"/>
              </w:rPr>
            </w:pPr>
            <w:r>
              <w:rPr>
                <w:rFonts w:ascii="Courier New" w:cs="Courier New" w:eastAsia="Courier New" w:hAnsi="Courier New"/>
                <w:sz w:val="15"/>
                <w:szCs w:val="15"/>
                <w:color w:val="auto"/>
              </w:rPr>
              <w:t>(6)   Property, Plant and Equipment</w:t>
            </w: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78"/>
        </w:trPr>
        <w:tc>
          <w:tcPr>
            <w:tcW w:w="3780" w:type="dxa"/>
            <w:vAlign w:val="bottom"/>
          </w:tcPr>
          <w:p>
            <w:pPr>
              <w:spacing w:after="0"/>
              <w:rPr>
                <w:sz w:val="24"/>
                <w:szCs w:val="24"/>
                <w:color w:val="auto"/>
              </w:rPr>
            </w:pP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Estimated</w:t>
            </w:r>
          </w:p>
        </w:tc>
        <w:tc>
          <w:tcPr>
            <w:tcW w:w="25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780" w:type="dxa"/>
            <w:vAlign w:val="bottom"/>
          </w:tcPr>
          <w:p>
            <w:pPr>
              <w:spacing w:after="0"/>
              <w:rPr>
                <w:sz w:val="14"/>
                <w:szCs w:val="14"/>
                <w:color w:val="auto"/>
              </w:rPr>
            </w:pP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Useful Life</w:t>
            </w:r>
          </w:p>
        </w:tc>
        <w:tc>
          <w:tcPr>
            <w:tcW w:w="1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780" w:type="dxa"/>
            <w:vAlign w:val="bottom"/>
          </w:tcPr>
          <w:p>
            <w:pPr>
              <w:spacing w:after="0"/>
              <w:rPr>
                <w:sz w:val="14"/>
                <w:szCs w:val="14"/>
                <w:color w:val="auto"/>
              </w:rPr>
            </w:pP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339"/>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Land</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2,202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841</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Buildings and improvements</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10-25 years</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26,463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13,436</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Machinery and equipment</w:t>
            </w: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3-10 years</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92,810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58,208</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Construction in process</w:t>
            </w:r>
          </w:p>
        </w:tc>
        <w:tc>
          <w:tcPr>
            <w:tcW w:w="1800" w:type="dxa"/>
            <w:vAlign w:val="bottom"/>
          </w:tcPr>
          <w:p>
            <w:pPr>
              <w:spacing w:after="0"/>
              <w:rPr>
                <w:sz w:val="14"/>
                <w:szCs w:val="14"/>
                <w:color w:val="auto"/>
              </w:rPr>
            </w:pP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6,138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1,813</w:t>
            </w:r>
          </w:p>
        </w:tc>
      </w:tr>
      <w:tr>
        <w:trPr>
          <w:trHeight w:val="170"/>
        </w:trPr>
        <w:tc>
          <w:tcPr>
            <w:tcW w:w="3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170"/>
        </w:trPr>
        <w:tc>
          <w:tcPr>
            <w:tcW w:w="3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127,613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74,298</w:t>
            </w:r>
          </w:p>
        </w:tc>
      </w:tr>
      <w:tr>
        <w:trPr>
          <w:trHeight w:val="170"/>
        </w:trPr>
        <w:tc>
          <w:tcPr>
            <w:tcW w:w="3780" w:type="dxa"/>
            <w:vAlign w:val="bottom"/>
          </w:tcPr>
          <w:p>
            <w:pPr>
              <w:ind w:left="520"/>
              <w:spacing w:after="0"/>
              <w:rPr>
                <w:sz w:val="20"/>
                <w:szCs w:val="20"/>
                <w:color w:val="auto"/>
              </w:rPr>
            </w:pPr>
            <w:r>
              <w:rPr>
                <w:rFonts w:ascii="Courier New" w:cs="Courier New" w:eastAsia="Courier New" w:hAnsi="Courier New"/>
                <w:sz w:val="15"/>
                <w:szCs w:val="15"/>
                <w:color w:val="auto"/>
              </w:rPr>
              <w:t>Less - accumulated depreciation</w:t>
            </w:r>
          </w:p>
        </w:tc>
        <w:tc>
          <w:tcPr>
            <w:tcW w:w="1800" w:type="dxa"/>
            <w:vAlign w:val="bottom"/>
          </w:tcPr>
          <w:p>
            <w:pPr>
              <w:spacing w:after="0"/>
              <w:rPr>
                <w:sz w:val="14"/>
                <w:szCs w:val="14"/>
                <w:color w:val="auto"/>
              </w:rPr>
            </w:pP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35,920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30,846</w:t>
            </w:r>
          </w:p>
        </w:tc>
      </w:tr>
      <w:tr>
        <w:trPr>
          <w:trHeight w:val="170"/>
        </w:trPr>
        <w:tc>
          <w:tcPr>
            <w:tcW w:w="3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170"/>
        </w:trPr>
        <w:tc>
          <w:tcPr>
            <w:tcW w:w="37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91,693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43,452</w:t>
            </w:r>
          </w:p>
        </w:tc>
      </w:tr>
      <w:tr>
        <w:trPr>
          <w:trHeight w:val="170"/>
        </w:trPr>
        <w:tc>
          <w:tcPr>
            <w:tcW w:w="3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r>
    </w:tbl>
    <w:p>
      <w:pPr>
        <w:spacing w:after="0" w:line="339" w:lineRule="exact"/>
        <w:rPr>
          <w:sz w:val="20"/>
          <w:szCs w:val="20"/>
          <w:color w:val="auto"/>
        </w:rPr>
      </w:pPr>
    </w:p>
    <w:p>
      <w:pPr>
        <w:ind w:left="530" w:hanging="530"/>
        <w:spacing w:after="0"/>
        <w:tabs>
          <w:tab w:leader="none" w:pos="5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169" w:lineRule="exact"/>
        <w:rPr>
          <w:rFonts w:ascii="Courier New" w:cs="Courier New" w:eastAsia="Courier New" w:hAnsi="Courier New"/>
          <w:sz w:val="15"/>
          <w:szCs w:val="15"/>
          <w:color w:val="auto"/>
        </w:rPr>
      </w:pPr>
    </w:p>
    <w:p>
      <w:pPr>
        <w:ind w:left="890" w:hanging="361"/>
        <w:spacing w:after="0"/>
        <w:tabs>
          <w:tab w:leader="none" w:pos="89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 Term</w:t>
      </w:r>
    </w:p>
    <w:p>
      <w:pPr>
        <w:spacing w:after="0" w:line="174" w:lineRule="exact"/>
        <w:rPr>
          <w:rFonts w:ascii="Courier New" w:cs="Courier New" w:eastAsia="Courier New" w:hAnsi="Courier New"/>
          <w:sz w:val="15"/>
          <w:szCs w:val="15"/>
          <w:color w:val="auto"/>
        </w:rPr>
      </w:pPr>
    </w:p>
    <w:p>
      <w:pPr>
        <w:ind w:left="89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2000, the Company had outstanding $2,000 of unsecured notes payable to banks bearing interest at 7.29%. The notes were repaid subsequent to December 31, 2000.</w:t>
      </w:r>
    </w:p>
    <w:p>
      <w:pPr>
        <w:spacing w:after="0" w:line="169"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9"/>
          </w:cols>
          <w:pgMar w:left="230" w:top="622" w:right="1440" w:bottom="1440" w:gutter="0" w:footer="0" w:header="0"/>
        </w:sectPr>
      </w:pPr>
    </w:p>
    <w:bookmarkStart w:id="32" w:name="page33"/>
    <w:bookmarkEnd w:id="32"/>
    <w:p>
      <w:pPr>
        <w:jc w:val="center"/>
        <w:ind w:right="3179"/>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2000, 1999 and 1998</w:t>
      </w: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p>
      <w:pPr>
        <w:ind w:left="960" w:hanging="441"/>
        <w:spacing w:after="0"/>
        <w:tabs>
          <w:tab w:leader="none" w:pos="9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Long-term debt at December 31, 2000 and 1999 consists of the</w:t>
      </w:r>
    </w:p>
    <w:p>
      <w:pPr>
        <w:spacing w:after="0"/>
        <w:rPr>
          <w:sz w:val="20"/>
          <w:szCs w:val="20"/>
          <w:color w:val="auto"/>
        </w:rPr>
      </w:pPr>
      <w:r>
        <w:rPr>
          <w:rFonts w:ascii="Courier New" w:cs="Courier New" w:eastAsia="Courier New" w:hAnsi="Courier New"/>
          <w:sz w:val="15"/>
          <w:szCs w:val="15"/>
          <w:color w:val="auto"/>
        </w:rPr>
        <w:t>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7120" w:type="dxa"/>
            <w:vAlign w:val="bottom"/>
            <w:gridSpan w:val="2"/>
          </w:tcPr>
          <w:p>
            <w:pPr>
              <w:ind w:left="580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200" w:type="dxa"/>
            <w:vAlign w:val="bottom"/>
          </w:tcPr>
          <w:p>
            <w:pPr>
              <w:spacing w:after="0"/>
              <w:rPr>
                <w:sz w:val="20"/>
                <w:szCs w:val="20"/>
                <w:color w:val="auto"/>
              </w:rPr>
            </w:pPr>
            <w:r>
              <w:rPr>
                <w:rFonts w:ascii="Courier New" w:cs="Courier New" w:eastAsia="Courier New" w:hAnsi="Courier New"/>
                <w:sz w:val="15"/>
                <w:szCs w:val="15"/>
                <w:color w:val="auto"/>
              </w:rPr>
              <w:t>Borrowings under a revolving credit facility</w:t>
            </w: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bearing interest at variable rates (7.29%</w:t>
            </w: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at December 31, 2000) due July 25, 2003</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$24,698</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17,151</w:t>
            </w:r>
          </w:p>
        </w:tc>
      </w:tr>
      <w:tr>
        <w:trPr>
          <w:trHeight w:val="339"/>
        </w:trPr>
        <w:tc>
          <w:tcPr>
            <w:tcW w:w="6200" w:type="dxa"/>
            <w:vAlign w:val="bottom"/>
          </w:tcPr>
          <w:p>
            <w:pPr>
              <w:spacing w:after="0"/>
              <w:rPr>
                <w:sz w:val="20"/>
                <w:szCs w:val="20"/>
                <w:color w:val="auto"/>
              </w:rPr>
            </w:pPr>
            <w:r>
              <w:rPr>
                <w:rFonts w:ascii="Courier New" w:cs="Courier New" w:eastAsia="Courier New" w:hAnsi="Courier New"/>
                <w:sz w:val="15"/>
                <w:szCs w:val="15"/>
                <w:color w:val="auto"/>
                <w:w w:val="99"/>
              </w:rPr>
              <w:t>Borrowings under a Euro revolving credit facility bearing interest at</w:t>
            </w: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variable rates (6.63% at December 31, 2000) due</w:t>
            </w: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July 15, 2006</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942</w:t>
            </w:r>
          </w:p>
        </w:tc>
        <w:tc>
          <w:tcPr>
            <w:tcW w:w="13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339"/>
        </w:trPr>
        <w:tc>
          <w:tcPr>
            <w:tcW w:w="6200" w:type="dxa"/>
            <w:vAlign w:val="bottom"/>
          </w:tcPr>
          <w:p>
            <w:pPr>
              <w:spacing w:after="0"/>
              <w:rPr>
                <w:sz w:val="20"/>
                <w:szCs w:val="20"/>
                <w:color w:val="auto"/>
              </w:rPr>
            </w:pPr>
            <w:r>
              <w:rPr>
                <w:rFonts w:ascii="Courier New" w:cs="Courier New" w:eastAsia="Courier New" w:hAnsi="Courier New"/>
                <w:sz w:val="15"/>
                <w:szCs w:val="15"/>
                <w:color w:val="auto"/>
                <w:w w:val="99"/>
              </w:rPr>
              <w:t>Euro term loans bearing interest at variable rates (6.63% at December</w:t>
            </w: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31, 2000) payable in quarterly installments of $1,885 beginning</w:t>
            </w: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6200" w:type="dxa"/>
            <w:vAlign w:val="bottom"/>
          </w:tcPr>
          <w:p>
            <w:pPr>
              <w:ind w:left="160"/>
              <w:spacing w:after="0"/>
              <w:rPr>
                <w:sz w:val="20"/>
                <w:szCs w:val="20"/>
                <w:color w:val="auto"/>
              </w:rPr>
            </w:pPr>
            <w:r>
              <w:rPr>
                <w:rFonts w:ascii="Courier New" w:cs="Courier New" w:eastAsia="Courier New" w:hAnsi="Courier New"/>
                <w:sz w:val="15"/>
                <w:szCs w:val="15"/>
                <w:color w:val="auto"/>
              </w:rPr>
              <w:t>April 15, 2002 through July 15, 2006</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24,875</w:t>
            </w:r>
          </w:p>
        </w:tc>
        <w:tc>
          <w:tcPr>
            <w:tcW w:w="13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339"/>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Total long-term debt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50,515</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17,151</w:t>
            </w:r>
          </w:p>
        </w:tc>
      </w:tr>
      <w:tr>
        <w:trPr>
          <w:trHeight w:val="339"/>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Less current installments</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170"/>
        </w:trPr>
        <w:tc>
          <w:tcPr>
            <w:tcW w:w="620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339"/>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Long-term debt, excluding current installments</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$50,515</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17,151</w:t>
            </w:r>
          </w:p>
        </w:tc>
      </w:tr>
      <w:tr>
        <w:trPr>
          <w:trHeight w:val="170"/>
        </w:trPr>
        <w:tc>
          <w:tcPr>
            <w:tcW w:w="620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1040" w:right="3259"/>
        <w:spacing w:after="0" w:line="257" w:lineRule="auto"/>
        <w:rPr>
          <w:sz w:val="20"/>
          <w:szCs w:val="20"/>
          <w:color w:val="auto"/>
        </w:rPr>
      </w:pPr>
      <w:r>
        <w:rPr>
          <w:rFonts w:ascii="Courier New" w:cs="Courier New" w:eastAsia="Courier New" w:hAnsi="Courier New"/>
          <w:sz w:val="14"/>
          <w:szCs w:val="14"/>
          <w:color w:val="auto"/>
        </w:rPr>
        <w:t>The Company has a revolving line of credit with AmSouth Bank under which the Company can borrow up to $25,000. Outstanding borrowings bear interest at the rate of LIBOR plus 0.65% or the Federal Funds effective rate plus 1.5%, at the Company's option. The revolving line of credit is unsecured and all outstanding amounts are due July 25, 2003. In February 2001, the Company extended and restated the revolving credit facility to increase the facility to $50,000. The Company borrowed $23,000 under the facility to finance the acquisition of Delta Rubber Company (see note 17). Amounts outstanding under the amended revolving credit facility are unsecured and bear interest at LIBOR plus an applicable margin of between 0.65% and 2.15% based upon financial ratios. The line of credit agreement contains restrictive covenants, which specify, among other things, restrictions on the incurrence of indebtedness and the maintenance of certain working capital requirements. The Company was in compliance with such covenants at December 31, 2000.</w:t>
      </w:r>
    </w:p>
    <w:p>
      <w:pPr>
        <w:spacing w:after="0" w:line="159"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2" w:right="1440" w:bottom="1440" w:gutter="0" w:footer="0" w:header="0"/>
        </w:sectPr>
      </w:pPr>
    </w:p>
    <w:bookmarkStart w:id="33" w:name="page34"/>
    <w:bookmarkEnd w:id="33"/>
    <w:p>
      <w:pPr>
        <w:jc w:val="center"/>
        <w:ind w:right="3170"/>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December 31, 2000, 1999 and 1998</w:t>
      </w: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4" w:lineRule="exact"/>
        <w:rPr>
          <w:sz w:val="20"/>
          <w:szCs w:val="20"/>
          <w:color w:val="auto"/>
        </w:rPr>
      </w:pPr>
    </w:p>
    <w:p>
      <w:pPr>
        <w:ind w:left="1050" w:right="3179"/>
        <w:spacing w:after="0" w:line="257" w:lineRule="auto"/>
        <w:rPr>
          <w:sz w:val="20"/>
          <w:szCs w:val="20"/>
          <w:color w:val="auto"/>
        </w:rPr>
      </w:pPr>
      <w:r>
        <w:rPr>
          <w:rFonts w:ascii="Courier New" w:cs="Courier New" w:eastAsia="Courier New" w:hAnsi="Courier New"/>
          <w:sz w:val="14"/>
          <w:szCs w:val="14"/>
          <w:color w:val="auto"/>
        </w:rPr>
        <w:t>In connection with the Euroball transaction (see note 2) the Company and NN Euroball ApS, entered into a Facility Agreement with a bank to provide up to Euro 36,000 ($33,941) in Term Loans and Euro 5,000 ($4,714) in revolving credit loans. The Company borrowed Euro 30,500 ($28,755) under the term loan facility and Euro 1,000 ($943) under the revolving credit facility. Amounts outstanding under the Facility Agreement are secured by inventory and accounts receivable and bear interest at EURIBOR plus an applicable margin between 1.75% and 2.25% based upon financial ratios. The shareholders of NN Euroball Aps have provided guarantees for the Facility Agreement. The Facility Agreement contains restrictive covenants, which specify, among other things, restrictions on the incurrence of indebtedness and the maintenance of certain financial ratios. The Company was in compliance with such covenants at December 31, 2000.</w:t>
      </w:r>
    </w:p>
    <w:p>
      <w:pPr>
        <w:spacing w:after="0" w:line="165" w:lineRule="exact"/>
        <w:rPr>
          <w:sz w:val="20"/>
          <w:szCs w:val="20"/>
          <w:color w:val="auto"/>
        </w:rPr>
      </w:pPr>
    </w:p>
    <w:p>
      <w:pPr>
        <w:ind w:left="890" w:right="3259"/>
        <w:spacing w:after="0" w:line="235" w:lineRule="auto"/>
        <w:rPr>
          <w:sz w:val="20"/>
          <w:szCs w:val="20"/>
          <w:color w:val="auto"/>
        </w:rPr>
      </w:pPr>
      <w:r>
        <w:rPr>
          <w:rFonts w:ascii="Courier New" w:cs="Courier New" w:eastAsia="Courier New" w:hAnsi="Courier New"/>
          <w:sz w:val="15"/>
          <w:szCs w:val="15"/>
          <w:color w:val="auto"/>
        </w:rPr>
        <w:t>The aggregate maturities of long-term debt for each of the five years subsequent to December 31, 2000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5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5,655</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32,237</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7,539</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4,142</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942</w:t>
            </w:r>
          </w:p>
        </w:tc>
      </w:tr>
      <w:tr>
        <w:trPr>
          <w:trHeight w:val="170"/>
        </w:trPr>
        <w:tc>
          <w:tcPr>
            <w:tcW w:w="2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0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50,515</w:t>
            </w:r>
          </w:p>
        </w:tc>
      </w:tr>
      <w:tr>
        <w:trPr>
          <w:trHeight w:val="170"/>
        </w:trPr>
        <w:tc>
          <w:tcPr>
            <w:tcW w:w="2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bl>
    <w:p>
      <w:pPr>
        <w:spacing w:after="0" w:line="344" w:lineRule="exact"/>
        <w:rPr>
          <w:sz w:val="20"/>
          <w:szCs w:val="20"/>
          <w:color w:val="auto"/>
        </w:rPr>
      </w:pPr>
    </w:p>
    <w:p>
      <w:pPr>
        <w:ind w:left="10" w:right="3879" w:firstLine="529"/>
        <w:spacing w:after="0" w:line="235" w:lineRule="auto"/>
        <w:rPr>
          <w:sz w:val="20"/>
          <w:szCs w:val="20"/>
          <w:color w:val="auto"/>
        </w:rPr>
      </w:pPr>
      <w:r>
        <w:rPr>
          <w:rFonts w:ascii="Courier New" w:cs="Courier New" w:eastAsia="Courier New" w:hAnsi="Courier New"/>
          <w:sz w:val="15"/>
          <w:szCs w:val="15"/>
          <w:color w:val="auto"/>
        </w:rPr>
        <w:t>Interest paid during 2000, 1999 and 1998 was $1,917, $519 and $64, respectively.</w:t>
      </w:r>
    </w:p>
    <w:p>
      <w:pPr>
        <w:spacing w:after="0" w:line="170" w:lineRule="exact"/>
        <w:rPr>
          <w:sz w:val="20"/>
          <w:szCs w:val="20"/>
          <w:color w:val="auto"/>
        </w:rPr>
      </w:pPr>
    </w:p>
    <w:p>
      <w:pPr>
        <w:ind w:left="530" w:hanging="530"/>
        <w:spacing w:after="0"/>
        <w:tabs>
          <w:tab w:leader="none" w:pos="53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4" w:lineRule="exact"/>
        <w:rPr>
          <w:rFonts w:ascii="Courier New" w:cs="Courier New" w:eastAsia="Courier New" w:hAnsi="Courier New"/>
          <w:sz w:val="15"/>
          <w:szCs w:val="15"/>
          <w:color w:val="auto"/>
        </w:rPr>
      </w:pPr>
    </w:p>
    <w:p>
      <w:pPr>
        <w:ind w:left="530"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has two defined contribution 401(k) profit sharing plans covering substantially all employees of the ball and roller and plastics segments. The plan in place for the ball and roller segment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provides a dollar for dollar matching contribution up to $500 per participant. The employer matching contribution is fully vested at all times. The contributions by the Company for the ball and roller division plan were $106, $120 and $141 in 2000, 1999 and 1998.</w:t>
      </w:r>
    </w:p>
    <w:p>
      <w:pPr>
        <w:spacing w:after="0" w:line="165" w:lineRule="exact"/>
        <w:rPr>
          <w:rFonts w:ascii="Courier New" w:cs="Courier New" w:eastAsia="Courier New" w:hAnsi="Courier New"/>
          <w:sz w:val="15"/>
          <w:szCs w:val="15"/>
          <w:color w:val="auto"/>
        </w:rPr>
      </w:pPr>
    </w:p>
    <w:p>
      <w:pPr>
        <w:ind w:left="53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in place for the plastics segment covers all employees who have completed six months of service and have elected to participate in the plan. A participant may elect to contribute from 1% to 15% of his or her compensation to the plan, subject to a maximum deferral set forth in the Internal Revenue Code. The Company matches twenty-five percent of the first six percent of each employee's contribution to the plan and provides for a discretionary contribution at the end of each plan year. The contributions by the Company for the plastics segment plan since acquisition in July 1999 were $70 in 2000 and $196 in 1999.</w:t>
      </w:r>
    </w:p>
    <w:p>
      <w:pPr>
        <w:spacing w:after="0" w:line="17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622" w:right="1440" w:bottom="1440" w:gutter="0" w:footer="0" w:header="0"/>
        </w:sectPr>
      </w:pPr>
    </w:p>
    <w:bookmarkStart w:id="34" w:name="page35"/>
    <w:bookmarkEnd w:id="34"/>
    <w:p>
      <w:pPr>
        <w:jc w:val="center"/>
        <w:ind w:right="3170"/>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December 31, 2000, 1999 and 1998</w:t>
      </w: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3" w:lineRule="exact"/>
        <w:rPr>
          <w:sz w:val="20"/>
          <w:szCs w:val="20"/>
          <w:color w:val="auto"/>
        </w:rPr>
      </w:pPr>
    </w:p>
    <w:p>
      <w:pPr>
        <w:ind w:left="530" w:right="3359"/>
        <w:spacing w:after="0" w:line="237" w:lineRule="auto"/>
        <w:rPr>
          <w:sz w:val="20"/>
          <w:szCs w:val="20"/>
          <w:color w:val="auto"/>
        </w:rPr>
      </w:pPr>
      <w:r>
        <w:rPr>
          <w:rFonts w:ascii="Courier New" w:cs="Courier New" w:eastAsia="Courier New" w:hAnsi="Courier New"/>
          <w:sz w:val="15"/>
          <w:szCs w:val="15"/>
          <w:color w:val="auto"/>
        </w:rPr>
        <w:t>The Company has a defined benefit pension plan covering its Eltman, Germany facility employees (a Euroball division). The benefits are based on the expected years of service including the rate of compensation increase. The plan is unfunded.</w:t>
      </w:r>
    </w:p>
    <w:p>
      <w:pPr>
        <w:spacing w:after="0" w:line="176" w:lineRule="exact"/>
        <w:rPr>
          <w:sz w:val="20"/>
          <w:szCs w:val="20"/>
          <w:color w:val="auto"/>
        </w:rPr>
      </w:pPr>
    </w:p>
    <w:p>
      <w:pPr>
        <w:ind w:left="710" w:right="4059"/>
        <w:spacing w:after="0" w:line="265" w:lineRule="auto"/>
        <w:rPr>
          <w:sz w:val="20"/>
          <w:szCs w:val="20"/>
          <w:color w:val="auto"/>
        </w:rPr>
      </w:pPr>
      <w:r>
        <w:rPr>
          <w:rFonts w:ascii="Courier New" w:cs="Courier New" w:eastAsia="Courier New" w:hAnsi="Courier New"/>
          <w:sz w:val="14"/>
          <w:szCs w:val="14"/>
          <w:color w:val="auto"/>
        </w:rPr>
        <w:t>Following is a summary of the changes in the projected benefit obligation for the defined benefit pension plan during 2000:</w:t>
      </w:r>
    </w:p>
    <w:p>
      <w:pPr>
        <w:spacing w:after="0" w:line="200" w:lineRule="exact"/>
        <w:rPr>
          <w:sz w:val="20"/>
          <w:szCs w:val="20"/>
          <w:color w:val="auto"/>
        </w:rPr>
      </w:pPr>
    </w:p>
    <w:p>
      <w:pPr>
        <w:spacing w:after="0" w:line="292"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Change in projected benefit obligation:</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Benefit obligation at July 1, 2000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1,886</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Service cost</w:t>
            </w:r>
          </w:p>
        </w:tc>
        <w:tc>
          <w:tcPr>
            <w:tcW w:w="60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Interest cost</w:t>
            </w:r>
          </w:p>
        </w:tc>
        <w:tc>
          <w:tcPr>
            <w:tcW w:w="60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Actuarial loss</w:t>
            </w:r>
          </w:p>
        </w:tc>
        <w:tc>
          <w:tcPr>
            <w:tcW w:w="60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152</w:t>
            </w:r>
          </w:p>
        </w:tc>
      </w:tr>
      <w:tr>
        <w:trPr>
          <w:trHeight w:val="170"/>
        </w:trPr>
        <w:tc>
          <w:tcPr>
            <w:tcW w:w="4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Benefit obligation at end of the year</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2,133</w:t>
            </w:r>
          </w:p>
        </w:tc>
      </w:tr>
      <w:tr>
        <w:trPr>
          <w:trHeight w:val="170"/>
        </w:trPr>
        <w:tc>
          <w:tcPr>
            <w:tcW w:w="4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760" w:type="dxa"/>
            <w:vAlign w:val="bottom"/>
          </w:tcPr>
          <w:p>
            <w:pPr>
              <w:ind w:left="80"/>
              <w:spacing w:after="0"/>
              <w:rPr>
                <w:sz w:val="20"/>
                <w:szCs w:val="20"/>
                <w:color w:val="auto"/>
              </w:rPr>
            </w:pPr>
            <w:r>
              <w:rPr>
                <w:rFonts w:ascii="Courier New" w:cs="Courier New" w:eastAsia="Courier New" w:hAnsi="Courier New"/>
                <w:sz w:val="15"/>
                <w:szCs w:val="15"/>
                <w:color w:val="auto"/>
              </w:rPr>
              <w:t>Weighted-average assumptions as of December 31:</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Discount rate</w:t>
            </w:r>
          </w:p>
        </w:tc>
        <w:tc>
          <w:tcPr>
            <w:tcW w:w="600" w:type="dxa"/>
            <w:vAlign w:val="bottom"/>
          </w:tcPr>
          <w:p>
            <w:pPr>
              <w:spacing w:after="0"/>
              <w:rPr>
                <w:sz w:val="14"/>
                <w:szCs w:val="14"/>
                <w:color w:val="auto"/>
              </w:rPr>
            </w:pPr>
          </w:p>
        </w:tc>
        <w:tc>
          <w:tcPr>
            <w:tcW w:w="11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6.0%</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Rate of compensation increase</w:t>
            </w:r>
          </w:p>
        </w:tc>
        <w:tc>
          <w:tcPr>
            <w:tcW w:w="600" w:type="dxa"/>
            <w:vAlign w:val="bottom"/>
          </w:tcPr>
          <w:p>
            <w:pPr>
              <w:spacing w:after="0"/>
              <w:rPr>
                <w:sz w:val="14"/>
                <w:szCs w:val="14"/>
                <w:color w:val="auto"/>
              </w:rPr>
            </w:pPr>
          </w:p>
        </w:tc>
        <w:tc>
          <w:tcPr>
            <w:tcW w:w="11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2.0%</w:t>
            </w:r>
          </w:p>
        </w:tc>
      </w:tr>
      <w:tr>
        <w:trPr>
          <w:trHeight w:val="509"/>
        </w:trPr>
        <w:tc>
          <w:tcPr>
            <w:tcW w:w="4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Components of net periodic benefit cost:</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Service cost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Interest cost on projected benefit obligation</w:t>
            </w:r>
          </w:p>
        </w:tc>
        <w:tc>
          <w:tcPr>
            <w:tcW w:w="60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w:t>
            </w:r>
          </w:p>
        </w:tc>
      </w:tr>
      <w:tr>
        <w:trPr>
          <w:trHeight w:val="170"/>
        </w:trPr>
        <w:tc>
          <w:tcPr>
            <w:tcW w:w="4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Net periodic pension cost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95</w:t>
            </w:r>
          </w:p>
        </w:tc>
      </w:tr>
      <w:tr>
        <w:trPr>
          <w:trHeight w:val="170"/>
        </w:trPr>
        <w:tc>
          <w:tcPr>
            <w:tcW w:w="4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530" w:hanging="530"/>
        <w:spacing w:after="0"/>
        <w:tabs>
          <w:tab w:leader="none" w:pos="5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Incentive Plan</w:t>
      </w:r>
    </w:p>
    <w:p>
      <w:pPr>
        <w:spacing w:after="0" w:line="174" w:lineRule="exact"/>
        <w:rPr>
          <w:rFonts w:ascii="Courier New" w:cs="Courier New" w:eastAsia="Courier New" w:hAnsi="Courier New"/>
          <w:sz w:val="15"/>
          <w:szCs w:val="15"/>
          <w:color w:val="auto"/>
        </w:rPr>
      </w:pPr>
    </w:p>
    <w:p>
      <w:pPr>
        <w:ind w:left="53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March 2, 1994, the Company adopted the NN, Inc. Stock Incentive Plan under which 1,125 shares of the Common Stock were reserved for issuance to officers and key employees of the Company. During 1999, the plan was amended to increase the number of shares available for issuance pursuant to awards made under the plan from 1,125 to 1,625.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 grant. The awards or grants under the plan may have various vesting and expiration periods as determined at the discretion of the committee administering the plan.</w:t>
      </w:r>
    </w:p>
    <w:p>
      <w:pPr>
        <w:spacing w:after="0" w:line="200" w:lineRule="exact"/>
        <w:rPr>
          <w:sz w:val="20"/>
          <w:szCs w:val="20"/>
          <w:color w:val="auto"/>
        </w:rPr>
      </w:pPr>
    </w:p>
    <w:p>
      <w:pPr>
        <w:spacing w:after="0" w:line="31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9"/>
          </w:cols>
          <w:pgMar w:left="230" w:top="622" w:right="1440" w:bottom="1440" w:gutter="0" w:footer="0" w:header="0"/>
        </w:sectPr>
      </w:pPr>
    </w:p>
    <w:bookmarkStart w:id="35" w:name="page36"/>
    <w:bookmarkEnd w:id="35"/>
    <w:p>
      <w:pPr>
        <w:jc w:val="center"/>
        <w:ind w:right="3179"/>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2000, 1999 and 1998</w:t>
      </w: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right="3179"/>
        <w:spacing w:after="0" w:line="237" w:lineRule="auto"/>
        <w:rPr>
          <w:sz w:val="20"/>
          <w:szCs w:val="20"/>
          <w:color w:val="auto"/>
        </w:rPr>
      </w:pPr>
      <w:r>
        <w:rPr>
          <w:rFonts w:ascii="Courier New" w:cs="Courier New" w:eastAsia="Courier New" w:hAnsi="Courier New"/>
          <w:sz w:val="15"/>
          <w:szCs w:val="15"/>
          <w:color w:val="auto"/>
        </w:rPr>
        <w:t>A summary of the status of the Company's stock option plan as described above as of December 31, 2000, 1999 and 1998, and changes during the years ending on those dates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220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2000</w:t>
            </w:r>
          </w:p>
        </w:tc>
        <w:tc>
          <w:tcPr>
            <w:tcW w:w="21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1999</w:t>
            </w:r>
          </w:p>
        </w:tc>
        <w:tc>
          <w:tcPr>
            <w:tcW w:w="21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2640" w:type="dxa"/>
            <w:vAlign w:val="bottom"/>
          </w:tcPr>
          <w:p>
            <w:pPr>
              <w:spacing w:after="0"/>
              <w:rPr>
                <w:sz w:val="14"/>
                <w:szCs w:val="14"/>
                <w:color w:val="auto"/>
              </w:rPr>
            </w:pPr>
          </w:p>
        </w:tc>
        <w:tc>
          <w:tcPr>
            <w:tcW w:w="6420" w:type="dxa"/>
            <w:vAlign w:val="bottom"/>
            <w:gridSpan w:val="7"/>
          </w:tcPr>
          <w:p>
            <w:pPr>
              <w:ind w:left="26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Weighted-</w:t>
            </w:r>
          </w:p>
        </w:tc>
        <w:tc>
          <w:tcPr>
            <w:tcW w:w="1100" w:type="dxa"/>
            <w:vAlign w:val="bottom"/>
          </w:tcPr>
          <w:p>
            <w:pPr>
              <w:spacing w:after="0"/>
              <w:rPr>
                <w:sz w:val="14"/>
                <w:szCs w:val="14"/>
                <w:color w:val="auto"/>
              </w:rPr>
            </w:pPr>
          </w:p>
        </w:tc>
        <w:tc>
          <w:tcPr>
            <w:tcW w:w="10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Weighted-</w:t>
            </w:r>
          </w:p>
        </w:tc>
        <w:tc>
          <w:tcPr>
            <w:tcW w:w="106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average</w:t>
            </w:r>
          </w:p>
        </w:tc>
        <w:tc>
          <w:tcPr>
            <w:tcW w:w="1100" w:type="dxa"/>
            <w:vAlign w:val="bottom"/>
          </w:tcPr>
          <w:p>
            <w:pPr>
              <w:spacing w:after="0"/>
              <w:rPr>
                <w:sz w:val="14"/>
                <w:szCs w:val="14"/>
                <w:color w:val="auto"/>
              </w:rPr>
            </w:pPr>
          </w:p>
        </w:tc>
        <w:tc>
          <w:tcPr>
            <w:tcW w:w="10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5"/>
              </w:rPr>
              <w:t>average</w:t>
            </w:r>
          </w:p>
        </w:tc>
        <w:tc>
          <w:tcPr>
            <w:tcW w:w="10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exercise</w:t>
            </w:r>
          </w:p>
        </w:tc>
        <w:tc>
          <w:tcPr>
            <w:tcW w:w="110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exercise</w:t>
            </w:r>
          </w:p>
        </w:tc>
        <w:tc>
          <w:tcPr>
            <w:tcW w:w="10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264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4"/>
                <w:szCs w:val="14"/>
                <w:color w:val="auto"/>
              </w:rPr>
            </w:pPr>
          </w:p>
        </w:tc>
        <w:tc>
          <w:tcPr>
            <w:tcW w:w="8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price</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10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price</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2640" w:type="dxa"/>
            <w:vAlign w:val="bottom"/>
          </w:tcPr>
          <w:p>
            <w:pPr>
              <w:spacing w:after="0"/>
              <w:rPr>
                <w:sz w:val="14"/>
                <w:szCs w:val="14"/>
                <w:color w:val="auto"/>
              </w:rPr>
            </w:pPr>
          </w:p>
        </w:tc>
        <w:tc>
          <w:tcPr>
            <w:tcW w:w="6420" w:type="dxa"/>
            <w:vAlign w:val="bottom"/>
            <w:gridSpan w:val="7"/>
          </w:tcPr>
          <w:p>
            <w:pPr>
              <w:ind w:left="260"/>
              <w:spacing w:after="0"/>
              <w:rPr>
                <w:sz w:val="20"/>
                <w:szCs w:val="20"/>
                <w:color w:val="auto"/>
              </w:rPr>
            </w:pPr>
            <w:r>
              <w:rPr>
                <w:rFonts w:ascii="Courier New" w:cs="Courier New" w:eastAsia="Courier New" w:hAnsi="Courier New"/>
                <w:sz w:val="15"/>
                <w:szCs w:val="15"/>
                <w:color w:val="auto"/>
                <w:w w:val="97"/>
              </w:rPr>
              <w:t>---------- ----------------------------------- ---------- ------------</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Outstanding at beginning of</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1,049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8.53</w:t>
            </w:r>
          </w:p>
        </w:tc>
        <w:tc>
          <w:tcPr>
            <w:tcW w:w="1100" w:type="dxa"/>
            <w:vAlign w:val="bottom"/>
          </w:tcPr>
          <w:p>
            <w:pPr>
              <w:ind w:left="620"/>
              <w:spacing w:after="0"/>
              <w:rPr>
                <w:sz w:val="20"/>
                <w:szCs w:val="20"/>
                <w:color w:val="auto"/>
              </w:rPr>
            </w:pPr>
            <w:r>
              <w:rPr>
                <w:rFonts w:ascii="Courier New" w:cs="Courier New" w:eastAsia="Courier New" w:hAnsi="Courier New"/>
                <w:sz w:val="15"/>
                <w:szCs w:val="15"/>
                <w:color w:val="auto"/>
              </w:rPr>
              <w:t>548 $</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11.53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461 $</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11.86</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555</w:t>
            </w:r>
          </w:p>
        </w:tc>
        <w:tc>
          <w:tcPr>
            <w:tcW w:w="1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7.63</w:t>
            </w:r>
          </w:p>
        </w:tc>
        <w:tc>
          <w:tcPr>
            <w:tcW w:w="1100" w:type="dxa"/>
            <w:vAlign w:val="bottom"/>
          </w:tcPr>
          <w:p>
            <w:pPr>
              <w:ind w:left="620"/>
              <w:spacing w:after="0"/>
              <w:rPr>
                <w:sz w:val="20"/>
                <w:szCs w:val="20"/>
                <w:color w:val="auto"/>
              </w:rPr>
            </w:pPr>
            <w:r>
              <w:rPr>
                <w:rFonts w:ascii="Courier New" w:cs="Courier New" w:eastAsia="Courier New" w:hAnsi="Courier New"/>
                <w:sz w:val="15"/>
                <w:szCs w:val="15"/>
                <w:color w:val="auto"/>
              </w:rPr>
              <w:t>539</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5.93</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9.83</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5.87</w:t>
            </w:r>
          </w:p>
        </w:tc>
        <w:tc>
          <w:tcPr>
            <w:tcW w:w="110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(529)</w:t>
            </w:r>
          </w:p>
        </w:tc>
        <w:tc>
          <w:tcPr>
            <w:tcW w:w="1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10.95</w:t>
            </w:r>
          </w:p>
        </w:tc>
        <w:tc>
          <w:tcPr>
            <w:tcW w:w="1100" w:type="dxa"/>
            <w:vAlign w:val="bottom"/>
          </w:tcPr>
          <w:p>
            <w:pPr>
              <w:ind w:left="620"/>
              <w:spacing w:after="0"/>
              <w:rPr>
                <w:sz w:val="20"/>
                <w:szCs w:val="20"/>
                <w:color w:val="auto"/>
              </w:rPr>
            </w:pPr>
            <w:r>
              <w:rPr>
                <w:rFonts w:ascii="Courier New" w:cs="Courier New" w:eastAsia="Courier New" w:hAnsi="Courier New"/>
                <w:sz w:val="15"/>
                <w:szCs w:val="15"/>
                <w:color w:val="auto"/>
              </w:rPr>
              <w:t>(38)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10.44</w:t>
            </w:r>
          </w:p>
        </w:tc>
      </w:tr>
      <w:tr>
        <w:trPr>
          <w:trHeight w:val="170"/>
        </w:trPr>
        <w:tc>
          <w:tcPr>
            <w:tcW w:w="264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1,073</w:t>
            </w:r>
          </w:p>
        </w:tc>
        <w:tc>
          <w:tcPr>
            <w:tcW w:w="1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6.87</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1,049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8.53</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548</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11.53</w:t>
            </w:r>
          </w:p>
        </w:tc>
      </w:tr>
      <w:tr>
        <w:trPr>
          <w:trHeight w:val="170"/>
        </w:trPr>
        <w:tc>
          <w:tcPr>
            <w:tcW w:w="264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year-end</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290</w:t>
            </w:r>
          </w:p>
        </w:tc>
        <w:tc>
          <w:tcPr>
            <w:tcW w:w="1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w:t>
            </w:r>
          </w:p>
        </w:tc>
        <w:tc>
          <w:tcPr>
            <w:tcW w:w="1100" w:type="dxa"/>
            <w:vAlign w:val="bottom"/>
          </w:tcPr>
          <w:p>
            <w:pPr>
              <w:ind w:left="620"/>
              <w:spacing w:after="0"/>
              <w:rPr>
                <w:sz w:val="20"/>
                <w:szCs w:val="20"/>
                <w:color w:val="auto"/>
              </w:rPr>
            </w:pPr>
            <w:r>
              <w:rPr>
                <w:rFonts w:ascii="Courier New" w:cs="Courier New" w:eastAsia="Courier New" w:hAnsi="Courier New"/>
                <w:sz w:val="15"/>
                <w:szCs w:val="15"/>
                <w:color w:val="auto"/>
              </w:rPr>
              <w:t>345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11.53</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11.75</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 w:right="3179"/>
        <w:spacing w:after="0" w:line="235" w:lineRule="auto"/>
        <w:rPr>
          <w:sz w:val="20"/>
          <w:szCs w:val="20"/>
          <w:color w:val="auto"/>
        </w:rPr>
      </w:pPr>
      <w:r>
        <w:rPr>
          <w:rFonts w:ascii="Courier New" w:cs="Courier New" w:eastAsia="Courier New" w:hAnsi="Courier New"/>
          <w:sz w:val="15"/>
          <w:szCs w:val="15"/>
          <w:color w:val="auto"/>
        </w:rPr>
        <w:t>The following table summarizes information about stock options outstanding at December 31, 2000:</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780" w:type="dxa"/>
            <w:vAlign w:val="bottom"/>
            <w:gridSpan w:val="2"/>
          </w:tcPr>
          <w:p>
            <w:pPr>
              <w:jc w:val="center"/>
              <w:ind w:left="1027"/>
              <w:spacing w:after="0"/>
              <w:rPr>
                <w:sz w:val="20"/>
                <w:szCs w:val="20"/>
                <w:color w:val="auto"/>
              </w:rPr>
            </w:pPr>
            <w:r>
              <w:rPr>
                <w:rFonts w:ascii="Courier New" w:cs="Courier New" w:eastAsia="Courier New" w:hAnsi="Courier New"/>
                <w:sz w:val="15"/>
                <w:szCs w:val="15"/>
                <w:color w:val="auto"/>
                <w:w w:val="98"/>
              </w:rPr>
              <w:t>Options Outstanding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Options Exercisable</w:t>
            </w:r>
          </w:p>
        </w:tc>
      </w:tr>
      <w:tr>
        <w:trPr>
          <w:trHeight w:val="170"/>
        </w:trPr>
        <w:tc>
          <w:tcPr>
            <w:tcW w:w="1360" w:type="dxa"/>
            <w:vAlign w:val="bottom"/>
          </w:tcPr>
          <w:p>
            <w:pPr>
              <w:spacing w:after="0"/>
              <w:rPr>
                <w:sz w:val="14"/>
                <w:szCs w:val="14"/>
                <w:color w:val="auto"/>
              </w:rPr>
            </w:pPr>
          </w:p>
        </w:tc>
        <w:tc>
          <w:tcPr>
            <w:tcW w:w="6220" w:type="dxa"/>
            <w:vAlign w:val="bottom"/>
            <w:gridSpan w:val="7"/>
          </w:tcPr>
          <w:p>
            <w:pPr>
              <w:ind w:left="220"/>
              <w:spacing w:after="0"/>
              <w:rPr>
                <w:sz w:val="20"/>
                <w:szCs w:val="20"/>
                <w:color w:val="auto"/>
              </w:rPr>
            </w:pPr>
            <w:r>
              <w:rPr>
                <w:rFonts w:ascii="Courier New" w:cs="Courier New" w:eastAsia="Courier New" w:hAnsi="Courier New"/>
                <w:sz w:val="15"/>
                <w:szCs w:val="15"/>
                <w:color w:val="auto"/>
                <w:w w:val="97"/>
              </w:rPr>
              <w:t>---------------------------------------- ---------------------------</w:t>
            </w:r>
          </w:p>
        </w:tc>
      </w:tr>
      <w:tr>
        <w:trPr>
          <w:trHeight w:val="170"/>
        </w:trPr>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Weighted-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5"/>
              </w:rPr>
              <w:t>Average</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Weighted-</w:t>
            </w:r>
          </w:p>
        </w:tc>
        <w:tc>
          <w:tcPr>
            <w:tcW w:w="14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Range of</w:t>
            </w:r>
          </w:p>
        </w:tc>
        <w:tc>
          <w:tcPr>
            <w:tcW w:w="1420" w:type="dxa"/>
            <w:vAlign w:val="bottom"/>
          </w:tcPr>
          <w:p>
            <w:pPr>
              <w:ind w:left="480"/>
              <w:spacing w:after="0"/>
              <w:rPr>
                <w:sz w:val="20"/>
                <w:szCs w:val="20"/>
                <w:color w:val="auto"/>
              </w:rPr>
            </w:pPr>
            <w:r>
              <w:rPr>
                <w:rFonts w:ascii="Courier New" w:cs="Courier New" w:eastAsia="Courier New" w:hAnsi="Courier New"/>
                <w:sz w:val="15"/>
                <w:szCs w:val="15"/>
                <w:color w:val="auto"/>
              </w:rPr>
              <w:t>Number</w:t>
            </w:r>
          </w:p>
        </w:tc>
        <w:tc>
          <w:tcPr>
            <w:tcW w:w="13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Remaining</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Average</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Number</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13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Exercise</w:t>
            </w:r>
          </w:p>
        </w:tc>
        <w:tc>
          <w:tcPr>
            <w:tcW w:w="1420" w:type="dxa"/>
            <w:vAlign w:val="bottom"/>
          </w:tcPr>
          <w:p>
            <w:pPr>
              <w:ind w:left="320"/>
              <w:spacing w:after="0"/>
              <w:rPr>
                <w:sz w:val="20"/>
                <w:szCs w:val="20"/>
                <w:color w:val="auto"/>
              </w:rPr>
            </w:pPr>
            <w:r>
              <w:rPr>
                <w:rFonts w:ascii="Courier New" w:cs="Courier New" w:eastAsia="Courier New" w:hAnsi="Courier New"/>
                <w:sz w:val="15"/>
                <w:szCs w:val="15"/>
                <w:color w:val="auto"/>
              </w:rPr>
              <w:t>Outstanding</w:t>
            </w:r>
          </w:p>
        </w:tc>
        <w:tc>
          <w:tcPr>
            <w:tcW w:w="13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Contractual</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Exercise</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Exercisable</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13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Prices</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at 12/31/2000</w:t>
            </w:r>
          </w:p>
        </w:tc>
        <w:tc>
          <w:tcPr>
            <w:tcW w:w="1360" w:type="dxa"/>
            <w:vAlign w:val="bottom"/>
          </w:tcPr>
          <w:p>
            <w:pPr>
              <w:ind w:left="380"/>
              <w:spacing w:after="0"/>
              <w:rPr>
                <w:sz w:val="20"/>
                <w:szCs w:val="20"/>
                <w:color w:val="auto"/>
              </w:rPr>
            </w:pPr>
            <w:r>
              <w:rPr>
                <w:rFonts w:ascii="Courier New" w:cs="Courier New" w:eastAsia="Courier New" w:hAnsi="Courier New"/>
                <w:sz w:val="15"/>
                <w:szCs w:val="15"/>
                <w:color w:val="auto"/>
              </w:rPr>
              <w:t>Life</w:t>
            </w:r>
          </w:p>
        </w:tc>
        <w:tc>
          <w:tcPr>
            <w:tcW w:w="1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Price</w:t>
            </w:r>
          </w:p>
        </w:tc>
        <w:tc>
          <w:tcPr>
            <w:tcW w:w="1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at 12/31/2000</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Price</w:t>
            </w:r>
          </w:p>
        </w:tc>
      </w:tr>
      <w:tr>
        <w:trPr>
          <w:trHeight w:val="170"/>
        </w:trPr>
        <w:tc>
          <w:tcPr>
            <w:tcW w:w="1360" w:type="dxa"/>
            <w:vAlign w:val="bottom"/>
          </w:tcPr>
          <w:p>
            <w:pPr>
              <w:spacing w:after="0"/>
              <w:rPr>
                <w:sz w:val="14"/>
                <w:szCs w:val="14"/>
                <w:color w:val="auto"/>
              </w:rPr>
            </w:pPr>
          </w:p>
        </w:tc>
        <w:tc>
          <w:tcPr>
            <w:tcW w:w="6220" w:type="dxa"/>
            <w:vAlign w:val="bottom"/>
            <w:gridSpan w:val="7"/>
          </w:tcPr>
          <w:p>
            <w:pPr>
              <w:ind w:left="220"/>
              <w:spacing w:after="0"/>
              <w:rPr>
                <w:sz w:val="20"/>
                <w:szCs w:val="20"/>
                <w:color w:val="auto"/>
              </w:rPr>
            </w:pPr>
            <w:r>
              <w:rPr>
                <w:rFonts w:ascii="Courier New" w:cs="Courier New" w:eastAsia="Courier New" w:hAnsi="Courier New"/>
                <w:sz w:val="15"/>
                <w:szCs w:val="15"/>
                <w:color w:val="auto"/>
                <w:w w:val="97"/>
              </w:rPr>
              <w:t>------------- ------------ ------------- -------------- ------------</w:t>
            </w:r>
          </w:p>
        </w:tc>
      </w:tr>
      <w:tr>
        <w:trPr>
          <w:trHeight w:val="509"/>
        </w:trPr>
        <w:tc>
          <w:tcPr>
            <w:tcW w:w="1360" w:type="dxa"/>
            <w:vAlign w:val="bottom"/>
          </w:tcPr>
          <w:p>
            <w:pPr>
              <w:spacing w:after="0"/>
              <w:rPr>
                <w:sz w:val="20"/>
                <w:szCs w:val="20"/>
                <w:color w:val="auto"/>
              </w:rPr>
            </w:pPr>
            <w:r>
              <w:rPr>
                <w:rFonts w:ascii="Courier New" w:cs="Courier New" w:eastAsia="Courier New" w:hAnsi="Courier New"/>
                <w:sz w:val="15"/>
                <w:szCs w:val="15"/>
                <w:color w:val="auto"/>
              </w:rPr>
              <w:t>$5.63 - 7.63</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1,062</w:t>
            </w:r>
          </w:p>
        </w:tc>
        <w:tc>
          <w:tcPr>
            <w:tcW w:w="1360" w:type="dxa"/>
            <w:vAlign w:val="bottom"/>
          </w:tcPr>
          <w:p>
            <w:pPr>
              <w:ind w:left="300"/>
              <w:spacing w:after="0"/>
              <w:rPr>
                <w:sz w:val="20"/>
                <w:szCs w:val="20"/>
                <w:color w:val="auto"/>
              </w:rPr>
            </w:pPr>
            <w:r>
              <w:rPr>
                <w:rFonts w:ascii="Courier New" w:cs="Courier New" w:eastAsia="Courier New" w:hAnsi="Courier New"/>
                <w:sz w:val="15"/>
                <w:szCs w:val="15"/>
                <w:color w:val="auto"/>
              </w:rPr>
              <w:t>9.2 years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6.84</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5.98</w:t>
            </w:r>
          </w:p>
        </w:tc>
      </w:tr>
      <w:tr>
        <w:trPr>
          <w:trHeight w:val="339"/>
        </w:trPr>
        <w:tc>
          <w:tcPr>
            <w:tcW w:w="1360" w:type="dxa"/>
            <w:vAlign w:val="bottom"/>
          </w:tcPr>
          <w:p>
            <w:pPr>
              <w:spacing w:after="0"/>
              <w:rPr>
                <w:sz w:val="20"/>
                <w:szCs w:val="20"/>
                <w:color w:val="auto"/>
              </w:rPr>
            </w:pPr>
            <w:r>
              <w:rPr>
                <w:rFonts w:ascii="Courier New" w:cs="Courier New" w:eastAsia="Courier New" w:hAnsi="Courier New"/>
                <w:sz w:val="15"/>
                <w:szCs w:val="15"/>
                <w:color w:val="auto"/>
              </w:rPr>
              <w:t>$9.75 - 11.50</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w:t>
            </w:r>
          </w:p>
        </w:tc>
        <w:tc>
          <w:tcPr>
            <w:tcW w:w="1360" w:type="dxa"/>
            <w:vAlign w:val="bottom"/>
          </w:tcPr>
          <w:p>
            <w:pPr>
              <w:ind w:left="300"/>
              <w:spacing w:after="0"/>
              <w:rPr>
                <w:sz w:val="20"/>
                <w:szCs w:val="20"/>
                <w:color w:val="auto"/>
              </w:rPr>
            </w:pPr>
            <w:r>
              <w:rPr>
                <w:rFonts w:ascii="Courier New" w:cs="Courier New" w:eastAsia="Courier New" w:hAnsi="Courier New"/>
                <w:sz w:val="15"/>
                <w:szCs w:val="15"/>
                <w:color w:val="auto"/>
              </w:rPr>
              <w:t>7.3 years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10.38</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10.77</w:t>
            </w:r>
          </w:p>
        </w:tc>
      </w:tr>
    </w:tbl>
    <w:p>
      <w:pPr>
        <w:spacing w:after="0" w:line="339"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22" w:right="1440" w:bottom="1440" w:gutter="0" w:footer="0" w:header="0"/>
        </w:sectPr>
      </w:pPr>
    </w:p>
    <w:bookmarkStart w:id="36" w:name="page37"/>
    <w:bookmarkEnd w:id="36"/>
    <w:p>
      <w:pPr>
        <w:jc w:val="center"/>
        <w:ind w:right="3619"/>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December 31, 2000, 1999 and 1998</w:t>
      </w:r>
    </w:p>
    <w:p>
      <w:pPr>
        <w:ind w:left="140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On December 7, 1998 the Company granted a total of 20 options to the members of its Board of Directors. These options carry an exercise price equal to the market price on the date of issuance and vest equally over a period of five years, beginning one year from date of grant. The maximum term of these options is 10 years. On July 4, 1999 the Company granted an additional 20 options to the members of its Board of Directors. These options carry an exercise price equal to the market price on the date of issuance and vest six months from the date of grant. The maximum term of these options is 10 years.</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August 4, 1998 the Company's Board of Directors authorized the repurchase of up to 740 shares of its Common Stock, equaling 5% of the Company's issued and outstanding shares as of August 4, 1998. The program may be extended or discontinued at any time, and there is no assurance that the Company will purchase any or all of the full amount authorized. The Company has not repurchased any shares under this program through December 31, 2000.</w:t>
      </w:r>
    </w:p>
    <w:p>
      <w:pPr>
        <w:spacing w:after="0" w:line="17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All options granted in the period January 1, 2000 through December 31, 2000, except those granted to the Company's Board of Directors as described above, vest ratably over periods ranging from six months to five years, beginning one year from date of grant. The exercise price of each option equals the market price of the Company's stock on the date of grant, and an option's maximum term is 10 years. All options granted in the period January 1, 1995 through December 31, 1998, except those granted to the Company's Board of Directors as described above, vest 20% annually beginning one year from date of grant. The exercise price of each option equals the market price of the Company's stock on the date of grant, and an option's maximum term is 10 years. Certain options granted in July, 1999 were deemed to be repriced options under the applicable accounting requirements. These options which were fully vested as of the effective date of FIN 44 are treated under variable accounting. Accordingly, compensation expense will be recognized to the extent the market price of the Company's stock exceeds $10.50 compensation expense will be recognized.</w:t>
      </w:r>
    </w:p>
    <w:p>
      <w:pPr>
        <w:spacing w:after="0" w:line="16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has adopted the provisions of Statement of Financial Accounting Standards No. 123, "Accounting for Stock-Based Compensation" (SFAS 123). SFAS 123 encourages but does not require a fair value based method of accounting for stock compensation plans. the Company has elected to continue accounting for its stock compensation plan using the intrinsic value based method and, accordingly, has not recorded compensation expense for each of the three years ended December 31, 2000. Had compensation cost for the Company's stock compensation plan been determined based on the fair value at the option grant dates, the Company's net income and earnings per share would have been reduced to the proforma amounts indicated below:</w:t>
      </w:r>
    </w:p>
    <w:p>
      <w:pPr>
        <w:spacing w:after="0" w:line="330"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20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3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As reported (000's) $</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9,987</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7,759</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7,656</w:t>
            </w:r>
          </w:p>
        </w:tc>
      </w:tr>
      <w:tr>
        <w:trPr>
          <w:trHeight w:val="170"/>
        </w:trPr>
        <w:tc>
          <w:tcPr>
            <w:tcW w:w="202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Proforma (000's)</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9,649</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7,462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7,360</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As reported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0.66</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0.52</w:t>
            </w:r>
          </w:p>
        </w:tc>
      </w:tr>
      <w:tr>
        <w:trPr>
          <w:trHeight w:val="170"/>
        </w:trPr>
        <w:tc>
          <w:tcPr>
            <w:tcW w:w="202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Proforma</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0.63</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0.50</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0.50</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Earnings per</w:t>
            </w: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share-assuming</w:t>
            </w: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As reported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0.64</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0.52</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dilution</w:t>
            </w: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Proforma</w:t>
            </w:r>
          </w:p>
        </w:tc>
        <w:tc>
          <w:tcPr>
            <w:tcW w:w="2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0.62</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0.50</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0.50</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779"/>
          </w:cols>
          <w:pgMar w:left="680" w:top="452" w:right="1440" w:bottom="1440" w:gutter="0" w:footer="0" w:header="0"/>
        </w:sectPr>
      </w:pPr>
    </w:p>
    <w:bookmarkStart w:id="37" w:name="page38"/>
    <w:bookmarkEnd w:id="37"/>
    <w:p>
      <w:pPr>
        <w:jc w:val="center"/>
        <w:ind w:right="3170"/>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December 31, 2000, 1999 and 1998</w:t>
      </w: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3" w:lineRule="exact"/>
        <w:rPr>
          <w:sz w:val="20"/>
          <w:szCs w:val="20"/>
          <w:color w:val="auto"/>
        </w:rPr>
      </w:pPr>
    </w:p>
    <w:p>
      <w:pPr>
        <w:ind w:left="530" w:right="3179"/>
        <w:spacing w:after="0" w:line="237" w:lineRule="auto"/>
        <w:rPr>
          <w:sz w:val="20"/>
          <w:szCs w:val="20"/>
          <w:color w:val="auto"/>
        </w:rPr>
      </w:pPr>
      <w:r>
        <w:rPr>
          <w:rFonts w:ascii="Courier New" w:cs="Courier New" w:eastAsia="Courier New" w:hAnsi="Courier New"/>
          <w:sz w:val="15"/>
          <w:szCs w:val="15"/>
          <w:color w:val="auto"/>
        </w:rPr>
        <w:t>The fair value of each option grant was estimated on actual information available through December 31, 2000, 1999 and 1998 using the Black Scholes option-pricing model with the following assumptions:</w:t>
      </w:r>
    </w:p>
    <w:p>
      <w:pPr>
        <w:sectPr>
          <w:pgSz w:w="11900" w:h="16838" w:orient="portrait"/>
          <w:cols w:equalWidth="0" w:num="1">
            <w:col w:w="10229"/>
          </w:cols>
          <w:pgMar w:left="230" w:top="622" w:right="1440" w:bottom="1440" w:gutter="0" w:footer="0" w:header="0"/>
        </w:sectPr>
      </w:pP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Term</w:t>
      </w:r>
    </w:p>
    <w:p>
      <w:pPr>
        <w:spacing w:after="0" w:line="5" w:lineRule="exact"/>
        <w:rPr>
          <w:sz w:val="20"/>
          <w:szCs w:val="20"/>
          <w:color w:val="auto"/>
        </w:rPr>
      </w:pPr>
    </w:p>
    <w:p>
      <w:pPr>
        <w:ind w:left="530"/>
        <w:spacing w:after="0"/>
        <w:rPr>
          <w:sz w:val="20"/>
          <w:szCs w:val="20"/>
          <w:color w:val="auto"/>
        </w:rPr>
      </w:pPr>
      <w:r>
        <w:rPr>
          <w:rFonts w:ascii="Courier New" w:cs="Courier New" w:eastAsia="Courier New" w:hAnsi="Courier New"/>
          <w:sz w:val="14"/>
          <w:szCs w:val="14"/>
          <w:color w:val="auto"/>
        </w:rPr>
        <w:t>free interest rate</w:t>
      </w:r>
    </w:p>
    <w:p>
      <w:pPr>
        <w:spacing w:after="0" w:line="175"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Dividend yield</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Volatility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year after each vesting date Risk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 6.5% and 4.7% for 2000, 1999 and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3.65%, 4.4% and 5.4% annually for 2000,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1998, respectively</w:t>
      </w:r>
    </w:p>
    <w:p>
      <w:pPr>
        <w:spacing w:after="0"/>
        <w:rPr>
          <w:sz w:val="20"/>
          <w:szCs w:val="20"/>
          <w:color w:val="auto"/>
        </w:rPr>
      </w:pPr>
      <w:r>
        <w:rPr>
          <w:rFonts w:ascii="Courier New" w:cs="Courier New" w:eastAsia="Courier New" w:hAnsi="Courier New"/>
          <w:sz w:val="15"/>
          <w:szCs w:val="15"/>
          <w:color w:val="auto"/>
        </w:rPr>
        <w:t>28%, 39% and 32% for 2000, 1999 and 1998,</w:t>
      </w:r>
    </w:p>
    <w:p>
      <w:pPr>
        <w:spacing w:after="0"/>
        <w:rPr>
          <w:sz w:val="20"/>
          <w:szCs w:val="20"/>
          <w:color w:val="auto"/>
        </w:rPr>
      </w:pPr>
      <w:r>
        <w:rPr>
          <w:rFonts w:ascii="Courier New" w:cs="Courier New" w:eastAsia="Courier New" w:hAnsi="Courier New"/>
          <w:sz w:val="15"/>
          <w:szCs w:val="15"/>
          <w:color w:val="auto"/>
        </w:rPr>
        <w:t>Respectively</w:t>
      </w:r>
    </w:p>
    <w:p>
      <w:pPr>
        <w:spacing w:after="0" w:line="168" w:lineRule="exact"/>
        <w:rPr>
          <w:sz w:val="20"/>
          <w:szCs w:val="20"/>
          <w:color w:val="auto"/>
        </w:rPr>
      </w:pPr>
    </w:p>
    <w:p>
      <w:pPr>
        <w:sectPr>
          <w:pgSz w:w="11900" w:h="16838" w:orient="portrait"/>
          <w:cols w:equalWidth="0" w:num="2">
            <w:col w:w="2190" w:space="720"/>
            <w:col w:w="7319"/>
          </w:cols>
          <w:pgMar w:left="230" w:top="622" w:right="1440" w:bottom="1440" w:gutter="0" w:footer="0" w:header="0"/>
          <w:type w:val="continuous"/>
        </w:sectPr>
      </w:pPr>
    </w:p>
    <w:p>
      <w:pPr>
        <w:ind w:left="530" w:hanging="530"/>
        <w:spacing w:after="0"/>
        <w:tabs>
          <w:tab w:leader="none" w:pos="5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4" w:lineRule="exact"/>
        <w:rPr>
          <w:rFonts w:ascii="Courier New" w:cs="Courier New" w:eastAsia="Courier New" w:hAnsi="Courier New"/>
          <w:sz w:val="15"/>
          <w:szCs w:val="15"/>
          <w:color w:val="auto"/>
        </w:rPr>
      </w:pPr>
    </w:p>
    <w:p>
      <w:pPr>
        <w:ind w:left="53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the provisions of SFAS No. 131, "Disclosures about Segments of an Enterprise and Related Information," effective with its December 31, 1998 reporting and identified its reportable segments based upon the geographic location of its business units. During 2000, the Company's reportable segments are based on differences in product lines and geographic locations and are divided between balls and rollers, Euroball and plastics. The ball and roller segment comprises three manufacturing facilities in the eastern United States. The Euroball segment acquired in July 2000, comprises manufacturing facilities located in Kilkenny, Ireland, Eltmann, Germany and Pinerolo, Italy. All of the facilities in the ball and roller and Euroball segments are engaged in the production of precision balls and rollers used primarily in the bearing industry. The plastics segment is concentrated in one facility located in Lubbock, Texas which represents the IMC business acquired in July 1999. This facility is engaged in the production of plastic injection molded products for the bearing, automotive, instrumentation, fiber optic and consumer hardware markets.</w:t>
      </w:r>
    </w:p>
    <w:p>
      <w:pPr>
        <w:spacing w:after="0" w:line="186" w:lineRule="exact"/>
        <w:rPr>
          <w:rFonts w:ascii="Courier New" w:cs="Courier New" w:eastAsia="Courier New" w:hAnsi="Courier New"/>
          <w:sz w:val="15"/>
          <w:szCs w:val="15"/>
          <w:color w:val="auto"/>
        </w:rPr>
      </w:pPr>
    </w:p>
    <w:p>
      <w:pPr>
        <w:ind w:left="53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policies of the segments are the same as those described in the summary of significant accounting policies. The Company evaluates segment performance based on profit or loss from operations before income taxes not including nonrecurring gains and losses. The Company accounts for intersegment sales and transfers at current market prices; however, the Company did not have any material intersegment transactions during 2000, 1999 or 1998.</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900" w:type="dxa"/>
            <w:vAlign w:val="bottom"/>
          </w:tcPr>
          <w:p>
            <w:pPr>
              <w:spacing w:after="0"/>
              <w:rPr>
                <w:sz w:val="14"/>
                <w:szCs w:val="14"/>
                <w:color w:val="auto"/>
              </w:rPr>
            </w:pPr>
          </w:p>
        </w:tc>
        <w:tc>
          <w:tcPr>
            <w:tcW w:w="21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December 31,</w:t>
            </w:r>
          </w:p>
        </w:tc>
        <w:tc>
          <w:tcPr>
            <w:tcW w:w="19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2000</w:t>
            </w:r>
          </w:p>
        </w:tc>
        <w:tc>
          <w:tcPr>
            <w:tcW w:w="900" w:type="dxa"/>
            <w:vAlign w:val="bottom"/>
          </w:tcPr>
          <w:p>
            <w:pPr>
              <w:spacing w:after="0"/>
              <w:rPr>
                <w:sz w:val="14"/>
                <w:szCs w:val="14"/>
                <w:color w:val="auto"/>
              </w:rPr>
            </w:pPr>
          </w:p>
        </w:tc>
        <w:tc>
          <w:tcPr>
            <w:tcW w:w="1180" w:type="dxa"/>
            <w:vAlign w:val="bottom"/>
          </w:tcPr>
          <w:p>
            <w:pPr>
              <w:ind w:left="820"/>
              <w:spacing w:after="0"/>
              <w:rPr>
                <w:sz w:val="20"/>
                <w:szCs w:val="20"/>
                <w:color w:val="auto"/>
              </w:rPr>
            </w:pPr>
            <w:r>
              <w:rPr>
                <w:rFonts w:ascii="Courier New" w:cs="Courier New" w:eastAsia="Courier New" w:hAnsi="Courier New"/>
                <w:sz w:val="15"/>
                <w:szCs w:val="15"/>
                <w:color w:val="auto"/>
                <w:w w:val="94"/>
              </w:rPr>
              <w:t>1999</w:t>
            </w:r>
          </w:p>
        </w:tc>
        <w:tc>
          <w:tcPr>
            <w:tcW w:w="9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2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 ----------------------</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Balls and</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Balls and</w:t>
            </w:r>
          </w:p>
        </w:tc>
        <w:tc>
          <w:tcPr>
            <w:tcW w:w="9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Balls and</w:t>
            </w:r>
          </w:p>
        </w:tc>
        <w:tc>
          <w:tcPr>
            <w:tcW w:w="88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Rollers</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Euroball</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Plastics</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Rollers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Plastics</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Rollers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Plastics</w:t>
            </w:r>
          </w:p>
        </w:tc>
      </w:tr>
      <w:tr>
        <w:trPr>
          <w:trHeight w:val="170"/>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 ---------- ----------- ----------- ---------- ---------- -----------</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67,637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33,988</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30,504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67,736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17,558</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73,006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4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622</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766</w:t>
            </w:r>
          </w:p>
        </w:tc>
        <w:tc>
          <w:tcPr>
            <w:tcW w:w="118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523</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amortization</w:t>
            </w:r>
          </w:p>
        </w:tc>
        <w:tc>
          <w:tcPr>
            <w:tcW w:w="14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4,796</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2,123</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2,246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4,932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1,199</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4,557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Segment profit</w:t>
            </w:r>
          </w:p>
        </w:tc>
        <w:tc>
          <w:tcPr>
            <w:tcW w:w="14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8,314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775</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898</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11,109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710</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12,136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14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62,574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91,392</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33,842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58,557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31,811</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66,860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w w:val="95"/>
              </w:rPr>
              <w:t>Expenditures for long-</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lived assets</w:t>
            </w:r>
          </w:p>
        </w:tc>
        <w:tc>
          <w:tcPr>
            <w:tcW w:w="14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9,319</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3,737</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4,854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1,723</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671</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5,758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9"/>
          </w:cols>
          <w:pgMar w:left="230" w:top="622" w:right="1440" w:bottom="1440" w:gutter="0" w:footer="0" w:header="0"/>
          <w:type w:val="continuous"/>
        </w:sectPr>
      </w:pPr>
    </w:p>
    <w:bookmarkStart w:id="38" w:name="page39"/>
    <w:bookmarkEnd w:id="38"/>
    <w:p>
      <w:pPr>
        <w:jc w:val="center"/>
        <w:ind w:right="3170"/>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December 31, 2000, 1999 and 1998</w:t>
      </w: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3" w:lineRule="exact"/>
        <w:rPr>
          <w:sz w:val="20"/>
          <w:szCs w:val="20"/>
          <w:color w:val="auto"/>
        </w:rPr>
      </w:pPr>
    </w:p>
    <w:p>
      <w:pPr>
        <w:ind w:left="530" w:right="3259"/>
        <w:spacing w:after="0" w:line="235" w:lineRule="auto"/>
        <w:rPr>
          <w:sz w:val="20"/>
          <w:szCs w:val="20"/>
          <w:color w:val="auto"/>
        </w:rPr>
      </w:pPr>
      <w:r>
        <w:rPr>
          <w:rFonts w:ascii="Courier New" w:cs="Courier New" w:eastAsia="Courier New" w:hAnsi="Courier New"/>
          <w:sz w:val="15"/>
          <w:szCs w:val="15"/>
          <w:color w:val="auto"/>
        </w:rPr>
        <w:t>Sales to external customers and long-lived assets utilized by the Company were concentrated in the following geographical regions:</w:t>
      </w:r>
    </w:p>
    <w:p>
      <w:pPr>
        <w:spacing w:after="0" w:line="200" w:lineRule="exact"/>
        <w:rPr>
          <w:sz w:val="20"/>
          <w:szCs w:val="20"/>
          <w:color w:val="auto"/>
        </w:rPr>
      </w:pPr>
    </w:p>
    <w:p>
      <w:pPr>
        <w:spacing w:after="0" w:line="309"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December 31,</w:t>
            </w:r>
          </w:p>
        </w:tc>
        <w:tc>
          <w:tcPr>
            <w:tcW w:w="22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December 31,</w:t>
            </w:r>
          </w:p>
        </w:tc>
        <w:tc>
          <w:tcPr>
            <w:tcW w:w="2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4"/>
              </w:rPr>
              <w:t>2000</w:t>
            </w:r>
          </w:p>
        </w:tc>
        <w:tc>
          <w:tcPr>
            <w:tcW w:w="840" w:type="dxa"/>
            <w:vAlign w:val="bottom"/>
          </w:tcPr>
          <w:p>
            <w:pPr>
              <w:spacing w:after="0"/>
              <w:rPr>
                <w:sz w:val="14"/>
                <w:szCs w:val="14"/>
                <w:color w:val="auto"/>
              </w:rPr>
            </w:pPr>
          </w:p>
        </w:tc>
        <w:tc>
          <w:tcPr>
            <w:tcW w:w="144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88"/>
              </w:rPr>
              <w:t>1999</w:t>
            </w:r>
          </w:p>
        </w:tc>
        <w:tc>
          <w:tcPr>
            <w:tcW w:w="840" w:type="dxa"/>
            <w:vAlign w:val="bottom"/>
          </w:tcPr>
          <w:p>
            <w:pPr>
              <w:spacing w:after="0"/>
              <w:rPr>
                <w:sz w:val="14"/>
                <w:szCs w:val="14"/>
                <w:color w:val="auto"/>
              </w:rPr>
            </w:pPr>
          </w:p>
        </w:tc>
        <w:tc>
          <w:tcPr>
            <w:tcW w:w="132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4"/>
              </w:rPr>
              <w:t>1998</w:t>
            </w:r>
          </w:p>
        </w:tc>
      </w:tr>
      <w:tr>
        <w:trPr>
          <w:trHeight w:val="170"/>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 ------------------------ -------------------------</w:t>
            </w:r>
          </w:p>
        </w:tc>
      </w:tr>
      <w:tr>
        <w:trPr>
          <w:trHeight w:val="170"/>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Long-lived</w:t>
            </w:r>
          </w:p>
        </w:tc>
        <w:tc>
          <w:tcPr>
            <w:tcW w:w="840" w:type="dxa"/>
            <w:vAlign w:val="bottom"/>
          </w:tcPr>
          <w:p>
            <w:pPr>
              <w:spacing w:after="0"/>
              <w:rPr>
                <w:sz w:val="14"/>
                <w:szCs w:val="1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Long-lived</w:t>
            </w:r>
          </w:p>
        </w:tc>
        <w:tc>
          <w:tcPr>
            <w:tcW w:w="84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Long-lived</w:t>
            </w:r>
          </w:p>
        </w:tc>
      </w:tr>
      <w:tr>
        <w:trPr>
          <w:trHeight w:val="170"/>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Sales</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assets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Sales</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assets</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Sales</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assets</w:t>
            </w:r>
          </w:p>
        </w:tc>
      </w:tr>
      <w:tr>
        <w:trPr>
          <w:trHeight w:val="170"/>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 -------------- --------- -------------- ------------ ------------</w:t>
            </w:r>
          </w:p>
        </w:tc>
      </w:tr>
      <w:tr>
        <w:trPr>
          <w:trHeight w:val="509"/>
        </w:trPr>
        <w:tc>
          <w:tcPr>
            <w:tcW w:w="168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62,094</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44,137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52,907</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36,842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39,331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30,723</w:t>
            </w:r>
          </w:p>
        </w:tc>
      </w:tr>
      <w:tr>
        <w:trPr>
          <w:trHeight w:val="339"/>
        </w:trPr>
        <w:tc>
          <w:tcPr>
            <w:tcW w:w="168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46,697</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46,216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21,064</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23,843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7,566</w:t>
            </w:r>
          </w:p>
        </w:tc>
      </w:tr>
      <w:tr>
        <w:trPr>
          <w:trHeight w:val="339"/>
        </w:trPr>
        <w:tc>
          <w:tcPr>
            <w:tcW w:w="168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6,449</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5,918</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4,163</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680" w:type="dxa"/>
            <w:vAlign w:val="bottom"/>
          </w:tcPr>
          <w:p>
            <w:pPr>
              <w:spacing w:after="0"/>
              <w:rPr>
                <w:sz w:val="20"/>
                <w:szCs w:val="20"/>
                <w:color w:val="auto"/>
              </w:rPr>
            </w:pPr>
            <w:r>
              <w:rPr>
                <w:rFonts w:ascii="Courier New" w:cs="Courier New" w:eastAsia="Courier New" w:hAnsi="Courier New"/>
                <w:sz w:val="15"/>
                <w:szCs w:val="15"/>
                <w:color w:val="auto"/>
                <w:w w:val="97"/>
              </w:rPr>
              <w:t>Latin/South America</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6,100</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2,903</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2,762</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680" w:type="dxa"/>
            <w:vAlign w:val="bottom"/>
          </w:tcPr>
          <w:p>
            <w:pPr>
              <w:spacing w:after="0"/>
              <w:rPr>
                <w:sz w:val="20"/>
                <w:szCs w:val="20"/>
                <w:color w:val="auto"/>
              </w:rPr>
            </w:pPr>
            <w:r>
              <w:rPr>
                <w:rFonts w:ascii="Courier New" w:cs="Courier New" w:eastAsia="Courier New" w:hAnsi="Courier New"/>
                <w:sz w:val="15"/>
                <w:szCs w:val="15"/>
                <w:color w:val="auto"/>
              </w:rPr>
              <w:t>Other export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10,789</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2,502</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2,907</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 -------------- --------- -------------- ------------ ------------</w:t>
            </w:r>
          </w:p>
        </w:tc>
      </w:tr>
      <w:tr>
        <w:trPr>
          <w:trHeight w:val="339"/>
        </w:trPr>
        <w:tc>
          <w:tcPr>
            <w:tcW w:w="16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132,129</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91,693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85,294</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43,452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73,006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38,289</w:t>
            </w:r>
          </w:p>
        </w:tc>
      </w:tr>
      <w:tr>
        <w:trPr>
          <w:trHeight w:val="170"/>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 ============== ========== ============= ============ ============</w:t>
            </w:r>
          </w:p>
        </w:tc>
      </w:tr>
    </w:tbl>
    <w:p>
      <w:pPr>
        <w:spacing w:after="0" w:line="344" w:lineRule="exact"/>
        <w:rPr>
          <w:sz w:val="20"/>
          <w:szCs w:val="20"/>
          <w:color w:val="auto"/>
        </w:rPr>
      </w:pPr>
    </w:p>
    <w:p>
      <w:pPr>
        <w:ind w:left="530" w:right="3259"/>
        <w:spacing w:after="0" w:line="257" w:lineRule="auto"/>
        <w:rPr>
          <w:sz w:val="20"/>
          <w:szCs w:val="20"/>
          <w:color w:val="auto"/>
        </w:rPr>
      </w:pPr>
      <w:r>
        <w:rPr>
          <w:rFonts w:ascii="Courier New" w:cs="Courier New" w:eastAsia="Courier New" w:hAnsi="Courier New"/>
          <w:sz w:val="14"/>
          <w:szCs w:val="14"/>
          <w:color w:val="auto"/>
        </w:rPr>
        <w:t>Two customers comprised 49%, 46% and 48% of ball and roller sales during the years ended December 31, 2000, 1999, and 1998, respectively. One customer comprised 20% and 35% of plastics sales for the years ended December 31, 2000 and 1999, respectively. The Company has a supply agreement at prevailing market prices with the major plastics customer to be the exclusive supplier of all manufactured product sold by the customer. This supply agreement is effective through October 31, 2004.</w:t>
      </w:r>
    </w:p>
    <w:p>
      <w:pPr>
        <w:spacing w:after="0" w:line="162" w:lineRule="exact"/>
        <w:rPr>
          <w:sz w:val="20"/>
          <w:szCs w:val="20"/>
          <w:color w:val="auto"/>
        </w:rPr>
      </w:pPr>
    </w:p>
    <w:p>
      <w:pPr>
        <w:ind w:left="530" w:hanging="530"/>
        <w:spacing w:after="0"/>
        <w:tabs>
          <w:tab w:leader="none" w:pos="53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699" w:firstLine="529"/>
        <w:spacing w:after="0" w:line="235" w:lineRule="auto"/>
        <w:rPr>
          <w:sz w:val="20"/>
          <w:szCs w:val="20"/>
          <w:color w:val="auto"/>
        </w:rPr>
      </w:pPr>
      <w:r>
        <w:rPr>
          <w:rFonts w:ascii="Courier New" w:cs="Courier New" w:eastAsia="Courier New" w:hAnsi="Courier New"/>
          <w:sz w:val="15"/>
          <w:szCs w:val="15"/>
          <w:color w:val="auto"/>
        </w:rPr>
        <w:t>Income tax expense attributable to income from continuing operations consists of:</w:t>
      </w:r>
    </w:p>
    <w:p>
      <w:pPr>
        <w:spacing w:after="0" w:line="340"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2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2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U.S. Federal</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3,496</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3,960</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3,899</w:t>
            </w:r>
          </w:p>
        </w:tc>
      </w:tr>
      <w:tr>
        <w:trPr>
          <w:trHeight w:val="170"/>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State</w:t>
            </w:r>
          </w:p>
        </w:tc>
        <w:tc>
          <w:tcPr>
            <w:tcW w:w="15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432</w:t>
            </w:r>
          </w:p>
        </w:tc>
      </w:tr>
      <w:tr>
        <w:trPr>
          <w:trHeight w:val="170"/>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Non-U.S.</w:t>
            </w:r>
          </w:p>
        </w:tc>
        <w:tc>
          <w:tcPr>
            <w:tcW w:w="15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826</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170"/>
        </w:trPr>
        <w:tc>
          <w:tcPr>
            <w:tcW w:w="2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4,774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4,429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4,331</w:t>
            </w:r>
          </w:p>
        </w:tc>
      </w:tr>
    </w:tbl>
    <w:p>
      <w:pPr>
        <w:ind w:left="4770"/>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9"/>
          </w:cols>
          <w:pgMar w:left="230" w:top="622" w:right="1440" w:bottom="1440" w:gutter="0" w:footer="0" w:header="0"/>
        </w:sectPr>
      </w:pPr>
    </w:p>
    <w:bookmarkStart w:id="39" w:name="page40"/>
    <w:bookmarkEnd w:id="39"/>
    <w:p>
      <w:pPr>
        <w:jc w:val="center"/>
        <w:ind w:right="3699"/>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December 31, 2000, 1999 and 1998</w:t>
      </w:r>
    </w:p>
    <w:p>
      <w:pPr>
        <w:ind w:left="13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34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14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140" w:type="dxa"/>
            <w:vAlign w:val="bottom"/>
          </w:tcPr>
          <w:p>
            <w:pPr>
              <w:spacing w:after="0"/>
              <w:rPr>
                <w:sz w:val="14"/>
                <w:szCs w:val="14"/>
                <w:color w:val="auto"/>
              </w:rPr>
            </w:pPr>
          </w:p>
        </w:tc>
        <w:tc>
          <w:tcPr>
            <w:tcW w:w="3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U.S. Federal</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496</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(335)</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w:t>
            </w:r>
          </w:p>
        </w:tc>
      </w:tr>
      <w:tr>
        <w:trPr>
          <w:trHeight w:val="170"/>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State</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r>
      <w:tr>
        <w:trPr>
          <w:trHeight w:val="170"/>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Non-U.S.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626</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3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339"/>
        </w:trPr>
        <w:tc>
          <w:tcPr>
            <w:tcW w:w="4140" w:type="dxa"/>
            <w:vAlign w:val="bottom"/>
          </w:tcPr>
          <w:p>
            <w:pPr>
              <w:ind w:left="360"/>
              <w:spacing w:after="0"/>
              <w:rPr>
                <w:sz w:val="20"/>
                <w:szCs w:val="20"/>
                <w:color w:val="auto"/>
              </w:rPr>
            </w:pPr>
            <w:r>
              <w:rPr>
                <w:rFonts w:ascii="Courier New" w:cs="Courier New" w:eastAsia="Courier New" w:hAnsi="Courier New"/>
                <w:sz w:val="15"/>
                <w:szCs w:val="15"/>
                <w:color w:val="auto"/>
              </w:rPr>
              <w:t>Total deferred expense</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w:t>
            </w:r>
          </w:p>
        </w:tc>
      </w:tr>
      <w:tr>
        <w:trPr>
          <w:trHeight w:val="170"/>
        </w:trPr>
        <w:tc>
          <w:tcPr>
            <w:tcW w:w="4140" w:type="dxa"/>
            <w:vAlign w:val="bottom"/>
          </w:tcPr>
          <w:p>
            <w:pPr>
              <w:spacing w:after="0"/>
              <w:rPr>
                <w:sz w:val="14"/>
                <w:szCs w:val="14"/>
                <w:color w:val="auto"/>
              </w:rPr>
            </w:pPr>
          </w:p>
        </w:tc>
        <w:tc>
          <w:tcPr>
            <w:tcW w:w="3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r>
      <w:tr>
        <w:trPr>
          <w:trHeight w:val="339"/>
        </w:trPr>
        <w:tc>
          <w:tcPr>
            <w:tcW w:w="4140" w:type="dxa"/>
            <w:vAlign w:val="bottom"/>
          </w:tcPr>
          <w:p>
            <w:pPr>
              <w:ind w:left="39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5,959</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4,060</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4,480</w:t>
            </w:r>
          </w:p>
        </w:tc>
      </w:tr>
      <w:tr>
        <w:trPr>
          <w:trHeight w:val="170"/>
        </w:trPr>
        <w:tc>
          <w:tcPr>
            <w:tcW w:w="4140" w:type="dxa"/>
            <w:vAlign w:val="bottom"/>
          </w:tcPr>
          <w:p>
            <w:pPr>
              <w:spacing w:after="0"/>
              <w:rPr>
                <w:sz w:val="14"/>
                <w:szCs w:val="14"/>
                <w:color w:val="auto"/>
              </w:rPr>
            </w:pPr>
          </w:p>
        </w:tc>
        <w:tc>
          <w:tcPr>
            <w:tcW w:w="3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r>
    </w:tbl>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 reconciliation of taxes based on the U.S. federal statutory rate of 34%, 34% and 35% for the years ended December 31, 2000, 1999 and 1998, respectively, is summarized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352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1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Income taxes at the federal statutory rate   $</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5,646</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4,006</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4,247</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benefit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289</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309</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Foreign sales corporation benefit, net of</w:t>
            </w: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liability</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(312)</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Non-US earnings taxed at different rates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203</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192</w:t>
            </w:r>
          </w:p>
        </w:tc>
      </w:tr>
      <w:tr>
        <w:trPr>
          <w:trHeight w:val="170"/>
        </w:trPr>
        <w:tc>
          <w:tcPr>
            <w:tcW w:w="41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39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5,959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4,060</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4,480</w:t>
            </w:r>
          </w:p>
        </w:tc>
      </w:tr>
      <w:tr>
        <w:trPr>
          <w:trHeight w:val="170"/>
        </w:trPr>
        <w:tc>
          <w:tcPr>
            <w:tcW w:w="41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tax effects of the temporary differences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Deferred income tax liability</w:t>
            </w: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Tax in excess of book depreciation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5,050</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3,565</w:t>
            </w:r>
          </w:p>
        </w:tc>
      </w:tr>
      <w:tr>
        <w:trPr>
          <w:trHeight w:val="170"/>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Duty drawback receivable</w:t>
            </w:r>
          </w:p>
        </w:tc>
        <w:tc>
          <w:tcPr>
            <w:tcW w:w="10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161</w:t>
            </w:r>
          </w:p>
        </w:tc>
      </w:tr>
      <w:tr>
        <w:trPr>
          <w:trHeight w:val="170"/>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Goodwill</w:t>
            </w:r>
          </w:p>
        </w:tc>
        <w:tc>
          <w:tcPr>
            <w:tcW w:w="10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210</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w:t>
            </w:r>
          </w:p>
        </w:tc>
      </w:tr>
      <w:tr>
        <w:trPr>
          <w:trHeight w:val="170"/>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Other deferred tax liabilities</w:t>
            </w:r>
          </w:p>
        </w:tc>
        <w:tc>
          <w:tcPr>
            <w:tcW w:w="10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123</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Gross deferred income tax liability</w:t>
            </w:r>
          </w:p>
        </w:tc>
        <w:tc>
          <w:tcPr>
            <w:tcW w:w="10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5,452</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3,767</w:t>
            </w:r>
          </w:p>
        </w:tc>
      </w:tr>
      <w:tr>
        <w:trPr>
          <w:trHeight w:val="170"/>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Deferred income tax assets</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10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406</w:t>
            </w:r>
          </w:p>
        </w:tc>
      </w:tr>
      <w:tr>
        <w:trPr>
          <w:trHeight w:val="170"/>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Allowance for bad debts</w:t>
            </w:r>
          </w:p>
        </w:tc>
        <w:tc>
          <w:tcPr>
            <w:tcW w:w="10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279</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332</w:t>
            </w:r>
          </w:p>
        </w:tc>
      </w:tr>
      <w:tr>
        <w:trPr>
          <w:trHeight w:val="170"/>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Vacation accrual</w:t>
            </w:r>
          </w:p>
        </w:tc>
        <w:tc>
          <w:tcPr>
            <w:tcW w:w="10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287</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216</w:t>
            </w:r>
          </w:p>
        </w:tc>
      </w:tr>
      <w:tr>
        <w:trPr>
          <w:trHeight w:val="170"/>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Health insurance accrual</w:t>
            </w:r>
          </w:p>
        </w:tc>
        <w:tc>
          <w:tcPr>
            <w:tcW w:w="10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w:t>
            </w:r>
          </w:p>
        </w:tc>
      </w:tr>
      <w:tr>
        <w:trPr>
          <w:trHeight w:val="170"/>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Other working capital accruals</w:t>
            </w:r>
          </w:p>
        </w:tc>
        <w:tc>
          <w:tcPr>
            <w:tcW w:w="10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230</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80</w:t>
            </w:r>
          </w:p>
        </w:tc>
      </w:tr>
      <w:tr>
        <w:trPr>
          <w:trHeight w:val="170"/>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Gross deferred income tax assets</w:t>
            </w:r>
          </w:p>
        </w:tc>
        <w:tc>
          <w:tcPr>
            <w:tcW w:w="106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1,061</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1,156</w:t>
            </w:r>
          </w:p>
        </w:tc>
      </w:tr>
      <w:tr>
        <w:trPr>
          <w:trHeight w:val="170"/>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ind w:left="180"/>
              <w:spacing w:after="0"/>
              <w:rPr>
                <w:sz w:val="20"/>
                <w:szCs w:val="20"/>
                <w:color w:val="auto"/>
              </w:rPr>
            </w:pPr>
            <w:r>
              <w:rPr>
                <w:rFonts w:ascii="Courier New" w:cs="Courier New" w:eastAsia="Courier New" w:hAnsi="Courier New"/>
                <w:sz w:val="15"/>
                <w:szCs w:val="15"/>
                <w:color w:val="auto"/>
              </w:rPr>
              <w:t>Net deferred income tax liability</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4,391</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2,611</w:t>
            </w:r>
          </w:p>
        </w:tc>
      </w:tr>
      <w:tr>
        <w:trPr>
          <w:trHeight w:val="170"/>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556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699"/>
          </w:cols>
          <w:pgMar w:left="760" w:top="452" w:right="1440" w:bottom="1440" w:gutter="0" w:footer="0" w:header="0"/>
        </w:sectPr>
      </w:pPr>
    </w:p>
    <w:bookmarkStart w:id="40" w:name="page41"/>
    <w:bookmarkEnd w:id="40"/>
    <w:p>
      <w:pPr>
        <w:jc w:val="center"/>
        <w:ind w:right="3179"/>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2000, 1999 and 1998</w:t>
      </w: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4" w:lineRule="exact"/>
        <w:rPr>
          <w:sz w:val="20"/>
          <w:szCs w:val="20"/>
          <w:color w:val="auto"/>
        </w:rPr>
      </w:pPr>
    </w:p>
    <w:p>
      <w:pPr>
        <w:ind w:left="520" w:right="3439"/>
        <w:spacing w:after="0" w:line="235" w:lineRule="auto"/>
        <w:rPr>
          <w:sz w:val="20"/>
          <w:szCs w:val="20"/>
          <w:color w:val="auto"/>
        </w:rPr>
      </w:pPr>
      <w:r>
        <w:rPr>
          <w:rFonts w:ascii="Courier New" w:cs="Courier New" w:eastAsia="Courier New" w:hAnsi="Courier New"/>
          <w:sz w:val="15"/>
          <w:szCs w:val="15"/>
          <w:color w:val="auto"/>
        </w:rPr>
        <w:t>Deferred income tax expense differs from the change in the net deferred income tax liability due to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9"/>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w w:val="99"/>
              </w:rPr>
              <w:t>Change in net deferred income tax liability</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1,780</w:t>
            </w:r>
          </w:p>
        </w:tc>
        <w:tc>
          <w:tcPr>
            <w:tcW w:w="780" w:type="dxa"/>
            <w:vAlign w:val="bottom"/>
          </w:tcPr>
          <w:p>
            <w:pPr>
              <w:spacing w:after="0"/>
              <w:rPr>
                <w:sz w:val="24"/>
                <w:szCs w:val="24"/>
                <w:color w:val="auto"/>
              </w:rPr>
            </w:pPr>
          </w:p>
        </w:tc>
      </w:tr>
      <w:tr>
        <w:trPr>
          <w:trHeight w:val="170"/>
        </w:trPr>
        <w:tc>
          <w:tcPr>
            <w:tcW w:w="462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Acquisition of deferred tax liability recorded</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400" w:type="dxa"/>
            <w:vAlign w:val="bottom"/>
          </w:tcPr>
          <w:p>
            <w:pPr>
              <w:ind w:left="780"/>
              <w:spacing w:after="0"/>
              <w:rPr>
                <w:sz w:val="20"/>
                <w:szCs w:val="20"/>
                <w:color w:val="auto"/>
              </w:rPr>
            </w:pPr>
            <w:r>
              <w:rPr>
                <w:rFonts w:ascii="Courier New" w:cs="Courier New" w:eastAsia="Courier New" w:hAnsi="Courier New"/>
                <w:sz w:val="15"/>
                <w:szCs w:val="15"/>
                <w:color w:val="auto"/>
              </w:rPr>
              <w:t>under purchase accounting</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(595)</w:t>
            </w:r>
          </w:p>
        </w:tc>
        <w:tc>
          <w:tcPr>
            <w:tcW w:w="78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70"/>
        </w:trPr>
        <w:tc>
          <w:tcPr>
            <w:tcW w:w="4400" w:type="dxa"/>
            <w:vAlign w:val="bottom"/>
          </w:tcPr>
          <w:p>
            <w:pPr>
              <w:ind w:left="780"/>
              <w:spacing w:after="0"/>
              <w:rPr>
                <w:sz w:val="20"/>
                <w:szCs w:val="20"/>
                <w:color w:val="auto"/>
              </w:rPr>
            </w:pPr>
            <w:r>
              <w:rPr>
                <w:rFonts w:ascii="Courier New" w:cs="Courier New" w:eastAsia="Courier New" w:hAnsi="Courier New"/>
                <w:sz w:val="15"/>
                <w:szCs w:val="15"/>
                <w:color w:val="auto"/>
              </w:rPr>
              <w:t>Deferred income tax expense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1,185</w:t>
            </w:r>
          </w:p>
        </w:tc>
        <w:tc>
          <w:tcPr>
            <w:tcW w:w="78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509"/>
        </w:trPr>
        <w:tc>
          <w:tcPr>
            <w:tcW w:w="74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Although realization of deferred tax assets is not assured, management</w:t>
            </w:r>
          </w:p>
        </w:tc>
        <w:tc>
          <w:tcPr>
            <w:tcW w:w="780" w:type="dxa"/>
            <w:vAlign w:val="bottom"/>
          </w:tcPr>
          <w:p>
            <w:pPr>
              <w:spacing w:after="0"/>
              <w:rPr>
                <w:sz w:val="24"/>
                <w:szCs w:val="24"/>
                <w:color w:val="auto"/>
              </w:rPr>
            </w:pPr>
          </w:p>
        </w:tc>
      </w:tr>
      <w:tr>
        <w:trPr>
          <w:trHeight w:val="170"/>
        </w:trPr>
        <w:tc>
          <w:tcPr>
            <w:tcW w:w="74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believes that it is more likely than not that all of the deferred tax</w:t>
            </w:r>
          </w:p>
        </w:tc>
        <w:tc>
          <w:tcPr>
            <w:tcW w:w="780" w:type="dxa"/>
            <w:vAlign w:val="bottom"/>
          </w:tcPr>
          <w:p>
            <w:pPr>
              <w:spacing w:after="0"/>
              <w:rPr>
                <w:sz w:val="14"/>
                <w:szCs w:val="14"/>
                <w:color w:val="auto"/>
              </w:rPr>
            </w:pPr>
          </w:p>
        </w:tc>
      </w:tr>
      <w:tr>
        <w:trPr>
          <w:trHeight w:val="170"/>
        </w:trPr>
        <w:tc>
          <w:tcPr>
            <w:tcW w:w="74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assets will be realized. However, the amount of the deferred tax assets</w:t>
            </w:r>
          </w:p>
        </w:tc>
        <w:tc>
          <w:tcPr>
            <w:tcW w:w="780" w:type="dxa"/>
            <w:vAlign w:val="bottom"/>
          </w:tcPr>
          <w:p>
            <w:pPr>
              <w:spacing w:after="0"/>
              <w:rPr>
                <w:sz w:val="14"/>
                <w:szCs w:val="14"/>
                <w:color w:val="auto"/>
              </w:rPr>
            </w:pPr>
          </w:p>
        </w:tc>
      </w:tr>
      <w:tr>
        <w:trPr>
          <w:trHeight w:val="170"/>
        </w:trPr>
        <w:tc>
          <w:tcPr>
            <w:tcW w:w="74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considered realizable could be reduced based on changing conditions.</w:t>
            </w:r>
          </w:p>
        </w:tc>
        <w:tc>
          <w:tcPr>
            <w:tcW w:w="780" w:type="dxa"/>
            <w:vAlign w:val="bottom"/>
          </w:tcPr>
          <w:p>
            <w:pPr>
              <w:spacing w:after="0"/>
              <w:rPr>
                <w:sz w:val="14"/>
                <w:szCs w:val="14"/>
                <w:color w:val="auto"/>
              </w:rPr>
            </w:pPr>
          </w:p>
        </w:tc>
      </w:tr>
      <w:tr>
        <w:trPr>
          <w:trHeight w:val="339"/>
        </w:trPr>
        <w:tc>
          <w:tcPr>
            <w:tcW w:w="74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The Company has not recognized a deferred tax liability for the</w:t>
            </w:r>
          </w:p>
        </w:tc>
        <w:tc>
          <w:tcPr>
            <w:tcW w:w="780" w:type="dxa"/>
            <w:vAlign w:val="bottom"/>
          </w:tcPr>
          <w:p>
            <w:pPr>
              <w:spacing w:after="0"/>
              <w:rPr>
                <w:sz w:val="24"/>
                <w:szCs w:val="24"/>
                <w:color w:val="auto"/>
              </w:rPr>
            </w:pPr>
          </w:p>
        </w:tc>
      </w:tr>
      <w:tr>
        <w:trPr>
          <w:trHeight w:val="170"/>
        </w:trPr>
        <w:tc>
          <w:tcPr>
            <w:tcW w:w="74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undistributed earnings of its non-U.S. subsidiaries and non-U.S. corporate</w:t>
            </w:r>
          </w:p>
        </w:tc>
        <w:tc>
          <w:tcPr>
            <w:tcW w:w="780" w:type="dxa"/>
            <w:vAlign w:val="bottom"/>
          </w:tcPr>
          <w:p>
            <w:pPr>
              <w:spacing w:after="0"/>
              <w:rPr>
                <w:sz w:val="14"/>
                <w:szCs w:val="14"/>
                <w:color w:val="auto"/>
              </w:rPr>
            </w:pPr>
          </w:p>
        </w:tc>
      </w:tr>
      <w:tr>
        <w:trPr>
          <w:trHeight w:val="170"/>
        </w:trPr>
        <w:tc>
          <w:tcPr>
            <w:tcW w:w="74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joint ventures. The Company expects to reinvest these undistributed</w:t>
            </w:r>
          </w:p>
        </w:tc>
        <w:tc>
          <w:tcPr>
            <w:tcW w:w="780" w:type="dxa"/>
            <w:vAlign w:val="bottom"/>
          </w:tcPr>
          <w:p>
            <w:pPr>
              <w:spacing w:after="0"/>
              <w:rPr>
                <w:sz w:val="14"/>
                <w:szCs w:val="14"/>
                <w:color w:val="auto"/>
              </w:rPr>
            </w:pPr>
          </w:p>
        </w:tc>
      </w:tr>
      <w:tr>
        <w:trPr>
          <w:trHeight w:val="170"/>
        </w:trPr>
        <w:tc>
          <w:tcPr>
            <w:tcW w:w="74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earnings indefinitely and does not expect such earnings to become subject</w:t>
            </w:r>
          </w:p>
        </w:tc>
        <w:tc>
          <w:tcPr>
            <w:tcW w:w="780" w:type="dxa"/>
            <w:vAlign w:val="bottom"/>
          </w:tcPr>
          <w:p>
            <w:pPr>
              <w:spacing w:after="0"/>
              <w:rPr>
                <w:sz w:val="14"/>
                <w:szCs w:val="14"/>
                <w:color w:val="auto"/>
              </w:rPr>
            </w:pPr>
          </w:p>
        </w:tc>
      </w:tr>
      <w:tr>
        <w:trPr>
          <w:trHeight w:val="170"/>
        </w:trPr>
        <w:tc>
          <w:tcPr>
            <w:tcW w:w="74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to U.S. taxation in the foreseeable future. A deferred tax liability will</w:t>
            </w:r>
          </w:p>
        </w:tc>
        <w:tc>
          <w:tcPr>
            <w:tcW w:w="780" w:type="dxa"/>
            <w:vAlign w:val="bottom"/>
          </w:tcPr>
          <w:p>
            <w:pPr>
              <w:spacing w:after="0"/>
              <w:rPr>
                <w:sz w:val="14"/>
                <w:szCs w:val="14"/>
                <w:color w:val="auto"/>
              </w:rPr>
            </w:pPr>
          </w:p>
        </w:tc>
      </w:tr>
      <w:tr>
        <w:trPr>
          <w:trHeight w:val="170"/>
        </w:trPr>
        <w:tc>
          <w:tcPr>
            <w:tcW w:w="74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be recognized when the Company expects that it will recover these</w:t>
            </w:r>
          </w:p>
        </w:tc>
        <w:tc>
          <w:tcPr>
            <w:tcW w:w="780" w:type="dxa"/>
            <w:vAlign w:val="bottom"/>
          </w:tcPr>
          <w:p>
            <w:pPr>
              <w:spacing w:after="0"/>
              <w:rPr>
                <w:sz w:val="14"/>
                <w:szCs w:val="14"/>
                <w:color w:val="auto"/>
              </w:rPr>
            </w:pPr>
          </w:p>
        </w:tc>
      </w:tr>
      <w:tr>
        <w:trPr>
          <w:trHeight w:val="170"/>
        </w:trPr>
        <w:tc>
          <w:tcPr>
            <w:tcW w:w="74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undistributed earnings in a taxable manner, such as through the receipt of</w:t>
            </w:r>
          </w:p>
        </w:tc>
        <w:tc>
          <w:tcPr>
            <w:tcW w:w="780" w:type="dxa"/>
            <w:vAlign w:val="bottom"/>
          </w:tcPr>
          <w:p>
            <w:pPr>
              <w:spacing w:after="0"/>
              <w:rPr>
                <w:sz w:val="14"/>
                <w:szCs w:val="14"/>
                <w:color w:val="auto"/>
              </w:rPr>
            </w:pPr>
          </w:p>
        </w:tc>
      </w:tr>
      <w:tr>
        <w:trPr>
          <w:trHeight w:val="170"/>
        </w:trPr>
        <w:tc>
          <w:tcPr>
            <w:tcW w:w="74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dividends or sale of the investments. It is not practicable to determine</w:t>
            </w:r>
          </w:p>
        </w:tc>
        <w:tc>
          <w:tcPr>
            <w:tcW w:w="780" w:type="dxa"/>
            <w:vAlign w:val="bottom"/>
          </w:tcPr>
          <w:p>
            <w:pPr>
              <w:spacing w:after="0"/>
              <w:rPr>
                <w:sz w:val="14"/>
                <w:szCs w:val="14"/>
                <w:color w:val="auto"/>
              </w:rPr>
            </w:pPr>
          </w:p>
        </w:tc>
      </w:tr>
      <w:tr>
        <w:trPr>
          <w:trHeight w:val="170"/>
        </w:trPr>
        <w:tc>
          <w:tcPr>
            <w:tcW w:w="7400" w:type="dxa"/>
            <w:vAlign w:val="bottom"/>
            <w:gridSpan w:val="5"/>
          </w:tcPr>
          <w:p>
            <w:pPr>
              <w:ind w:left="520"/>
              <w:spacing w:after="0"/>
              <w:rPr>
                <w:sz w:val="20"/>
                <w:szCs w:val="20"/>
                <w:color w:val="auto"/>
              </w:rPr>
            </w:pPr>
            <w:r>
              <w:rPr>
                <w:rFonts w:ascii="Courier New" w:cs="Courier New" w:eastAsia="Courier New" w:hAnsi="Courier New"/>
                <w:sz w:val="15"/>
                <w:szCs w:val="15"/>
                <w:color w:val="auto"/>
              </w:rPr>
              <w:t>the U.S. income tax liability, if any, that would be payable if such</w:t>
            </w:r>
          </w:p>
        </w:tc>
        <w:tc>
          <w:tcPr>
            <w:tcW w:w="780" w:type="dxa"/>
            <w:vAlign w:val="bottom"/>
          </w:tcPr>
          <w:p>
            <w:pPr>
              <w:spacing w:after="0"/>
              <w:rPr>
                <w:sz w:val="14"/>
                <w:szCs w:val="14"/>
                <w:color w:val="auto"/>
              </w:rPr>
            </w:pP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earnings were not reinvested indefinitely.</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5720" w:type="dxa"/>
            <w:vAlign w:val="bottom"/>
            <w:gridSpan w:val="4"/>
          </w:tcPr>
          <w:p>
            <w:pPr>
              <w:ind w:left="520"/>
              <w:spacing w:after="0"/>
              <w:rPr>
                <w:sz w:val="20"/>
                <w:szCs w:val="20"/>
                <w:color w:val="auto"/>
              </w:rPr>
            </w:pPr>
            <w:r>
              <w:rPr>
                <w:rFonts w:ascii="Courier New" w:cs="Courier New" w:eastAsia="Courier New" w:hAnsi="Courier New"/>
                <w:sz w:val="15"/>
                <w:szCs w:val="15"/>
                <w:color w:val="auto"/>
                <w:w w:val="97"/>
              </w:rPr>
              <w:t>Income tax payments were approximately $5,207, $3,123 and $</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3,052 in 2000,</w:t>
            </w:r>
          </w:p>
        </w:tc>
        <w:tc>
          <w:tcPr>
            <w:tcW w:w="780" w:type="dxa"/>
            <w:vAlign w:val="bottom"/>
          </w:tcPr>
          <w:p>
            <w:pPr>
              <w:spacing w:after="0"/>
              <w:rPr>
                <w:sz w:val="24"/>
                <w:szCs w:val="24"/>
                <w:color w:val="auto"/>
              </w:rPr>
            </w:pP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1999, 1998, respectively.</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(12)  Reconciliation of Net Income Per Share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09"/>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780" w:type="dxa"/>
            <w:vAlign w:val="bottom"/>
          </w:tcPr>
          <w:p>
            <w:pPr>
              <w:spacing w:after="0"/>
              <w:rPr>
                <w:sz w:val="24"/>
                <w:szCs w:val="24"/>
                <w:color w:val="auto"/>
              </w:rPr>
            </w:pPr>
          </w:p>
        </w:tc>
      </w:tr>
      <w:tr>
        <w:trPr>
          <w:trHeight w:val="170"/>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16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1998</w:t>
            </w:r>
          </w:p>
        </w:tc>
      </w:tr>
      <w:tr>
        <w:trPr>
          <w:trHeight w:val="170"/>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 -------------</w:t>
            </w:r>
          </w:p>
        </w:tc>
      </w:tr>
      <w:tr>
        <w:trPr>
          <w:trHeight w:val="339"/>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9,987</w:t>
            </w:r>
          </w:p>
        </w:tc>
        <w:tc>
          <w:tcPr>
            <w:tcW w:w="140" w:type="dxa"/>
            <w:vAlign w:val="bottom"/>
          </w:tcPr>
          <w:p>
            <w:pPr>
              <w:spacing w:after="0"/>
              <w:rPr>
                <w:sz w:val="24"/>
                <w:szCs w:val="24"/>
                <w:color w:val="auto"/>
              </w:rPr>
            </w:pP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7,759</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7,656</w:t>
            </w:r>
          </w:p>
        </w:tc>
      </w:tr>
      <w:tr>
        <w:trPr>
          <w:trHeight w:val="339"/>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Weighted average shares outstanding</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15,247</w:t>
            </w:r>
          </w:p>
        </w:tc>
        <w:tc>
          <w:tcPr>
            <w:tcW w:w="140" w:type="dxa"/>
            <w:vAlign w:val="bottom"/>
          </w:tcPr>
          <w:p>
            <w:pPr>
              <w:spacing w:after="0"/>
              <w:rPr>
                <w:sz w:val="24"/>
                <w:szCs w:val="24"/>
                <w:color w:val="auto"/>
              </w:rPr>
            </w:pP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15,021</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14,804</w:t>
            </w: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Effective of dilutive stock options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c>
          <w:tcPr>
            <w:tcW w:w="140" w:type="dxa"/>
            <w:vAlign w:val="bottom"/>
          </w:tcPr>
          <w:p>
            <w:pPr>
              <w:spacing w:after="0"/>
              <w:rPr>
                <w:sz w:val="14"/>
                <w:szCs w:val="14"/>
                <w:color w:val="auto"/>
              </w:rPr>
            </w:pP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17</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 -------------</w:t>
            </w: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Dilutive shares outstanding</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15,531</w:t>
            </w:r>
          </w:p>
        </w:tc>
        <w:tc>
          <w:tcPr>
            <w:tcW w:w="140" w:type="dxa"/>
            <w:vAlign w:val="bottom"/>
          </w:tcPr>
          <w:p>
            <w:pPr>
              <w:spacing w:after="0"/>
              <w:rPr>
                <w:sz w:val="14"/>
                <w:szCs w:val="14"/>
                <w:color w:val="auto"/>
              </w:rPr>
            </w:pP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15,038</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14,804</w:t>
            </w:r>
          </w:p>
        </w:tc>
      </w:tr>
      <w:tr>
        <w:trPr>
          <w:trHeight w:val="339"/>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Basic net income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0.66</w:t>
            </w:r>
          </w:p>
        </w:tc>
        <w:tc>
          <w:tcPr>
            <w:tcW w:w="140" w:type="dxa"/>
            <w:vAlign w:val="bottom"/>
          </w:tcPr>
          <w:p>
            <w:pPr>
              <w:spacing w:after="0"/>
              <w:rPr>
                <w:sz w:val="24"/>
                <w:szCs w:val="2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0.52</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0.52</w:t>
            </w:r>
          </w:p>
        </w:tc>
      </w:tr>
      <w:tr>
        <w:trPr>
          <w:trHeight w:val="339"/>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Diluted net income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0.64</w:t>
            </w:r>
          </w:p>
        </w:tc>
        <w:tc>
          <w:tcPr>
            <w:tcW w:w="140" w:type="dxa"/>
            <w:vAlign w:val="bottom"/>
          </w:tcPr>
          <w:p>
            <w:pPr>
              <w:spacing w:after="0"/>
              <w:rPr>
                <w:sz w:val="24"/>
                <w:szCs w:val="2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0.52</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0.52</w:t>
            </w:r>
          </w:p>
        </w:tc>
      </w:tr>
    </w:tbl>
    <w:p>
      <w:pPr>
        <w:spacing w:after="0" w:line="344" w:lineRule="exact"/>
        <w:rPr>
          <w:sz w:val="20"/>
          <w:szCs w:val="20"/>
          <w:color w:val="auto"/>
        </w:rPr>
      </w:pPr>
    </w:p>
    <w:p>
      <w:pPr>
        <w:ind w:left="520" w:right="3179"/>
        <w:spacing w:after="0" w:line="237" w:lineRule="auto"/>
        <w:rPr>
          <w:sz w:val="20"/>
          <w:szCs w:val="20"/>
          <w:color w:val="auto"/>
        </w:rPr>
      </w:pPr>
      <w:r>
        <w:rPr>
          <w:rFonts w:ascii="Courier New" w:cs="Courier New" w:eastAsia="Courier New" w:hAnsi="Courier New"/>
          <w:sz w:val="15"/>
          <w:szCs w:val="15"/>
          <w:color w:val="auto"/>
        </w:rPr>
        <w:t>Excluded from the shares outstanding for the years ended December 31, 2000 and 1999 were 10 and 525 antidilutive options, respectively, which had exercise prices ranging from $9.75 to $11.50 and $6.38 to $15.50, respectively.</w:t>
      </w:r>
    </w:p>
    <w:p>
      <w:pPr>
        <w:spacing w:after="0" w:line="171"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(Continued)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22" w:right="1440" w:bottom="1440" w:gutter="0" w:footer="0" w:header="0"/>
        </w:sectPr>
      </w:pPr>
    </w:p>
    <w:bookmarkStart w:id="41" w:name="page42"/>
    <w:bookmarkEnd w:id="41"/>
    <w:p>
      <w:pPr>
        <w:jc w:val="center"/>
        <w:ind w:right="3170"/>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December 31, 2000, 1999 and 1998</w:t>
      </w: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3" w:lineRule="exact"/>
        <w:rPr>
          <w:sz w:val="20"/>
          <w:szCs w:val="20"/>
          <w:color w:val="auto"/>
        </w:rPr>
      </w:pPr>
    </w:p>
    <w:p>
      <w:pPr>
        <w:ind w:left="530" w:right="3619"/>
        <w:spacing w:after="0" w:line="235" w:lineRule="auto"/>
        <w:rPr>
          <w:sz w:val="20"/>
          <w:szCs w:val="20"/>
          <w:color w:val="auto"/>
        </w:rPr>
      </w:pPr>
      <w:r>
        <w:rPr>
          <w:rFonts w:ascii="Courier New" w:cs="Courier New" w:eastAsia="Courier New" w:hAnsi="Courier New"/>
          <w:sz w:val="15"/>
          <w:szCs w:val="15"/>
          <w:color w:val="auto"/>
        </w:rPr>
        <w:t>The Company has declared a dividend of $0.32 per share in each of the years ending December 31, 2000, 1999 and 1998.</w:t>
      </w:r>
    </w:p>
    <w:p>
      <w:pPr>
        <w:spacing w:after="0" w:line="170" w:lineRule="exact"/>
        <w:rPr>
          <w:sz w:val="20"/>
          <w:szCs w:val="20"/>
          <w:color w:val="auto"/>
        </w:rPr>
      </w:pPr>
    </w:p>
    <w:p>
      <w:pPr>
        <w:ind w:left="530" w:hanging="530"/>
        <w:spacing w:after="0"/>
        <w:tabs>
          <w:tab w:leader="none" w:pos="5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4" w:lineRule="exact"/>
        <w:rPr>
          <w:rFonts w:ascii="Courier New" w:cs="Courier New" w:eastAsia="Courier New" w:hAnsi="Courier New"/>
          <w:sz w:val="15"/>
          <w:szCs w:val="15"/>
          <w:color w:val="auto"/>
        </w:rPr>
      </w:pPr>
    </w:p>
    <w:p>
      <w:pPr>
        <w:ind w:left="53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operating lease commitments for machinery and office equipment, which expire on varying dates. Rent expense for 2000, 1999, and 1998 was $767, $376 and $370, respectively. The following is a schedule by year of future minimum lease payments as of December 31, 2000 under operating leases that have initial or remaining noncancelable lease terms in excess of one year.</w:t>
      </w:r>
    </w:p>
    <w:p>
      <w:pPr>
        <w:spacing w:after="0" w:line="200" w:lineRule="exact"/>
        <w:rPr>
          <w:sz w:val="20"/>
          <w:szCs w:val="20"/>
          <w:color w:val="auto"/>
        </w:rPr>
      </w:pPr>
    </w:p>
    <w:p>
      <w:pPr>
        <w:spacing w:after="0" w:line="30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Year ended</w:t>
      </w:r>
    </w:p>
    <w:p>
      <w:pPr>
        <w:ind w:left="1230"/>
        <w:spacing w:after="0"/>
        <w:rPr>
          <w:sz w:val="20"/>
          <w:szCs w:val="20"/>
          <w:color w:val="auto"/>
        </w:rPr>
      </w:pPr>
      <w:r>
        <w:rPr>
          <w:rFonts w:ascii="Courier New" w:cs="Courier New" w:eastAsia="Courier New" w:hAnsi="Courier New"/>
          <w:sz w:val="15"/>
          <w:szCs w:val="15"/>
          <w:color w:val="auto"/>
        </w:rPr>
        <w:t>December 31,</w:t>
      </w:r>
    </w:p>
    <w:tbl>
      <w:tblPr>
        <w:tblLayout w:type="fixed"/>
        <w:tblInd w:w="1050" w:type="dxa"/>
        <w:tblCellMar>
          <w:top w:w="0" w:type="dxa"/>
          <w:left w:w="0" w:type="dxa"/>
          <w:bottom w:w="0" w:type="dxa"/>
          <w:right w:w="0" w:type="dxa"/>
        </w:tblCellMar>
      </w:tblPr>
      <w:tr>
        <w:trPr>
          <w:trHeight w:val="169"/>
        </w:trPr>
        <w:tc>
          <w:tcPr>
            <w:tcW w:w="3580" w:type="dxa"/>
            <w:vAlign w:val="bottom"/>
          </w:tcPr>
          <w:p>
            <w:pPr>
              <w:jc w:val="right"/>
              <w:ind w:right="2007"/>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9"/>
        </w:trPr>
        <w:tc>
          <w:tcPr>
            <w:tcW w:w="3580" w:type="dxa"/>
            <w:vAlign w:val="bottom"/>
          </w:tcPr>
          <w:p>
            <w:pPr>
              <w:jc w:val="center"/>
              <w:ind w:right="2087"/>
              <w:spacing w:after="0"/>
              <w:rPr>
                <w:sz w:val="20"/>
                <w:szCs w:val="20"/>
                <w:color w:val="auto"/>
              </w:rPr>
            </w:pPr>
            <w:r>
              <w:rPr>
                <w:rFonts w:ascii="Courier New" w:cs="Courier New" w:eastAsia="Courier New" w:hAnsi="Courier New"/>
                <w:sz w:val="15"/>
                <w:szCs w:val="15"/>
                <w:color w:val="auto"/>
                <w:w w:val="94"/>
              </w:rPr>
              <w:t>2001</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1,253</w:t>
            </w:r>
          </w:p>
        </w:tc>
      </w:tr>
      <w:tr>
        <w:trPr>
          <w:trHeight w:val="170"/>
        </w:trPr>
        <w:tc>
          <w:tcPr>
            <w:tcW w:w="3580" w:type="dxa"/>
            <w:vAlign w:val="bottom"/>
          </w:tcPr>
          <w:p>
            <w:pPr>
              <w:jc w:val="center"/>
              <w:ind w:right="2087"/>
              <w:spacing w:after="0"/>
              <w:rPr>
                <w:sz w:val="20"/>
                <w:szCs w:val="20"/>
                <w:color w:val="auto"/>
              </w:rPr>
            </w:pPr>
            <w:r>
              <w:rPr>
                <w:rFonts w:ascii="Courier New" w:cs="Courier New" w:eastAsia="Courier New" w:hAnsi="Courier New"/>
                <w:sz w:val="15"/>
                <w:szCs w:val="15"/>
                <w:color w:val="auto"/>
                <w:w w:val="94"/>
              </w:rPr>
              <w:t>2002</w:t>
            </w:r>
          </w:p>
        </w:tc>
        <w:tc>
          <w:tcPr>
            <w:tcW w:w="58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1,194</w:t>
            </w:r>
          </w:p>
        </w:tc>
      </w:tr>
      <w:tr>
        <w:trPr>
          <w:trHeight w:val="170"/>
        </w:trPr>
        <w:tc>
          <w:tcPr>
            <w:tcW w:w="3580" w:type="dxa"/>
            <w:vAlign w:val="bottom"/>
          </w:tcPr>
          <w:p>
            <w:pPr>
              <w:jc w:val="center"/>
              <w:ind w:right="2087"/>
              <w:spacing w:after="0"/>
              <w:rPr>
                <w:sz w:val="20"/>
                <w:szCs w:val="20"/>
                <w:color w:val="auto"/>
              </w:rPr>
            </w:pPr>
            <w:r>
              <w:rPr>
                <w:rFonts w:ascii="Courier New" w:cs="Courier New" w:eastAsia="Courier New" w:hAnsi="Courier New"/>
                <w:sz w:val="15"/>
                <w:szCs w:val="15"/>
                <w:color w:val="auto"/>
                <w:w w:val="94"/>
              </w:rPr>
              <w:t>2003</w:t>
            </w:r>
          </w:p>
        </w:tc>
        <w:tc>
          <w:tcPr>
            <w:tcW w:w="58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1,055</w:t>
            </w:r>
          </w:p>
        </w:tc>
      </w:tr>
      <w:tr>
        <w:trPr>
          <w:trHeight w:val="170"/>
        </w:trPr>
        <w:tc>
          <w:tcPr>
            <w:tcW w:w="3580" w:type="dxa"/>
            <w:vAlign w:val="bottom"/>
          </w:tcPr>
          <w:p>
            <w:pPr>
              <w:jc w:val="center"/>
              <w:ind w:right="2087"/>
              <w:spacing w:after="0"/>
              <w:rPr>
                <w:sz w:val="20"/>
                <w:szCs w:val="20"/>
                <w:color w:val="auto"/>
              </w:rPr>
            </w:pPr>
            <w:r>
              <w:rPr>
                <w:rFonts w:ascii="Courier New" w:cs="Courier New" w:eastAsia="Courier New" w:hAnsi="Courier New"/>
                <w:sz w:val="15"/>
                <w:szCs w:val="15"/>
                <w:color w:val="auto"/>
                <w:w w:val="94"/>
              </w:rPr>
              <w:t>2004</w:t>
            </w:r>
          </w:p>
        </w:tc>
        <w:tc>
          <w:tcPr>
            <w:tcW w:w="58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914</w:t>
            </w:r>
          </w:p>
        </w:tc>
      </w:tr>
      <w:tr>
        <w:trPr>
          <w:trHeight w:val="170"/>
        </w:trPr>
        <w:tc>
          <w:tcPr>
            <w:tcW w:w="3580" w:type="dxa"/>
            <w:vAlign w:val="bottom"/>
          </w:tcPr>
          <w:p>
            <w:pPr>
              <w:jc w:val="center"/>
              <w:ind w:right="2087"/>
              <w:spacing w:after="0"/>
              <w:rPr>
                <w:sz w:val="20"/>
                <w:szCs w:val="20"/>
                <w:color w:val="auto"/>
              </w:rPr>
            </w:pPr>
            <w:r>
              <w:rPr>
                <w:rFonts w:ascii="Courier New" w:cs="Courier New" w:eastAsia="Courier New" w:hAnsi="Courier New"/>
                <w:sz w:val="15"/>
                <w:szCs w:val="15"/>
                <w:color w:val="auto"/>
                <w:w w:val="94"/>
              </w:rPr>
              <w:t>2005</w:t>
            </w:r>
          </w:p>
        </w:tc>
        <w:tc>
          <w:tcPr>
            <w:tcW w:w="58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913</w:t>
            </w:r>
          </w:p>
        </w:tc>
      </w:tr>
      <w:tr>
        <w:trPr>
          <w:trHeight w:val="170"/>
        </w:trPr>
        <w:tc>
          <w:tcPr>
            <w:tcW w:w="3580" w:type="dxa"/>
            <w:vAlign w:val="bottom"/>
          </w:tcPr>
          <w:p>
            <w:pPr>
              <w:jc w:val="center"/>
              <w:ind w:right="2067"/>
              <w:spacing w:after="0"/>
              <w:rPr>
                <w:sz w:val="20"/>
                <w:szCs w:val="20"/>
                <w:color w:val="auto"/>
              </w:rPr>
            </w:pPr>
            <w:r>
              <w:rPr>
                <w:rFonts w:ascii="Courier New" w:cs="Courier New" w:eastAsia="Courier New" w:hAnsi="Courier New"/>
                <w:sz w:val="15"/>
                <w:szCs w:val="15"/>
                <w:color w:val="auto"/>
                <w:w w:val="97"/>
              </w:rPr>
              <w:t>Thereafter</w:t>
            </w:r>
          </w:p>
        </w:tc>
        <w:tc>
          <w:tcPr>
            <w:tcW w:w="58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Total minimum lease payments</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5,343</w:t>
            </w:r>
          </w:p>
        </w:tc>
      </w:tr>
      <w:tr>
        <w:trPr>
          <w:trHeight w:val="170"/>
        </w:trPr>
        <w:tc>
          <w:tcPr>
            <w:tcW w:w="3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530" w:hanging="530"/>
        <w:spacing w:after="0"/>
        <w:tabs>
          <w:tab w:leader="none" w:pos="53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Results of Operations (Unaudited):</w:t>
      </w:r>
    </w:p>
    <w:p>
      <w:pPr>
        <w:spacing w:after="0" w:line="174" w:lineRule="exact"/>
        <w:rPr>
          <w:rFonts w:ascii="Courier New" w:cs="Courier New" w:eastAsia="Courier New" w:hAnsi="Courier New"/>
          <w:sz w:val="15"/>
          <w:szCs w:val="15"/>
          <w:color w:val="auto"/>
        </w:rPr>
      </w:pPr>
    </w:p>
    <w:p>
      <w:pPr>
        <w:ind w:left="53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summarizes the unaudited quarterly results of operations for the years ended December 31, 2000 and 1999.</w:t>
      </w:r>
    </w:p>
    <w:p>
      <w:pPr>
        <w:spacing w:after="0" w:line="200" w:lineRule="exact"/>
        <w:rPr>
          <w:sz w:val="20"/>
          <w:szCs w:val="20"/>
          <w:color w:val="auto"/>
        </w:rPr>
      </w:pPr>
    </w:p>
    <w:p>
      <w:pPr>
        <w:spacing w:after="0" w:line="309"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spacing w:after="0"/>
              <w:rPr>
                <w:sz w:val="14"/>
                <w:szCs w:val="14"/>
                <w:color w:val="auto"/>
              </w:rPr>
            </w:pPr>
          </w:p>
        </w:tc>
      </w:tr>
      <w:tr>
        <w:trPr>
          <w:trHeight w:val="170"/>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June 30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Sept.</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 31</w:t>
            </w:r>
          </w:p>
        </w:tc>
      </w:tr>
      <w:tr>
        <w:trPr>
          <w:trHeight w:val="170"/>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 ----------- ----------- -----------</w:t>
            </w:r>
          </w:p>
        </w:tc>
      </w:tr>
      <w:tr>
        <w:trPr>
          <w:trHeight w:val="509"/>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28,002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25,643</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37,075</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41,409</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7,656</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7,678</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10,972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11,898</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2,110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2,242</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2,443</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3,192</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18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0.15</w:t>
            </w:r>
          </w:p>
        </w:tc>
        <w:tc>
          <w:tcPr>
            <w:tcW w:w="56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0.16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0.21</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Dilutive net income per share</w:t>
            </w:r>
          </w:p>
        </w:tc>
        <w:tc>
          <w:tcPr>
            <w:tcW w:w="18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0.15</w:t>
            </w:r>
          </w:p>
        </w:tc>
        <w:tc>
          <w:tcPr>
            <w:tcW w:w="56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0.16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0.21</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w w:val="98"/>
              </w:rPr>
              <w:t>Weighted average shares outstanding:</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Basic number of shares</w:t>
            </w:r>
          </w:p>
        </w:tc>
        <w:tc>
          <w:tcPr>
            <w:tcW w:w="18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15,244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15,244</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15,245</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15,247</w:t>
            </w:r>
          </w:p>
        </w:tc>
      </w:tr>
      <w:tr>
        <w:trPr>
          <w:trHeight w:val="170"/>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Effect of dilutive stock options</w:t>
            </w:r>
          </w:p>
        </w:tc>
        <w:tc>
          <w:tcPr>
            <w:tcW w:w="18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192</w:t>
            </w:r>
          </w:p>
        </w:tc>
        <w:tc>
          <w:tcPr>
            <w:tcW w:w="56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w:t>
            </w:r>
          </w:p>
        </w:tc>
      </w:tr>
      <w:tr>
        <w:trPr>
          <w:trHeight w:val="170"/>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 ----------- ----------- ----------</w:t>
            </w:r>
          </w:p>
        </w:tc>
      </w:tr>
      <w:tr>
        <w:trPr>
          <w:trHeight w:val="170"/>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Diluted number of shares</w:t>
            </w:r>
          </w:p>
        </w:tc>
        <w:tc>
          <w:tcPr>
            <w:tcW w:w="18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15,458</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15,436</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15,424</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15,482</w:t>
            </w:r>
          </w:p>
        </w:tc>
      </w:tr>
    </w:tbl>
    <w:p>
      <w:pPr>
        <w:jc w:val="right"/>
        <w:ind w:right="1859"/>
        <w:spacing w:after="0"/>
        <w:rPr>
          <w:sz w:val="20"/>
          <w:szCs w:val="20"/>
          <w:color w:val="auto"/>
        </w:rPr>
      </w:pPr>
      <w:r>
        <w:rPr>
          <w:rFonts w:ascii="Courier New" w:cs="Courier New" w:eastAsia="Courier New" w:hAnsi="Courier New"/>
          <w:sz w:val="15"/>
          <w:szCs w:val="15"/>
          <w:color w:val="auto"/>
        </w:rPr>
        <w:t>=============== ============ ========== ==========</w:t>
      </w:r>
    </w:p>
    <w:p>
      <w:pPr>
        <w:spacing w:after="0" w:line="169"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9"/>
          </w:cols>
          <w:pgMar w:left="230" w:top="622" w:right="1440" w:bottom="1440" w:gutter="0" w:footer="0" w:header="0"/>
        </w:sectPr>
      </w:pPr>
    </w:p>
    <w:bookmarkStart w:id="42" w:name="page43"/>
    <w:bookmarkEnd w:id="42"/>
    <w:p>
      <w:pPr>
        <w:jc w:val="center"/>
        <w:ind w:right="3699"/>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December 31, 2000, 1999 and 1998</w:t>
      </w:r>
    </w:p>
    <w:p>
      <w:pPr>
        <w:ind w:left="13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ended December 31, 1999</w:t>
            </w:r>
          </w:p>
        </w:tc>
        <w:tc>
          <w:tcPr>
            <w:tcW w:w="940" w:type="dxa"/>
            <w:vAlign w:val="bottom"/>
          </w:tcPr>
          <w:p>
            <w:pPr>
              <w:spacing w:after="0"/>
              <w:rPr>
                <w:sz w:val="14"/>
                <w:szCs w:val="14"/>
                <w:color w:val="auto"/>
              </w:rPr>
            </w:pPr>
          </w:p>
        </w:tc>
      </w:tr>
      <w:tr>
        <w:trPr>
          <w:trHeight w:val="170"/>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March 31</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June 30</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Sept. 30</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Dec. 31</w:t>
            </w:r>
          </w:p>
        </w:tc>
      </w:tr>
      <w:tr>
        <w:trPr>
          <w:trHeight w:val="170"/>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 ------------ ------------</w:t>
            </w:r>
          </w:p>
        </w:tc>
      </w:tr>
      <w:tr>
        <w:trPr>
          <w:trHeight w:val="339"/>
        </w:trPr>
        <w:tc>
          <w:tcPr>
            <w:tcW w:w="31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17,912</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17,475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25,601</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24,306</w:t>
            </w: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5,389</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4,884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7,312</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7,742</w:t>
            </w: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1,962</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1,944</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2,138</w:t>
            </w: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22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0.13</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0.13</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Dilutive net income per share</w:t>
            </w:r>
          </w:p>
        </w:tc>
        <w:tc>
          <w:tcPr>
            <w:tcW w:w="22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0.13</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0.13</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Weighed average shares outstanding;</w:t>
            </w: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Basic number of shares</w:t>
            </w:r>
          </w:p>
        </w:tc>
        <w:tc>
          <w:tcPr>
            <w:tcW w:w="22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14,804</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14,804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15,244</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15,244</w:t>
            </w:r>
          </w:p>
        </w:tc>
      </w:tr>
      <w:tr>
        <w:trPr>
          <w:trHeight w:val="170"/>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Effect of dilutive stock options</w:t>
            </w:r>
          </w:p>
        </w:tc>
        <w:tc>
          <w:tcPr>
            <w:tcW w:w="22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w:t>
            </w:r>
          </w:p>
        </w:tc>
      </w:tr>
      <w:tr>
        <w:trPr>
          <w:trHeight w:val="170"/>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8"/>
              </w:rPr>
              <w:t>--------------- ----------- ----------- ----------</w:t>
            </w:r>
          </w:p>
        </w:tc>
      </w:tr>
      <w:tr>
        <w:trPr>
          <w:trHeight w:val="170"/>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Diluted number of shares</w:t>
            </w:r>
          </w:p>
        </w:tc>
        <w:tc>
          <w:tcPr>
            <w:tcW w:w="22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14,804</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14,808</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15,317</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15,310</w:t>
            </w:r>
          </w:p>
        </w:tc>
      </w:tr>
    </w:tbl>
    <w:p>
      <w:pPr>
        <w:jc w:val="right"/>
        <w:ind w:right="1759"/>
        <w:spacing w:after="0"/>
        <w:rPr>
          <w:sz w:val="20"/>
          <w:szCs w:val="20"/>
          <w:color w:val="auto"/>
        </w:rPr>
      </w:pPr>
      <w:r>
        <w:rPr>
          <w:rFonts w:ascii="Courier New" w:cs="Courier New" w:eastAsia="Courier New" w:hAnsi="Courier New"/>
          <w:sz w:val="15"/>
          <w:szCs w:val="15"/>
          <w:color w:val="auto"/>
        </w:rPr>
        <w:t>=============== =========== =========== ===========</w:t>
      </w:r>
    </w:p>
    <w:p>
      <w:pPr>
        <w:spacing w:after="0" w:line="338" w:lineRule="exact"/>
        <w:rPr>
          <w:sz w:val="20"/>
          <w:szCs w:val="20"/>
          <w:color w:val="auto"/>
        </w:rPr>
      </w:pPr>
    </w:p>
    <w:p>
      <w:pPr>
        <w:ind w:left="5560"/>
        <w:spacing w:after="0"/>
        <w:rPr>
          <w:sz w:val="20"/>
          <w:szCs w:val="20"/>
          <w:color w:val="auto"/>
        </w:rPr>
      </w:pPr>
      <w:r>
        <w:rPr>
          <w:rFonts w:ascii="Courier New" w:cs="Courier New" w:eastAsia="Courier New" w:hAnsi="Courier New"/>
          <w:sz w:val="15"/>
          <w:szCs w:val="15"/>
          <w:color w:val="auto"/>
        </w:rPr>
        <w:t>(Continued)</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699"/>
          </w:cols>
          <w:pgMar w:left="760" w:top="622" w:right="1440" w:bottom="1440" w:gutter="0" w:footer="0" w:header="0"/>
        </w:sectPr>
      </w:pPr>
    </w:p>
    <w:bookmarkStart w:id="43" w:name="page44"/>
    <w:bookmarkEnd w:id="43"/>
    <w:p>
      <w:pPr>
        <w:jc w:val="center"/>
        <w:ind w:right="3170"/>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December 31, 2000, 1999 and 1998</w:t>
      </w: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p>
      <w:pPr>
        <w:ind w:left="530" w:hanging="530"/>
        <w:spacing w:after="0"/>
        <w:tabs>
          <w:tab w:leader="none" w:pos="53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pacing w:after="0" w:line="174" w:lineRule="exact"/>
        <w:rPr>
          <w:rFonts w:ascii="Courier New" w:cs="Courier New" w:eastAsia="Courier New" w:hAnsi="Courier New"/>
          <w:sz w:val="15"/>
          <w:szCs w:val="15"/>
          <w:color w:val="auto"/>
        </w:rPr>
      </w:pPr>
    </w:p>
    <w:p>
      <w:pPr>
        <w:ind w:left="530"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Management believes the fair value of financial instruments approximate their carrying value due to the short maturity of these instruments or in the case of the Company's debt, due to the variable interest rates. The following table presents the carrying amounts and estimated fair values of the Company's financial instruments at December 31, 2000 and 1999:</w:t>
      </w:r>
    </w:p>
    <w:p>
      <w:pPr>
        <w:spacing w:after="0" w:line="200" w:lineRule="exact"/>
        <w:rPr>
          <w:sz w:val="20"/>
          <w:szCs w:val="20"/>
          <w:color w:val="auto"/>
        </w:rPr>
      </w:pP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2000</w:t>
            </w:r>
          </w:p>
        </w:tc>
        <w:tc>
          <w:tcPr>
            <w:tcW w:w="1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3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c>
          <w:tcPr>
            <w:tcW w:w="1820" w:type="dxa"/>
            <w:vAlign w:val="bottom"/>
          </w:tcPr>
          <w:p>
            <w:pPr>
              <w:ind w:left="680"/>
              <w:spacing w:after="0"/>
              <w:rPr>
                <w:sz w:val="20"/>
                <w:szCs w:val="20"/>
                <w:color w:val="auto"/>
              </w:rPr>
            </w:pPr>
            <w:r>
              <w:rPr>
                <w:rFonts w:ascii="Courier New" w:cs="Courier New" w:eastAsia="Courier New" w:hAnsi="Courier New"/>
                <w:sz w:val="15"/>
                <w:szCs w:val="15"/>
                <w:color w:val="auto"/>
              </w:rPr>
              <w:t>Fair</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Carrying</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Fair</w:t>
            </w:r>
          </w:p>
        </w:tc>
      </w:tr>
      <w:tr>
        <w:trPr>
          <w:trHeight w:val="170"/>
        </w:trPr>
        <w:tc>
          <w:tcPr>
            <w:tcW w:w="272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Amount</w:t>
            </w:r>
          </w:p>
        </w:tc>
        <w:tc>
          <w:tcPr>
            <w:tcW w:w="1820" w:type="dxa"/>
            <w:vAlign w:val="bottom"/>
          </w:tcPr>
          <w:p>
            <w:pPr>
              <w:ind w:left="680"/>
              <w:spacing w:after="0"/>
              <w:rPr>
                <w:sz w:val="20"/>
                <w:szCs w:val="20"/>
                <w:color w:val="auto"/>
              </w:rPr>
            </w:pPr>
            <w:r>
              <w:rPr>
                <w:rFonts w:ascii="Courier New" w:cs="Courier New" w:eastAsia="Courier New" w:hAnsi="Courier New"/>
                <w:sz w:val="15"/>
                <w:szCs w:val="15"/>
                <w:color w:val="auto"/>
              </w:rPr>
              <w:t>Value</w:t>
            </w:r>
          </w:p>
        </w:tc>
        <w:tc>
          <w:tcPr>
            <w:tcW w:w="1720" w:type="dxa"/>
            <w:vAlign w:val="bottom"/>
          </w:tcPr>
          <w:p>
            <w:pPr>
              <w:ind w:left="700"/>
              <w:spacing w:after="0"/>
              <w:rPr>
                <w:sz w:val="20"/>
                <w:szCs w:val="20"/>
                <w:color w:val="auto"/>
              </w:rPr>
            </w:pPr>
            <w:r>
              <w:rPr>
                <w:rFonts w:ascii="Courier New" w:cs="Courier New" w:eastAsia="Courier New" w:hAnsi="Courier New"/>
                <w:sz w:val="15"/>
                <w:szCs w:val="15"/>
                <w:color w:val="auto"/>
              </w:rPr>
              <w:t>Amount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2720" w:type="dxa"/>
            <w:vAlign w:val="bottom"/>
          </w:tcPr>
          <w:p>
            <w:pPr>
              <w:spacing w:after="0"/>
              <w:rPr>
                <w:sz w:val="14"/>
                <w:szCs w:val="14"/>
                <w:color w:val="auto"/>
              </w:rPr>
            </w:pPr>
          </w:p>
        </w:tc>
        <w:tc>
          <w:tcPr>
            <w:tcW w:w="3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w:t>
            </w:r>
          </w:p>
        </w:tc>
        <w:tc>
          <w:tcPr>
            <w:tcW w:w="264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 -----------</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Financial assets:</w:t>
            </w: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$ 8,273</w:t>
            </w: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8,273</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1,409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1,409</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29,549</w:t>
            </w: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29,549</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18,183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18,183</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Other current assets</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1,512</w:t>
            </w: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1,512</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688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688</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Other non-current assets</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6,712</w:t>
            </w: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6,712</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735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735</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Financial liabilities:</w:t>
            </w:r>
          </w:p>
        </w:tc>
        <w:tc>
          <w:tcPr>
            <w:tcW w:w="1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 and bank</w:t>
            </w:r>
          </w:p>
        </w:tc>
        <w:tc>
          <w:tcPr>
            <w:tcW w:w="1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overdraft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17,337</w:t>
            </w: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17,337</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5,343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5,343</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Accrued expenses and other</w:t>
            </w:r>
          </w:p>
        </w:tc>
        <w:tc>
          <w:tcPr>
            <w:tcW w:w="1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payables</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9,708</w:t>
            </w: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9,708</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5,135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5,135</w:t>
            </w: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Short-term loan</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172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Long-term debt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52,515</w:t>
            </w: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52,515</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17,151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17,151</w:t>
            </w:r>
          </w:p>
        </w:tc>
      </w:tr>
    </w:tbl>
    <w:p>
      <w:pPr>
        <w:spacing w:after="0" w:line="200" w:lineRule="exact"/>
        <w:rPr>
          <w:sz w:val="20"/>
          <w:szCs w:val="20"/>
          <w:color w:val="auto"/>
        </w:rPr>
      </w:pPr>
    </w:p>
    <w:p>
      <w:pPr>
        <w:spacing w:after="0" w:line="308"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(Continued)</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9"/>
          </w:cols>
          <w:pgMar w:left="230" w:top="622" w:right="1440" w:bottom="1440" w:gutter="0" w:footer="0" w:header="0"/>
        </w:sectPr>
      </w:pPr>
    </w:p>
    <w:bookmarkStart w:id="44" w:name="page45"/>
    <w:bookmarkEnd w:id="44"/>
    <w:p>
      <w:pPr>
        <w:jc w:val="center"/>
        <w:ind w:right="3170"/>
        <w:spacing w:after="0"/>
        <w:rPr>
          <w:sz w:val="20"/>
          <w:szCs w:val="20"/>
          <w:color w:val="auto"/>
        </w:rPr>
      </w:pPr>
      <w:r>
        <w:rPr>
          <w:rFonts w:ascii="Courier New" w:cs="Courier New" w:eastAsia="Courier New" w:hAnsi="Courier New"/>
          <w:sz w:val="15"/>
          <w:szCs w:val="15"/>
          <w:color w:val="auto"/>
        </w:rPr>
        <w:t>NN,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December 31, 2000, 1999 and 1998</w:t>
      </w: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ind w:left="530" w:hanging="530"/>
        <w:spacing w:after="0"/>
        <w:tabs>
          <w:tab w:leader="none" w:pos="5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Fire</w:t>
      </w:r>
    </w:p>
    <w:p>
      <w:pPr>
        <w:spacing w:after="0" w:line="174" w:lineRule="exact"/>
        <w:rPr>
          <w:rFonts w:ascii="Courier New" w:cs="Courier New" w:eastAsia="Courier New" w:hAnsi="Courier New"/>
          <w:sz w:val="15"/>
          <w:szCs w:val="15"/>
          <w:color w:val="auto"/>
        </w:rPr>
      </w:pPr>
    </w:p>
    <w:p>
      <w:pPr>
        <w:ind w:left="53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March 12, 2000, a fire damaged a portion of the Company's manufacturing plant in Erwin, Tennessee. The fire was contained to approximately</w:t>
      </w:r>
    </w:p>
    <w:p>
      <w:pPr>
        <w:ind w:left="53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 of the productions area and did not result in serious injury to any employee. Effected production was shifted to the Company's other facilities as possible as well as the use of other suppliers to protect product supply to customers. Insurance coverage for the loss provides for reimbursement of the replacement value of property and equipment damaged in the fire. At December 31, 2000 the Company is in the process of settling the insurance claim. For the year ended December 31, 2000, the net gain on involuntary conversion of $728 represents insurance proceeds received in excess of costs incurred to date.</w:t>
      </w:r>
    </w:p>
    <w:p>
      <w:pPr>
        <w:spacing w:after="0" w:line="172"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4" w:lineRule="exact"/>
        <w:rPr>
          <w:rFonts w:ascii="Courier New" w:cs="Courier New" w:eastAsia="Courier New" w:hAnsi="Courier New"/>
          <w:sz w:val="15"/>
          <w:szCs w:val="15"/>
          <w:color w:val="auto"/>
        </w:rPr>
      </w:pPr>
    </w:p>
    <w:p>
      <w:pPr>
        <w:ind w:left="53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16, 2001, the Company completed the acquisition of all of the outstanding stock of The Delta Rubber Company, a Connecticut corporation ("Delta"). Delta provides high quality engineered bearing seals and other precision-molded rubber products to original equipment manufacturers. NN plans to continue the operation of the Delta business, which consists of one manufacturing facility located in Danielson, Connecticut.</w:t>
      </w:r>
    </w:p>
    <w:p>
      <w:pPr>
        <w:spacing w:after="0" w:line="176" w:lineRule="exact"/>
        <w:rPr>
          <w:rFonts w:ascii="Courier New" w:cs="Courier New" w:eastAsia="Courier New" w:hAnsi="Courier New"/>
          <w:sz w:val="15"/>
          <w:szCs w:val="15"/>
          <w:color w:val="auto"/>
        </w:rPr>
      </w:pPr>
    </w:p>
    <w:p>
      <w:pPr>
        <w:ind w:left="530" w:right="34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NN acquired Delta by purchasing the outstanding stock from Delta's shareholders for $22,500 in cash, of which $500 is to be held in escrow for one year from the date of closing. The purchase price was based on Delta' existing base, financial performance and the expectation that Delta's products and customers will compliment the Company's existing businesses.</w:t>
      </w:r>
    </w:p>
    <w:p>
      <w:pPr>
        <w:spacing w:after="0" w:line="16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4" w:lineRule="exact"/>
        <w:rPr>
          <w:rFonts w:ascii="Courier New" w:cs="Courier New" w:eastAsia="Courier New" w:hAnsi="Courier New"/>
          <w:sz w:val="15"/>
          <w:szCs w:val="15"/>
          <w:color w:val="auto"/>
        </w:rPr>
      </w:pPr>
    </w:p>
    <w:p>
      <w:pPr>
        <w:ind w:left="53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minority shareholders of NN Euroball ApS, SKF and FAG, are significant customers of the Company. For the year ended December 31, 2000, sales to SKF and FAG amounted to $64,064. At December 31, 2000, accounts receivable from SKF and FAG amounted to $4,983.</w:t>
      </w:r>
    </w:p>
    <w:p>
      <w:pPr>
        <w:spacing w:after="0" w:line="176" w:lineRule="exact"/>
        <w:rPr>
          <w:rFonts w:ascii="Courier New" w:cs="Courier New" w:eastAsia="Courier New" w:hAnsi="Courier New"/>
          <w:sz w:val="15"/>
          <w:szCs w:val="15"/>
          <w:color w:val="auto"/>
        </w:rPr>
      </w:pPr>
    </w:p>
    <w:p>
      <w:pPr>
        <w:ind w:left="53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Euroball transaction described in note 2, SKF and FAG provided administrative services to NN Euroball ApS. Charges for these services amounted to approximately $1,150 from the transaction date to December 31, 2000. At December 31, 2000, amounts payable to SKF and FAG amounted to $1,762.</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9"/>
          </w:cols>
          <w:pgMar w:left="230" w:top="622" w:right="1440" w:bottom="1440" w:gutter="0" w:footer="0" w:header="0"/>
        </w:sectPr>
      </w:pPr>
    </w:p>
    <w:bookmarkStart w:id="45" w:name="page46"/>
    <w:bookmarkEnd w:id="45"/>
    <w:p>
      <w:pPr>
        <w:ind w:left="700" w:right="3979" w:hanging="704"/>
        <w:spacing w:after="0" w:line="235" w:lineRule="auto"/>
        <w:tabs>
          <w:tab w:leader="none" w:pos="6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6"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On November 27, 2000, the Company retained the services of KPMG LLP as its principle accountants to audit the Company's consolidated financial statements, replacing PricewaterhouseCoopers LLP. The decision to retain KPMG LLP was based upon a reevaluation by the Company of its current professional relationships and was approved by the Company's Board of Directors at the recommendation of the Company's Audit Committee.</w:t>
      </w:r>
    </w:p>
    <w:p>
      <w:pPr>
        <w:spacing w:after="0" w:line="176" w:lineRule="exact"/>
        <w:rPr>
          <w:sz w:val="20"/>
          <w:szCs w:val="20"/>
          <w:color w:val="auto"/>
        </w:rPr>
      </w:pPr>
    </w:p>
    <w:p>
      <w:pPr>
        <w:ind w:right="3359" w:firstLine="705"/>
        <w:spacing w:after="0" w:line="257" w:lineRule="auto"/>
        <w:rPr>
          <w:sz w:val="20"/>
          <w:szCs w:val="20"/>
          <w:color w:val="auto"/>
        </w:rPr>
      </w:pPr>
      <w:r>
        <w:rPr>
          <w:rFonts w:ascii="Courier New" w:cs="Courier New" w:eastAsia="Courier New" w:hAnsi="Courier New"/>
          <w:sz w:val="14"/>
          <w:szCs w:val="14"/>
          <w:color w:val="auto"/>
        </w:rPr>
        <w:t>During the Company's two most recent fiscal years and through November 27, 2000, there have been no disagreements with PricewaterhouseCoopers LLP on any matter of accounting principles or practices, financial statement disclosure, or auditing scope or procedure. PricewaterhouseCoopers LLP reports on the financial statements of the Company for the past two years contained no adverse opinion or disclaimer of opinion and were not qualified or modified as to uncertainty, audit scope or accounting principles.</w:t>
      </w:r>
    </w:p>
    <w:p>
      <w:pPr>
        <w:spacing w:after="0" w:line="16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5" w:lineRule="exact"/>
        <w:rPr>
          <w:sz w:val="20"/>
          <w:szCs w:val="20"/>
          <w:color w:val="auto"/>
        </w:rPr>
      </w:pPr>
    </w:p>
    <w:p>
      <w:pPr>
        <w:ind w:right="3359" w:firstLine="705"/>
        <w:spacing w:after="0" w:line="258" w:lineRule="auto"/>
        <w:rPr>
          <w:sz w:val="20"/>
          <w:szCs w:val="20"/>
          <w:color w:val="auto"/>
        </w:rPr>
      </w:pPr>
      <w:r>
        <w:rPr>
          <w:rFonts w:ascii="Courier New" w:cs="Courier New" w:eastAsia="Courier New" w:hAnsi="Courier New"/>
          <w:sz w:val="14"/>
          <w:szCs w:val="14"/>
          <w:color w:val="auto"/>
        </w:rPr>
        <w:t>Directors. The information required by Item 401 of Regulation S-K concerning the Company's directors is contained in the section entitled "Election of Directors -- Information about the Directors" of the Company's definitive Proxy Statement (to be filed with the Securities and Exchange Commission within 120 days after December 31, 2000, in accordance with General Instruction G to Form 10-K, is hereby incorporated herein by reference.</w:t>
      </w:r>
    </w:p>
    <w:p>
      <w:pPr>
        <w:spacing w:after="0" w:line="164"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Executive Officers. Information required by Item 401 of Regulation S-K concerning the Company's executive officers is set forth in Item 1 hereof under the caption "Executive Officers of the Registrant."</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Compliance with Section 16(a) of the Securities Exchange Act. The information required by Item 405 of Regulation S-K concerning compliance with Section 16(a) of the Securities Exchange Act by the Company's directors and executive officers and any 10% beneficial owners is contained in the section entitled "Section 16(a) Beneficial Ownership Reporting Compliance" of the Company's definitive Proxy Statement and, in accordance with General Instruction G to Form 10-K, is hereby incorporated herein by reference.</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The information required by Item 402 of Regulation S-K is contained in the sections entitled "Election of Directors -- Compensation of Directors" and "Executive Compensation" of the Company's definitive Proxy Statement and, in accordance with General Instruction G to Form 10-K, is hereby incorporated herein by reference.</w:t>
      </w:r>
    </w:p>
    <w:p>
      <w:pPr>
        <w:spacing w:after="0" w:line="17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information required by Item 403 of Regulation S-K is contained in the section entitled "Beneficial Ownership of Common Stock" of the Company's definitive Proxy Statement and, in accordance with General Instruction G to Form 10-K, is hereby incorporated herein by reference.</w:t>
      </w:r>
    </w:p>
    <w:p>
      <w:pPr>
        <w:spacing w:after="0" w:line="171"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Related Party Relationships</w:t>
      </w:r>
    </w:p>
    <w:p>
      <w:pPr>
        <w:spacing w:after="0" w:line="175"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The information required by Item 404 of Regulation S-K is contained in the section entitled "Compensation Committee Interlocks and Insider Participation" of the Company's definitive Proxy Statement and, in accordance with General Instruction G to Form 10-K, is hereby incorporated herein by reference.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58" w:right="1440" w:bottom="1440" w:gutter="0" w:footer="0" w:header="0"/>
        </w:sectPr>
      </w:pPr>
    </w:p>
    <w:bookmarkStart w:id="46" w:name="page47"/>
    <w:bookmarkEnd w:id="46"/>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(a)1.</w:t>
        <w:tab/>
        <w:t>Financial Statements</w:t>
      </w:r>
    </w:p>
    <w:p>
      <w:pPr>
        <w:spacing w:after="0" w:line="175" w:lineRule="exact"/>
        <w:rPr>
          <w:sz w:val="20"/>
          <w:szCs w:val="20"/>
          <w:color w:val="auto"/>
        </w:rPr>
      </w:pPr>
    </w:p>
    <w:p>
      <w:pPr>
        <w:ind w:right="3539" w:firstLine="705"/>
        <w:spacing w:after="0" w:line="235" w:lineRule="auto"/>
        <w:rPr>
          <w:sz w:val="20"/>
          <w:szCs w:val="20"/>
          <w:color w:val="auto"/>
        </w:rPr>
      </w:pPr>
      <w:r>
        <w:rPr>
          <w:rFonts w:ascii="Courier New" w:cs="Courier New" w:eastAsia="Courier New" w:hAnsi="Courier New"/>
          <w:sz w:val="15"/>
          <w:szCs w:val="15"/>
          <w:color w:val="auto"/>
        </w:rPr>
        <w:t>The financial statements of the Company filed as part of this Annual Report on Form 10-K begin on the following pages hereof:</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Page</w:t>
            </w:r>
          </w:p>
        </w:tc>
      </w:tr>
      <w:tr>
        <w:trPr>
          <w:trHeight w:val="170"/>
        </w:trPr>
        <w:tc>
          <w:tcPr>
            <w:tcW w:w="9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4"/>
              </w:rPr>
              <w:t>----</w:t>
            </w:r>
          </w:p>
        </w:tc>
      </w:tr>
      <w:tr>
        <w:trPr>
          <w:trHeight w:val="509"/>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Report of Independent Accountants for the year ended December 31, 2000</w:t>
            </w:r>
          </w:p>
        </w:tc>
        <w:tc>
          <w:tcPr>
            <w:tcW w:w="5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20</w:t>
            </w:r>
          </w:p>
        </w:tc>
      </w:tr>
      <w:tr>
        <w:trPr>
          <w:trHeight w:val="339"/>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Report of Independent Accountants for the year ended December 31, 1999 and</w:t>
            </w:r>
          </w:p>
        </w:tc>
        <w:tc>
          <w:tcPr>
            <w:tcW w:w="520" w:type="dxa"/>
            <w:vAlign w:val="bottom"/>
          </w:tcPr>
          <w:p>
            <w:pPr>
              <w:spacing w:after="0"/>
              <w:rPr>
                <w:sz w:val="24"/>
                <w:szCs w:val="24"/>
                <w:color w:val="auto"/>
              </w:rPr>
            </w:pPr>
          </w:p>
        </w:tc>
      </w:tr>
      <w:tr>
        <w:trPr>
          <w:trHeight w:val="170"/>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December 31, 1998</w:t>
            </w:r>
          </w:p>
        </w:tc>
        <w:tc>
          <w:tcPr>
            <w:tcW w:w="5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21</w:t>
            </w:r>
          </w:p>
        </w:tc>
      </w:tr>
      <w:tr>
        <w:trPr>
          <w:trHeight w:val="339"/>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Balance Sheets at December 31, 2000 and 1999</w:t>
            </w:r>
          </w:p>
        </w:tc>
        <w:tc>
          <w:tcPr>
            <w:tcW w:w="5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22</w:t>
            </w:r>
          </w:p>
        </w:tc>
      </w:tr>
      <w:tr>
        <w:trPr>
          <w:trHeight w:val="339"/>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Statements of Income and Comprehensive Income for the Three Years ended</w:t>
            </w:r>
          </w:p>
        </w:tc>
        <w:tc>
          <w:tcPr>
            <w:tcW w:w="520" w:type="dxa"/>
            <w:vAlign w:val="bottom"/>
          </w:tcPr>
          <w:p>
            <w:pPr>
              <w:spacing w:after="0"/>
              <w:rPr>
                <w:sz w:val="24"/>
                <w:szCs w:val="24"/>
                <w:color w:val="auto"/>
              </w:rPr>
            </w:pPr>
          </w:p>
        </w:tc>
      </w:tr>
      <w:tr>
        <w:trPr>
          <w:trHeight w:val="170"/>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December 31, 2000.</w:t>
            </w:r>
          </w:p>
        </w:tc>
        <w:tc>
          <w:tcPr>
            <w:tcW w:w="5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23</w:t>
            </w:r>
          </w:p>
        </w:tc>
      </w:tr>
      <w:tr>
        <w:trPr>
          <w:trHeight w:val="339"/>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Statements of Changes in Stockholders' Equity for the Three Years</w:t>
            </w:r>
          </w:p>
        </w:tc>
        <w:tc>
          <w:tcPr>
            <w:tcW w:w="520" w:type="dxa"/>
            <w:vAlign w:val="bottom"/>
          </w:tcPr>
          <w:p>
            <w:pPr>
              <w:spacing w:after="0"/>
              <w:rPr>
                <w:sz w:val="24"/>
                <w:szCs w:val="24"/>
                <w:color w:val="auto"/>
              </w:rPr>
            </w:pPr>
          </w:p>
        </w:tc>
      </w:tr>
      <w:tr>
        <w:trPr>
          <w:trHeight w:val="170"/>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Ended December 31, 2000</w:t>
            </w:r>
          </w:p>
        </w:tc>
        <w:tc>
          <w:tcPr>
            <w:tcW w:w="5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24</w:t>
            </w:r>
          </w:p>
        </w:tc>
      </w:tr>
      <w:tr>
        <w:trPr>
          <w:trHeight w:val="339"/>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Statements of Cash Flows for the Three Years Ended December 31, 2000</w:t>
            </w:r>
          </w:p>
        </w:tc>
        <w:tc>
          <w:tcPr>
            <w:tcW w:w="5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25</w:t>
            </w:r>
          </w:p>
        </w:tc>
      </w:tr>
      <w:tr>
        <w:trPr>
          <w:trHeight w:val="339"/>
        </w:trPr>
        <w:tc>
          <w:tcPr>
            <w:tcW w:w="740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Notes to Financial Statements</w:t>
            </w:r>
          </w:p>
        </w:tc>
        <w:tc>
          <w:tcPr>
            <w:tcW w:w="5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26</w:t>
            </w:r>
          </w:p>
        </w:tc>
      </w:tr>
      <w:tr>
        <w:trPr>
          <w:trHeight w:val="339"/>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(a)2.   Exhibits Required by Item 601 of Regulation S-K</w:t>
            </w:r>
          </w:p>
        </w:tc>
        <w:tc>
          <w:tcPr>
            <w:tcW w:w="520" w:type="dxa"/>
            <w:vAlign w:val="bottom"/>
          </w:tcPr>
          <w:p>
            <w:pPr>
              <w:spacing w:after="0"/>
              <w:rPr>
                <w:sz w:val="24"/>
                <w:szCs w:val="24"/>
                <w:color w:val="auto"/>
              </w:rPr>
            </w:pPr>
          </w:p>
        </w:tc>
      </w:tr>
      <w:tr>
        <w:trPr>
          <w:trHeight w:val="339"/>
        </w:trPr>
        <w:tc>
          <w:tcPr>
            <w:tcW w:w="920" w:type="dxa"/>
            <w:vAlign w:val="bottom"/>
          </w:tcPr>
          <w:p>
            <w:pPr>
              <w:ind w:left="520"/>
              <w:spacing w:after="0"/>
              <w:rPr>
                <w:sz w:val="20"/>
                <w:szCs w:val="20"/>
                <w:color w:val="auto"/>
              </w:rPr>
            </w:pPr>
            <w:r>
              <w:rPr>
                <w:rFonts w:ascii="Courier New" w:cs="Courier New" w:eastAsia="Courier New" w:hAnsi="Courier New"/>
                <w:sz w:val="15"/>
                <w:szCs w:val="15"/>
                <w:color w:val="auto"/>
              </w:rPr>
              <w:t>3.1</w:t>
            </w:r>
          </w:p>
        </w:tc>
        <w:tc>
          <w:tcPr>
            <w:tcW w:w="6480" w:type="dxa"/>
            <w:vAlign w:val="bottom"/>
          </w:tcPr>
          <w:p>
            <w:pPr>
              <w:ind w:left="120"/>
              <w:spacing w:after="0"/>
              <w:rPr>
                <w:sz w:val="20"/>
                <w:szCs w:val="20"/>
                <w:color w:val="auto"/>
              </w:rPr>
            </w:pPr>
            <w:r>
              <w:rPr>
                <w:rFonts w:ascii="Courier New" w:cs="Courier New" w:eastAsia="Courier New" w:hAnsi="Courier New"/>
                <w:sz w:val="15"/>
                <w:szCs w:val="15"/>
                <w:color w:val="auto"/>
              </w:rPr>
              <w:t>Certificate of Incorporation of the Company, as amended</w:t>
            </w:r>
          </w:p>
        </w:tc>
        <w:tc>
          <w:tcPr>
            <w:tcW w:w="520" w:type="dxa"/>
            <w:vAlign w:val="bottom"/>
          </w:tcPr>
          <w:p>
            <w:pPr>
              <w:spacing w:after="0"/>
              <w:rPr>
                <w:sz w:val="24"/>
                <w:szCs w:val="24"/>
                <w:color w:val="auto"/>
              </w:rPr>
            </w:pPr>
          </w:p>
        </w:tc>
      </w:tr>
      <w:tr>
        <w:trPr>
          <w:trHeight w:val="170"/>
        </w:trPr>
        <w:tc>
          <w:tcPr>
            <w:tcW w:w="9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5"/>
                <w:szCs w:val="15"/>
                <w:color w:val="auto"/>
              </w:rPr>
              <w:t>(incorporated by reference to Exhibit 3.1 to the Company's</w:t>
            </w:r>
          </w:p>
        </w:tc>
        <w:tc>
          <w:tcPr>
            <w:tcW w:w="52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5"/>
                <w:szCs w:val="15"/>
                <w:color w:val="auto"/>
              </w:rPr>
              <w:t>Registration Statement on Form S-1--File No. 33-74694).</w:t>
            </w:r>
          </w:p>
        </w:tc>
        <w:tc>
          <w:tcPr>
            <w:tcW w:w="520" w:type="dxa"/>
            <w:vAlign w:val="bottom"/>
          </w:tcPr>
          <w:p>
            <w:pPr>
              <w:spacing w:after="0"/>
              <w:rPr>
                <w:sz w:val="14"/>
                <w:szCs w:val="14"/>
                <w:color w:val="auto"/>
              </w:rPr>
            </w:pPr>
          </w:p>
        </w:tc>
      </w:tr>
      <w:tr>
        <w:trPr>
          <w:trHeight w:val="339"/>
        </w:trPr>
        <w:tc>
          <w:tcPr>
            <w:tcW w:w="92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6480" w:type="dxa"/>
            <w:vAlign w:val="bottom"/>
          </w:tcPr>
          <w:p>
            <w:pPr>
              <w:ind w:left="120"/>
              <w:spacing w:after="0"/>
              <w:rPr>
                <w:sz w:val="20"/>
                <w:szCs w:val="20"/>
                <w:color w:val="auto"/>
              </w:rPr>
            </w:pPr>
            <w:r>
              <w:rPr>
                <w:rFonts w:ascii="Courier New" w:cs="Courier New" w:eastAsia="Courier New" w:hAnsi="Courier New"/>
                <w:sz w:val="15"/>
                <w:szCs w:val="15"/>
                <w:color w:val="auto"/>
              </w:rPr>
              <w:t>Bylaws of the Company, as amended (incorporated by reference to</w:t>
            </w:r>
          </w:p>
        </w:tc>
        <w:tc>
          <w:tcPr>
            <w:tcW w:w="520" w:type="dxa"/>
            <w:vAlign w:val="bottom"/>
          </w:tcPr>
          <w:p>
            <w:pPr>
              <w:spacing w:after="0"/>
              <w:rPr>
                <w:sz w:val="24"/>
                <w:szCs w:val="24"/>
                <w:color w:val="auto"/>
              </w:rPr>
            </w:pPr>
          </w:p>
        </w:tc>
      </w:tr>
      <w:tr>
        <w:trPr>
          <w:trHeight w:val="170"/>
        </w:trPr>
        <w:tc>
          <w:tcPr>
            <w:tcW w:w="9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5"/>
                <w:szCs w:val="15"/>
                <w:color w:val="auto"/>
              </w:rPr>
              <w:t>Exhibit 3.2 to the Company's registration Statement on Form S-1 -</w:t>
            </w:r>
          </w:p>
        </w:tc>
        <w:tc>
          <w:tcPr>
            <w:tcW w:w="52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5"/>
                <w:szCs w:val="15"/>
                <w:color w:val="auto"/>
              </w:rPr>
              <w:t>File No. 33-74694).</w:t>
            </w:r>
          </w:p>
        </w:tc>
        <w:tc>
          <w:tcPr>
            <w:tcW w:w="520" w:type="dxa"/>
            <w:vAlign w:val="bottom"/>
          </w:tcPr>
          <w:p>
            <w:pPr>
              <w:spacing w:after="0"/>
              <w:rPr>
                <w:sz w:val="14"/>
                <w:szCs w:val="14"/>
                <w:color w:val="auto"/>
              </w:rPr>
            </w:pPr>
          </w:p>
        </w:tc>
      </w:tr>
      <w:tr>
        <w:trPr>
          <w:trHeight w:val="339"/>
        </w:trPr>
        <w:tc>
          <w:tcPr>
            <w:tcW w:w="920" w:type="dxa"/>
            <w:vAlign w:val="bottom"/>
          </w:tcPr>
          <w:p>
            <w:pPr>
              <w:ind w:left="520"/>
              <w:spacing w:after="0"/>
              <w:rPr>
                <w:sz w:val="20"/>
                <w:szCs w:val="20"/>
                <w:color w:val="auto"/>
              </w:rPr>
            </w:pPr>
            <w:r>
              <w:rPr>
                <w:rFonts w:ascii="Courier New" w:cs="Courier New" w:eastAsia="Courier New" w:hAnsi="Courier New"/>
                <w:sz w:val="15"/>
                <w:szCs w:val="15"/>
                <w:color w:val="auto"/>
              </w:rPr>
              <w:t>4.1</w:t>
            </w:r>
          </w:p>
        </w:tc>
        <w:tc>
          <w:tcPr>
            <w:tcW w:w="6480" w:type="dxa"/>
            <w:vAlign w:val="bottom"/>
          </w:tcPr>
          <w:p>
            <w:pPr>
              <w:ind w:left="120"/>
              <w:spacing w:after="0"/>
              <w:rPr>
                <w:sz w:val="20"/>
                <w:szCs w:val="20"/>
                <w:color w:val="auto"/>
              </w:rPr>
            </w:pPr>
            <w:r>
              <w:rPr>
                <w:rFonts w:ascii="Courier New" w:cs="Courier New" w:eastAsia="Courier New" w:hAnsi="Courier New"/>
                <w:sz w:val="15"/>
                <w:szCs w:val="15"/>
                <w:color w:val="auto"/>
              </w:rPr>
              <w:t>Form of Common Stock certificate (incorporated by reference to</w:t>
            </w:r>
          </w:p>
        </w:tc>
        <w:tc>
          <w:tcPr>
            <w:tcW w:w="520" w:type="dxa"/>
            <w:vAlign w:val="bottom"/>
          </w:tcPr>
          <w:p>
            <w:pPr>
              <w:spacing w:after="0"/>
              <w:rPr>
                <w:sz w:val="24"/>
                <w:szCs w:val="24"/>
                <w:color w:val="auto"/>
              </w:rPr>
            </w:pPr>
          </w:p>
        </w:tc>
      </w:tr>
      <w:tr>
        <w:trPr>
          <w:trHeight w:val="170"/>
        </w:trPr>
        <w:tc>
          <w:tcPr>
            <w:tcW w:w="9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5"/>
                <w:szCs w:val="15"/>
                <w:color w:val="auto"/>
              </w:rPr>
              <w:t>Exhibit 4 to the Company's Registration Statement on Form S-1 - File</w:t>
            </w:r>
          </w:p>
        </w:tc>
        <w:tc>
          <w:tcPr>
            <w:tcW w:w="52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5"/>
                <w:szCs w:val="15"/>
                <w:color w:val="auto"/>
              </w:rPr>
              <w:t>No. 33-74694).</w:t>
            </w:r>
          </w:p>
        </w:tc>
        <w:tc>
          <w:tcPr>
            <w:tcW w:w="520" w:type="dxa"/>
            <w:vAlign w:val="bottom"/>
          </w:tcPr>
          <w:p>
            <w:pPr>
              <w:spacing w:after="0"/>
              <w:rPr>
                <w:sz w:val="14"/>
                <w:szCs w:val="14"/>
                <w:color w:val="auto"/>
              </w:rPr>
            </w:pPr>
          </w:p>
        </w:tc>
      </w:tr>
    </w:tbl>
    <w:p>
      <w:pPr>
        <w:spacing w:after="0" w:line="175" w:lineRule="exact"/>
        <w:rPr>
          <w:sz w:val="20"/>
          <w:szCs w:val="20"/>
          <w:color w:val="auto"/>
        </w:rPr>
      </w:pPr>
    </w:p>
    <w:p>
      <w:pPr>
        <w:ind w:left="1040" w:right="3179" w:hanging="528"/>
        <w:spacing w:after="0" w:line="237" w:lineRule="auto"/>
        <w:rPr>
          <w:sz w:val="20"/>
          <w:szCs w:val="20"/>
          <w:color w:val="auto"/>
        </w:rPr>
      </w:pPr>
      <w:r>
        <w:rPr>
          <w:rFonts w:ascii="Courier New" w:cs="Courier New" w:eastAsia="Courier New" w:hAnsi="Courier New"/>
          <w:sz w:val="15"/>
          <w:szCs w:val="15"/>
          <w:color w:val="auto"/>
        </w:rPr>
        <w:t>10.1* NN Ball &amp; Roller, Inc. Stock Incentive Plan (incorporated by reference to Exhibit 10.1 to the Company's Registration Statement on Form S-1 - File No. 33-74694).</w:t>
      </w:r>
    </w:p>
    <w:p>
      <w:pPr>
        <w:spacing w:after="0" w:line="175" w:lineRule="exact"/>
        <w:rPr>
          <w:sz w:val="20"/>
          <w:szCs w:val="20"/>
          <w:color w:val="auto"/>
        </w:rPr>
      </w:pPr>
    </w:p>
    <w:p>
      <w:pPr>
        <w:ind w:left="1040" w:right="3179" w:hanging="528"/>
        <w:spacing w:after="0" w:line="237" w:lineRule="auto"/>
        <w:rPr>
          <w:sz w:val="20"/>
          <w:szCs w:val="20"/>
          <w:color w:val="auto"/>
        </w:rPr>
      </w:pPr>
      <w:r>
        <w:rPr>
          <w:rFonts w:ascii="Courier New" w:cs="Courier New" w:eastAsia="Courier New" w:hAnsi="Courier New"/>
          <w:sz w:val="15"/>
          <w:szCs w:val="15"/>
          <w:color w:val="auto"/>
        </w:rPr>
        <w:t>10.3* $1.2 million Life Insurance Policy purchased by Mr. Ennen, the premiums of which are paid for by the Company (incorporated by reference to Exhibit 10.3 to the Company's Registration Statement on Form S-1-File No. 33-74694).</w:t>
      </w:r>
    </w:p>
    <w:p>
      <w:pPr>
        <w:spacing w:after="0" w:line="176" w:lineRule="exact"/>
        <w:rPr>
          <w:sz w:val="20"/>
          <w:szCs w:val="20"/>
          <w:color w:val="auto"/>
        </w:rPr>
      </w:pPr>
    </w:p>
    <w:p>
      <w:pPr>
        <w:ind w:left="1040" w:right="3259" w:hanging="528"/>
        <w:spacing w:after="0" w:line="256" w:lineRule="auto"/>
        <w:tabs>
          <w:tab w:leader="none" w:pos="102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Form of Confidentiality and Non-Compete Agreements for Executive Officers of the Company (incorporated by reference to Exhibit 10.17 to the Company's Registration Statement on Form S-1 - File No.</w:t>
      </w:r>
    </w:p>
    <w:p>
      <w:pPr>
        <w:ind w:left="1040"/>
        <w:spacing w:after="0" w:line="233" w:lineRule="auto"/>
        <w:rPr>
          <w:sz w:val="20"/>
          <w:szCs w:val="20"/>
          <w:color w:val="auto"/>
        </w:rPr>
      </w:pPr>
      <w:r>
        <w:rPr>
          <w:rFonts w:ascii="Courier New" w:cs="Courier New" w:eastAsia="Courier New" w:hAnsi="Courier New"/>
          <w:sz w:val="15"/>
          <w:szCs w:val="15"/>
          <w:color w:val="auto"/>
        </w:rPr>
        <w:t>33-74694).</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22" w:right="1440" w:bottom="1440" w:gutter="0" w:footer="0" w:header="0"/>
        </w:sectPr>
      </w:pPr>
    </w:p>
    <w:bookmarkStart w:id="47" w:name="page48"/>
    <w:bookmarkEnd w:id="47"/>
    <w:p>
      <w:pPr>
        <w:ind w:left="1050" w:right="3439" w:hanging="528"/>
        <w:spacing w:after="0" w:line="256" w:lineRule="auto"/>
        <w:tabs>
          <w:tab w:leader="none" w:pos="1029"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4"/>
          <w:szCs w:val="14"/>
          <w:color w:val="auto"/>
        </w:rPr>
        <w:t>Stockholder Agreement, dated February 22, 1994, among certain stockholders of the Company (incorporated by reference to Exhibit</w:t>
      </w:r>
    </w:p>
    <w:p>
      <w:pPr>
        <w:spacing w:after="0" w:line="1" w:lineRule="exact"/>
        <w:rPr>
          <w:sz w:val="20"/>
          <w:szCs w:val="20"/>
          <w:color w:val="auto"/>
        </w:rPr>
      </w:pPr>
    </w:p>
    <w:p>
      <w:pPr>
        <w:ind w:left="1050"/>
        <w:spacing w:after="0"/>
        <w:rPr>
          <w:sz w:val="20"/>
          <w:szCs w:val="20"/>
          <w:color w:val="auto"/>
        </w:rPr>
      </w:pPr>
      <w:r>
        <w:rPr>
          <w:rFonts w:ascii="Courier New" w:cs="Courier New" w:eastAsia="Courier New" w:hAnsi="Courier New"/>
          <w:sz w:val="14"/>
          <w:szCs w:val="14"/>
          <w:color w:val="auto"/>
        </w:rPr>
        <w:t>10.18 to the Company's Registration Statement on Form S-1 - File No.</w:t>
      </w:r>
    </w:p>
    <w:p>
      <w:pPr>
        <w:spacing w:after="0" w:line="5"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33-74694).</w:t>
      </w:r>
    </w:p>
    <w:p>
      <w:pPr>
        <w:spacing w:after="0" w:line="175" w:lineRule="exact"/>
        <w:rPr>
          <w:sz w:val="20"/>
          <w:szCs w:val="20"/>
          <w:color w:val="auto"/>
        </w:rPr>
      </w:pPr>
    </w:p>
    <w:p>
      <w:pPr>
        <w:ind w:left="1050" w:right="3179" w:hanging="528"/>
        <w:spacing w:after="0" w:line="237" w:lineRule="auto"/>
        <w:tabs>
          <w:tab w:leader="none" w:pos="1029" w:val="left"/>
        </w:tabs>
        <w:rPr>
          <w:sz w:val="20"/>
          <w:szCs w:val="20"/>
          <w:color w:val="auto"/>
        </w:rPr>
      </w:pPr>
      <w:r>
        <w:rPr>
          <w:rFonts w:ascii="Courier New" w:cs="Courier New" w:eastAsia="Courier New" w:hAnsi="Courier New"/>
          <w:sz w:val="15"/>
          <w:szCs w:val="15"/>
          <w:color w:val="auto"/>
        </w:rPr>
        <w:t>10.7</w:t>
        <w:tab/>
        <w:t>Form of Indemnification Agreement for officers and directors of the Company (incorporated by reference to Exhibit 10.19 to the Company's Registration Statement on Form S-1 - File No. 33-74694).</w:t>
      </w:r>
    </w:p>
    <w:p>
      <w:pPr>
        <w:spacing w:after="0" w:line="175" w:lineRule="exact"/>
        <w:rPr>
          <w:sz w:val="20"/>
          <w:szCs w:val="20"/>
          <w:color w:val="auto"/>
        </w:rPr>
      </w:pPr>
    </w:p>
    <w:p>
      <w:pPr>
        <w:ind w:left="1050" w:right="3259" w:hanging="528"/>
        <w:spacing w:after="0" w:line="258" w:lineRule="auto"/>
        <w:tabs>
          <w:tab w:leader="none" w:pos="1029"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4"/>
          <w:szCs w:val="14"/>
          <w:color w:val="auto"/>
        </w:rPr>
        <w:t>Lease, dated as of September 5, 1995, between the Company and the State of Tennessee Department of Economic and Community Development and the County of Johnson County, Tennessee (incorporated by reference to Exhibit 10.9 of the Company's Annual Report on Form 10-K for the fiscal year ended December 31, 1995).</w:t>
      </w:r>
    </w:p>
    <w:p>
      <w:pPr>
        <w:spacing w:after="0" w:line="165" w:lineRule="exact"/>
        <w:rPr>
          <w:sz w:val="20"/>
          <w:szCs w:val="20"/>
          <w:color w:val="auto"/>
        </w:rPr>
      </w:pPr>
    </w:p>
    <w:p>
      <w:pPr>
        <w:ind w:left="1050" w:right="3179" w:hanging="528"/>
        <w:spacing w:after="0" w:line="258" w:lineRule="auto"/>
        <w:tabs>
          <w:tab w:leader="none" w:pos="1029"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Lease, dated as of March 22, 1996, between the Company and the State of Tennessee Department of Economic and Community Development and the County of Johnson County, Tennessee (incorporated by reference to Exhibit 10.10 of the Company's Annual Report on Form 10-K for the fiscal year ended December 31, 1995).</w:t>
      </w:r>
    </w:p>
    <w:p>
      <w:pPr>
        <w:spacing w:after="0" w:line="165" w:lineRule="exact"/>
        <w:rPr>
          <w:sz w:val="20"/>
          <w:szCs w:val="20"/>
          <w:color w:val="auto"/>
        </w:rPr>
      </w:pPr>
    </w:p>
    <w:p>
      <w:pPr>
        <w:ind w:left="1050" w:right="3359" w:hanging="528"/>
        <w:spacing w:after="0" w:line="237" w:lineRule="auto"/>
        <w:rPr>
          <w:sz w:val="20"/>
          <w:szCs w:val="20"/>
          <w:color w:val="auto"/>
        </w:rPr>
      </w:pPr>
      <w:r>
        <w:rPr>
          <w:rFonts w:ascii="Courier New" w:cs="Courier New" w:eastAsia="Courier New" w:hAnsi="Courier New"/>
          <w:sz w:val="15"/>
          <w:szCs w:val="15"/>
          <w:color w:val="auto"/>
        </w:rPr>
        <w:t>10.10* Stock Option Agreement, dated as of July 3, 1995, between the Company and Roderick R. Baty (incorporated by reference to Exhibit 10.11 of the Company's Annual Report on Form 10-K for the fiscal year ended December 31, 1995).</w:t>
      </w:r>
    </w:p>
    <w:p>
      <w:pPr>
        <w:spacing w:after="0" w:line="176" w:lineRule="exact"/>
        <w:rPr>
          <w:sz w:val="20"/>
          <w:szCs w:val="20"/>
          <w:color w:val="auto"/>
        </w:rPr>
      </w:pPr>
    </w:p>
    <w:p>
      <w:pPr>
        <w:ind w:left="1050" w:right="3359" w:hanging="528"/>
        <w:spacing w:after="0" w:line="237" w:lineRule="auto"/>
        <w:rPr>
          <w:sz w:val="20"/>
          <w:szCs w:val="20"/>
          <w:color w:val="auto"/>
        </w:rPr>
      </w:pPr>
      <w:r>
        <w:rPr>
          <w:rFonts w:ascii="Courier New" w:cs="Courier New" w:eastAsia="Courier New" w:hAnsi="Courier New"/>
          <w:sz w:val="15"/>
          <w:szCs w:val="15"/>
          <w:color w:val="auto"/>
        </w:rPr>
        <w:t>10.11 Loan Agreement, dated as of July 25, 1997, between the Company and First American National Bank (incorporated by reference to Exhibit 10.13 of the Company's Quarterly Report on Form 10-Q for the quarterly period ended June 30, 1997).</w:t>
      </w:r>
    </w:p>
    <w:p>
      <w:pPr>
        <w:spacing w:after="0" w:line="176" w:lineRule="exact"/>
        <w:rPr>
          <w:sz w:val="20"/>
          <w:szCs w:val="20"/>
          <w:color w:val="auto"/>
        </w:rPr>
      </w:pPr>
    </w:p>
    <w:p>
      <w:pPr>
        <w:ind w:left="1050" w:right="3179" w:hanging="528"/>
        <w:spacing w:after="0" w:line="237" w:lineRule="auto"/>
        <w:rPr>
          <w:sz w:val="20"/>
          <w:szCs w:val="20"/>
          <w:color w:val="auto"/>
        </w:rPr>
      </w:pPr>
      <w:r>
        <w:rPr>
          <w:rFonts w:ascii="Courier New" w:cs="Courier New" w:eastAsia="Courier New" w:hAnsi="Courier New"/>
          <w:sz w:val="15"/>
          <w:szCs w:val="15"/>
          <w:color w:val="auto"/>
        </w:rPr>
        <w:t>10.12* Employment Agreement, dated August 1, 1997, between the Company and Roderick R. Baty (incorporated by reference to Exhibit 10.14 of the Company's Quarterly Report on Form 10-Q for the quarterly period ended September 30, 1997).</w:t>
      </w:r>
    </w:p>
    <w:p>
      <w:pPr>
        <w:spacing w:after="0" w:line="176" w:lineRule="exact"/>
        <w:rPr>
          <w:sz w:val="20"/>
          <w:szCs w:val="20"/>
          <w:color w:val="auto"/>
        </w:rPr>
      </w:pPr>
    </w:p>
    <w:p>
      <w:pPr>
        <w:ind w:left="1050" w:right="3439" w:hanging="528"/>
        <w:spacing w:after="0" w:line="235" w:lineRule="auto"/>
        <w:rPr>
          <w:sz w:val="20"/>
          <w:szCs w:val="20"/>
          <w:color w:val="auto"/>
        </w:rPr>
      </w:pPr>
      <w:r>
        <w:rPr>
          <w:rFonts w:ascii="Courier New" w:cs="Courier New" w:eastAsia="Courier New" w:hAnsi="Courier New"/>
          <w:sz w:val="15"/>
          <w:szCs w:val="15"/>
          <w:color w:val="auto"/>
        </w:rPr>
        <w:t>10.13* Employment Agreement, dated May 7, 1998, between the Company and Frank T. Gentry.</w:t>
      </w:r>
    </w:p>
    <w:p>
      <w:pPr>
        <w:spacing w:after="0" w:line="176" w:lineRule="exact"/>
        <w:rPr>
          <w:sz w:val="20"/>
          <w:szCs w:val="20"/>
          <w:color w:val="auto"/>
        </w:rPr>
      </w:pPr>
    </w:p>
    <w:p>
      <w:pPr>
        <w:ind w:left="1050" w:right="3179" w:hanging="528"/>
        <w:spacing w:after="0" w:line="259" w:lineRule="auto"/>
        <w:rPr>
          <w:sz w:val="20"/>
          <w:szCs w:val="20"/>
          <w:color w:val="auto"/>
        </w:rPr>
      </w:pPr>
      <w:r>
        <w:rPr>
          <w:rFonts w:ascii="Courier New" w:cs="Courier New" w:eastAsia="Courier New" w:hAnsi="Courier New"/>
          <w:sz w:val="14"/>
          <w:szCs w:val="14"/>
          <w:color w:val="auto"/>
        </w:rPr>
        <w:t>10.14* Form of Stock Option Agreement, dated December 7, 1998, between the Company and the non-employee directors of the Company (incorporated by reference to Exhibit 10.15 of the Company's Quarterly Report on Form 10-K for the fiscal year ended December 31, 1999).</w:t>
      </w:r>
    </w:p>
    <w:p>
      <w:pPr>
        <w:spacing w:after="0" w:line="163" w:lineRule="exact"/>
        <w:rPr>
          <w:sz w:val="20"/>
          <w:szCs w:val="20"/>
          <w:color w:val="auto"/>
        </w:rPr>
      </w:pPr>
    </w:p>
    <w:p>
      <w:pPr>
        <w:ind w:left="1050" w:right="3259" w:hanging="528"/>
        <w:spacing w:after="0" w:line="260" w:lineRule="auto"/>
        <w:rPr>
          <w:sz w:val="20"/>
          <w:szCs w:val="20"/>
          <w:color w:val="auto"/>
        </w:rPr>
      </w:pPr>
      <w:r>
        <w:rPr>
          <w:rFonts w:ascii="Courier New" w:cs="Courier New" w:eastAsia="Courier New" w:hAnsi="Courier New"/>
          <w:sz w:val="14"/>
          <w:szCs w:val="14"/>
          <w:color w:val="auto"/>
        </w:rPr>
        <w:t>10.15* Elective Deferred Compensation Plan, dated February 26, 1999 (incorporated by reference to Exhibit 10.16 of the Company's Annual Report on Form 10-K for the fiscal year ended December 31, 1999).</w:t>
      </w:r>
    </w:p>
    <w:p>
      <w:pPr>
        <w:spacing w:after="0" w:line="157" w:lineRule="exact"/>
        <w:rPr>
          <w:sz w:val="20"/>
          <w:szCs w:val="20"/>
          <w:color w:val="auto"/>
        </w:rPr>
      </w:pPr>
    </w:p>
    <w:p>
      <w:pPr>
        <w:ind w:left="530"/>
        <w:spacing w:after="0"/>
        <w:tabs>
          <w:tab w:leader="none" w:pos="102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PricewaterhouseCoopers LLP (filed herewith).</w:t>
      </w:r>
    </w:p>
    <w:p>
      <w:pPr>
        <w:spacing w:after="0" w:line="169" w:lineRule="exact"/>
        <w:rPr>
          <w:sz w:val="20"/>
          <w:szCs w:val="20"/>
          <w:color w:val="auto"/>
        </w:rPr>
      </w:pPr>
    </w:p>
    <w:p>
      <w:pPr>
        <w:ind w:left="530"/>
        <w:spacing w:after="0"/>
        <w:tabs>
          <w:tab w:leader="none" w:pos="1029"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KPMG LLP (filed herewith).</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710" w:hanging="710"/>
        <w:spacing w:after="0"/>
        <w:tabs>
          <w:tab w:leader="none" w:pos="71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168" w:lineRule="exact"/>
        <w:rPr>
          <w:rFonts w:ascii="Courier New" w:cs="Courier New" w:eastAsia="Courier New" w:hAnsi="Courier New"/>
          <w:sz w:val="15"/>
          <w:szCs w:val="15"/>
          <w:color w:val="auto"/>
        </w:rPr>
      </w:pPr>
    </w:p>
    <w:p>
      <w:pPr>
        <w:ind w:left="1050" w:hanging="521"/>
        <w:spacing w:after="0"/>
        <w:tabs>
          <w:tab w:leader="none" w:pos="105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ind w:left="1050" w:right="36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on October 16, 2000 which included further details of the transaction entered into with FAG Kugelfischer Georg Schafer AG and AB SKF to form a new Danish holding company, NN Euroball ApS.</w:t>
      </w:r>
    </w:p>
    <w:p>
      <w:pPr>
        <w:spacing w:after="0" w:line="176" w:lineRule="exact"/>
        <w:rPr>
          <w:rFonts w:ascii="Courier New" w:cs="Courier New" w:eastAsia="Courier New" w:hAnsi="Courier New"/>
          <w:sz w:val="15"/>
          <w:szCs w:val="15"/>
          <w:color w:val="auto"/>
        </w:rPr>
      </w:pPr>
    </w:p>
    <w:p>
      <w:pPr>
        <w:ind w:left="1050" w:right="36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on November 3, 2000 announcing its third quarter 2000 results.</w:t>
      </w:r>
    </w:p>
    <w:p>
      <w:pPr>
        <w:spacing w:after="0" w:line="175" w:lineRule="exact"/>
        <w:rPr>
          <w:rFonts w:ascii="Courier New" w:cs="Courier New" w:eastAsia="Courier New" w:hAnsi="Courier New"/>
          <w:sz w:val="15"/>
          <w:szCs w:val="15"/>
          <w:color w:val="auto"/>
        </w:rPr>
      </w:pPr>
    </w:p>
    <w:p>
      <w:pPr>
        <w:ind w:left="10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a Form 8-K on December 4, 2000 announcing that the Company had retained the services of KPMG LLP replacing PricewaterhouseCoopers LLP as independent auditors.</w:t>
      </w:r>
    </w:p>
    <w:p>
      <w:pPr>
        <w:spacing w:after="0" w:line="174" w:lineRule="exact"/>
        <w:rPr>
          <w:rFonts w:ascii="Courier New" w:cs="Courier New" w:eastAsia="Courier New" w:hAnsi="Courier New"/>
          <w:sz w:val="15"/>
          <w:szCs w:val="15"/>
          <w:color w:val="auto"/>
        </w:rPr>
      </w:pPr>
    </w:p>
    <w:p>
      <w:pPr>
        <w:ind w:left="1050" w:right="3359" w:hanging="521"/>
        <w:spacing w:after="0" w:line="260" w:lineRule="auto"/>
        <w:tabs>
          <w:tab w:leader="none" w:pos="105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See Index to Exhibits (attached hereto). The Company will provide without charge to any person, upon the written request of such person, a copy of any of the Exhibits to this Form 10-K.</w:t>
      </w:r>
    </w:p>
    <w:p>
      <w:pPr>
        <w:spacing w:after="0" w:line="327"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9"/>
          </w:cols>
          <w:pgMar w:left="230" w:top="797" w:right="1440" w:bottom="1440" w:gutter="0" w:footer="0" w:header="0"/>
        </w:sectPr>
      </w:pPr>
    </w:p>
    <w:bookmarkStart w:id="48" w:name="page49"/>
    <w:bookmarkEnd w:id="48"/>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179" w:firstLine="705"/>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3870"/>
        <w:spacing w:after="0"/>
        <w:tabs>
          <w:tab w:leader="none" w:pos="446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RICHARD D. ENNEN</w:t>
      </w:r>
    </w:p>
    <w:p>
      <w:pPr>
        <w:ind w:left="4490"/>
        <w:spacing w:after="0"/>
        <w:rPr>
          <w:sz w:val="20"/>
          <w:szCs w:val="20"/>
          <w:color w:val="auto"/>
        </w:rPr>
      </w:pPr>
      <w:r>
        <w:rPr>
          <w:rFonts w:ascii="Courier New" w:cs="Courier New" w:eastAsia="Courier New" w:hAnsi="Courier New"/>
          <w:sz w:val="15"/>
          <w:szCs w:val="15"/>
          <w:color w:val="auto"/>
        </w:rPr>
        <w:t>Richard D. Ennen</w:t>
      </w:r>
    </w:p>
    <w:p>
      <w:pPr>
        <w:ind w:left="4490"/>
        <w:spacing w:after="0"/>
        <w:rPr>
          <w:sz w:val="20"/>
          <w:szCs w:val="20"/>
          <w:color w:val="auto"/>
        </w:rPr>
      </w:pPr>
      <w:r>
        <w:rPr>
          <w:rFonts w:ascii="Courier New" w:cs="Courier New" w:eastAsia="Courier New" w:hAnsi="Courier New"/>
          <w:sz w:val="15"/>
          <w:szCs w:val="15"/>
          <w:color w:val="auto"/>
        </w:rPr>
        <w:t>Chairman and Director</w:t>
      </w:r>
    </w:p>
    <w:p>
      <w:pPr>
        <w:spacing w:after="0" w:line="168" w:lineRule="exact"/>
        <w:rPr>
          <w:sz w:val="20"/>
          <w:szCs w:val="20"/>
          <w:color w:val="auto"/>
        </w:rPr>
      </w:pPr>
    </w:p>
    <w:p>
      <w:pPr>
        <w:ind w:left="4490"/>
        <w:spacing w:after="0"/>
        <w:tabs>
          <w:tab w:leader="none" w:pos="5189"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March 29, 2001</w:t>
      </w:r>
    </w:p>
    <w:p>
      <w:pPr>
        <w:spacing w:after="0" w:line="175" w:lineRule="exact"/>
        <w:rPr>
          <w:sz w:val="20"/>
          <w:szCs w:val="20"/>
          <w:color w:val="auto"/>
        </w:rPr>
      </w:pPr>
    </w:p>
    <w:p>
      <w:pPr>
        <w:ind w:left="10" w:right="3539" w:firstLine="705"/>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229"/>
          </w:cols>
          <w:pgMar w:left="230" w:top="9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70"/>
        <w:spacing w:after="0"/>
        <w:rPr>
          <w:sz w:val="20"/>
          <w:szCs w:val="20"/>
          <w:color w:val="auto"/>
        </w:rPr>
      </w:pPr>
      <w:r>
        <w:rPr>
          <w:rFonts w:ascii="Courier New" w:cs="Courier New" w:eastAsia="Courier New" w:hAnsi="Courier New"/>
          <w:sz w:val="14"/>
          <w:szCs w:val="14"/>
          <w:color w:val="auto"/>
        </w:rPr>
        <w:t>Name and Signature</w:t>
      </w:r>
    </w:p>
    <w:p>
      <w:pPr>
        <w:spacing w:after="0" w:line="11" w:lineRule="exact"/>
        <w:rPr>
          <w:sz w:val="20"/>
          <w:szCs w:val="20"/>
          <w:color w:val="auto"/>
        </w:rPr>
      </w:pPr>
    </w:p>
    <w:p>
      <w:pPr>
        <w:ind w:left="97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210" w:space="720"/>
            <w:col w:w="1580" w:space="720"/>
            <w:col w:w="2999"/>
          </w:cols>
          <w:pgMar w:left="230" w:top="961" w:right="1440" w:bottom="1440" w:gutter="0" w:footer="0" w:header="0"/>
          <w:type w:val="continuous"/>
        </w:sectPr>
      </w:pPr>
    </w:p>
    <w:p>
      <w:pPr>
        <w:spacing w:after="0" w:line="150" w:lineRule="exact"/>
        <w:rPr>
          <w:sz w:val="20"/>
          <w:szCs w:val="20"/>
          <w:color w:val="auto"/>
        </w:rPr>
      </w:pPr>
    </w:p>
    <w:p>
      <w:pPr>
        <w:ind w:left="890"/>
        <w:spacing w:after="0"/>
        <w:rPr>
          <w:sz w:val="20"/>
          <w:szCs w:val="20"/>
          <w:color w:val="auto"/>
        </w:rPr>
      </w:pPr>
      <w:r>
        <w:rPr>
          <w:rFonts w:ascii="Courier New" w:cs="Courier New" w:eastAsia="Courier New" w:hAnsi="Courier New"/>
          <w:sz w:val="14"/>
          <w:szCs w:val="14"/>
          <w:color w:val="auto"/>
        </w:rPr>
        <w:t>/S/ RICHARD D. ENNEN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Director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2001</w:t>
      </w:r>
    </w:p>
    <w:p>
      <w:pPr>
        <w:spacing w:after="0" w:line="11" w:lineRule="exact"/>
        <w:rPr>
          <w:sz w:val="20"/>
          <w:szCs w:val="20"/>
          <w:color w:val="auto"/>
        </w:rPr>
      </w:pPr>
    </w:p>
    <w:p>
      <w:pPr>
        <w:sectPr>
          <w:pgSz w:w="11900" w:h="16838" w:orient="portrait"/>
          <w:cols w:equalWidth="0" w:num="3">
            <w:col w:w="3070" w:space="720"/>
            <w:col w:w="2360" w:space="720"/>
            <w:col w:w="3359"/>
          </w:cols>
          <w:pgMar w:left="230" w:top="961" w:right="1440" w:bottom="1440" w:gutter="0" w:footer="0" w:header="0"/>
          <w:type w:val="continuous"/>
        </w:sectPr>
      </w:pPr>
    </w:p>
    <w:p>
      <w:pPr>
        <w:ind w:left="170" w:hanging="170"/>
        <w:spacing w:after="0"/>
        <w:tabs>
          <w:tab w:leader="none" w:pos="17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Richard D. Ennen</w:t>
      </w:r>
    </w:p>
    <w:p>
      <w:pPr>
        <w:sectPr>
          <w:pgSz w:w="11900" w:h="16838" w:orient="portrait"/>
          <w:cols w:equalWidth="0" w:num="1">
            <w:col w:w="10229"/>
          </w:cols>
          <w:pgMar w:left="230" w:top="961"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/S/ RODERICK R. BATY</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Roderick R. Baty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Chief Executive</w:t>
      </w:r>
    </w:p>
    <w:p>
      <w:pPr>
        <w:ind w:left="260"/>
        <w:spacing w:after="0"/>
        <w:rPr>
          <w:sz w:val="20"/>
          <w:szCs w:val="20"/>
          <w:color w:val="auto"/>
        </w:rPr>
      </w:pPr>
      <w:r>
        <w:rPr>
          <w:rFonts w:ascii="Courier New" w:cs="Courier New" w:eastAsia="Courier New" w:hAnsi="Courier New"/>
          <w:sz w:val="15"/>
          <w:szCs w:val="15"/>
          <w:color w:val="auto"/>
        </w:rPr>
        <w:t>Officer and Director</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2001</w:t>
      </w:r>
    </w:p>
    <w:p>
      <w:pPr>
        <w:spacing w:after="0" w:line="544" w:lineRule="exact"/>
        <w:rPr>
          <w:sz w:val="20"/>
          <w:szCs w:val="20"/>
          <w:color w:val="auto"/>
        </w:rPr>
      </w:pPr>
    </w:p>
    <w:p>
      <w:pPr>
        <w:sectPr>
          <w:pgSz w:w="11900" w:h="16838" w:orient="portrait"/>
          <w:cols w:equalWidth="0" w:num="3">
            <w:col w:w="3790" w:space="0"/>
            <w:col w:w="2640" w:space="440"/>
            <w:col w:w="3359"/>
          </w:cols>
          <w:pgMar w:left="230" w:top="961" w:right="1440" w:bottom="1440" w:gutter="0" w:footer="0" w:header="0"/>
          <w:type w:val="continuous"/>
        </w:sectPr>
      </w:pPr>
    </w:p>
    <w:p>
      <w:pPr>
        <w:spacing w:after="0" w:line="308"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/S/ WILLIAM C. KELLY, JR.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William C. Kelly, Jr.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Secretary and Chief</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Accounting Officer (Principle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Accounting Officer)</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2001</w:t>
      </w:r>
    </w:p>
    <w:p>
      <w:pPr>
        <w:spacing w:after="0" w:line="544" w:lineRule="exact"/>
        <w:rPr>
          <w:sz w:val="20"/>
          <w:szCs w:val="20"/>
          <w:color w:val="auto"/>
        </w:rPr>
      </w:pPr>
    </w:p>
    <w:p>
      <w:pPr>
        <w:sectPr>
          <w:pgSz w:w="11900" w:h="16838" w:orient="portrait"/>
          <w:cols w:equalWidth="0" w:num="3">
            <w:col w:w="3790" w:space="0"/>
            <w:col w:w="2820" w:space="180"/>
            <w:col w:w="3439"/>
          </w:cols>
          <w:pgMar w:left="230" w:top="961"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/S/ DAVID L. DYCKMAN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David L. Dyckman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Business</w:t>
      </w:r>
    </w:p>
    <w:p>
      <w:pPr>
        <w:ind w:left="260"/>
        <w:spacing w:after="0"/>
        <w:rPr>
          <w:sz w:val="20"/>
          <w:szCs w:val="20"/>
          <w:color w:val="auto"/>
        </w:rPr>
      </w:pPr>
      <w:r>
        <w:rPr>
          <w:rFonts w:ascii="Courier New" w:cs="Courier New" w:eastAsia="Courier New" w:hAnsi="Courier New"/>
          <w:sz w:val="15"/>
          <w:szCs w:val="15"/>
          <w:color w:val="auto"/>
        </w:rPr>
        <w:t>Development and Chief</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Financial Officer (Principal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2001</w:t>
      </w:r>
    </w:p>
    <w:p>
      <w:pPr>
        <w:spacing w:after="0" w:line="714" w:lineRule="exact"/>
        <w:rPr>
          <w:sz w:val="20"/>
          <w:szCs w:val="20"/>
          <w:color w:val="auto"/>
        </w:rPr>
      </w:pPr>
    </w:p>
    <w:p>
      <w:pPr>
        <w:sectPr>
          <w:pgSz w:w="11900" w:h="16838" w:orient="portrait"/>
          <w:cols w:equalWidth="0" w:num="3">
            <w:col w:w="3790" w:space="0"/>
            <w:col w:w="2560" w:space="440"/>
            <w:col w:w="3439"/>
          </w:cols>
          <w:pgMar w:left="230" w:top="961" w:right="1440" w:bottom="1440" w:gutter="0" w:footer="0" w:header="0"/>
          <w:type w:val="continuous"/>
        </w:sectPr>
      </w:pPr>
    </w:p>
    <w:p>
      <w:pPr>
        <w:spacing w:after="0" w:line="144" w:lineRule="exact"/>
        <w:rPr>
          <w:sz w:val="20"/>
          <w:szCs w:val="20"/>
          <w:color w:val="auto"/>
        </w:rPr>
      </w:pPr>
    </w:p>
    <w:p>
      <w:pPr>
        <w:ind w:left="890"/>
        <w:spacing w:after="0"/>
        <w:rPr>
          <w:sz w:val="20"/>
          <w:szCs w:val="20"/>
          <w:color w:val="auto"/>
        </w:rPr>
      </w:pPr>
      <w:r>
        <w:rPr>
          <w:rFonts w:ascii="Courier New" w:cs="Courier New" w:eastAsia="Courier New" w:hAnsi="Courier New"/>
          <w:sz w:val="14"/>
          <w:szCs w:val="14"/>
          <w:color w:val="auto"/>
        </w:rPr>
        <w:t>/S/ MICHAEL D. HUFF</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2001</w:t>
      </w:r>
    </w:p>
    <w:p>
      <w:pPr>
        <w:spacing w:after="0" w:line="5" w:lineRule="exact"/>
        <w:rPr>
          <w:sz w:val="20"/>
          <w:szCs w:val="20"/>
          <w:color w:val="auto"/>
        </w:rPr>
      </w:pPr>
    </w:p>
    <w:p>
      <w:pPr>
        <w:sectPr>
          <w:pgSz w:w="11900" w:h="16838" w:orient="portrait"/>
          <w:cols w:equalWidth="0" w:num="3">
            <w:col w:w="3070" w:space="720"/>
            <w:col w:w="2360" w:space="720"/>
            <w:col w:w="3359"/>
          </w:cols>
          <w:pgMar w:left="230" w:top="961" w:right="1440" w:bottom="1440" w:gutter="0" w:footer="0" w:header="0"/>
          <w:type w:val="continuous"/>
        </w:sectPr>
      </w:pPr>
    </w:p>
    <w:p>
      <w:pPr>
        <w:ind w:left="170" w:hanging="170"/>
        <w:spacing w:after="0"/>
        <w:tabs>
          <w:tab w:leader="none" w:pos="1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D. Huff</w:t>
      </w:r>
    </w:p>
    <w:p>
      <w:pPr>
        <w:spacing w:after="0" w:line="338" w:lineRule="exact"/>
        <w:rPr>
          <w:sz w:val="20"/>
          <w:szCs w:val="20"/>
          <w:color w:val="auto"/>
        </w:rPr>
      </w:pPr>
    </w:p>
    <w:p>
      <w:pPr>
        <w:jc w:val="right"/>
        <w:ind w:right="2119"/>
        <w:spacing w:after="0"/>
        <w:tabs>
          <w:tab w:leader="none" w:pos="4300" w:val="left"/>
          <w:tab w:leader="none" w:pos="1220" w:val="left"/>
        </w:tabs>
        <w:rPr>
          <w:sz w:val="20"/>
          <w:szCs w:val="20"/>
          <w:color w:val="auto"/>
        </w:rPr>
      </w:pPr>
      <w:r>
        <w:rPr>
          <w:rFonts w:ascii="Courier New" w:cs="Courier New" w:eastAsia="Courier New" w:hAnsi="Courier New"/>
          <w:sz w:val="15"/>
          <w:szCs w:val="15"/>
          <w:color w:val="auto"/>
        </w:rPr>
        <w:t>/S/ G. RONALD MORRIS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29, 2001</w:t>
      </w:r>
    </w:p>
    <w:p>
      <w:pPr>
        <w:ind w:left="170" w:hanging="170"/>
        <w:spacing w:after="0"/>
        <w:tabs>
          <w:tab w:leader="none" w:pos="1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Ronald Morris</w:t>
      </w:r>
    </w:p>
    <w:p>
      <w:pPr>
        <w:spacing w:after="0" w:line="338" w:lineRule="exact"/>
        <w:rPr>
          <w:sz w:val="20"/>
          <w:szCs w:val="20"/>
          <w:color w:val="auto"/>
        </w:rPr>
      </w:pPr>
    </w:p>
    <w:p>
      <w:pPr>
        <w:ind w:left="790"/>
        <w:spacing w:after="0"/>
        <w:tabs>
          <w:tab w:leader="none" w:pos="3769" w:val="left"/>
          <w:tab w:leader="none" w:pos="6849" w:val="left"/>
        </w:tabs>
        <w:rPr>
          <w:sz w:val="20"/>
          <w:szCs w:val="20"/>
          <w:color w:val="auto"/>
        </w:rPr>
      </w:pPr>
      <w:r>
        <w:rPr>
          <w:rFonts w:ascii="Courier New" w:cs="Courier New" w:eastAsia="Courier New" w:hAnsi="Courier New"/>
          <w:sz w:val="15"/>
          <w:szCs w:val="15"/>
          <w:color w:val="auto"/>
        </w:rPr>
        <w:t>/S/ MICHAEL E. WERNER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29, 2001</w:t>
      </w:r>
    </w:p>
    <w:p>
      <w:pPr>
        <w:ind w:left="170" w:hanging="170"/>
        <w:spacing w:after="0"/>
        <w:tabs>
          <w:tab w:leader="none" w:pos="1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E. Werner</w:t>
      </w:r>
    </w:p>
    <w:p>
      <w:pPr>
        <w:spacing w:after="0" w:line="338" w:lineRule="exact"/>
        <w:rPr>
          <w:sz w:val="20"/>
          <w:szCs w:val="20"/>
          <w:color w:val="auto"/>
        </w:rPr>
      </w:pPr>
    </w:p>
    <w:p>
      <w:pPr>
        <w:ind w:left="790"/>
        <w:spacing w:after="0"/>
        <w:tabs>
          <w:tab w:leader="none" w:pos="3769" w:val="left"/>
          <w:tab w:leader="none" w:pos="6849" w:val="left"/>
        </w:tabs>
        <w:rPr>
          <w:sz w:val="20"/>
          <w:szCs w:val="20"/>
          <w:color w:val="auto"/>
        </w:rPr>
      </w:pPr>
      <w:r>
        <w:rPr>
          <w:rFonts w:ascii="Courier New" w:cs="Courier New" w:eastAsia="Courier New" w:hAnsi="Courier New"/>
          <w:sz w:val="15"/>
          <w:szCs w:val="15"/>
          <w:color w:val="auto"/>
        </w:rPr>
        <w:t>/S/ STEVEN T. WARSHAW</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29, 2001</w:t>
      </w:r>
    </w:p>
    <w:p>
      <w:pPr>
        <w:ind w:left="170" w:hanging="170"/>
        <w:spacing w:after="0"/>
        <w:tabs>
          <w:tab w:leader="none" w:pos="17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Steven T. Warshaw</w:t>
      </w:r>
    </w:p>
    <w:p>
      <w:pPr>
        <w:spacing w:after="0" w:line="338" w:lineRule="exact"/>
        <w:rPr>
          <w:sz w:val="20"/>
          <w:szCs w:val="20"/>
          <w:color w:val="auto"/>
        </w:rPr>
      </w:pPr>
    </w:p>
    <w:p>
      <w:pPr>
        <w:jc w:val="right"/>
        <w:ind w:right="2119"/>
        <w:spacing w:after="0"/>
        <w:tabs>
          <w:tab w:leader="none" w:pos="4300" w:val="left"/>
          <w:tab w:leader="none" w:pos="1220" w:val="left"/>
        </w:tabs>
        <w:rPr>
          <w:sz w:val="20"/>
          <w:szCs w:val="20"/>
          <w:color w:val="auto"/>
        </w:rPr>
      </w:pPr>
      <w:r>
        <w:rPr>
          <w:rFonts w:ascii="Courier New" w:cs="Courier New" w:eastAsia="Courier New" w:hAnsi="Courier New"/>
          <w:sz w:val="15"/>
          <w:szCs w:val="15"/>
          <w:color w:val="auto"/>
        </w:rPr>
        <w:t>/S/ JAMES L. EARSLEY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29, 2001</w:t>
      </w:r>
    </w:p>
    <w:p>
      <w:pPr>
        <w:ind w:left="170" w:hanging="170"/>
        <w:spacing w:after="0"/>
        <w:tabs>
          <w:tab w:leader="none" w:pos="17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L. Earsley</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9"/>
          </w:cols>
          <w:pgMar w:left="230" w:top="961" w:right="1440" w:bottom="1440" w:gutter="0" w:footer="0" w:header="0"/>
          <w:type w:val="continuous"/>
        </w:sectPr>
      </w:pPr>
    </w:p>
    <w:bookmarkStart w:id="49" w:name="page50"/>
    <w:bookmarkEnd w:id="49"/>
    <w:p>
      <w:pPr>
        <w:jc w:val="right"/>
        <w:ind w:right="5919"/>
        <w:spacing w:after="0"/>
        <w:rPr>
          <w:sz w:val="20"/>
          <w:szCs w:val="20"/>
          <w:color w:val="auto"/>
        </w:rPr>
      </w:pPr>
      <w:r>
        <w:rPr>
          <w:rFonts w:ascii="Courier New" w:cs="Courier New" w:eastAsia="Courier New" w:hAnsi="Courier New"/>
          <w:sz w:val="15"/>
          <w:szCs w:val="15"/>
          <w:color w:val="auto"/>
        </w:rPr>
        <w:t>Index to Exhibits</w:t>
      </w:r>
    </w:p>
    <w:p>
      <w:pPr>
        <w:spacing w:after="0" w:line="200" w:lineRule="exact"/>
        <w:rPr>
          <w:sz w:val="20"/>
          <w:szCs w:val="20"/>
          <w:color w:val="auto"/>
        </w:rPr>
      </w:pPr>
    </w:p>
    <w:p>
      <w:pPr>
        <w:spacing w:after="0" w:line="30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PricewaterhouseCoopers LLP</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961" w:right="1440" w:bottom="1440"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ind w:left="5640"/>
        <w:spacing w:after="0"/>
        <w:rPr>
          <w:sz w:val="20"/>
          <w:szCs w:val="20"/>
          <w:color w:val="auto"/>
        </w:rPr>
      </w:pPr>
      <w:r>
        <w:rPr>
          <w:rFonts w:ascii="Courier New" w:cs="Courier New" w:eastAsia="Courier New" w:hAnsi="Courier New"/>
          <w:sz w:val="15"/>
          <w:szCs w:val="15"/>
          <w:color w:val="auto"/>
        </w:rPr>
        <w:t>Exhibit 23.1</w:t>
      </w:r>
    </w:p>
    <w:p>
      <w:pPr>
        <w:spacing w:after="0" w:line="33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Statements on Form S-8 (No. 33-74694 and No. 33-50934) of NN, Inc. (formerly known as NN Ball &amp; Roller, Inc.) of our report dated February 4, 2000 relating to the financial statements and financial statement schedule, which appears in this Form 10-K.</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rPr>
          <w:sz w:val="20"/>
          <w:szCs w:val="20"/>
          <w:color w:val="auto"/>
        </w:rPr>
      </w:pPr>
      <w:r>
        <w:rPr>
          <w:rFonts w:ascii="Courier New" w:cs="Courier New" w:eastAsia="Courier New" w:hAnsi="Courier New"/>
          <w:sz w:val="15"/>
          <w:szCs w:val="15"/>
          <w:color w:val="auto"/>
        </w:rPr>
        <w:t>March 28, 2001</w:t>
      </w:r>
    </w:p>
    <w:p>
      <w:pPr>
        <w:sectPr>
          <w:pgSz w:w="11900" w:h="16838" w:orient="portrait"/>
          <w:cols w:equalWidth="0" w:num="1">
            <w:col w:w="10219"/>
          </w:cols>
          <w:pgMar w:left="240" w:top="136" w:right="1440" w:bottom="1440" w:gutter="0" w:footer="0" w:header="0"/>
        </w:sectPr>
      </w:pPr>
    </w:p>
    <w:bookmarkStart w:id="52" w:name="page53"/>
    <w:bookmarkEnd w:id="52"/>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rPr>
          <w:sz w:val="20"/>
          <w:szCs w:val="20"/>
          <w:color w:val="auto"/>
        </w:rPr>
      </w:pPr>
      <w:r>
        <w:rPr>
          <w:rFonts w:ascii="Courier New" w:cs="Courier New" w:eastAsia="Courier New" w:hAnsi="Courier New"/>
          <w:sz w:val="15"/>
          <w:szCs w:val="15"/>
          <w:color w:val="auto"/>
        </w:rPr>
        <w:t>NN, Inc.:</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consent to incorporation by reference in the registration statement (No. 333-50934) on Form S-8 of NN, Inc. of our report dated February 27, 2001, relating to the consolidated balance sheet of NN, Inc. as of December 31, 2000, and the related consolidated statement of income and comprehensive income, consolidated statement of changes in stockholders' equity, and consolidated statement of cash flows for the year then ended, which report appears in the December 31, 2000, annual report on Form 10-K of NN, Inc.</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Charlotte, North Carolina</w:t>
      </w:r>
    </w:p>
    <w:p>
      <w:pPr>
        <w:spacing w:after="0"/>
        <w:rPr>
          <w:sz w:val="20"/>
          <w:szCs w:val="20"/>
          <w:color w:val="auto"/>
        </w:rPr>
      </w:pPr>
      <w:r>
        <w:rPr>
          <w:rFonts w:ascii="Courier New" w:cs="Courier New" w:eastAsia="Courier New" w:hAnsi="Courier New"/>
          <w:sz w:val="15"/>
          <w:szCs w:val="15"/>
          <w:color w:val="auto"/>
        </w:rPr>
        <w:t>March 29, 2001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2"/>
    </w:lvl>
  </w:abstractNum>
  <w:abstractNum w:abstractNumId="5">
    <w:nsid w:val="25E45D32"/>
    <w:multiLevelType w:val="hybridMultilevel"/>
    <w:lvl w:ilvl="0">
      <w:lvlJc w:val="left"/>
      <w:lvlText w:val="(%1)"/>
      <w:numFmt w:val="lowerLetter"/>
      <w:start w:val="5"/>
    </w:lvl>
  </w:abstractNum>
  <w:abstractNum w:abstractNumId="6">
    <w:nsid w:val="519B500D"/>
    <w:multiLevelType w:val="hybridMultilevel"/>
    <w:lvl w:ilvl="0">
      <w:lvlJc w:val="left"/>
      <w:lvlText w:val="%1"/>
      <w:numFmt w:val="lowerLetter"/>
      <w:start w:val="1"/>
    </w:lvl>
    <w:lvl w:ilvl="1">
      <w:lvlJc w:val="left"/>
      <w:lvlText w:val="(%2)"/>
      <w:numFmt w:val="lowerLetter"/>
      <w:start w:val="9"/>
    </w:lvl>
  </w:abstractNum>
  <w:abstractNum w:abstractNumId="7">
    <w:nsid w:val="431BD7B7"/>
    <w:multiLevelType w:val="hybridMultilevel"/>
    <w:lvl w:ilvl="0">
      <w:lvlJc w:val="left"/>
      <w:lvlText w:val="(%1)"/>
      <w:numFmt w:val="lowerLetter"/>
      <w:start w:val="12"/>
    </w:lvl>
    <w:lvl w:ilvl="1">
      <w:lvlJc w:val="left"/>
      <w:lvlText w:val="%2"/>
      <w:numFmt w:val="lowerLetter"/>
      <w:start w:val="1"/>
    </w:lvl>
  </w:abstractNum>
  <w:abstractNum w:abstractNumId="8">
    <w:nsid w:val="3F2DBA31"/>
    <w:multiLevelType w:val="hybridMultilevel"/>
    <w:lvl w:ilvl="0">
      <w:lvlJc w:val="left"/>
      <w:lvlText w:val="%1"/>
      <w:numFmt w:val="decimal"/>
      <w:start w:val="1"/>
    </w:lvl>
    <w:lvl w:ilvl="1">
      <w:lvlJc w:val="left"/>
      <w:lvlText w:val="(%2)"/>
      <w:numFmt w:val="lowerLetter"/>
      <w:start w:val="13"/>
    </w:lvl>
  </w:abstractNum>
  <w:abstractNum w:abstractNumId="9">
    <w:nsid w:val="7C83E458"/>
    <w:multiLevelType w:val="hybridMultilevel"/>
    <w:lvl w:ilvl="0">
      <w:lvlJc w:val="left"/>
      <w:lvlText w:val="(%1)"/>
      <w:numFmt w:val="decimal"/>
      <w:start w:val="2"/>
    </w:lvl>
    <w:lvl w:ilvl="1">
      <w:lvlJc w:val="left"/>
      <w:lvlText w:val="%2"/>
      <w:numFmt w:val="lowerLetter"/>
      <w:start w:val="1"/>
    </w:lvl>
  </w:abstractNum>
  <w:abstractNum w:abstractNumId="10">
    <w:nsid w:val="257130A3"/>
    <w:multiLevelType w:val="hybridMultilevel"/>
    <w:lvl w:ilvl="0">
      <w:lvlJc w:val="left"/>
      <w:lvlText w:val="(%1)"/>
      <w:numFmt w:val="decimal"/>
      <w:start w:val="3"/>
    </w:lvl>
  </w:abstractNum>
  <w:abstractNum w:abstractNumId="11">
    <w:nsid w:val="62BBD95A"/>
    <w:multiLevelType w:val="hybridMultilevel"/>
    <w:lvl w:ilvl="0">
      <w:lvlJc w:val="left"/>
      <w:lvlText w:val="(%1)"/>
      <w:numFmt w:val="decimal"/>
      <w:start w:val="7"/>
    </w:lvl>
    <w:lvl w:ilvl="1">
      <w:lvlJc w:val="left"/>
      <w:lvlText w:val="(%2)"/>
      <w:numFmt w:val="lowerLetter"/>
      <w:start w:val="1"/>
    </w:lvl>
  </w:abstractNum>
  <w:abstractNum w:abstractNumId="12">
    <w:nsid w:val="436C6125"/>
    <w:multiLevelType w:val="hybridMultilevel"/>
    <w:lvl w:ilvl="0">
      <w:lvlJc w:val="left"/>
      <w:lvlText w:val="(%1)"/>
      <w:numFmt w:val="lowerLetter"/>
      <w:start w:val="2"/>
    </w:lvl>
  </w:abstractNum>
  <w:abstractNum w:abstractNumId="13">
    <w:nsid w:val="628C895D"/>
    <w:multiLevelType w:val="hybridMultilevel"/>
    <w:lvl w:ilvl="0">
      <w:lvlJc w:val="left"/>
      <w:lvlText w:val="(%1)"/>
      <w:numFmt w:val="decimal"/>
      <w:start w:val="8"/>
    </w:lvl>
  </w:abstractNum>
  <w:abstractNum w:abstractNumId="14">
    <w:nsid w:val="333AB105"/>
    <w:multiLevelType w:val="hybridMultilevel"/>
    <w:lvl w:ilvl="0">
      <w:lvlJc w:val="left"/>
      <w:lvlText w:val="(%1)"/>
      <w:numFmt w:val="decimal"/>
      <w:start w:val="9"/>
    </w:lvl>
  </w:abstractNum>
  <w:abstractNum w:abstractNumId="15">
    <w:nsid w:val="721DA317"/>
    <w:multiLevelType w:val="hybridMultilevel"/>
    <w:lvl w:ilvl="0">
      <w:lvlJc w:val="left"/>
      <w:lvlText w:val="(%1)"/>
      <w:numFmt w:val="decimal"/>
      <w:start w:val="10"/>
    </w:lvl>
  </w:abstractNum>
  <w:abstractNum w:abstractNumId="16">
    <w:nsid w:val="2443A858"/>
    <w:multiLevelType w:val="hybridMultilevel"/>
    <w:lvl w:ilvl="0">
      <w:lvlJc w:val="left"/>
      <w:lvlText w:val="(%1)"/>
      <w:numFmt w:val="decimal"/>
      <w:start w:val="11"/>
    </w:lvl>
  </w:abstractNum>
  <w:abstractNum w:abstractNumId="17">
    <w:nsid w:val="2D1D5AE9"/>
    <w:multiLevelType w:val="hybridMultilevel"/>
    <w:lvl w:ilvl="0">
      <w:lvlJc w:val="left"/>
      <w:lvlText w:val="(%1)"/>
      <w:numFmt w:val="decimal"/>
      <w:start w:val="13"/>
    </w:lvl>
  </w:abstractNum>
  <w:abstractNum w:abstractNumId="18">
    <w:nsid w:val="6763845E"/>
    <w:multiLevelType w:val="hybridMultilevel"/>
    <w:lvl w:ilvl="0">
      <w:lvlJc w:val="left"/>
      <w:lvlText w:val="(%1)"/>
      <w:numFmt w:val="decimal"/>
      <w:start w:val="14"/>
    </w:lvl>
  </w:abstractNum>
  <w:abstractNum w:abstractNumId="19">
    <w:nsid w:val="75A2A8D4"/>
    <w:multiLevelType w:val="hybridMultilevel"/>
    <w:lvl w:ilvl="0">
      <w:lvlJc w:val="left"/>
      <w:lvlText w:val="(%1)"/>
      <w:numFmt w:val="decimal"/>
      <w:start w:val="15"/>
    </w:lvl>
  </w:abstractNum>
  <w:abstractNum w:abstractNumId="20">
    <w:nsid w:val="8EDBDAB"/>
    <w:multiLevelType w:val="hybridMultilevel"/>
    <w:lvl w:ilvl="0">
      <w:lvlJc w:val="left"/>
      <w:lvlText w:val="(%1)"/>
      <w:numFmt w:val="decimal"/>
      <w:start w:val="16"/>
    </w:lvl>
  </w:abstractNum>
  <w:abstractNum w:abstractNumId="21">
    <w:nsid w:val="79838CB2"/>
    <w:multiLevelType w:val="hybridMultilevel"/>
    <w:lvl w:ilvl="0">
      <w:lvlJc w:val="left"/>
      <w:lvlText w:val="*"/>
      <w:numFmt w:val="bullet"/>
      <w:start w:val="1"/>
    </w:lvl>
    <w:lvl w:ilvl="1">
      <w:lvlJc w:val="left"/>
      <w:lvlText w:val="(%2)"/>
      <w:numFmt w:val="lowerLetter"/>
      <w:start w:val="2"/>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lvl w:ilvl="1">
      <w:lvlJc w:val="left"/>
      <w:lvlText w:val="%2"/>
      <w:numFmt w:val="upperLetter"/>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2019-12-14T02:43:38Z</dcterms:created>
  <dcterms:modified xsi:type="dcterms:W3CDTF">2019-12-14T02:43:38Z</dcterms:modified>
</cp:coreProperties>
</file>