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240665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PURSUANT TO SECTION 13 OR 15(d)</w:t>
      </w:r>
    </w:p>
    <w:p>
      <w:pPr>
        <w:jc w:val="center"/>
        <w:ind w:right="-1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9"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Date of Report (Date of earliest event reported): March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236855</wp:posOffset>
            </wp:positionV>
            <wp:extent cx="15297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9715" cy="8255"/>
                    </a:xfrm>
                    <a:prstGeom prst="rect">
                      <a:avLst/>
                    </a:prstGeom>
                    <a:noFill/>
                  </pic:spPr>
                </pic:pic>
              </a:graphicData>
            </a:graphic>
          </wp:anchor>
        </w:drawing>
        <w:drawing>
          <wp:anchor simplePos="0" relativeHeight="251657728" behindDoc="1" locked="0" layoutInCell="0" allowOverlap="1">
            <wp:simplePos x="0" y="0"/>
            <wp:positionH relativeFrom="column">
              <wp:posOffset>3312160</wp:posOffset>
            </wp:positionH>
            <wp:positionV relativeFrom="paragraph">
              <wp:posOffset>427990</wp:posOffset>
            </wp:positionV>
            <wp:extent cx="631825" cy="6318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1825" cy="631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79"/>
        <w:spacing w:after="0"/>
        <w:rPr>
          <w:sz w:val="20"/>
          <w:szCs w:val="20"/>
          <w:color w:val="auto"/>
        </w:rPr>
      </w:pPr>
      <w:r>
        <w:rPr>
          <w:rFonts w:ascii="Arial" w:cs="Arial" w:eastAsia="Arial" w:hAnsi="Arial"/>
          <w:sz w:val="42"/>
          <w:szCs w:val="42"/>
          <w:b w:val="1"/>
          <w:bCs w:val="1"/>
          <w:color w:val="auto"/>
        </w:rPr>
        <w:t>NN,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224155</wp:posOffset>
            </wp:positionV>
            <wp:extent cx="1529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5"/>
          <w:szCs w:val="15"/>
          <w:b w:val="1"/>
          <w:bCs w:val="1"/>
          <w:color w:val="auto"/>
        </w:rPr>
        <w:t>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62-1096725</w:t>
      </w:r>
    </w:p>
    <w:p>
      <w:pPr>
        <w:spacing w:after="0" w:line="43" w:lineRule="exact"/>
        <w:rPr>
          <w:sz w:val="24"/>
          <w:szCs w:val="24"/>
          <w:color w:val="auto"/>
        </w:rPr>
      </w:pPr>
    </w:p>
    <w:p>
      <w:pPr>
        <w:sectPr>
          <w:pgSz w:w="11900" w:h="16838" w:orient="portrait"/>
          <w:cols w:equalWidth="0" w:num="3">
            <w:col w:w="4820" w:space="720"/>
            <w:col w:w="2920" w:space="720"/>
            <w:col w:w="2080"/>
          </w:cols>
          <w:pgMar w:left="240" w:top="360" w:right="3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2"/>
          <w:szCs w:val="12"/>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2"/>
          <w:szCs w:val="12"/>
          <w:b w:val="1"/>
          <w:bCs w:val="1"/>
          <w:color w:val="auto"/>
        </w:rPr>
        <w:t>Identification No.)</w:t>
      </w:r>
    </w:p>
    <w:p>
      <w:pPr>
        <w:spacing w:after="0" w:line="223" w:lineRule="exact"/>
        <w:rPr>
          <w:sz w:val="24"/>
          <w:szCs w:val="24"/>
          <w:color w:val="auto"/>
        </w:rPr>
      </w:pPr>
    </w:p>
    <w:p>
      <w:pPr>
        <w:sectPr>
          <w:pgSz w:w="11900" w:h="16838" w:orient="portrait"/>
          <w:cols w:equalWidth="0" w:num="3">
            <w:col w:w="4720" w:space="720"/>
            <w:col w:w="2900" w:space="720"/>
            <w:col w:w="2200"/>
          </w:cols>
          <w:pgMar w:left="240" w:top="360" w:right="399" w:bottom="1440" w:gutter="0" w:footer="0" w:header="0"/>
          <w:type w:val="continuous"/>
        </w:sectPr>
      </w:pPr>
    </w:p>
    <w:p>
      <w:pPr>
        <w:spacing w:after="0" w:line="20" w:lineRule="exact"/>
        <w:rPr>
          <w:sz w:val="24"/>
          <w:szCs w:val="24"/>
          <w:color w:val="auto"/>
        </w:rPr>
      </w:pPr>
    </w:p>
    <w:p>
      <w:pPr>
        <w:ind w:left="1060"/>
        <w:spacing w:after="0"/>
        <w:rPr>
          <w:sz w:val="20"/>
          <w:szCs w:val="20"/>
          <w:color w:val="auto"/>
        </w:rPr>
      </w:pPr>
      <w:r>
        <w:rPr>
          <w:rFonts w:ascii="Arial" w:cs="Arial" w:eastAsia="Arial" w:hAnsi="Arial"/>
          <w:sz w:val="15"/>
          <w:szCs w:val="15"/>
          <w:b w:val="1"/>
          <w:bCs w:val="1"/>
          <w:color w:val="auto"/>
        </w:rPr>
        <w:t>207 Mockingbird Lane, Johnson City, Tennessee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37604</w:t>
      </w:r>
    </w:p>
    <w:p>
      <w:pPr>
        <w:spacing w:after="0" w:line="55" w:lineRule="exact"/>
        <w:rPr>
          <w:sz w:val="24"/>
          <w:szCs w:val="24"/>
          <w:color w:val="auto"/>
        </w:rPr>
      </w:pPr>
    </w:p>
    <w:p>
      <w:pPr>
        <w:sectPr>
          <w:pgSz w:w="11900" w:h="16838" w:orient="portrait"/>
          <w:cols w:equalWidth="0" w:num="2">
            <w:col w:w="7680" w:space="720"/>
            <w:col w:w="2860"/>
          </w:cols>
          <w:pgMar w:left="240" w:top="360" w:right="39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86" w:lineRule="exact"/>
        <w:rPr>
          <w:sz w:val="24"/>
          <w:szCs w:val="24"/>
          <w:color w:val="auto"/>
        </w:rPr>
      </w:pPr>
    </w:p>
    <w:p>
      <w:pPr>
        <w:sectPr>
          <w:pgSz w:w="11900" w:h="16838" w:orient="portrait"/>
          <w:cols w:equalWidth="0" w:num="2">
            <w:col w:w="7580" w:space="720"/>
            <w:col w:w="2960"/>
          </w:cols>
          <w:pgMar w:left="240" w:top="360" w:right="399" w:bottom="1440" w:gutter="0" w:footer="0" w:header="0"/>
          <w:type w:val="continuous"/>
        </w:sectPr>
      </w:pPr>
    </w:p>
    <w:p>
      <w:pPr>
        <w:jc w:val="center"/>
        <w:ind w:right="-179"/>
        <w:spacing w:after="0"/>
        <w:rPr>
          <w:sz w:val="20"/>
          <w:szCs w:val="20"/>
          <w:color w:val="auto"/>
        </w:rPr>
      </w:pPr>
      <w:r>
        <w:rPr>
          <w:rFonts w:ascii="Arial" w:cs="Arial" w:eastAsia="Arial" w:hAnsi="Arial"/>
          <w:sz w:val="17"/>
          <w:szCs w:val="17"/>
          <w:b w:val="1"/>
          <w:bCs w:val="1"/>
          <w:color w:val="auto"/>
        </w:rPr>
        <w:t>(423) 743-9151</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8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219710</wp:posOffset>
            </wp:positionV>
            <wp:extent cx="1529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line="289" w:lineRule="auto"/>
        <w:rPr>
          <w:sz w:val="20"/>
          <w:szCs w:val="20"/>
          <w:color w:val="auto"/>
        </w:rPr>
      </w:pPr>
      <w:r>
        <w:rPr>
          <w:rFonts w:ascii="Arial" w:cs="Arial" w:eastAsia="Arial" w:hAnsi="Arial"/>
          <w:sz w:val="17"/>
          <w:szCs w:val="17"/>
          <w:color w:val="auto"/>
        </w:rPr>
        <w:t>Check the appropriate box if the Form 8-K filing is intended to simultaneously satisfy the filing obligation of the registrant under any of the following provisions (see General Instruction A.2. below):</w:t>
      </w:r>
    </w:p>
    <w:p>
      <w:pPr>
        <w:spacing w:after="0" w:line="66"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31"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25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200025</wp:posOffset>
            </wp:positionV>
            <wp:extent cx="72504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60"/>
          </w:cols>
          <w:pgMar w:left="240" w:top="360" w:right="39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975" cy="37465"/>
                    </a:xfrm>
                    <a:prstGeom prst="rect">
                      <a:avLst/>
                    </a:prstGeom>
                    <a:noFill/>
                  </pic:spPr>
                </pic:pic>
              </a:graphicData>
            </a:graphic>
          </wp:anchor>
        </w:drawing>
        <w:t>ITEM 7.01</w:t>
      </w:r>
      <w:r>
        <w:rPr>
          <w:sz w:val="20"/>
          <w:szCs w:val="20"/>
          <w:color w:val="auto"/>
        </w:rPr>
        <w:tab/>
      </w:r>
      <w:r>
        <w:rPr>
          <w:rFonts w:ascii="Arial" w:cs="Arial" w:eastAsia="Arial" w:hAnsi="Arial"/>
          <w:sz w:val="17"/>
          <w:szCs w:val="17"/>
          <w:b w:val="1"/>
          <w:bCs w:val="1"/>
          <w:color w:val="auto"/>
        </w:rPr>
        <w:t>REGULATION FD DISCLOSURE</w:t>
      </w:r>
    </w:p>
    <w:p>
      <w:pPr>
        <w:spacing w:after="0" w:line="125" w:lineRule="exact"/>
        <w:rPr>
          <w:sz w:val="20"/>
          <w:szCs w:val="20"/>
          <w:color w:val="auto"/>
        </w:rPr>
      </w:pPr>
    </w:p>
    <w:p>
      <w:pPr>
        <w:ind w:firstLine="457"/>
        <w:spacing w:after="0" w:line="289" w:lineRule="auto"/>
        <w:rPr>
          <w:sz w:val="20"/>
          <w:szCs w:val="20"/>
          <w:color w:val="auto"/>
        </w:rPr>
      </w:pPr>
      <w:r>
        <w:rPr>
          <w:rFonts w:ascii="Arial" w:cs="Arial" w:eastAsia="Arial" w:hAnsi="Arial"/>
          <w:sz w:val="17"/>
          <w:szCs w:val="17"/>
          <w:color w:val="auto"/>
        </w:rPr>
        <w:t>Attached as Exhibit 99.1 to this Current Report on Form 8-K is a PowerPoint presentation, which provides an update to investors. The attached presentation updates NN, Inc.’s previously provided investor presentation.</w:t>
      </w:r>
    </w:p>
    <w:p>
      <w:pPr>
        <w:spacing w:after="0" w:line="158" w:lineRule="exact"/>
        <w:rPr>
          <w:sz w:val="20"/>
          <w:szCs w:val="20"/>
          <w:color w:val="auto"/>
        </w:rPr>
      </w:pPr>
    </w:p>
    <w:p>
      <w:pPr>
        <w:ind w:right="80" w:firstLine="457"/>
        <w:spacing w:after="0" w:line="297" w:lineRule="auto"/>
        <w:rPr>
          <w:sz w:val="20"/>
          <w:szCs w:val="20"/>
          <w:color w:val="auto"/>
        </w:rPr>
      </w:pPr>
      <w:r>
        <w:rPr>
          <w:rFonts w:ascii="Arial" w:cs="Arial" w:eastAsia="Arial" w:hAnsi="Arial"/>
          <w:sz w:val="16"/>
          <w:szCs w:val="16"/>
          <w:color w:val="auto"/>
        </w:rPr>
        <w:t>The information presented in Item 7.01 to this Current Report on Form 8-K is being furnished in accordance with Rule 101(e)(1) under Regulation FD and shall not be deemed to be “filed” for purposes of Section 18 of the Securities Exchange Act of 1934, as amended, and will not be incorporated by reference into any registration statement filed under the Securities Act of 1933, as amended, unless specifically identified therein as being incorporated by reference.</w:t>
      </w:r>
    </w:p>
    <w:p>
      <w:pPr>
        <w:spacing w:after="0" w:line="293"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Investor Presentation of NN, Inc., dated March 23, 2015.</w:t>
      </w:r>
    </w:p>
    <w:p>
      <w:pPr>
        <w:sectPr>
          <w:pgSz w:w="11900" w:h="16838" w:orient="portrait"/>
          <w:cols w:equalWidth="0" w:num="1">
            <w:col w:w="11360"/>
          </w:cols>
          <w:pgMar w:left="240" w:top="265"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975" cy="37465"/>
                    </a:xfrm>
                    <a:prstGeom prst="rect">
                      <a:avLst/>
                    </a:prstGeom>
                    <a:noFill/>
                  </pic:spPr>
                </pic:pic>
              </a:graphicData>
            </a:graphic>
          </wp:anchor>
        </w:drawing>
        <w:t>SIGNATURES</w:t>
      </w:r>
    </w:p>
    <w:p>
      <w:pPr>
        <w:spacing w:after="0" w:line="230"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March 23, 2015</w:t>
      </w:r>
    </w:p>
    <w:p>
      <w:pPr>
        <w:spacing w:after="0" w:line="244" w:lineRule="exact"/>
        <w:rPr>
          <w:sz w:val="20"/>
          <w:szCs w:val="20"/>
          <w:color w:val="auto"/>
        </w:rPr>
      </w:pPr>
    </w:p>
    <w:p>
      <w:pPr>
        <w:ind w:left="6860"/>
        <w:spacing w:after="0"/>
        <w:rPr>
          <w:sz w:val="20"/>
          <w:szCs w:val="20"/>
          <w:color w:val="auto"/>
        </w:rPr>
      </w:pPr>
      <w:r>
        <w:rPr>
          <w:rFonts w:ascii="Arial" w:cs="Arial" w:eastAsia="Arial" w:hAnsi="Arial"/>
          <w:sz w:val="17"/>
          <w:szCs w:val="17"/>
          <w:b w:val="1"/>
          <w:bCs w:val="1"/>
          <w:color w:val="auto"/>
        </w:rPr>
        <w:t>NN, INC.</w:t>
      </w:r>
    </w:p>
    <w:p>
      <w:pPr>
        <w:spacing w:after="0" w:line="230"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By:</w:t>
            </w:r>
          </w:p>
        </w:tc>
        <w:tc>
          <w:tcPr>
            <w:tcW w:w="3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William C. Kelly, Jr.</w:t>
            </w:r>
          </w:p>
        </w:tc>
      </w:tr>
      <w:tr>
        <w:trPr>
          <w:trHeight w:val="204"/>
        </w:trPr>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3960" w:type="dxa"/>
            <w:vAlign w:val="bottom"/>
          </w:tcPr>
          <w:p>
            <w:pPr>
              <w:spacing w:after="0"/>
              <w:rPr>
                <w:sz w:val="20"/>
                <w:szCs w:val="20"/>
                <w:color w:val="auto"/>
              </w:rPr>
            </w:pPr>
            <w:r>
              <w:rPr>
                <w:rFonts w:ascii="Arial" w:cs="Arial" w:eastAsia="Arial" w:hAnsi="Arial"/>
                <w:sz w:val="17"/>
                <w:szCs w:val="17"/>
                <w:color w:val="auto"/>
              </w:rPr>
              <w:t>William C. Kelly, Jr.</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3960" w:type="dxa"/>
            <w:vAlign w:val="bottom"/>
          </w:tcPr>
          <w:p>
            <w:pPr>
              <w:spacing w:after="0"/>
              <w:rPr>
                <w:sz w:val="20"/>
                <w:szCs w:val="20"/>
                <w:color w:val="auto"/>
              </w:rPr>
            </w:pPr>
            <w:r>
              <w:rPr>
                <w:rFonts w:ascii="Arial" w:cs="Arial" w:eastAsia="Arial" w:hAnsi="Arial"/>
                <w:sz w:val="17"/>
                <w:szCs w:val="17"/>
                <w:color w:val="auto"/>
              </w:rPr>
              <w:t>Vice President and Chief Administrative Officer</w:t>
            </w:r>
          </w:p>
        </w:tc>
      </w:tr>
    </w:tbl>
    <w:p>
      <w:pPr>
        <w:sectPr>
          <w:pgSz w:w="11900" w:h="16838" w:orient="portrait"/>
          <w:cols w:equalWidth="0" w:num="1">
            <w:col w:w="11420"/>
          </w:cols>
          <w:pgMar w:left="240" w:top="265" w:right="2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975" cy="37465"/>
                    </a:xfrm>
                    <a:prstGeom prst="rect">
                      <a:avLst/>
                    </a:prstGeom>
                    <a:noFill/>
                  </pic:spPr>
                </pic:pic>
              </a:graphicData>
            </a:graphic>
          </wp:anchor>
        </w:drawing>
        <w:t>EXHIBIT INDEX</w:t>
      </w: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9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282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75"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99.1</w:t>
      </w:r>
      <w:r>
        <w:rPr>
          <w:sz w:val="20"/>
          <w:szCs w:val="20"/>
          <w:color w:val="auto"/>
        </w:rPr>
        <w:tab/>
      </w:r>
      <w:r>
        <w:rPr>
          <w:rFonts w:ascii="Arial" w:cs="Arial" w:eastAsia="Arial" w:hAnsi="Arial"/>
          <w:sz w:val="15"/>
          <w:szCs w:val="15"/>
          <w:color w:val="auto"/>
        </w:rPr>
        <w:t>Investor Presentation of NN, Inc., dated March 23, 2015.</w:t>
      </w:r>
    </w:p>
    <w:p>
      <w:pPr>
        <w:sectPr>
          <w:pgSz w:w="11900" w:h="16838" w:orient="portrait"/>
          <w:cols w:equalWidth="0" w:num="1">
            <w:col w:w="10219"/>
          </w:cols>
          <w:pgMar w:left="240" w:top="26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312025" cy="41160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2025" cy="411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FFFFFF"/>
        </w:rPr>
        <w:t>Exhibit 99.1</w:t>
      </w:r>
    </w:p>
    <w:p>
      <w:pPr>
        <w:spacing w:after="0" w:line="204" w:lineRule="auto"/>
        <w:rPr>
          <w:sz w:val="20"/>
          <w:szCs w:val="20"/>
          <w:color w:val="auto"/>
        </w:rPr>
      </w:pPr>
      <w:r>
        <w:rPr>
          <w:rFonts w:ascii="Arial" w:cs="Arial" w:eastAsia="Arial" w:hAnsi="Arial"/>
          <w:sz w:val="4"/>
          <w:szCs w:val="4"/>
          <w:color w:val="FFFFFF"/>
        </w:rPr>
        <w:t>Investor Presentation</w:t>
      </w:r>
    </w:p>
    <w:p>
      <w:pPr>
        <w:spacing w:after="0"/>
        <w:rPr>
          <w:sz w:val="20"/>
          <w:szCs w:val="20"/>
          <w:color w:val="auto"/>
        </w:rPr>
      </w:pPr>
      <w:r>
        <w:rPr>
          <w:rFonts w:ascii="Arial" w:cs="Arial" w:eastAsia="Arial" w:hAnsi="Arial"/>
          <w:sz w:val="13"/>
          <w:szCs w:val="13"/>
          <w:color w:val="FFFFFF"/>
        </w:rPr>
        <w:t>March 23, 2015</w:t>
      </w:r>
    </w:p>
    <w:p>
      <w:pPr>
        <w:sectPr>
          <w:pgSz w:w="11900" w:h="16838" w:orient="portrait"/>
          <w:cols w:equalWidth="0" w:num="1">
            <w:col w:w="11420"/>
          </w:cols>
          <w:pgMar w:left="240" w:top="127"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2"/>
                <w:szCs w:val="12"/>
                <w:color w:val="auto"/>
              </w:rPr>
            </w:pPr>
          </w:p>
        </w:tc>
        <w:tc>
          <w:tcPr>
            <w:tcW w:w="780" w:type="dxa"/>
            <w:vAlign w:val="bottom"/>
          </w:tcPr>
          <w:p>
            <w:pPr>
              <w:ind w:left="40"/>
              <w:spacing w:after="0"/>
              <w:rPr>
                <w:sz w:val="20"/>
                <w:szCs w:val="20"/>
                <w:color w:val="auto"/>
              </w:rPr>
            </w:pPr>
            <w:r>
              <w:rPr>
                <w:rFonts w:ascii="Arial" w:cs="Arial" w:eastAsia="Arial" w:hAnsi="Arial"/>
                <w:sz w:val="13"/>
                <w:szCs w:val="13"/>
                <w:color w:val="FFFFFF"/>
              </w:rPr>
              <w:t>-Looking</w:t>
            </w:r>
          </w:p>
        </w:tc>
        <w:tc>
          <w:tcPr>
            <w:tcW w:w="2040" w:type="dxa"/>
            <w:vAlign w:val="bottom"/>
            <w:gridSpan w:val="2"/>
          </w:tcPr>
          <w:p>
            <w:pPr>
              <w:ind w:left="340"/>
              <w:spacing w:after="0"/>
              <w:rPr>
                <w:sz w:val="20"/>
                <w:szCs w:val="20"/>
                <w:color w:val="auto"/>
              </w:rPr>
            </w:pPr>
            <w:r>
              <w:rPr>
                <w:rFonts w:ascii="Arial" w:cs="Arial" w:eastAsia="Arial" w:hAnsi="Arial"/>
                <w:sz w:val="13"/>
                <w:szCs w:val="13"/>
                <w:color w:val="FFFFFF"/>
              </w:rPr>
              <w:t>&amp; Disclaimer</w:t>
            </w:r>
          </w:p>
        </w:tc>
        <w:tc>
          <w:tcPr>
            <w:tcW w:w="3840" w:type="dxa"/>
            <w:vAlign w:val="bottom"/>
          </w:tcPr>
          <w:p>
            <w:pPr>
              <w:spacing w:after="0"/>
              <w:rPr>
                <w:sz w:val="12"/>
                <w:szCs w:val="12"/>
                <w:color w:val="auto"/>
              </w:rPr>
            </w:pPr>
          </w:p>
        </w:tc>
      </w:tr>
      <w:tr>
        <w:trPr>
          <w:trHeight w:val="39"/>
        </w:trPr>
        <w:tc>
          <w:tcPr>
            <w:tcW w:w="7060" w:type="dxa"/>
            <w:vAlign w:val="bottom"/>
            <w:gridSpan w:val="5"/>
          </w:tcPr>
          <w:p>
            <w:pPr>
              <w:spacing w:after="0" w:line="40" w:lineRule="exact"/>
              <w:rPr>
                <w:sz w:val="20"/>
                <w:szCs w:val="20"/>
                <w:color w:val="auto"/>
              </w:rPr>
            </w:pPr>
            <w:r>
              <w:rPr>
                <w:rFonts w:ascii="Arial" w:cs="Arial" w:eastAsia="Arial" w:hAnsi="Arial"/>
                <w:sz w:val="4"/>
                <w:szCs w:val="4"/>
                <w:color w:val="FFFFFF"/>
              </w:rPr>
              <w:t>Forward Looking Statement: With the exception of the historical information contained in this presentation, the matters described</w:t>
            </w:r>
          </w:p>
        </w:tc>
      </w:tr>
      <w:tr>
        <w:trPr>
          <w:trHeight w:val="39"/>
        </w:trPr>
        <w:tc>
          <w:tcPr>
            <w:tcW w:w="3220" w:type="dxa"/>
            <w:vAlign w:val="bottom"/>
            <w:gridSpan w:val="4"/>
          </w:tcPr>
          <w:p>
            <w:pPr>
              <w:spacing w:after="0" w:line="40" w:lineRule="exact"/>
              <w:rPr>
                <w:sz w:val="20"/>
                <w:szCs w:val="20"/>
                <w:color w:val="auto"/>
              </w:rPr>
            </w:pPr>
            <w:r>
              <w:rPr>
                <w:rFonts w:ascii="Arial" w:cs="Arial" w:eastAsia="Arial" w:hAnsi="Arial"/>
                <w:sz w:val="4"/>
                <w:szCs w:val="4"/>
                <w:color w:val="FFFFFF"/>
              </w:rPr>
              <w:t>herein contain forward-looking statements that are made</w:t>
            </w:r>
          </w:p>
        </w:tc>
        <w:tc>
          <w:tcPr>
            <w:tcW w:w="3840" w:type="dxa"/>
            <w:vAlign w:val="bottom"/>
          </w:tcPr>
          <w:p>
            <w:pPr>
              <w:ind w:left="260"/>
              <w:spacing w:after="0" w:line="40" w:lineRule="exact"/>
              <w:rPr>
                <w:sz w:val="20"/>
                <w:szCs w:val="20"/>
                <w:color w:val="auto"/>
              </w:rPr>
            </w:pPr>
            <w:r>
              <w:rPr>
                <w:rFonts w:ascii="Arial" w:cs="Arial" w:eastAsia="Arial" w:hAnsi="Arial"/>
                <w:sz w:val="4"/>
                <w:szCs w:val="4"/>
                <w:color w:val="FFFFFF"/>
              </w:rPr>
              <w:t>to the safe harbor provisions of the Private Securities Litigation</w:t>
            </w: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Refo</w:t>
            </w:r>
          </w:p>
        </w:tc>
        <w:tc>
          <w:tcPr>
            <w:tcW w:w="6660" w:type="dxa"/>
            <w:vAlign w:val="bottom"/>
            <w:gridSpan w:val="4"/>
          </w:tcPr>
          <w:p>
            <w:pPr>
              <w:ind w:left="40"/>
              <w:spacing w:after="0" w:line="40" w:lineRule="exact"/>
              <w:rPr>
                <w:sz w:val="20"/>
                <w:szCs w:val="20"/>
                <w:color w:val="auto"/>
              </w:rPr>
            </w:pPr>
            <w:r>
              <w:rPr>
                <w:rFonts w:ascii="Arial" w:cs="Arial" w:eastAsia="Arial" w:hAnsi="Arial"/>
                <w:sz w:val="4"/>
                <w:szCs w:val="4"/>
                <w:color w:val="FFFFFF"/>
              </w:rPr>
              <w:t>Act of 1995. Forward-looking statements involvepursuantnumber of risks and uncertainties that may cause actual results to be</w:t>
            </w:r>
          </w:p>
        </w:tc>
      </w:tr>
      <w:tr>
        <w:trPr>
          <w:trHeight w:val="39"/>
        </w:trPr>
        <w:tc>
          <w:tcPr>
            <w:tcW w:w="7060" w:type="dxa"/>
            <w:vAlign w:val="bottom"/>
            <w:gridSpan w:val="5"/>
          </w:tcPr>
          <w:p>
            <w:pPr>
              <w:spacing w:after="0" w:line="40" w:lineRule="exact"/>
              <w:rPr>
                <w:sz w:val="20"/>
                <w:szCs w:val="20"/>
                <w:color w:val="auto"/>
              </w:rPr>
            </w:pPr>
            <w:r>
              <w:rPr>
                <w:rFonts w:ascii="Arial" w:cs="Arial" w:eastAsia="Arial" w:hAnsi="Arial"/>
                <w:sz w:val="4"/>
                <w:szCs w:val="4"/>
                <w:color w:val="FFFFFF"/>
              </w:rPr>
              <w:t>materially different from such forward-looking statements. Such factors include, among others, general economic conditions and</w:t>
            </w:r>
          </w:p>
        </w:tc>
      </w:tr>
      <w:tr>
        <w:trPr>
          <w:trHeight w:val="39"/>
        </w:trPr>
        <w:tc>
          <w:tcPr>
            <w:tcW w:w="7060" w:type="dxa"/>
            <w:vAlign w:val="bottom"/>
            <w:gridSpan w:val="5"/>
          </w:tcPr>
          <w:p>
            <w:pPr>
              <w:spacing w:after="0" w:line="40" w:lineRule="exact"/>
              <w:rPr>
                <w:sz w:val="20"/>
                <w:szCs w:val="20"/>
                <w:color w:val="auto"/>
              </w:rPr>
            </w:pPr>
            <w:r>
              <w:rPr>
                <w:rFonts w:ascii="Arial" w:cs="Arial" w:eastAsia="Arial" w:hAnsi="Arial"/>
                <w:sz w:val="4"/>
                <w:szCs w:val="4"/>
                <w:color w:val="FFFFFF"/>
              </w:rPr>
              <w:t>economic conditions in the industrial sector competitive influences, risks that current customers will commence or increase captive</w:t>
            </w:r>
          </w:p>
        </w:tc>
      </w:tr>
      <w:tr>
        <w:trPr>
          <w:trHeight w:val="39"/>
        </w:trPr>
        <w:tc>
          <w:tcPr>
            <w:tcW w:w="400" w:type="dxa"/>
            <w:vAlign w:val="bottom"/>
          </w:tcPr>
          <w:p>
            <w:pPr>
              <w:spacing w:after="0" w:line="40" w:lineRule="exact"/>
              <w:rPr>
                <w:sz w:val="20"/>
                <w:szCs w:val="20"/>
                <w:color w:val="auto"/>
              </w:rPr>
            </w:pPr>
            <w:r>
              <w:rPr>
                <w:rFonts w:ascii="Arial" w:cs="Arial" w:eastAsia="Arial" w:hAnsi="Arial"/>
                <w:sz w:val="4"/>
                <w:szCs w:val="4"/>
                <w:color w:val="FFFFFF"/>
              </w:rPr>
              <w:t>produc</w:t>
            </w:r>
          </w:p>
        </w:tc>
        <w:tc>
          <w:tcPr>
            <w:tcW w:w="6660" w:type="dxa"/>
            <w:vAlign w:val="bottom"/>
            <w:gridSpan w:val="4"/>
          </w:tcPr>
          <w:p>
            <w:pPr>
              <w:ind w:left="180"/>
              <w:spacing w:after="0" w:line="40" w:lineRule="exact"/>
              <w:rPr>
                <w:sz w:val="20"/>
                <w:szCs w:val="20"/>
                <w:color w:val="auto"/>
              </w:rPr>
            </w:pPr>
            <w:r>
              <w:rPr>
                <w:rFonts w:ascii="Arial" w:cs="Arial" w:eastAsia="Arial" w:hAnsi="Arial"/>
                <w:sz w:val="4"/>
                <w:szCs w:val="4"/>
                <w:color w:val="FFFFFF"/>
              </w:rPr>
              <w:t>, risks of capacity underutilization, quality issues, availability of raw materials, currency and other risks associated with</w:t>
            </w:r>
          </w:p>
        </w:tc>
      </w:tr>
      <w:tr>
        <w:trPr>
          <w:trHeight w:val="39"/>
        </w:trPr>
        <w:tc>
          <w:tcPr>
            <w:tcW w:w="7060" w:type="dxa"/>
            <w:vAlign w:val="bottom"/>
            <w:gridSpan w:val="5"/>
          </w:tcPr>
          <w:p>
            <w:pPr>
              <w:spacing w:after="0" w:line="40" w:lineRule="exact"/>
              <w:rPr>
                <w:sz w:val="20"/>
                <w:szCs w:val="20"/>
                <w:color w:val="auto"/>
              </w:rPr>
            </w:pPr>
            <w:r>
              <w:rPr>
                <w:rFonts w:ascii="Arial" w:cs="Arial" w:eastAsia="Arial" w:hAnsi="Arial"/>
                <w:sz w:val="4"/>
                <w:szCs w:val="4"/>
                <w:color w:val="FFFFFF"/>
              </w:rPr>
              <w:t>international trade, the Company’s dependence on certain major customers, and other risk factors and cautionary statements listed</w:t>
            </w:r>
          </w:p>
        </w:tc>
      </w:tr>
      <w:tr>
        <w:trPr>
          <w:trHeight w:val="39"/>
        </w:trPr>
        <w:tc>
          <w:tcPr>
            <w:tcW w:w="7060" w:type="dxa"/>
            <w:vAlign w:val="bottom"/>
            <w:gridSpan w:val="5"/>
          </w:tcPr>
          <w:p>
            <w:pPr>
              <w:spacing w:after="0" w:line="40" w:lineRule="exact"/>
              <w:rPr>
                <w:sz w:val="20"/>
                <w:szCs w:val="20"/>
                <w:color w:val="auto"/>
              </w:rPr>
            </w:pPr>
            <w:r>
              <w:rPr>
                <w:rFonts w:ascii="Arial" w:cs="Arial" w:eastAsia="Arial" w:hAnsi="Arial"/>
                <w:sz w:val="4"/>
                <w:szCs w:val="4"/>
                <w:color w:val="FFFFFF"/>
              </w:rPr>
              <w:t>from time to time in the Company’s periodic r ports filed with the Securities and Exchange Commission, including, but not limited to,</w:t>
            </w:r>
          </w:p>
        </w:tc>
      </w:tr>
      <w:tr>
        <w:trPr>
          <w:trHeight w:val="0"/>
        </w:trPr>
        <w:tc>
          <w:tcPr>
            <w:tcW w:w="1180" w:type="dxa"/>
            <w:vAlign w:val="bottom"/>
            <w:gridSpan w:val="2"/>
          </w:tcPr>
          <w:p>
            <w:pPr>
              <w:spacing w:after="0" w:line="78" w:lineRule="exact"/>
              <w:rPr>
                <w:sz w:val="20"/>
                <w:szCs w:val="20"/>
                <w:color w:val="auto"/>
              </w:rPr>
            </w:pPr>
            <w:r>
              <w:rPr>
                <w:rFonts w:ascii="Arial" w:cs="Arial" w:eastAsia="Arial" w:hAnsi="Arial"/>
                <w:sz w:val="8"/>
                <w:szCs w:val="8"/>
                <w:color w:val="FFFFFF"/>
              </w:rPr>
              <w:t>the Company’s Annu</w:t>
            </w:r>
          </w:p>
        </w:tc>
        <w:tc>
          <w:tcPr>
            <w:tcW w:w="520" w:type="dxa"/>
            <w:vAlign w:val="bottom"/>
          </w:tcPr>
          <w:p>
            <w:pPr>
              <w:ind w:left="60"/>
              <w:spacing w:after="0" w:line="78" w:lineRule="exact"/>
              <w:rPr>
                <w:sz w:val="20"/>
                <w:szCs w:val="20"/>
                <w:color w:val="auto"/>
              </w:rPr>
            </w:pPr>
            <w:r>
              <w:rPr>
                <w:rFonts w:ascii="Arial" w:cs="Arial" w:eastAsia="Arial" w:hAnsi="Arial"/>
                <w:sz w:val="8"/>
                <w:szCs w:val="8"/>
                <w:color w:val="FFFFFF"/>
              </w:rPr>
              <w:t>Report</w:t>
            </w:r>
          </w:p>
        </w:tc>
        <w:tc>
          <w:tcPr>
            <w:tcW w:w="5360" w:type="dxa"/>
            <w:vAlign w:val="bottom"/>
            <w:gridSpan w:val="2"/>
          </w:tcPr>
          <w:p>
            <w:pPr>
              <w:ind w:left="100"/>
              <w:spacing w:after="0" w:line="78" w:lineRule="exact"/>
              <w:rPr>
                <w:sz w:val="20"/>
                <w:szCs w:val="20"/>
                <w:color w:val="auto"/>
              </w:rPr>
            </w:pPr>
            <w:r>
              <w:rPr>
                <w:rFonts w:ascii="Arial" w:cs="Arial" w:eastAsia="Arial" w:hAnsi="Arial"/>
                <w:sz w:val="8"/>
                <w:szCs w:val="8"/>
                <w:color w:val="FFFFFF"/>
              </w:rPr>
              <w:t>10 -K for the fisc l year ended December 31, 2013 .</w:t>
            </w:r>
          </w:p>
        </w:tc>
      </w:tr>
    </w:tbl>
    <w:p>
      <w:pPr>
        <w:ind w:right="3319"/>
        <w:spacing w:after="0" w:line="211" w:lineRule="auto"/>
        <w:rPr>
          <w:sz w:val="20"/>
          <w:szCs w:val="20"/>
          <w:color w:val="auto"/>
        </w:rPr>
      </w:pPr>
      <w:r>
        <w:rPr>
          <w:rFonts w:ascii="Arial" w:cs="Arial" w:eastAsia="Arial" w:hAnsi="Arial"/>
          <w:sz w:val="4"/>
          <w:szCs w:val="4"/>
          <w:color w:val="FFFFFF"/>
        </w:rPr>
        <w:t>Disclaimer: NN disclaims any obligation to update any such factors or to publicly announce the result of any revisions to any of the forward-looking statements included herein or therein to reflect future events or developments.</w:t>
      </w:r>
    </w:p>
    <w:p>
      <w:pPr>
        <w:spacing w:after="0" w:line="182" w:lineRule="auto"/>
        <w:rPr>
          <w:sz w:val="20"/>
          <w:szCs w:val="20"/>
          <w:color w:val="auto"/>
        </w:rPr>
      </w:pPr>
      <w:r>
        <w:rPr>
          <w:rFonts w:ascii="Arial" w:cs="Arial" w:eastAsia="Arial" w:hAnsi="Arial"/>
          <w:sz w:val="7"/>
          <w:szCs w:val="7"/>
          <w:color w:val="FFFFFF"/>
        </w:rPr>
        <w:t>This presentation includes c</w:t>
      </w:r>
      <w:r>
        <w:rPr>
          <w:rFonts w:ascii="Arial" w:cs="Arial" w:eastAsia="Arial" w:hAnsi="Arial"/>
          <w:sz w:val="9"/>
          <w:szCs w:val="9"/>
          <w:color w:val="FFFFFF"/>
          <w:vertAlign w:val="subscript"/>
        </w:rPr>
        <w:t>equivalent</w:t>
      </w:r>
      <w:r>
        <w:rPr>
          <w:rFonts w:ascii="Arial" w:cs="Arial" w:eastAsia="Arial" w:hAnsi="Arial"/>
          <w:sz w:val="7"/>
          <w:szCs w:val="7"/>
          <w:color w:val="FFFFFF"/>
        </w:rPr>
        <w:t>rtainnon-GAAP measures as defined by SEC rules. A reconciliation of those measures to the most</w:t>
      </w:r>
    </w:p>
    <w:p>
      <w:pPr>
        <w:spacing w:after="0" w:line="219" w:lineRule="auto"/>
        <w:tabs>
          <w:tab w:leader="none" w:pos="2020" w:val="left"/>
        </w:tabs>
        <w:rPr>
          <w:sz w:val="20"/>
          <w:szCs w:val="20"/>
          <w:color w:val="auto"/>
        </w:rPr>
      </w:pPr>
      <w:r>
        <w:rPr>
          <w:rFonts w:ascii="Arial" w:cs="Arial" w:eastAsia="Arial" w:hAnsi="Arial"/>
          <w:sz w:val="13"/>
          <w:szCs w:val="13"/>
          <w:color w:val="FFFFFF"/>
        </w:rPr>
        <w:t>2directly comparable GAAP</w:t>
      </w:r>
      <w:r>
        <w:rPr>
          <w:sz w:val="20"/>
          <w:szCs w:val="20"/>
          <w:color w:val="auto"/>
        </w:rPr>
        <w:tab/>
      </w:r>
      <w:r>
        <w:rPr>
          <w:rFonts w:ascii="Arial" w:cs="Arial" w:eastAsia="Arial" w:hAnsi="Arial"/>
          <w:sz w:val="11"/>
          <w:szCs w:val="11"/>
          <w:color w:val="FFFFFF"/>
        </w:rPr>
        <w:t>is provided at the end of this presentation.</w:t>
      </w:r>
    </w:p>
    <w:p>
      <w:pPr>
        <w:sectPr>
          <w:pgSz w:w="11900" w:h="16838" w:orient="portrait"/>
          <w:cols w:equalWidth="0" w:num="1">
            <w:col w:w="10219"/>
          </w:cols>
          <w:pgMar w:left="2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2"/>
          <w:szCs w:val="12"/>
          <w:color w:val="FFFFFF"/>
        </w:rPr>
        <w:t>3Building a Diversified Industrial</w:t>
      </w:r>
    </w:p>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Building a Diversified Industrial</w:t>
      </w:r>
    </w:p>
    <w:p>
      <w:pPr>
        <w:spacing w:after="0" w:line="182" w:lineRule="auto"/>
        <w:rPr>
          <w:sz w:val="20"/>
          <w:szCs w:val="20"/>
          <w:color w:val="auto"/>
        </w:rPr>
      </w:pPr>
      <w:r>
        <w:rPr>
          <w:rFonts w:ascii="Arial" w:cs="Arial" w:eastAsia="Arial" w:hAnsi="Arial"/>
          <w:sz w:val="7"/>
          <w:szCs w:val="7"/>
          <w:color w:val="FFFFFF"/>
        </w:rPr>
        <w:t>Focused on</w:t>
      </w:r>
      <w:r>
        <w:rPr>
          <w:rFonts w:ascii="Arial" w:cs="Arial" w:eastAsia="Arial" w:hAnsi="Arial"/>
          <w:sz w:val="9"/>
          <w:szCs w:val="9"/>
          <w:color w:val="FFFFFF"/>
          <w:vertAlign w:val="subscript"/>
        </w:rPr>
        <w:t>balanced</w:t>
      </w:r>
      <w:r>
        <w:rPr>
          <w:rFonts w:ascii="Arial" w:cs="Arial" w:eastAsia="Arial" w:hAnsi="Arial"/>
          <w:sz w:val="7"/>
          <w:szCs w:val="7"/>
          <w:color w:val="FFFFFF"/>
        </w:rPr>
        <w:t>highprecision portfolio and outgrowing end markets</w:t>
      </w:r>
    </w:p>
    <w:p>
      <w:pPr>
        <w:spacing w:after="0" w:line="182" w:lineRule="auto"/>
        <w:rPr>
          <w:sz w:val="20"/>
          <w:szCs w:val="20"/>
          <w:color w:val="auto"/>
        </w:rPr>
      </w:pPr>
      <w:r>
        <w:rPr>
          <w:rFonts w:ascii="Arial" w:cs="Arial" w:eastAsia="Arial" w:hAnsi="Arial"/>
          <w:sz w:val="9"/>
          <w:szCs w:val="9"/>
          <w:color w:val="FFFFFF"/>
        </w:rPr>
        <w:t>InvestingBuilding ain transformationalbusiness technologythatearnsthroughout the cycle</w:t>
      </w:r>
    </w:p>
    <w:p>
      <w:pPr>
        <w:spacing w:after="0" w:line="205" w:lineRule="auto"/>
        <w:rPr>
          <w:sz w:val="20"/>
          <w:szCs w:val="20"/>
          <w:color w:val="auto"/>
        </w:rPr>
      </w:pPr>
      <w:r>
        <w:rPr>
          <w:rFonts w:ascii="Arial" w:cs="Arial" w:eastAsia="Arial" w:hAnsi="Arial"/>
          <w:sz w:val="4"/>
          <w:szCs w:val="4"/>
          <w:color w:val="FFFFFF"/>
        </w:rPr>
        <w:t>OutgrowingDeveloping aEndfullyMarketsintegrated operating system that supports all of our businesses</w:t>
      </w:r>
    </w:p>
    <w:p>
      <w:pPr>
        <w:spacing w:after="0" w:line="189" w:lineRule="auto"/>
        <w:rPr>
          <w:sz w:val="20"/>
          <w:szCs w:val="20"/>
          <w:color w:val="auto"/>
        </w:rPr>
      </w:pPr>
      <w:r>
        <w:rPr>
          <w:rFonts w:ascii="Arial" w:cs="Arial" w:eastAsia="Arial" w:hAnsi="Arial"/>
          <w:sz w:val="8"/>
          <w:szCs w:val="8"/>
          <w:color w:val="FFFFFF"/>
        </w:rPr>
        <w:t>Strategy</w:t>
      </w:r>
      <w:r>
        <w:rPr>
          <w:rFonts w:ascii="Arial" w:cs="Arial" w:eastAsia="Arial" w:hAnsi="Arial"/>
          <w:sz w:val="13"/>
          <w:szCs w:val="13"/>
          <w:color w:val="FFFFFF"/>
          <w:vertAlign w:val="superscript"/>
        </w:rPr>
        <w:t>olid</w:t>
      </w:r>
    </w:p>
    <w:p>
      <w:pPr>
        <w:spacing w:after="0" w:line="206" w:lineRule="auto"/>
        <w:rPr>
          <w:sz w:val="20"/>
          <w:szCs w:val="20"/>
          <w:color w:val="auto"/>
        </w:rPr>
      </w:pPr>
      <w:r>
        <w:rPr>
          <w:rFonts w:ascii="Arial" w:cs="Arial" w:eastAsia="Arial" w:hAnsi="Arial"/>
          <w:sz w:val="4"/>
          <w:szCs w:val="4"/>
          <w:color w:val="FFFFFF"/>
        </w:rPr>
        <w:t>FlawlessTransformationalexecutiontechnology</w:t>
      </w:r>
    </w:p>
    <w:p>
      <w:pPr>
        <w:spacing w:after="0"/>
        <w:rPr>
          <w:sz w:val="20"/>
          <w:szCs w:val="20"/>
          <w:color w:val="auto"/>
        </w:rPr>
      </w:pPr>
      <w:r>
        <w:rPr>
          <w:rFonts w:ascii="Arial" w:cs="Arial" w:eastAsia="Arial" w:hAnsi="Arial"/>
          <w:sz w:val="13"/>
          <w:szCs w:val="13"/>
          <w:color w:val="FFFFFF"/>
        </w:rPr>
        <w:t>4</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FFFFFF"/>
        </w:rPr>
        <w:t xml:space="preserve">Building </w:t>
      </w:r>
      <w:r>
        <w:rPr>
          <w:rFonts w:ascii="Arial" w:cs="Arial" w:eastAsia="Arial" w:hAnsi="Arial"/>
          <w:sz w:val="26"/>
          <w:szCs w:val="26"/>
          <w:color w:val="FFFFFF"/>
          <w:vertAlign w:val="superscript"/>
        </w:rPr>
        <w:t>made</w:t>
      </w:r>
      <w:r>
        <w:rPr>
          <w:rFonts w:ascii="Arial" w:cs="Arial" w:eastAsia="Arial" w:hAnsi="Arial"/>
          <w:sz w:val="13"/>
          <w:szCs w:val="13"/>
          <w:color w:val="FFFFFF"/>
        </w:rPr>
        <w:t>Diversified Industrial</w:t>
      </w:r>
    </w:p>
    <w:p>
      <w:pPr>
        <w:spacing w:after="0" w:line="182" w:lineRule="auto"/>
        <w:rPr>
          <w:sz w:val="20"/>
          <w:szCs w:val="20"/>
          <w:color w:val="auto"/>
        </w:rPr>
      </w:pPr>
      <w:r>
        <w:rPr>
          <w:rFonts w:ascii="Arial" w:cs="Arial" w:eastAsia="Arial" w:hAnsi="Arial"/>
          <w:sz w:val="9"/>
          <w:szCs w:val="9"/>
          <w:color w:val="FFFFFF"/>
        </w:rPr>
        <w:t>RankWehaveamong comparablesignificantS/Midprogress-CapagainstDIs other DIs…</w:t>
      </w:r>
    </w:p>
    <w:p>
      <w:pPr>
        <w:spacing w:after="0" w:line="205" w:lineRule="auto"/>
        <w:rPr>
          <w:sz w:val="20"/>
          <w:szCs w:val="20"/>
          <w:color w:val="auto"/>
        </w:rPr>
      </w:pPr>
      <w:r>
        <w:rPr>
          <w:rFonts w:ascii="Arial" w:cs="Arial" w:eastAsia="Arial" w:hAnsi="Arial"/>
          <w:sz w:val="4"/>
          <w:szCs w:val="4"/>
          <w:color w:val="FFFFFF"/>
        </w:rPr>
        <w:t>Metric Ä Rank</w:t>
      </w:r>
    </w:p>
    <w:p>
      <w:pPr>
        <w:spacing w:after="0" w:line="182" w:lineRule="auto"/>
        <w:rPr>
          <w:sz w:val="20"/>
          <w:szCs w:val="20"/>
          <w:color w:val="auto"/>
        </w:rPr>
      </w:pPr>
      <w:r>
        <w:rPr>
          <w:rFonts w:ascii="Arial" w:cs="Arial" w:eastAsia="Arial" w:hAnsi="Arial"/>
          <w:sz w:val="9"/>
          <w:szCs w:val="9"/>
          <w:color w:val="FFFFFF"/>
        </w:rPr>
        <w:t>Sales2012—13Growth2013—1481+7</w:t>
      </w:r>
    </w:p>
    <w:p>
      <w:pPr>
        <w:spacing w:after="0" w:line="205" w:lineRule="auto"/>
        <w:rPr>
          <w:sz w:val="20"/>
          <w:szCs w:val="20"/>
          <w:color w:val="auto"/>
        </w:rPr>
      </w:pPr>
      <w:r>
        <w:rPr>
          <w:rFonts w:ascii="Arial" w:cs="Arial" w:eastAsia="Arial" w:hAnsi="Arial"/>
          <w:sz w:val="4"/>
          <w:szCs w:val="4"/>
          <w:color w:val="FFFFFF"/>
        </w:rPr>
        <w:t>8Adjusted5+3 Operating</w:t>
      </w:r>
    </w:p>
    <w:p>
      <w:pPr>
        <w:spacing w:after="0" w:line="205" w:lineRule="auto"/>
        <w:rPr>
          <w:sz w:val="20"/>
          <w:szCs w:val="20"/>
          <w:color w:val="auto"/>
        </w:rPr>
      </w:pPr>
      <w:r>
        <w:rPr>
          <w:rFonts w:ascii="Arial" w:cs="Arial" w:eastAsia="Arial" w:hAnsi="Arial"/>
          <w:sz w:val="4"/>
          <w:szCs w:val="4"/>
          <w:color w:val="FFFFFF"/>
        </w:rPr>
        <w:t>Margin</w:t>
      </w:r>
    </w:p>
    <w:p>
      <w:pPr>
        <w:spacing w:after="0" w:line="182" w:lineRule="auto"/>
        <w:rPr>
          <w:sz w:val="20"/>
          <w:szCs w:val="20"/>
          <w:color w:val="auto"/>
        </w:rPr>
      </w:pPr>
      <w:r>
        <w:rPr>
          <w:rFonts w:ascii="Arial" w:cs="Arial" w:eastAsia="Arial" w:hAnsi="Arial"/>
          <w:sz w:val="9"/>
          <w:szCs w:val="9"/>
          <w:color w:val="FFFFFF"/>
        </w:rPr>
        <w:t>Return on Equity 8 5 +3</w:t>
      </w:r>
    </w:p>
    <w:p>
      <w:pPr>
        <w:spacing w:after="0" w:line="206" w:lineRule="auto"/>
        <w:rPr>
          <w:sz w:val="20"/>
          <w:szCs w:val="20"/>
          <w:color w:val="auto"/>
        </w:rPr>
      </w:pPr>
      <w:r>
        <w:rPr>
          <w:rFonts w:ascii="Arial" w:cs="Arial" w:eastAsia="Arial" w:hAnsi="Arial"/>
          <w:sz w:val="4"/>
          <w:szCs w:val="4"/>
          <w:color w:val="FFFFFF"/>
        </w:rPr>
        <w:t>P/ETotalRatioReturn5610-1 1 +9</w:t>
      </w:r>
    </w:p>
    <w:p>
      <w:pPr>
        <w:spacing w:after="0" w:line="205" w:lineRule="auto"/>
        <w:rPr>
          <w:sz w:val="20"/>
          <w:szCs w:val="20"/>
          <w:color w:val="auto"/>
        </w:rPr>
      </w:pPr>
      <w:r>
        <w:rPr>
          <w:rFonts w:ascii="Arial" w:cs="Arial" w:eastAsia="Arial" w:hAnsi="Arial"/>
          <w:sz w:val="4"/>
          <w:szCs w:val="4"/>
          <w:color w:val="FFFFFF"/>
        </w:rPr>
        <w:t>…but we remain undervalued to our peers</w:t>
      </w:r>
    </w:p>
    <w:p>
      <w:pPr>
        <w:spacing w:after="0" w:line="182" w:lineRule="auto"/>
        <w:rPr>
          <w:sz w:val="20"/>
          <w:szCs w:val="20"/>
          <w:color w:val="auto"/>
        </w:rPr>
      </w:pPr>
      <w:r>
        <w:rPr>
          <w:rFonts w:ascii="Arial" w:cs="Arial" w:eastAsia="Arial" w:hAnsi="Arial"/>
          <w:sz w:val="9"/>
          <w:szCs w:val="9"/>
          <w:color w:val="FFFFFF"/>
        </w:rPr>
        <w:t>Compared to 9 S/Mid Cap companies outlined on page 10 5</w:t>
      </w:r>
    </w:p>
    <w:p>
      <w:pPr>
        <w:spacing w:after="0"/>
        <w:rPr>
          <w:sz w:val="20"/>
          <w:szCs w:val="20"/>
          <w:color w:val="auto"/>
        </w:rPr>
      </w:pPr>
      <w:r>
        <w:rPr>
          <w:rFonts w:ascii="Arial" w:cs="Arial" w:eastAsia="Arial" w:hAnsi="Arial"/>
          <w:sz w:val="9"/>
          <w:szCs w:val="9"/>
          <w:color w:val="FFFFFF"/>
        </w:rPr>
        <w:t>Source:AnalysisBloombergwasdoneonAnalyticsyearover year, TTM, and 2 year TTM period or using 2014 estimates</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FFFFFF"/>
        </w:rPr>
        <w:t>Building</w:t>
      </w:r>
      <w:r>
        <w:rPr>
          <w:rFonts w:ascii="Arial" w:cs="Arial" w:eastAsia="Arial" w:hAnsi="Arial"/>
          <w:sz w:val="26"/>
          <w:szCs w:val="26"/>
          <w:color w:val="FFFFFF"/>
          <w:vertAlign w:val="superscript"/>
        </w:rPr>
        <w:t>6</w:t>
      </w:r>
      <w:r>
        <w:rPr>
          <w:rFonts w:ascii="Arial" w:cs="Arial" w:eastAsia="Arial" w:hAnsi="Arial"/>
          <w:sz w:val="13"/>
          <w:szCs w:val="13"/>
          <w:color w:val="FFFFFF"/>
        </w:rPr>
        <w:t xml:space="preserve"> a Diversified Industrial</w:t>
      </w:r>
    </w:p>
    <w:p>
      <w:pPr>
        <w:ind w:left="80"/>
        <w:spacing w:after="0" w:line="182" w:lineRule="auto"/>
        <w:rPr>
          <w:sz w:val="20"/>
          <w:szCs w:val="20"/>
          <w:color w:val="auto"/>
        </w:rPr>
      </w:pPr>
      <w:r>
        <w:rPr>
          <w:rFonts w:ascii="Arial" w:cs="Arial" w:eastAsia="Arial" w:hAnsi="Arial"/>
          <w:sz w:val="9"/>
          <w:szCs w:val="9"/>
          <w:color w:val="FFFFFF"/>
        </w:rPr>
        <w:t>4year into the Strategic Period</w:t>
      </w:r>
    </w:p>
    <w:p>
      <w:pPr>
        <w:spacing w:after="0" w:line="189" w:lineRule="auto"/>
        <w:rPr>
          <w:sz w:val="20"/>
          <w:szCs w:val="20"/>
          <w:color w:val="auto"/>
        </w:rPr>
      </w:pPr>
      <w:r>
        <w:rPr>
          <w:rFonts w:ascii="Arial" w:cs="Arial" w:eastAsia="Arial" w:hAnsi="Arial"/>
          <w:sz w:val="13"/>
          <w:szCs w:val="13"/>
          <w:color w:val="FFFFFF"/>
        </w:rPr>
        <w:t>102</w:t>
      </w:r>
    </w:p>
    <w:p>
      <w:pPr>
        <w:spacing w:after="0" w:line="206" w:lineRule="auto"/>
        <w:rPr>
          <w:sz w:val="20"/>
          <w:szCs w:val="20"/>
          <w:color w:val="auto"/>
        </w:rPr>
      </w:pPr>
      <w:r>
        <w:rPr>
          <w:rFonts w:ascii="Arial" w:cs="Arial" w:eastAsia="Arial" w:hAnsi="Arial"/>
          <w:sz w:val="4"/>
          <w:szCs w:val="4"/>
          <w:color w:val="FFFFFF"/>
        </w:rPr>
        <w:t>EV/EBITDA 8</w:t>
      </w:r>
    </w:p>
    <w:p>
      <w:pPr>
        <w:spacing w:after="0" w:line="182" w:lineRule="auto"/>
        <w:rPr>
          <w:sz w:val="20"/>
          <w:szCs w:val="20"/>
          <w:color w:val="auto"/>
        </w:rPr>
      </w:pPr>
      <w:r>
        <w:rPr>
          <w:rFonts w:ascii="Arial" w:cs="Arial" w:eastAsia="Arial" w:hAnsi="Arial"/>
          <w:sz w:val="9"/>
          <w:szCs w:val="9"/>
          <w:color w:val="FFFFFF"/>
        </w:rPr>
        <w:t>46</w:t>
      </w:r>
    </w:p>
    <w:p>
      <w:pPr>
        <w:spacing w:after="0" w:line="182" w:lineRule="auto"/>
        <w:rPr>
          <w:sz w:val="20"/>
          <w:szCs w:val="20"/>
          <w:color w:val="auto"/>
        </w:rPr>
      </w:pPr>
      <w:r>
        <w:rPr>
          <w:rFonts w:ascii="Arial" w:cs="Arial" w:eastAsia="Arial" w:hAnsi="Arial"/>
          <w:sz w:val="9"/>
          <w:szCs w:val="9"/>
          <w:color w:val="FFFFFF"/>
        </w:rPr>
        <w:t>02</w:t>
      </w:r>
    </w:p>
    <w:p>
      <w:pPr>
        <w:spacing w:after="0" w:line="182" w:lineRule="auto"/>
        <w:rPr>
          <w:sz w:val="20"/>
          <w:szCs w:val="20"/>
          <w:color w:val="auto"/>
        </w:rPr>
      </w:pPr>
      <w:r>
        <w:rPr>
          <w:rFonts w:ascii="Arial" w:cs="Arial" w:eastAsia="Arial" w:hAnsi="Arial"/>
          <w:sz w:val="7"/>
          <w:szCs w:val="7"/>
          <w:color w:val="FFFFFF"/>
        </w:rPr>
        <w:t>NNS/MidActuantCapDIsAltraPremiereAmetek</w:t>
      </w:r>
      <w:r>
        <w:rPr>
          <w:rFonts w:ascii="Arial" w:cs="Arial" w:eastAsia="Arial" w:hAnsi="Arial"/>
          <w:sz w:val="9"/>
          <w:szCs w:val="9"/>
          <w:color w:val="FFFFFF"/>
          <w:vertAlign w:val="superscript"/>
        </w:rPr>
        <w:t>Park</w:t>
      </w:r>
      <w:r>
        <w:rPr>
          <w:rFonts w:ascii="Arial" w:cs="Arial" w:eastAsia="Arial" w:hAnsi="Arial"/>
          <w:sz w:val="7"/>
          <w:szCs w:val="7"/>
          <w:color w:val="FFFFFF"/>
        </w:rPr>
        <w:t>DIsCircor</w:t>
      </w:r>
    </w:p>
    <w:p>
      <w:pPr>
        <w:spacing w:after="0" w:line="206" w:lineRule="auto"/>
        <w:rPr>
          <w:sz w:val="20"/>
          <w:szCs w:val="20"/>
          <w:color w:val="auto"/>
        </w:rPr>
      </w:pPr>
      <w:r>
        <w:rPr>
          <w:rFonts w:ascii="Arial" w:cs="Arial" w:eastAsia="Arial" w:hAnsi="Arial"/>
          <w:sz w:val="4"/>
          <w:szCs w:val="4"/>
          <w:color w:val="FFFFFF"/>
        </w:rPr>
        <w:t>EatonColfaxITWCraneHoneywellKaman DanaherOhio Worthington</w:t>
      </w:r>
    </w:p>
    <w:p>
      <w:pPr>
        <w:spacing w:after="0" w:line="182" w:lineRule="auto"/>
        <w:rPr>
          <w:sz w:val="20"/>
          <w:szCs w:val="20"/>
          <w:color w:val="auto"/>
        </w:rPr>
      </w:pPr>
      <w:r>
        <w:rPr>
          <w:rFonts w:ascii="Arial" w:cs="Arial" w:eastAsia="Arial" w:hAnsi="Arial"/>
          <w:sz w:val="9"/>
          <w:szCs w:val="9"/>
          <w:color w:val="FFFFFF"/>
        </w:rPr>
        <w:t>6</w:t>
      </w:r>
    </w:p>
    <w:p>
      <w:pPr>
        <w:spacing w:after="0"/>
        <w:rPr>
          <w:sz w:val="20"/>
          <w:szCs w:val="20"/>
          <w:color w:val="auto"/>
        </w:rPr>
      </w:pPr>
      <w:r>
        <w:rPr>
          <w:rFonts w:ascii="Arial" w:cs="Arial" w:eastAsia="Arial" w:hAnsi="Arial"/>
          <w:sz w:val="8"/>
          <w:szCs w:val="8"/>
          <w:color w:val="FFFFFF"/>
        </w:rPr>
        <w:t>Source:NNmultipleBloombergbased onAnalyticsmidpoint of 2015 EBITDA Guidance</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1"/>
          <w:szCs w:val="11"/>
          <w:color w:val="FFFFFF"/>
        </w:rPr>
        <w:t>7Company Overview</w:t>
      </w:r>
    </w:p>
    <w:p>
      <w:pPr>
        <w:sectPr>
          <w:pgSz w:w="11900" w:h="16838" w:orient="portrait"/>
          <w:cols w:equalWidth="0" w:num="1">
            <w:col w:w="10219"/>
          </w:cols>
          <w:pgMar w:left="2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History &amp; Today</w:t>
      </w:r>
    </w:p>
    <w:p>
      <w:pPr>
        <w:spacing w:after="0" w:line="204" w:lineRule="auto"/>
        <w:rPr>
          <w:sz w:val="20"/>
          <w:szCs w:val="20"/>
          <w:color w:val="auto"/>
        </w:rPr>
      </w:pPr>
      <w:r>
        <w:rPr>
          <w:rFonts w:ascii="Arial" w:cs="Arial" w:eastAsia="Arial" w:hAnsi="Arial"/>
          <w:sz w:val="4"/>
          <w:szCs w:val="4"/>
          <w:color w:val="FFFFFF"/>
        </w:rPr>
        <w:t>Global2015revenuereach, localguidancedepthrevised to $670M—$690M – solely due to FX translation</w:t>
      </w:r>
    </w:p>
    <w:p>
      <w:pPr>
        <w:spacing w:after="0" w:line="205" w:lineRule="auto"/>
        <w:rPr>
          <w:sz w:val="20"/>
          <w:szCs w:val="20"/>
          <w:color w:val="auto"/>
        </w:rPr>
      </w:pPr>
      <w:r>
        <w:rPr>
          <w:rFonts w:ascii="Arial" w:cs="Arial" w:eastAsia="Arial" w:hAnsi="Arial"/>
          <w:sz w:val="2"/>
          <w:szCs w:val="2"/>
          <w:color w:val="FFFFFF"/>
        </w:rPr>
        <w:t>Top</w:t>
      </w:r>
      <w:r>
        <w:rPr>
          <w:rFonts w:ascii="Arial" w:cs="Arial" w:eastAsia="Arial" w:hAnsi="Arial"/>
          <w:sz w:val="4"/>
          <w:szCs w:val="4"/>
          <w:color w:val="FFFFFF"/>
          <w:vertAlign w:val="subscript"/>
        </w:rPr>
        <w:t>manufacturing</w:t>
      </w:r>
      <w:r>
        <w:rPr>
          <w:rFonts w:ascii="Arial" w:cs="Arial" w:eastAsia="Arial" w:hAnsi="Arial"/>
          <w:sz w:val="2"/>
          <w:szCs w:val="2"/>
          <w:color w:val="FFFFFF"/>
        </w:rPr>
        <w:t>3globally both bearing components, and precision metal components</w:t>
      </w:r>
    </w:p>
    <w:p>
      <w:pPr>
        <w:spacing w:after="0" w:line="205" w:lineRule="auto"/>
        <w:tabs>
          <w:tab w:leader="none" w:pos="940" w:val="left"/>
        </w:tabs>
        <w:rPr>
          <w:sz w:val="20"/>
          <w:szCs w:val="20"/>
          <w:color w:val="auto"/>
        </w:rPr>
      </w:pPr>
      <w:r>
        <w:rPr>
          <w:rFonts w:ascii="Arial" w:cs="Arial" w:eastAsia="Arial" w:hAnsi="Arial"/>
          <w:sz w:val="4"/>
          <w:szCs w:val="4"/>
          <w:color w:val="FFFFFF"/>
        </w:rPr>
        <w:t>25</w:t>
      </w:r>
      <w:r>
        <w:rPr>
          <w:sz w:val="20"/>
          <w:szCs w:val="20"/>
          <w:color w:val="auto"/>
        </w:rPr>
        <w:tab/>
      </w:r>
      <w:r>
        <w:rPr>
          <w:rFonts w:ascii="Arial" w:cs="Arial" w:eastAsia="Arial" w:hAnsi="Arial"/>
          <w:sz w:val="4"/>
          <w:szCs w:val="4"/>
          <w:color w:val="FFFFFF"/>
        </w:rPr>
        <w:t>facilities with operations in 10 countries</w:t>
      </w:r>
    </w:p>
    <w:p>
      <w:pPr>
        <w:spacing w:after="0" w:line="205" w:lineRule="auto"/>
        <w:rPr>
          <w:sz w:val="20"/>
          <w:szCs w:val="20"/>
          <w:color w:val="auto"/>
        </w:rPr>
      </w:pPr>
      <w:r>
        <w:rPr>
          <w:rFonts w:ascii="Arial" w:cs="Arial" w:eastAsia="Arial" w:hAnsi="Arial"/>
          <w:sz w:val="4"/>
          <w:szCs w:val="4"/>
          <w:color w:val="FFFFFF"/>
        </w:rPr>
        <w:t>4,200 employees</w:t>
      </w:r>
    </w:p>
    <w:p>
      <w:pPr>
        <w:spacing w:after="0" w:line="205" w:lineRule="auto"/>
        <w:rPr>
          <w:sz w:val="20"/>
          <w:szCs w:val="20"/>
          <w:color w:val="auto"/>
        </w:rPr>
      </w:pPr>
      <w:r>
        <w:rPr>
          <w:rFonts w:ascii="Arial" w:cs="Arial" w:eastAsia="Arial" w:hAnsi="Arial"/>
          <w:sz w:val="4"/>
          <w:szCs w:val="4"/>
          <w:color w:val="FFFFFF"/>
        </w:rPr>
        <w:t>Three R&amp;D Centers around the globe</w:t>
      </w:r>
    </w:p>
    <w:p>
      <w:pPr>
        <w:spacing w:after="0" w:line="182" w:lineRule="auto"/>
        <w:rPr>
          <w:sz w:val="20"/>
          <w:szCs w:val="20"/>
          <w:color w:val="auto"/>
        </w:rPr>
      </w:pPr>
      <w:r>
        <w:rPr>
          <w:rFonts w:ascii="Arial" w:cs="Arial" w:eastAsia="Arial" w:hAnsi="Arial"/>
          <w:sz w:val="9"/>
          <w:szCs w:val="9"/>
          <w:color w:val="FFFFFF"/>
        </w:rPr>
        <w:t>Supplying to diversified end markets in over 30 countries</w:t>
      </w:r>
    </w:p>
    <w:p>
      <w:pPr>
        <w:spacing w:after="0" w:line="206" w:lineRule="auto"/>
        <w:rPr>
          <w:sz w:val="20"/>
          <w:szCs w:val="20"/>
          <w:color w:val="auto"/>
        </w:rPr>
      </w:pPr>
      <w:r>
        <w:rPr>
          <w:rFonts w:ascii="Arial" w:cs="Arial" w:eastAsia="Arial" w:hAnsi="Arial"/>
          <w:sz w:val="4"/>
          <w:szCs w:val="4"/>
          <w:color w:val="FFFFFF"/>
        </w:rPr>
        <w:t>Industrial1980MetalVeenendaalBearing1999ComponentsSNRBallWhirlaway2000 2001V-SChelsea20032005 2006 2014…</w:t>
      </w:r>
    </w:p>
    <w:p>
      <w:pPr>
        <w:spacing w:after="0" w:line="182" w:lineRule="auto"/>
        <w:rPr>
          <w:sz w:val="20"/>
          <w:szCs w:val="20"/>
          <w:color w:val="auto"/>
        </w:rPr>
      </w:pPr>
      <w:r>
        <w:rPr>
          <w:rFonts w:ascii="Arial" w:cs="Arial" w:eastAsia="Arial" w:hAnsi="Arial"/>
          <w:sz w:val="9"/>
          <w:szCs w:val="9"/>
          <w:color w:val="FFFFFF"/>
        </w:rPr>
        <w:t>NN founded Molding Euroball Delta Rubber RFK Autocam</w:t>
      </w:r>
    </w:p>
    <w:p>
      <w:pPr>
        <w:spacing w:after="0" w:line="205" w:lineRule="auto"/>
        <w:rPr>
          <w:sz w:val="20"/>
          <w:szCs w:val="20"/>
          <w:color w:val="auto"/>
        </w:rPr>
      </w:pPr>
      <w:r>
        <w:rPr>
          <w:rFonts w:ascii="Arial" w:cs="Arial" w:eastAsia="Arial" w:hAnsi="Arial"/>
          <w:sz w:val="4"/>
          <w:szCs w:val="4"/>
          <w:color w:val="FFFFFF"/>
        </w:rPr>
        <w:t>CorporationinErwin,TNCompanyAssetsCorporation Industries Grinding</w:t>
      </w:r>
    </w:p>
    <w:p>
      <w:pPr>
        <w:spacing w:after="0"/>
        <w:rPr>
          <w:sz w:val="20"/>
          <w:szCs w:val="20"/>
          <w:color w:val="auto"/>
        </w:rPr>
      </w:pPr>
      <w:r>
        <w:rPr>
          <w:rFonts w:ascii="Arial" w:cs="Arial" w:eastAsia="Arial" w:hAnsi="Arial"/>
          <w:sz w:val="13"/>
          <w:szCs w:val="13"/>
          <w:color w:val="FFFFFF"/>
        </w:rPr>
        <w:t>8</w:t>
      </w:r>
    </w:p>
    <w:p>
      <w:pPr>
        <w:sectPr>
          <w:pgSz w:w="11900" w:h="16838" w:orient="portrait"/>
          <w:cols w:equalWidth="0" w:num="1">
            <w:col w:w="10219"/>
          </w:cols>
          <w:pgMar w:left="240" w:top="1440" w:right="1440"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6"/>
          <w:szCs w:val="26"/>
          <w:color w:val="FFFFFF"/>
          <w:vertAlign w:val="superscript"/>
        </w:rPr>
        <w:t>Five</w:t>
      </w:r>
      <w:r>
        <w:rPr>
          <w:rFonts w:ascii="Arial" w:cs="Arial" w:eastAsia="Arial" w:hAnsi="Arial"/>
          <w:sz w:val="13"/>
          <w:szCs w:val="13"/>
          <w:color w:val="FFFFFF"/>
        </w:rPr>
        <w:t>oundation for Growth</w:t>
      </w:r>
    </w:p>
    <w:p>
      <w:pPr>
        <w:spacing w:after="0" w:line="182" w:lineRule="auto"/>
        <w:rPr>
          <w:sz w:val="20"/>
          <w:szCs w:val="20"/>
          <w:color w:val="auto"/>
        </w:rPr>
      </w:pPr>
      <w:r>
        <w:rPr>
          <w:rFonts w:ascii="Arial" w:cs="Arial" w:eastAsia="Arial" w:hAnsi="Arial"/>
          <w:sz w:val="7"/>
          <w:szCs w:val="7"/>
          <w:color w:val="FFFFFF"/>
        </w:rPr>
        <w:t>N</w:t>
      </w:r>
      <w:r>
        <w:rPr>
          <w:rFonts w:ascii="Arial" w:cs="Arial" w:eastAsia="Arial" w:hAnsi="Arial"/>
          <w:sz w:val="9"/>
          <w:szCs w:val="9"/>
          <w:color w:val="FFFFFF"/>
          <w:vertAlign w:val="subscript"/>
        </w:rPr>
        <w:t>Developed</w:t>
      </w:r>
      <w:r>
        <w:rPr>
          <w:rFonts w:ascii="Arial" w:cs="Arial" w:eastAsia="Arial" w:hAnsi="Arial"/>
          <w:sz w:val="7"/>
          <w:szCs w:val="7"/>
          <w:color w:val="FFFFFF"/>
        </w:rPr>
        <w:t>wnewPresidentBoard&amp;</w:t>
      </w:r>
      <w:r>
        <w:rPr>
          <w:rFonts w:ascii="Arial" w:cs="Arial" w:eastAsia="Arial" w:hAnsi="Arial"/>
          <w:sz w:val="9"/>
          <w:szCs w:val="9"/>
          <w:color w:val="FFFFFF"/>
          <w:vertAlign w:val="subscript"/>
        </w:rPr>
        <w:t>appointments</w:t>
      </w:r>
      <w:r>
        <w:rPr>
          <w:rFonts w:ascii="Arial" w:cs="Arial" w:eastAsia="Arial" w:hAnsi="Arial"/>
          <w:sz w:val="7"/>
          <w:szCs w:val="7"/>
          <w:color w:val="FFFFFF"/>
        </w:rPr>
        <w:t>CEO2013,sincekey 2012management retained</w:t>
      </w:r>
    </w:p>
    <w:p>
      <w:pPr>
        <w:spacing w:after="0" w:line="205" w:lineRule="auto"/>
        <w:rPr>
          <w:sz w:val="20"/>
          <w:szCs w:val="20"/>
          <w:color w:val="auto"/>
        </w:rPr>
      </w:pPr>
      <w:r>
        <w:rPr>
          <w:rFonts w:ascii="Arial" w:cs="Arial" w:eastAsia="Arial" w:hAnsi="Arial"/>
          <w:sz w:val="4"/>
          <w:szCs w:val="4"/>
          <w:color w:val="FFFFFF"/>
        </w:rPr>
        <w:t>IT group infrastructureTreasury,FP&amp;A, Supply Chain, Shared Services and</w:t>
      </w:r>
    </w:p>
    <w:p>
      <w:pPr>
        <w:spacing w:after="0" w:line="205" w:lineRule="auto"/>
        <w:rPr>
          <w:sz w:val="20"/>
          <w:szCs w:val="20"/>
          <w:color w:val="auto"/>
        </w:rPr>
      </w:pPr>
      <w:r>
        <w:rPr>
          <w:rFonts w:ascii="Arial" w:cs="Arial" w:eastAsia="Arial" w:hAnsi="Arial"/>
          <w:sz w:val="4"/>
          <w:szCs w:val="4"/>
          <w:color w:val="FFFFFF"/>
        </w:rPr>
        <w:t>Design of the NN Operating System</w:t>
      </w:r>
    </w:p>
    <w:p>
      <w:pPr>
        <w:spacing w:after="0" w:line="205" w:lineRule="auto"/>
        <w:rPr>
          <w:sz w:val="20"/>
          <w:szCs w:val="20"/>
          <w:color w:val="auto"/>
        </w:rPr>
      </w:pPr>
      <w:r>
        <w:rPr>
          <w:rFonts w:ascii="Arial" w:cs="Arial" w:eastAsia="Arial" w:hAnsi="Arial"/>
          <w:sz w:val="4"/>
          <w:szCs w:val="4"/>
          <w:color w:val="FFFFFF"/>
        </w:rPr>
        <w:t>Enhanced management bandwidth with acquisitions</w:t>
      </w:r>
    </w:p>
    <w:p>
      <w:pPr>
        <w:spacing w:after="0"/>
        <w:rPr>
          <w:sz w:val="20"/>
          <w:szCs w:val="20"/>
          <w:color w:val="auto"/>
        </w:rPr>
      </w:pPr>
      <w:r>
        <w:rPr>
          <w:rFonts w:ascii="Arial" w:cs="Arial" w:eastAsia="Arial" w:hAnsi="Arial"/>
          <w:sz w:val="11"/>
          <w:szCs w:val="11"/>
          <w:color w:val="FFFFFF"/>
        </w:rPr>
        <w:t>The fundaments of our plan have not changed. We will continue to deliver on our commitments. 9</w:t>
      </w:r>
    </w:p>
    <w:p>
      <w:pPr>
        <w:sectPr>
          <w:pgSz w:w="11900" w:h="16838" w:orient="portrait"/>
          <w:cols w:equalWidth="0" w:num="1">
            <w:col w:w="10219"/>
          </w:cols>
          <w:pgMar w:left="240" w:top="1440" w:right="1440"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Plastic</w:t>
      </w:r>
      <w:r>
        <w:rPr>
          <w:rFonts w:ascii="Arial" w:cs="Arial" w:eastAsia="Arial" w:hAnsi="Arial"/>
          <w:sz w:val="13"/>
          <w:szCs w:val="13"/>
          <w:color w:val="FFFFFF"/>
        </w:rPr>
        <w:t>CompanyroductMixOverview</w:t>
      </w:r>
    </w:p>
    <w:p>
      <w:pPr>
        <w:ind w:left="380"/>
        <w:spacing w:after="0" w:line="182" w:lineRule="auto"/>
        <w:rPr>
          <w:sz w:val="20"/>
          <w:szCs w:val="20"/>
          <w:color w:val="auto"/>
        </w:rPr>
      </w:pPr>
      <w:r>
        <w:rPr>
          <w:rFonts w:ascii="Arial" w:cs="Arial" w:eastAsia="Arial" w:hAnsi="Arial"/>
          <w:sz w:val="9"/>
          <w:szCs w:val="9"/>
          <w:color w:val="FFFFFF"/>
        </w:rPr>
        <w:t>&amp; Rubber</w:t>
      </w:r>
    </w:p>
    <w:p>
      <w:pPr>
        <w:spacing w:after="0" w:line="182" w:lineRule="auto"/>
        <w:rPr>
          <w:sz w:val="20"/>
          <w:szCs w:val="20"/>
          <w:color w:val="auto"/>
        </w:rPr>
      </w:pPr>
      <w:r>
        <w:rPr>
          <w:rFonts w:ascii="Arial" w:cs="Arial" w:eastAsia="Arial" w:hAnsi="Arial"/>
          <w:sz w:val="9"/>
          <w:szCs w:val="9"/>
          <w:color w:val="FFFFFF"/>
        </w:rPr>
        <w:t>6%Components</w:t>
      </w:r>
    </w:p>
    <w:p>
      <w:pPr>
        <w:spacing w:after="0" w:line="205" w:lineRule="auto"/>
        <w:rPr>
          <w:sz w:val="20"/>
          <w:szCs w:val="20"/>
          <w:color w:val="auto"/>
        </w:rPr>
      </w:pPr>
      <w:r>
        <w:rPr>
          <w:rFonts w:ascii="Arial" w:cs="Arial" w:eastAsia="Arial" w:hAnsi="Arial"/>
          <w:sz w:val="4"/>
          <w:szCs w:val="4"/>
          <w:color w:val="FFFFFF"/>
        </w:rPr>
        <w:t>Metal43%51%</w:t>
      </w:r>
    </w:p>
    <w:p>
      <w:pPr>
        <w:spacing w:after="0" w:line="205" w:lineRule="auto"/>
        <w:rPr>
          <w:sz w:val="20"/>
          <w:szCs w:val="20"/>
          <w:color w:val="auto"/>
        </w:rPr>
      </w:pPr>
      <w:r>
        <w:rPr>
          <w:rFonts w:ascii="Arial" w:cs="Arial" w:eastAsia="Arial" w:hAnsi="Arial"/>
          <w:sz w:val="4"/>
          <w:szCs w:val="4"/>
          <w:color w:val="FFFFFF"/>
        </w:rPr>
        <w:t>Bearing Autocam</w:t>
      </w:r>
    </w:p>
    <w:p>
      <w:pPr>
        <w:spacing w:after="0" w:line="182" w:lineRule="auto"/>
        <w:rPr>
          <w:sz w:val="20"/>
          <w:szCs w:val="20"/>
          <w:color w:val="auto"/>
        </w:rPr>
      </w:pPr>
      <w:r>
        <w:rPr>
          <w:rFonts w:ascii="Arial" w:cs="Arial" w:eastAsia="Arial" w:hAnsi="Arial"/>
          <w:sz w:val="7"/>
          <w:szCs w:val="7"/>
          <w:color w:val="FFFFFF"/>
        </w:rPr>
        <w:t xml:space="preserve">Components </w:t>
      </w:r>
      <w:r>
        <w:rPr>
          <w:rFonts w:ascii="Arial" w:cs="Arial" w:eastAsia="Arial" w:hAnsi="Arial"/>
          <w:sz w:val="9"/>
          <w:szCs w:val="9"/>
          <w:color w:val="FFFFFF"/>
          <w:vertAlign w:val="superscript"/>
        </w:rPr>
        <w:t>Precision</w:t>
      </w:r>
    </w:p>
    <w:p>
      <w:pPr>
        <w:spacing w:after="0" w:line="206" w:lineRule="auto"/>
        <w:rPr>
          <w:sz w:val="20"/>
          <w:szCs w:val="20"/>
          <w:color w:val="auto"/>
        </w:rPr>
      </w:pPr>
      <w:r>
        <w:rPr>
          <w:rFonts w:ascii="Arial" w:cs="Arial" w:eastAsia="Arial" w:hAnsi="Arial"/>
          <w:sz w:val="4"/>
          <w:szCs w:val="4"/>
          <w:color w:val="FFFFFF"/>
        </w:rPr>
        <w:t>Geography</w:t>
      </w:r>
    </w:p>
    <w:p>
      <w:pPr>
        <w:spacing w:after="0" w:line="205" w:lineRule="auto"/>
        <w:rPr>
          <w:sz w:val="20"/>
          <w:szCs w:val="20"/>
          <w:color w:val="auto"/>
        </w:rPr>
      </w:pPr>
      <w:r>
        <w:rPr>
          <w:rFonts w:ascii="Arial" w:cs="Arial" w:eastAsia="Arial" w:hAnsi="Arial"/>
          <w:sz w:val="4"/>
          <w:szCs w:val="4"/>
          <w:color w:val="FFFFFF"/>
        </w:rPr>
        <w:t>Asia</w:t>
      </w:r>
    </w:p>
    <w:p>
      <w:pPr>
        <w:spacing w:after="0" w:line="189" w:lineRule="auto"/>
        <w:rPr>
          <w:sz w:val="20"/>
          <w:szCs w:val="20"/>
          <w:color w:val="auto"/>
        </w:rPr>
      </w:pPr>
      <w:r>
        <w:rPr>
          <w:rFonts w:ascii="Arial" w:cs="Arial" w:eastAsia="Arial" w:hAnsi="Arial"/>
          <w:sz w:val="13"/>
          <w:szCs w:val="13"/>
          <w:color w:val="FFFFFF"/>
        </w:rPr>
        <w:t>SouthAmerica 7%</w:t>
      </w:r>
    </w:p>
    <w:p>
      <w:pPr>
        <w:spacing w:after="0" w:line="182" w:lineRule="auto"/>
        <w:rPr>
          <w:sz w:val="20"/>
          <w:szCs w:val="20"/>
          <w:color w:val="auto"/>
        </w:rPr>
      </w:pPr>
      <w:r>
        <w:rPr>
          <w:rFonts w:ascii="Arial" w:cs="Arial" w:eastAsia="Arial" w:hAnsi="Arial"/>
          <w:sz w:val="9"/>
          <w:szCs w:val="9"/>
          <w:color w:val="FFFFFF"/>
        </w:rPr>
        <w:t>7%11%</w:t>
      </w:r>
    </w:p>
    <w:p>
      <w:pPr>
        <w:spacing w:after="0" w:line="206" w:lineRule="auto"/>
        <w:rPr>
          <w:sz w:val="20"/>
          <w:szCs w:val="20"/>
          <w:color w:val="auto"/>
        </w:rPr>
      </w:pPr>
      <w:r>
        <w:rPr>
          <w:rFonts w:ascii="Arial" w:cs="Arial" w:eastAsia="Arial" w:hAnsi="Arial"/>
          <w:sz w:val="4"/>
          <w:szCs w:val="4"/>
          <w:color w:val="FFFFFF"/>
        </w:rPr>
        <w:t>32% 50%</w:t>
      </w:r>
    </w:p>
    <w:p>
      <w:pPr>
        <w:spacing w:after="0" w:line="182" w:lineRule="auto"/>
        <w:rPr>
          <w:sz w:val="20"/>
          <w:szCs w:val="20"/>
          <w:color w:val="auto"/>
        </w:rPr>
      </w:pPr>
      <w:r>
        <w:rPr>
          <w:rFonts w:ascii="Arial" w:cs="Arial" w:eastAsia="Arial" w:hAnsi="Arial"/>
          <w:sz w:val="9"/>
          <w:szCs w:val="9"/>
          <w:color w:val="FFFFFF"/>
        </w:rPr>
        <w:t>AmericaEuropeNorth</w:t>
      </w:r>
    </w:p>
    <w:p>
      <w:pPr>
        <w:spacing w:after="0" w:line="182" w:lineRule="auto"/>
        <w:rPr>
          <w:sz w:val="20"/>
          <w:szCs w:val="20"/>
          <w:color w:val="auto"/>
        </w:rPr>
      </w:pPr>
      <w:r>
        <w:rPr>
          <w:rFonts w:ascii="Arial" w:cs="Arial" w:eastAsia="Arial" w:hAnsi="Arial"/>
          <w:sz w:val="9"/>
          <w:szCs w:val="9"/>
          <w:color w:val="FFFFFF"/>
        </w:rPr>
        <w:t>MarketsEnd</w:t>
      </w:r>
    </w:p>
    <w:p>
      <w:pPr>
        <w:spacing w:after="0" w:line="206" w:lineRule="auto"/>
        <w:rPr>
          <w:sz w:val="20"/>
          <w:szCs w:val="20"/>
          <w:color w:val="auto"/>
        </w:rPr>
      </w:pPr>
      <w:r>
        <w:rPr>
          <w:rFonts w:ascii="Arial" w:cs="Arial" w:eastAsia="Arial" w:hAnsi="Arial"/>
          <w:sz w:val="4"/>
          <w:szCs w:val="4"/>
          <w:color w:val="FFFFFF"/>
        </w:rPr>
        <w:t>TransportationCommercialGeneral/Plastics5%</w:t>
      </w:r>
    </w:p>
    <w:p>
      <w:pPr>
        <w:spacing w:after="0" w:line="205" w:lineRule="auto"/>
        <w:rPr>
          <w:sz w:val="20"/>
          <w:szCs w:val="20"/>
          <w:color w:val="auto"/>
        </w:rPr>
      </w:pPr>
      <w:r>
        <w:rPr>
          <w:rFonts w:ascii="Arial" w:cs="Arial" w:eastAsia="Arial" w:hAnsi="Arial"/>
          <w:sz w:val="4"/>
          <w:szCs w:val="4"/>
          <w:color w:val="FFFFFF"/>
        </w:rPr>
        <w:t>8%</w:t>
      </w:r>
    </w:p>
    <w:p>
      <w:pPr>
        <w:spacing w:after="0" w:line="189" w:lineRule="auto"/>
        <w:rPr>
          <w:sz w:val="20"/>
          <w:szCs w:val="20"/>
          <w:color w:val="auto"/>
        </w:rPr>
      </w:pPr>
      <w:r>
        <w:rPr>
          <w:rFonts w:ascii="Arial" w:cs="Arial" w:eastAsia="Arial" w:hAnsi="Arial"/>
          <w:sz w:val="13"/>
          <w:szCs w:val="13"/>
          <w:color w:val="FFFFFF"/>
        </w:rPr>
        <w:t>Industrial/Aerospace 17%</w:t>
      </w:r>
    </w:p>
    <w:p>
      <w:pPr>
        <w:spacing w:after="0" w:line="205" w:lineRule="auto"/>
        <w:rPr>
          <w:sz w:val="20"/>
          <w:szCs w:val="20"/>
          <w:color w:val="auto"/>
        </w:rPr>
      </w:pPr>
      <w:r>
        <w:rPr>
          <w:rFonts w:ascii="Arial" w:cs="Arial" w:eastAsia="Arial" w:hAnsi="Arial"/>
          <w:sz w:val="4"/>
          <w:szCs w:val="4"/>
          <w:color w:val="FFFFFF"/>
        </w:rPr>
        <w:t>70%/Medical</w:t>
      </w:r>
    </w:p>
    <w:p>
      <w:pPr>
        <w:spacing w:after="0" w:line="182" w:lineRule="auto"/>
        <w:rPr>
          <w:sz w:val="20"/>
          <w:szCs w:val="20"/>
          <w:color w:val="auto"/>
        </w:rPr>
      </w:pPr>
      <w:r>
        <w:rPr>
          <w:rFonts w:ascii="Arial" w:cs="Arial" w:eastAsia="Arial" w:hAnsi="Arial"/>
          <w:sz w:val="9"/>
          <w:szCs w:val="9"/>
          <w:color w:val="FFFFFF"/>
        </w:rPr>
        <w:t>Light Auto</w:t>
      </w:r>
    </w:p>
    <w:p>
      <w:pPr>
        <w:spacing w:after="0"/>
        <w:rPr>
          <w:sz w:val="20"/>
          <w:szCs w:val="20"/>
          <w:color w:val="auto"/>
        </w:rPr>
      </w:pPr>
      <w:r>
        <w:rPr>
          <w:rFonts w:ascii="Arial" w:cs="Arial" w:eastAsia="Arial" w:hAnsi="Arial"/>
          <w:sz w:val="11"/>
          <w:szCs w:val="11"/>
          <w:color w:val="FFFFFF"/>
        </w:rPr>
        <w:t>10Enhanced end market focus and an improved balance among our geographic and product mix</w:t>
      </w:r>
    </w:p>
    <w:p>
      <w:pPr>
        <w:sectPr>
          <w:pgSz w:w="11900" w:h="16838" w:orient="portrait"/>
          <w:cols w:equalWidth="0" w:num="1">
            <w:col w:w="10219"/>
          </w:cols>
          <w:pgMar w:left="240" w:top="1440" w:right="1440"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FFFFFF"/>
        </w:rPr>
        <w:t>11Customer Profile</w:t>
      </w:r>
    </w:p>
    <w:p>
      <w:pPr>
        <w:sectPr>
          <w:pgSz w:w="11900" w:h="16838" w:orient="portrait"/>
          <w:cols w:equalWidth="0" w:num="1">
            <w:col w:w="10219"/>
          </w:cols>
          <w:pgMar w:left="240" w:top="1440"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Value Proposition</w:t>
      </w:r>
    </w:p>
    <w:p>
      <w:pPr>
        <w:spacing w:after="0" w:line="204" w:lineRule="auto"/>
        <w:rPr>
          <w:sz w:val="20"/>
          <w:szCs w:val="20"/>
          <w:color w:val="auto"/>
        </w:rPr>
      </w:pPr>
      <w:r>
        <w:rPr>
          <w:rFonts w:ascii="Arial" w:cs="Arial" w:eastAsia="Arial" w:hAnsi="Arial"/>
          <w:sz w:val="4"/>
          <w:szCs w:val="4"/>
          <w:color w:val="FFFFFF"/>
        </w:rPr>
        <w:t>TotalAbilityproducttomanufacturelifecycle precision products with ultra tight tolerances in high volume</w:t>
      </w:r>
    </w:p>
    <w:p>
      <w:pPr>
        <w:spacing w:after="0" w:line="182" w:lineRule="auto"/>
        <w:rPr>
          <w:sz w:val="20"/>
          <w:szCs w:val="20"/>
          <w:color w:val="auto"/>
        </w:rPr>
      </w:pPr>
      <w:r>
        <w:rPr>
          <w:rFonts w:ascii="Arial" w:cs="Arial" w:eastAsia="Arial" w:hAnsi="Arial"/>
          <w:sz w:val="9"/>
          <w:szCs w:val="9"/>
          <w:color w:val="FFFFFF"/>
        </w:rPr>
        <w:t>Established global footprint</w:t>
      </w:r>
    </w:p>
    <w:p>
      <w:pPr>
        <w:spacing w:after="0" w:line="206" w:lineRule="auto"/>
        <w:rPr>
          <w:sz w:val="20"/>
          <w:szCs w:val="20"/>
          <w:color w:val="auto"/>
        </w:rPr>
      </w:pPr>
      <w:r>
        <w:rPr>
          <w:rFonts w:ascii="Arial" w:cs="Arial" w:eastAsia="Arial" w:hAnsi="Arial"/>
          <w:sz w:val="4"/>
          <w:szCs w:val="4"/>
          <w:color w:val="FFFFFF"/>
        </w:rPr>
        <w:t>SignificantHighlyspecializedproprietaryskillknowledgeandengineeringandtradeinbearingsecrets components and precision machining</w:t>
      </w:r>
    </w:p>
    <w:p>
      <w:pPr>
        <w:spacing w:after="0"/>
        <w:rPr>
          <w:sz w:val="20"/>
          <w:szCs w:val="20"/>
          <w:color w:val="auto"/>
        </w:rPr>
      </w:pPr>
      <w:r>
        <w:rPr>
          <w:rFonts w:ascii="Arial" w:cs="Arial" w:eastAsia="Arial" w:hAnsi="Arial"/>
          <w:sz w:val="13"/>
          <w:szCs w:val="13"/>
          <w:color w:val="FFFFFF"/>
        </w:rPr>
        <w:t>Leading manufacturer of high precision components 12</w:t>
      </w:r>
    </w:p>
    <w:p>
      <w:pPr>
        <w:sectPr>
          <w:pgSz w:w="11900" w:h="16838" w:orient="portrait"/>
          <w:cols w:equalWidth="0" w:num="1">
            <w:col w:w="10219"/>
          </w:cols>
          <w:pgMar w:left="240" w:top="1440" w:right="1440"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6"/>
          <w:szCs w:val="26"/>
          <w:color w:val="FFFFFF"/>
          <w:vertAlign w:val="superscript"/>
        </w:rPr>
        <w:t>High</w:t>
      </w:r>
      <w:r>
        <w:rPr>
          <w:rFonts w:ascii="Arial" w:cs="Arial" w:eastAsia="Arial" w:hAnsi="Arial"/>
          <w:sz w:val="13"/>
          <w:szCs w:val="13"/>
          <w:color w:val="FFFFFF"/>
        </w:rPr>
        <w:t>Dfferentiation</w:t>
      </w:r>
    </w:p>
    <w:p>
      <w:pPr>
        <w:spacing w:after="0" w:line="204" w:lineRule="auto"/>
        <w:rPr>
          <w:sz w:val="20"/>
          <w:szCs w:val="20"/>
          <w:color w:val="auto"/>
        </w:rPr>
      </w:pPr>
      <w:r>
        <w:rPr>
          <w:rFonts w:ascii="Arial" w:cs="Arial" w:eastAsia="Arial" w:hAnsi="Arial"/>
          <w:sz w:val="4"/>
          <w:szCs w:val="4"/>
          <w:color w:val="FFFFFF"/>
        </w:rPr>
        <w:t>Operatingprecisiontolerancesmanufacturingof&lt;1micron</w:t>
      </w:r>
    </w:p>
    <w:p>
      <w:pPr>
        <w:ind w:right="4479"/>
        <w:spacing w:after="0" w:line="204" w:lineRule="auto"/>
        <w:rPr>
          <w:sz w:val="20"/>
          <w:szCs w:val="20"/>
          <w:color w:val="auto"/>
        </w:rPr>
      </w:pPr>
      <w:r>
        <w:rPr>
          <w:rFonts w:ascii="Arial" w:cs="Arial" w:eastAsia="Arial" w:hAnsi="Arial"/>
          <w:sz w:val="8"/>
          <w:szCs w:val="8"/>
          <w:color w:val="FFFFFF"/>
        </w:rPr>
        <w:t>Specialty machine building and in-house tooling leading to significant competitive advantages – trade secrets Application specific customer design</w:t>
      </w:r>
    </w:p>
    <w:p>
      <w:pPr>
        <w:spacing w:after="0" w:line="183" w:lineRule="auto"/>
        <w:rPr>
          <w:sz w:val="20"/>
          <w:szCs w:val="20"/>
          <w:color w:val="auto"/>
        </w:rPr>
      </w:pPr>
      <w:r>
        <w:rPr>
          <w:rFonts w:ascii="Arial" w:cs="Arial" w:eastAsia="Arial" w:hAnsi="Arial"/>
          <w:sz w:val="9"/>
          <w:szCs w:val="9"/>
          <w:color w:val="FFFFFF"/>
        </w:rPr>
        <w:t>Repeatable high volume global manufacturing in millions of parts per day</w:t>
      </w:r>
    </w:p>
    <w:p>
      <w:pPr>
        <w:spacing w:after="0"/>
        <w:rPr>
          <w:sz w:val="20"/>
          <w:szCs w:val="20"/>
          <w:color w:val="auto"/>
        </w:rPr>
      </w:pPr>
      <w:r>
        <w:rPr>
          <w:rFonts w:ascii="Arial" w:cs="Arial" w:eastAsia="Arial" w:hAnsi="Arial"/>
          <w:sz w:val="13"/>
          <w:szCs w:val="13"/>
          <w:color w:val="FFFFFF"/>
        </w:rPr>
        <w:t>13Zero defect process design, extendable to additional industry platforms</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Global Footprint</w:t>
      </w:r>
    </w:p>
    <w:p>
      <w:pPr>
        <w:ind w:left="140"/>
        <w:spacing w:after="0" w:line="204" w:lineRule="auto"/>
        <w:rPr>
          <w:sz w:val="20"/>
          <w:szCs w:val="20"/>
          <w:color w:val="auto"/>
        </w:rPr>
      </w:pPr>
      <w:r>
        <w:rPr>
          <w:rFonts w:ascii="Arial" w:cs="Arial" w:eastAsia="Arial" w:hAnsi="Arial"/>
          <w:sz w:val="4"/>
          <w:szCs w:val="4"/>
          <w:color w:val="FFFFFF"/>
        </w:rPr>
        <w:t>AutocamMetalBearingPrecisionComponentsComponents</w:t>
      </w:r>
    </w:p>
    <w:p>
      <w:pPr>
        <w:spacing w:after="0" w:line="205" w:lineRule="auto"/>
        <w:rPr>
          <w:sz w:val="20"/>
          <w:szCs w:val="20"/>
          <w:color w:val="auto"/>
        </w:rPr>
      </w:pPr>
      <w:r>
        <w:rPr>
          <w:rFonts w:ascii="Arial" w:cs="Arial" w:eastAsia="Arial" w:hAnsi="Arial"/>
          <w:sz w:val="4"/>
          <w:szCs w:val="4"/>
          <w:color w:val="FFFFFF"/>
          <w:vertAlign w:val="superscript"/>
        </w:rPr>
        <w:t>—</w:t>
      </w:r>
    </w:p>
    <w:p>
      <w:pPr>
        <w:ind w:left="140"/>
        <w:spacing w:after="0" w:line="205" w:lineRule="auto"/>
        <w:rPr>
          <w:sz w:val="20"/>
          <w:szCs w:val="20"/>
          <w:color w:val="auto"/>
        </w:rPr>
      </w:pPr>
      <w:r>
        <w:rPr>
          <w:rFonts w:ascii="Arial" w:cs="Arial" w:eastAsia="Arial" w:hAnsi="Arial"/>
          <w:sz w:val="4"/>
          <w:szCs w:val="4"/>
          <w:color w:val="FFFFFF"/>
        </w:rPr>
        <w:t>CorporatePlastic&amp;RubberHeadquartersComponents</w:t>
      </w:r>
    </w:p>
    <w:p>
      <w:pPr>
        <w:spacing w:after="0" w:line="205" w:lineRule="auto"/>
        <w:rPr>
          <w:sz w:val="20"/>
          <w:szCs w:val="20"/>
          <w:color w:val="auto"/>
        </w:rPr>
      </w:pPr>
      <w:r>
        <w:rPr>
          <w:rFonts w:ascii="Arial" w:cs="Arial" w:eastAsia="Arial" w:hAnsi="Arial"/>
          <w:sz w:val="4"/>
          <w:szCs w:val="4"/>
          <w:color w:val="FFFFFF"/>
        </w:rPr>
        <w:t>25 high precision manufacturing facilities on 4 continents</w:t>
      </w:r>
    </w:p>
    <w:p>
      <w:pPr>
        <w:spacing w:after="0"/>
        <w:rPr>
          <w:sz w:val="20"/>
          <w:szCs w:val="20"/>
          <w:color w:val="auto"/>
        </w:rPr>
      </w:pPr>
      <w:r>
        <w:rPr>
          <w:rFonts w:ascii="Arial" w:cs="Arial" w:eastAsia="Arial" w:hAnsi="Arial"/>
          <w:sz w:val="13"/>
          <w:szCs w:val="13"/>
          <w:color w:val="FFFFFF"/>
        </w:rPr>
        <w:t>14</w:t>
      </w:r>
    </w:p>
    <w:p>
      <w:pPr>
        <w:sectPr>
          <w:pgSz w:w="11900" w:h="16838" w:orient="portrait"/>
          <w:cols w:equalWidth="0" w:num="1">
            <w:col w:w="10219"/>
          </w:cols>
          <w:pgMar w:left="240" w:top="1440" w:right="1440"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0"/>
          <w:szCs w:val="10"/>
          <w:color w:val="FFFFFF"/>
        </w:rPr>
        <w:t>15Moving Forward</w:t>
      </w:r>
    </w:p>
    <w:p>
      <w:pPr>
        <w:sectPr>
          <w:pgSz w:w="11900" w:h="16838" w:orient="portrait"/>
          <w:cols w:equalWidth="0" w:num="1">
            <w:col w:w="10219"/>
          </w:cols>
          <w:pgMar w:left="240" w:top="1440" w:right="1440"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6"/>
          <w:szCs w:val="26"/>
          <w:color w:val="FFFFFF"/>
          <w:vertAlign w:val="subscript"/>
        </w:rPr>
        <w:t>$</w:t>
      </w:r>
      <w:r>
        <w:rPr>
          <w:rFonts w:ascii="Arial" w:cs="Arial" w:eastAsia="Arial" w:hAnsi="Arial"/>
          <w:sz w:val="13"/>
          <w:szCs w:val="13"/>
          <w:color w:val="FFFFFF"/>
        </w:rPr>
        <w:t>Road</w:t>
      </w:r>
      <w:r>
        <w:rPr>
          <w:rFonts w:ascii="Arial" w:cs="Arial" w:eastAsia="Arial" w:hAnsi="Arial"/>
          <w:sz w:val="26"/>
          <w:szCs w:val="26"/>
          <w:color w:val="FFFFFF"/>
          <w:vertAlign w:val="subscript"/>
        </w:rPr>
        <w:t>1,000</w:t>
      </w:r>
      <w:r>
        <w:rPr>
          <w:rFonts w:ascii="Arial" w:cs="Arial" w:eastAsia="Arial" w:hAnsi="Arial"/>
          <w:sz w:val="13"/>
          <w:szCs w:val="13"/>
          <w:color w:val="FFFFFF"/>
        </w:rPr>
        <w:t>Millionsto$1 Billion</w:t>
      </w:r>
    </w:p>
    <w:p>
      <w:pPr>
        <w:ind w:left="400"/>
        <w:spacing w:after="0" w:line="182" w:lineRule="auto"/>
        <w:rPr>
          <w:sz w:val="20"/>
          <w:szCs w:val="20"/>
          <w:color w:val="auto"/>
        </w:rPr>
      </w:pPr>
      <w:r>
        <w:rPr>
          <w:rFonts w:ascii="Arial" w:cs="Arial" w:eastAsia="Arial" w:hAnsi="Arial"/>
          <w:sz w:val="9"/>
          <w:szCs w:val="9"/>
          <w:color w:val="FFFFFF"/>
        </w:rPr>
        <w:t>$1,000 $1,000</w:t>
      </w:r>
    </w:p>
    <w:p>
      <w:pPr>
        <w:spacing w:after="0" w:line="205" w:lineRule="auto"/>
        <w:rPr>
          <w:sz w:val="20"/>
          <w:szCs w:val="20"/>
          <w:color w:val="auto"/>
        </w:rPr>
      </w:pPr>
      <w:r>
        <w:rPr>
          <w:rFonts w:ascii="Arial" w:cs="Arial" w:eastAsia="Arial" w:hAnsi="Arial"/>
          <w:sz w:val="4"/>
          <w:szCs w:val="4"/>
          <w:color w:val="FFFFFF"/>
        </w:rPr>
        <w:t>2014 Full Year Pro $926 Forma Revenue</w:t>
      </w:r>
    </w:p>
    <w:p>
      <w:pPr>
        <w:spacing w:after="0" w:line="205" w:lineRule="auto"/>
        <w:rPr>
          <w:sz w:val="20"/>
          <w:szCs w:val="20"/>
          <w:color w:val="auto"/>
        </w:rPr>
      </w:pPr>
      <w:r>
        <w:rPr>
          <w:rFonts w:ascii="Arial" w:cs="Arial" w:eastAsia="Arial" w:hAnsi="Arial"/>
          <w:sz w:val="2"/>
          <w:szCs w:val="2"/>
          <w:color w:val="FFFFFF"/>
        </w:rPr>
        <w:t>$</w:t>
      </w:r>
      <w:r>
        <w:rPr>
          <w:rFonts w:ascii="Arial" w:cs="Arial" w:eastAsia="Arial" w:hAnsi="Arial"/>
          <w:sz w:val="4"/>
          <w:szCs w:val="4"/>
          <w:color w:val="FFFFFF"/>
          <w:vertAlign w:val="superscript"/>
        </w:rPr>
        <w:t>9</w:t>
      </w:r>
      <w:r>
        <w:rPr>
          <w:rFonts w:ascii="Arial" w:cs="Arial" w:eastAsia="Arial" w:hAnsi="Arial"/>
          <w:sz w:val="2"/>
          <w:szCs w:val="2"/>
          <w:color w:val="FFFFFF"/>
        </w:rPr>
        <w:t>800 $772</w:t>
      </w:r>
    </w:p>
    <w:p>
      <w:pPr>
        <w:spacing w:after="0" w:line="205" w:lineRule="auto"/>
        <w:rPr>
          <w:sz w:val="20"/>
          <w:szCs w:val="20"/>
          <w:color w:val="auto"/>
        </w:rPr>
      </w:pPr>
      <w:r>
        <w:rPr>
          <w:rFonts w:ascii="Arial" w:cs="Arial" w:eastAsia="Arial" w:hAnsi="Arial"/>
          <w:sz w:val="4"/>
          <w:szCs w:val="4"/>
          <w:color w:val="FFFFFF"/>
        </w:rPr>
        <w:t>Organic Growth</w:t>
      </w:r>
    </w:p>
    <w:p>
      <w:pPr>
        <w:spacing w:after="0" w:line="189" w:lineRule="auto"/>
        <w:rPr>
          <w:sz w:val="20"/>
          <w:szCs w:val="20"/>
          <w:color w:val="auto"/>
        </w:rPr>
      </w:pPr>
      <w:r>
        <w:rPr>
          <w:rFonts w:ascii="Arial" w:cs="Arial" w:eastAsia="Arial" w:hAnsi="Arial"/>
          <w:sz w:val="13"/>
          <w:szCs w:val="13"/>
          <w:color w:val="FFFFFF"/>
          <w:vertAlign w:val="subscript"/>
        </w:rPr>
        <w:t>$</w:t>
      </w:r>
      <w:r>
        <w:rPr>
          <w:rFonts w:ascii="Arial" w:cs="Arial" w:eastAsia="Arial" w:hAnsi="Arial"/>
          <w:sz w:val="8"/>
          <w:szCs w:val="8"/>
          <w:color w:val="FFFFFF"/>
        </w:rPr>
        <w:t>7</w:t>
      </w:r>
      <w:r>
        <w:rPr>
          <w:rFonts w:ascii="Arial" w:cs="Arial" w:eastAsia="Arial" w:hAnsi="Arial"/>
          <w:sz w:val="13"/>
          <w:szCs w:val="13"/>
          <w:color w:val="FFFFFF"/>
          <w:vertAlign w:val="subscript"/>
        </w:rPr>
        <w:t>600</w:t>
      </w:r>
      <w:r>
        <w:rPr>
          <w:rFonts w:ascii="Arial" w:cs="Arial" w:eastAsia="Arial" w:hAnsi="Arial"/>
          <w:sz w:val="8"/>
          <w:szCs w:val="8"/>
          <w:color w:val="FFFFFF"/>
        </w:rPr>
        <w:t xml:space="preserve"> 3% per Year $680</w:t>
      </w:r>
    </w:p>
    <w:p>
      <w:pPr>
        <w:spacing w:after="0" w:line="205" w:lineRule="auto"/>
        <w:rPr>
          <w:sz w:val="20"/>
          <w:szCs w:val="20"/>
          <w:color w:val="auto"/>
        </w:rPr>
      </w:pPr>
      <w:r>
        <w:rPr>
          <w:rFonts w:ascii="Arial" w:cs="Arial" w:eastAsia="Arial" w:hAnsi="Arial"/>
          <w:sz w:val="4"/>
          <w:szCs w:val="4"/>
          <w:color w:val="FFFFFF"/>
          <w:vertAlign w:val="subscript"/>
        </w:rPr>
        <w:t>$</w:t>
      </w:r>
      <w:r>
        <w:rPr>
          <w:rFonts w:ascii="Arial" w:cs="Arial" w:eastAsia="Arial" w:hAnsi="Arial"/>
          <w:sz w:val="2"/>
          <w:szCs w:val="2"/>
          <w:color w:val="FFFFFF"/>
        </w:rPr>
        <w:t>Adjacent5</w:t>
      </w:r>
      <w:r>
        <w:rPr>
          <w:rFonts w:ascii="Arial" w:cs="Arial" w:eastAsia="Arial" w:hAnsi="Arial"/>
          <w:sz w:val="4"/>
          <w:szCs w:val="4"/>
          <w:color w:val="FFFFFF"/>
          <w:vertAlign w:val="subscript"/>
        </w:rPr>
        <w:t>400</w:t>
      </w:r>
      <w:r>
        <w:rPr>
          <w:rFonts w:ascii="Arial" w:cs="Arial" w:eastAsia="Arial" w:hAnsi="Arial"/>
          <w:sz w:val="2"/>
          <w:szCs w:val="2"/>
          <w:color w:val="FFFFFF"/>
        </w:rPr>
        <w:t>5% perMarketsYear</w:t>
      </w:r>
    </w:p>
    <w:p>
      <w:pPr>
        <w:ind w:left="300"/>
        <w:spacing w:after="0" w:line="205" w:lineRule="auto"/>
        <w:rPr>
          <w:sz w:val="20"/>
          <w:szCs w:val="20"/>
          <w:color w:val="auto"/>
        </w:rPr>
      </w:pPr>
      <w:r>
        <w:rPr>
          <w:rFonts w:ascii="Arial" w:cs="Arial" w:eastAsia="Arial" w:hAnsi="Arial"/>
          <w:sz w:val="4"/>
          <w:szCs w:val="4"/>
          <w:color w:val="FFFFFF"/>
        </w:rPr>
        <w:t>$373</w:t>
      </w:r>
    </w:p>
    <w:p>
      <w:pPr>
        <w:spacing w:after="0" w:line="205" w:lineRule="auto"/>
        <w:rPr>
          <w:sz w:val="20"/>
          <w:szCs w:val="20"/>
          <w:color w:val="auto"/>
        </w:rPr>
      </w:pPr>
      <w:r>
        <w:rPr>
          <w:rFonts w:ascii="Arial" w:cs="Arial" w:eastAsia="Arial" w:hAnsi="Arial"/>
          <w:sz w:val="4"/>
          <w:szCs w:val="4"/>
          <w:color w:val="FFFFFF"/>
        </w:rPr>
        <w:t>Acquisitions</w:t>
      </w:r>
    </w:p>
    <w:p>
      <w:pPr>
        <w:spacing w:after="0" w:line="182" w:lineRule="auto"/>
        <w:rPr>
          <w:sz w:val="20"/>
          <w:szCs w:val="20"/>
          <w:color w:val="auto"/>
        </w:rPr>
      </w:pPr>
      <w:r>
        <w:rPr>
          <w:rFonts w:ascii="Arial" w:cs="Arial" w:eastAsia="Arial" w:hAnsi="Arial"/>
          <w:sz w:val="9"/>
          <w:szCs w:val="9"/>
          <w:color w:val="FFFFFF"/>
        </w:rPr>
        <w:t>$300 $200 2013 Base 2018</w:t>
      </w:r>
    </w:p>
    <w:p>
      <w:pPr>
        <w:spacing w:after="0" w:line="206" w:lineRule="auto"/>
        <w:rPr>
          <w:sz w:val="20"/>
          <w:szCs w:val="20"/>
          <w:color w:val="auto"/>
        </w:rPr>
      </w:pPr>
      <w:r>
        <w:rPr>
          <w:rFonts w:ascii="Arial" w:cs="Arial" w:eastAsia="Arial" w:hAnsi="Arial"/>
          <w:sz w:val="4"/>
          <w:szCs w:val="4"/>
          <w:color w:val="FFFFFF"/>
        </w:rPr>
        <w:t>$Outpace1+billiontheinMarketrevenuewith Expanded Focus and Investment</w:t>
      </w:r>
    </w:p>
    <w:p>
      <w:pPr>
        <w:spacing w:after="0" w:line="182" w:lineRule="auto"/>
        <w:rPr>
          <w:sz w:val="20"/>
          <w:szCs w:val="20"/>
          <w:color w:val="auto"/>
        </w:rPr>
      </w:pPr>
      <w:r>
        <w:rPr>
          <w:rFonts w:ascii="Arial" w:cs="Arial" w:eastAsia="Arial" w:hAnsi="Arial"/>
          <w:sz w:val="9"/>
          <w:szCs w:val="9"/>
          <w:color w:val="FFFFFF"/>
          <w:vertAlign w:val="superscript"/>
        </w:rPr>
        <w:t>~$</w:t>
      </w:r>
      <w:r>
        <w:rPr>
          <w:rFonts w:ascii="Arial" w:cs="Arial" w:eastAsia="Arial" w:hAnsi="Arial"/>
          <w:sz w:val="7"/>
          <w:szCs w:val="7"/>
          <w:color w:val="FFFFFF"/>
        </w:rPr>
        <w:t>75</w:t>
      </w:r>
      <w:r>
        <w:rPr>
          <w:rFonts w:ascii="Arial" w:cs="Arial" w:eastAsia="Arial" w:hAnsi="Arial"/>
          <w:sz w:val="9"/>
          <w:szCs w:val="9"/>
          <w:color w:val="FFFFFF"/>
          <w:vertAlign w:val="superscript"/>
        </w:rPr>
        <w:t>245</w:t>
      </w:r>
      <w:r>
        <w:rPr>
          <w:rFonts w:ascii="Arial" w:cs="Arial" w:eastAsia="Arial" w:hAnsi="Arial"/>
          <w:sz w:val="7"/>
          <w:szCs w:val="7"/>
          <w:color w:val="FFFFFF"/>
        </w:rPr>
        <w:t>million planned acquisitions</w:t>
      </w:r>
    </w:p>
    <w:p>
      <w:pPr>
        <w:spacing w:after="0" w:line="205" w:lineRule="auto"/>
        <w:rPr>
          <w:sz w:val="20"/>
          <w:szCs w:val="20"/>
          <w:color w:val="auto"/>
        </w:rPr>
      </w:pPr>
      <w:r>
        <w:rPr>
          <w:rFonts w:ascii="Arial" w:cs="Arial" w:eastAsia="Arial" w:hAnsi="Arial"/>
          <w:sz w:val="4"/>
          <w:szCs w:val="4"/>
          <w:color w:val="FFFFFF"/>
        </w:rPr>
        <w:t>EnhancedmillionR&amp;Dfromand organicmarket presenceandadjacent market growth based</w:t>
      </w:r>
    </w:p>
    <w:p>
      <w:pPr>
        <w:spacing w:after="0"/>
        <w:rPr>
          <w:sz w:val="20"/>
          <w:szCs w:val="20"/>
          <w:color w:val="auto"/>
        </w:rPr>
      </w:pPr>
      <w:r>
        <w:rPr>
          <w:rFonts w:ascii="Arial" w:cs="Arial" w:eastAsia="Arial" w:hAnsi="Arial"/>
          <w:sz w:val="11"/>
          <w:szCs w:val="11"/>
          <w:color w:val="FFFFFF"/>
        </w:rPr>
        <w:t>NN will be growing revenue 270% and EPS 400% over the Strategic Plan years 16</w:t>
      </w:r>
    </w:p>
    <w:p>
      <w:pPr>
        <w:sectPr>
          <w:pgSz w:w="11900" w:h="16838" w:orient="portrait"/>
          <w:cols w:equalWidth="0" w:num="1">
            <w:col w:w="10219"/>
          </w:cols>
          <w:pgMar w:left="240" w:top="1440" w:right="1440"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Expanding Operating Margins</w:t>
      </w:r>
    </w:p>
    <w:p>
      <w:pPr>
        <w:ind w:left="80"/>
        <w:spacing w:after="0" w:line="204" w:lineRule="auto"/>
        <w:rPr>
          <w:sz w:val="20"/>
          <w:szCs w:val="20"/>
          <w:color w:val="auto"/>
        </w:rPr>
      </w:pPr>
      <w:r>
        <w:rPr>
          <w:rFonts w:ascii="Arial" w:cs="Arial" w:eastAsia="Arial" w:hAnsi="Arial"/>
          <w:sz w:val="2"/>
          <w:szCs w:val="2"/>
          <w:color w:val="FFFFFF"/>
        </w:rPr>
        <w:t>48</w:t>
      </w:r>
      <w:r>
        <w:rPr>
          <w:rFonts w:ascii="Arial" w:cs="Arial" w:eastAsia="Arial" w:hAnsi="Arial"/>
          <w:sz w:val="4"/>
          <w:szCs w:val="4"/>
          <w:color w:val="FFFFFF"/>
          <w:vertAlign w:val="subscript"/>
        </w:rPr>
        <w:t>6</w:t>
      </w:r>
      <w:r>
        <w:rPr>
          <w:rFonts w:ascii="Arial" w:cs="Arial" w:eastAsia="Arial" w:hAnsi="Arial"/>
          <w:sz w:val="2"/>
          <w:szCs w:val="2"/>
          <w:color w:val="FFFFFF"/>
        </w:rPr>
        <w:t xml:space="preserve">  4%7%</w:t>
      </w:r>
      <w:r>
        <w:rPr>
          <w:rFonts w:ascii="Arial" w:cs="Arial" w:eastAsia="Arial" w:hAnsi="Arial"/>
          <w:sz w:val="4"/>
          <w:szCs w:val="4"/>
          <w:color w:val="FFFFFF"/>
          <w:vertAlign w:val="subscript"/>
        </w:rPr>
        <w:t>6%</w:t>
      </w:r>
    </w:p>
    <w:p>
      <w:pPr>
        <w:ind w:left="80"/>
        <w:spacing w:after="0" w:line="205" w:lineRule="auto"/>
        <w:rPr>
          <w:sz w:val="20"/>
          <w:szCs w:val="20"/>
          <w:color w:val="auto"/>
        </w:rPr>
      </w:pPr>
      <w:r>
        <w:rPr>
          <w:rFonts w:ascii="Arial" w:cs="Arial" w:eastAsia="Arial" w:hAnsi="Arial"/>
          <w:sz w:val="2"/>
          <w:szCs w:val="2"/>
          <w:color w:val="FFFFFF"/>
        </w:rPr>
        <w:t>2  2%  2%</w:t>
      </w:r>
      <w:r>
        <w:rPr>
          <w:rFonts w:ascii="Arial" w:cs="Arial" w:eastAsia="Arial" w:hAnsi="Arial"/>
          <w:sz w:val="4"/>
          <w:szCs w:val="4"/>
          <w:color w:val="FFFFFF"/>
          <w:vertAlign w:val="superscript"/>
        </w:rPr>
        <w:t>4%</w:t>
      </w:r>
    </w:p>
    <w:p>
      <w:pPr>
        <w:spacing w:after="0" w:line="182" w:lineRule="auto"/>
        <w:rPr>
          <w:sz w:val="20"/>
          <w:szCs w:val="20"/>
          <w:color w:val="auto"/>
        </w:rPr>
      </w:pPr>
      <w:r>
        <w:rPr>
          <w:rFonts w:ascii="Arial" w:cs="Arial" w:eastAsia="Arial" w:hAnsi="Arial"/>
          <w:sz w:val="7"/>
          <w:szCs w:val="7"/>
          <w:color w:val="FFFFFF"/>
        </w:rPr>
        <w:t xml:space="preserve">10 10% 10% </w:t>
      </w:r>
      <w:r>
        <w:rPr>
          <w:rFonts w:ascii="Arial" w:cs="Arial" w:eastAsia="Arial" w:hAnsi="Arial"/>
          <w:sz w:val="9"/>
          <w:szCs w:val="9"/>
          <w:color w:val="FFFFFF"/>
          <w:vertAlign w:val="superscript"/>
        </w:rPr>
        <w:t>12%</w:t>
      </w:r>
    </w:p>
    <w:p>
      <w:pPr>
        <w:spacing w:after="0" w:line="206" w:lineRule="auto"/>
        <w:rPr>
          <w:sz w:val="20"/>
          <w:szCs w:val="20"/>
          <w:color w:val="auto"/>
        </w:rPr>
      </w:pPr>
      <w:r>
        <w:rPr>
          <w:rFonts w:ascii="Arial" w:cs="Arial" w:eastAsia="Arial" w:hAnsi="Arial"/>
          <w:sz w:val="4"/>
          <w:szCs w:val="4"/>
          <w:color w:val="FFFFFF"/>
        </w:rPr>
        <w:t>8 8%</w:t>
      </w:r>
    </w:p>
    <w:p>
      <w:pPr>
        <w:spacing w:after="0" w:line="205" w:lineRule="auto"/>
        <w:rPr>
          <w:sz w:val="20"/>
          <w:szCs w:val="20"/>
          <w:color w:val="auto"/>
        </w:rPr>
      </w:pPr>
      <w:r>
        <w:rPr>
          <w:rFonts w:ascii="Arial" w:cs="Arial" w:eastAsia="Arial" w:hAnsi="Arial"/>
          <w:sz w:val="4"/>
          <w:szCs w:val="4"/>
          <w:color w:val="FFFFFF"/>
        </w:rPr>
        <w:t>6</w:t>
      </w:r>
    </w:p>
    <w:p>
      <w:pPr>
        <w:spacing w:after="0" w:line="205" w:lineRule="auto"/>
        <w:rPr>
          <w:sz w:val="20"/>
          <w:szCs w:val="20"/>
          <w:color w:val="auto"/>
        </w:rPr>
      </w:pPr>
      <w:r>
        <w:rPr>
          <w:rFonts w:ascii="Arial" w:cs="Arial" w:eastAsia="Arial" w:hAnsi="Arial"/>
          <w:sz w:val="4"/>
          <w:szCs w:val="4"/>
          <w:color w:val="FFFFFF"/>
        </w:rPr>
        <w:t>4</w:t>
      </w:r>
    </w:p>
    <w:p>
      <w:pPr>
        <w:spacing w:after="0" w:line="205" w:lineRule="auto"/>
        <w:rPr>
          <w:sz w:val="20"/>
          <w:szCs w:val="20"/>
          <w:color w:val="auto"/>
        </w:rPr>
      </w:pPr>
      <w:r>
        <w:rPr>
          <w:rFonts w:ascii="Arial" w:cs="Arial" w:eastAsia="Arial" w:hAnsi="Arial"/>
          <w:sz w:val="4"/>
          <w:szCs w:val="4"/>
          <w:color w:val="FFFFFF"/>
        </w:rPr>
        <w:t>3% 3%</w:t>
      </w:r>
    </w:p>
    <w:p>
      <w:pPr>
        <w:spacing w:after="0" w:line="205" w:lineRule="auto"/>
        <w:rPr>
          <w:sz w:val="20"/>
          <w:szCs w:val="20"/>
          <w:color w:val="auto"/>
        </w:rPr>
      </w:pPr>
      <w:r>
        <w:rPr>
          <w:rFonts w:ascii="Arial" w:cs="Arial" w:eastAsia="Arial" w:hAnsi="Arial"/>
          <w:sz w:val="4"/>
          <w:szCs w:val="4"/>
          <w:color w:val="FFFFFF"/>
        </w:rPr>
        <w:t>2</w:t>
      </w:r>
    </w:p>
    <w:p>
      <w:pPr>
        <w:spacing w:after="0" w:line="205" w:lineRule="auto"/>
        <w:rPr>
          <w:sz w:val="20"/>
          <w:szCs w:val="20"/>
          <w:color w:val="auto"/>
        </w:rPr>
      </w:pPr>
      <w:r>
        <w:rPr>
          <w:rFonts w:ascii="Arial" w:cs="Arial" w:eastAsia="Arial" w:hAnsi="Arial"/>
          <w:sz w:val="4"/>
          <w:szCs w:val="4"/>
          <w:color w:val="FFFFFF"/>
        </w:rPr>
        <w:t>0</w:t>
      </w:r>
    </w:p>
    <w:p>
      <w:pPr>
        <w:spacing w:after="0" w:line="182" w:lineRule="auto"/>
        <w:rPr>
          <w:sz w:val="20"/>
          <w:szCs w:val="20"/>
          <w:color w:val="auto"/>
        </w:rPr>
      </w:pPr>
      <w:r>
        <w:rPr>
          <w:rFonts w:ascii="Arial" w:cs="Arial" w:eastAsia="Arial" w:hAnsi="Arial"/>
          <w:sz w:val="9"/>
          <w:szCs w:val="9"/>
          <w:color w:val="FFFFFF"/>
        </w:rPr>
        <w:t>APC MBC PRC</w:t>
      </w:r>
    </w:p>
    <w:p>
      <w:pPr>
        <w:spacing w:after="0" w:line="205" w:lineRule="auto"/>
        <w:rPr>
          <w:sz w:val="20"/>
          <w:szCs w:val="20"/>
          <w:color w:val="auto"/>
        </w:rPr>
      </w:pPr>
      <w:r>
        <w:rPr>
          <w:rFonts w:ascii="Arial" w:cs="Arial" w:eastAsia="Arial" w:hAnsi="Arial"/>
          <w:sz w:val="4"/>
          <w:szCs w:val="4"/>
          <w:color w:val="FFFFFF"/>
        </w:rPr>
        <w:t>172014 Adj. Operating Margin 2015 Forecasted Adj. Operating Margin 2018 Strategic Plan</w:t>
      </w:r>
    </w:p>
    <w:p>
      <w:pPr>
        <w:spacing w:after="0"/>
        <w:rPr>
          <w:sz w:val="20"/>
          <w:szCs w:val="20"/>
          <w:color w:val="auto"/>
        </w:rPr>
      </w:pPr>
      <w:r>
        <w:rPr>
          <w:rFonts w:ascii="Arial" w:cs="Arial" w:eastAsia="Arial" w:hAnsi="Arial"/>
          <w:sz w:val="13"/>
          <w:szCs w:val="13"/>
          <w:color w:val="FFFFFF"/>
        </w:rPr>
        <w:t>All percentages rounded to the nearest whole number</w:t>
      </w:r>
    </w:p>
    <w:p>
      <w:pPr>
        <w:sectPr>
          <w:pgSz w:w="11900" w:h="16838" w:orient="portrait"/>
          <w:cols w:equalWidth="0" w:num="1">
            <w:col w:w="10219"/>
          </w:cols>
          <w:pgMar w:left="240" w:top="1440" w:right="1440"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Today &amp; Future Vision – End Markets</w:t>
      </w:r>
    </w:p>
    <w:p>
      <w:pPr>
        <w:spacing w:after="0" w:line="182" w:lineRule="auto"/>
        <w:rPr>
          <w:sz w:val="20"/>
          <w:szCs w:val="20"/>
          <w:color w:val="auto"/>
        </w:rPr>
      </w:pPr>
      <w:r>
        <w:rPr>
          <w:rFonts w:ascii="Arial" w:cs="Arial" w:eastAsia="Arial" w:hAnsi="Arial"/>
          <w:sz w:val="9"/>
          <w:szCs w:val="9"/>
          <w:color w:val="FFFFFF"/>
        </w:rPr>
        <w:t>Light Auto – CAFE Related</w:t>
      </w:r>
    </w:p>
    <w:p>
      <w:pPr>
        <w:spacing w:after="0" w:line="205" w:lineRule="auto"/>
        <w:rPr>
          <w:sz w:val="20"/>
          <w:szCs w:val="20"/>
          <w:color w:val="auto"/>
        </w:rPr>
      </w:pPr>
      <w:r>
        <w:rPr>
          <w:rFonts w:ascii="Arial" w:cs="Arial" w:eastAsia="Arial" w:hAnsi="Arial"/>
          <w:sz w:val="4"/>
          <w:szCs w:val="4"/>
          <w:color w:val="FFFFFF"/>
        </w:rPr>
        <w:t>Technologies</w:t>
      </w:r>
    </w:p>
    <w:p>
      <w:pPr>
        <w:spacing w:after="0" w:line="205" w:lineRule="auto"/>
        <w:rPr>
          <w:sz w:val="20"/>
          <w:szCs w:val="20"/>
          <w:color w:val="auto"/>
        </w:rPr>
      </w:pPr>
      <w:r>
        <w:rPr>
          <w:rFonts w:ascii="Arial" w:cs="Arial" w:eastAsia="Arial" w:hAnsi="Arial"/>
          <w:sz w:val="4"/>
          <w:szCs w:val="4"/>
          <w:color w:val="FFFFFF"/>
        </w:rPr>
        <w:t>Industrial/Aerospace/Medical</w:t>
      </w:r>
    </w:p>
    <w:p>
      <w:pPr>
        <w:spacing w:after="0" w:line="205" w:lineRule="auto"/>
        <w:rPr>
          <w:sz w:val="20"/>
          <w:szCs w:val="20"/>
          <w:color w:val="auto"/>
        </w:rPr>
      </w:pPr>
      <w:r>
        <w:rPr>
          <w:rFonts w:ascii="Arial" w:cs="Arial" w:eastAsia="Arial" w:hAnsi="Arial"/>
          <w:sz w:val="4"/>
          <w:szCs w:val="4"/>
          <w:color w:val="FFFFFF"/>
        </w:rPr>
        <w:t>Commercial Transportation</w:t>
      </w:r>
    </w:p>
    <w:p>
      <w:pPr>
        <w:spacing w:after="0" w:line="205" w:lineRule="auto"/>
        <w:rPr>
          <w:sz w:val="20"/>
          <w:szCs w:val="20"/>
          <w:color w:val="auto"/>
        </w:rPr>
      </w:pPr>
      <w:r>
        <w:rPr>
          <w:rFonts w:ascii="Arial" w:cs="Arial" w:eastAsia="Arial" w:hAnsi="Arial"/>
          <w:sz w:val="4"/>
          <w:szCs w:val="4"/>
          <w:color w:val="FFFFFF"/>
        </w:rPr>
        <w:t>General/Plastics</w:t>
      </w:r>
    </w:p>
    <w:p>
      <w:pPr>
        <w:spacing w:after="0" w:line="205" w:lineRule="auto"/>
        <w:rPr>
          <w:sz w:val="20"/>
          <w:szCs w:val="20"/>
          <w:color w:val="auto"/>
        </w:rPr>
      </w:pPr>
      <w:r>
        <w:rPr>
          <w:rFonts w:ascii="Arial" w:cs="Arial" w:eastAsia="Arial" w:hAnsi="Arial"/>
          <w:sz w:val="4"/>
          <w:szCs w:val="4"/>
          <w:color w:val="FFFFFF"/>
        </w:rPr>
        <w:t>2014 2018</w:t>
      </w:r>
    </w:p>
    <w:p>
      <w:pPr>
        <w:spacing w:after="0" w:line="205" w:lineRule="auto"/>
        <w:rPr>
          <w:sz w:val="20"/>
          <w:szCs w:val="20"/>
          <w:color w:val="auto"/>
        </w:rPr>
      </w:pPr>
      <w:r>
        <w:rPr>
          <w:rFonts w:ascii="Arial" w:cs="Arial" w:eastAsia="Arial" w:hAnsi="Arial"/>
          <w:sz w:val="4"/>
          <w:szCs w:val="4"/>
          <w:color w:val="FFFFFF"/>
        </w:rPr>
        <w:t>Revenue = $680M* Revenue = $1B</w:t>
      </w:r>
    </w:p>
    <w:p>
      <w:pPr>
        <w:spacing w:after="0" w:line="182" w:lineRule="auto"/>
        <w:rPr>
          <w:sz w:val="20"/>
          <w:szCs w:val="20"/>
          <w:color w:val="auto"/>
        </w:rPr>
      </w:pPr>
      <w:r>
        <w:rPr>
          <w:rFonts w:ascii="Arial" w:cs="Arial" w:eastAsia="Arial" w:hAnsi="Arial"/>
          <w:sz w:val="7"/>
          <w:szCs w:val="7"/>
          <w:color w:val="FFFFFF"/>
        </w:rPr>
        <w:t>8%</w:t>
      </w:r>
      <w:r>
        <w:rPr>
          <w:rFonts w:ascii="Arial" w:cs="Arial" w:eastAsia="Arial" w:hAnsi="Arial"/>
          <w:sz w:val="9"/>
          <w:szCs w:val="9"/>
          <w:color w:val="FFFFFF"/>
          <w:vertAlign w:val="superscript"/>
        </w:rPr>
        <w:t>5%</w:t>
      </w:r>
    </w:p>
    <w:p>
      <w:pPr>
        <w:spacing w:after="0" w:line="205" w:lineRule="auto"/>
        <w:rPr>
          <w:sz w:val="20"/>
          <w:szCs w:val="20"/>
          <w:color w:val="auto"/>
        </w:rPr>
      </w:pPr>
      <w:r>
        <w:rPr>
          <w:rFonts w:ascii="Arial" w:cs="Arial" w:eastAsia="Arial" w:hAnsi="Arial"/>
          <w:sz w:val="4"/>
          <w:szCs w:val="4"/>
          <w:color w:val="FFFFFF"/>
        </w:rPr>
        <w:t>17%</w:t>
      </w:r>
    </w:p>
    <w:p>
      <w:pPr>
        <w:spacing w:after="0" w:line="182" w:lineRule="auto"/>
        <w:rPr>
          <w:sz w:val="20"/>
          <w:szCs w:val="20"/>
          <w:color w:val="auto"/>
        </w:rPr>
      </w:pPr>
      <w:r>
        <w:rPr>
          <w:rFonts w:ascii="Arial" w:cs="Arial" w:eastAsia="Arial" w:hAnsi="Arial"/>
          <w:sz w:val="9"/>
          <w:szCs w:val="9"/>
          <w:color w:val="FFFFFF"/>
        </w:rPr>
        <w:t>10%</w:t>
      </w:r>
    </w:p>
    <w:p>
      <w:pPr>
        <w:spacing w:after="0" w:line="206" w:lineRule="auto"/>
        <w:rPr>
          <w:sz w:val="20"/>
          <w:szCs w:val="20"/>
          <w:color w:val="auto"/>
        </w:rPr>
      </w:pPr>
      <w:r>
        <w:rPr>
          <w:rFonts w:ascii="Arial" w:cs="Arial" w:eastAsia="Arial" w:hAnsi="Arial"/>
          <w:sz w:val="4"/>
          <w:szCs w:val="4"/>
          <w:color w:val="FFFFFF"/>
        </w:rPr>
        <w:t>8%</w:t>
      </w:r>
    </w:p>
    <w:p>
      <w:pPr>
        <w:spacing w:after="0" w:line="189" w:lineRule="auto"/>
        <w:rPr>
          <w:sz w:val="20"/>
          <w:szCs w:val="20"/>
          <w:color w:val="auto"/>
        </w:rPr>
      </w:pPr>
      <w:r>
        <w:rPr>
          <w:rFonts w:ascii="Arial" w:cs="Arial" w:eastAsia="Arial" w:hAnsi="Arial"/>
          <w:sz w:val="8"/>
          <w:szCs w:val="8"/>
          <w:color w:val="FFFFFF"/>
        </w:rPr>
        <w:t>32%</w:t>
      </w:r>
      <w:r>
        <w:rPr>
          <w:rFonts w:ascii="Arial" w:cs="Arial" w:eastAsia="Arial" w:hAnsi="Arial"/>
          <w:sz w:val="13"/>
          <w:szCs w:val="13"/>
          <w:color w:val="FFFFFF"/>
          <w:vertAlign w:val="superscript"/>
        </w:rPr>
        <w:t>50%</w:t>
      </w:r>
    </w:p>
    <w:p>
      <w:pPr>
        <w:spacing w:after="0"/>
        <w:rPr>
          <w:sz w:val="20"/>
          <w:szCs w:val="20"/>
          <w:color w:val="auto"/>
        </w:rPr>
      </w:pPr>
      <w:r>
        <w:rPr>
          <w:rFonts w:ascii="Arial" w:cs="Arial" w:eastAsia="Arial" w:hAnsi="Arial"/>
          <w:sz w:val="7"/>
          <w:szCs w:val="7"/>
          <w:color w:val="FFFFFF"/>
        </w:rPr>
        <w:t>Building</w:t>
      </w:r>
      <w:r>
        <w:rPr>
          <w:rFonts w:ascii="Arial" w:cs="Arial" w:eastAsia="Arial" w:hAnsi="Arial"/>
          <w:sz w:val="10"/>
          <w:szCs w:val="10"/>
          <w:color w:val="FFFFFF"/>
          <w:vertAlign w:val="subscript"/>
        </w:rPr>
        <w:t>*Proforma</w:t>
      </w:r>
      <w:r>
        <w:rPr>
          <w:rFonts w:ascii="Arial" w:cs="Arial" w:eastAsia="Arial" w:hAnsi="Arial"/>
          <w:sz w:val="7"/>
          <w:szCs w:val="7"/>
          <w:color w:val="FFFFFF"/>
        </w:rPr>
        <w:t xml:space="preserve"> balancedfullyear consolidatedbusinessthat revenueearnsthroughout the cycle 18</w:t>
      </w:r>
    </w:p>
    <w:p>
      <w:pPr>
        <w:sectPr>
          <w:pgSz w:w="11900" w:h="16838" w:orient="portrait"/>
          <w:cols w:equalWidth="0" w:num="1">
            <w:col w:w="10219"/>
          </w:cols>
          <w:pgMar w:left="240" w:top="1440" w:right="1440"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2014Today2018&amp;Future Vision – Segment Mix</w:t>
      </w:r>
    </w:p>
    <w:p>
      <w:pPr>
        <w:spacing w:after="0" w:line="204" w:lineRule="auto"/>
        <w:rPr>
          <w:sz w:val="20"/>
          <w:szCs w:val="20"/>
          <w:color w:val="auto"/>
        </w:rPr>
      </w:pPr>
      <w:r>
        <w:rPr>
          <w:rFonts w:ascii="Arial" w:cs="Arial" w:eastAsia="Arial" w:hAnsi="Arial"/>
          <w:sz w:val="4"/>
          <w:szCs w:val="4"/>
          <w:color w:val="FFFFFF"/>
          <w:vertAlign w:val="subscript"/>
        </w:rPr>
        <w:t>51%</w:t>
      </w:r>
      <w:r>
        <w:rPr>
          <w:rFonts w:ascii="Arial" w:cs="Arial" w:eastAsia="Arial" w:hAnsi="Arial"/>
          <w:sz w:val="2"/>
          <w:szCs w:val="2"/>
          <w:color w:val="FFFFFF"/>
        </w:rPr>
        <w:t>Revenue43%%= $680M* Revenue = $1B</w:t>
      </w:r>
    </w:p>
    <w:p>
      <w:pPr>
        <w:ind w:left="280"/>
        <w:spacing w:after="0" w:line="205" w:lineRule="auto"/>
        <w:rPr>
          <w:sz w:val="20"/>
          <w:szCs w:val="20"/>
          <w:color w:val="auto"/>
        </w:rPr>
      </w:pPr>
      <w:r>
        <w:rPr>
          <w:rFonts w:ascii="Arial" w:cs="Arial" w:eastAsia="Arial" w:hAnsi="Arial"/>
          <w:sz w:val="4"/>
          <w:szCs w:val="4"/>
          <w:color w:val="FFFFFF"/>
        </w:rPr>
        <w:t>43% 43 52% 39% %</w:t>
      </w:r>
    </w:p>
    <w:p>
      <w:pPr>
        <w:spacing w:after="0" w:line="205" w:lineRule="auto"/>
        <w:rPr>
          <w:sz w:val="20"/>
          <w:szCs w:val="20"/>
          <w:color w:val="auto"/>
        </w:rPr>
      </w:pPr>
      <w:r>
        <w:rPr>
          <w:rFonts w:ascii="Arial" w:cs="Arial" w:eastAsia="Arial" w:hAnsi="Arial"/>
          <w:sz w:val="4"/>
          <w:szCs w:val="4"/>
          <w:color w:val="FFFFFF"/>
        </w:rPr>
        <w:t>6% 9% 6%</w:t>
      </w:r>
    </w:p>
    <w:p>
      <w:pPr>
        <w:spacing w:after="0" w:line="205" w:lineRule="auto"/>
        <w:rPr>
          <w:sz w:val="20"/>
          <w:szCs w:val="20"/>
          <w:color w:val="auto"/>
        </w:rPr>
      </w:pPr>
      <w:r>
        <w:rPr>
          <w:rFonts w:ascii="Arial" w:cs="Arial" w:eastAsia="Arial" w:hAnsi="Arial"/>
          <w:sz w:val="2"/>
          <w:szCs w:val="2"/>
          <w:color w:val="FFFFFF"/>
        </w:rPr>
        <w:t xml:space="preserve">31 </w:t>
      </w:r>
      <w:r>
        <w:rPr>
          <w:rFonts w:ascii="Arial" w:cs="Arial" w:eastAsia="Arial" w:hAnsi="Arial"/>
          <w:sz w:val="4"/>
          <w:szCs w:val="4"/>
          <w:color w:val="FFFFFF"/>
          <w:vertAlign w:val="subscript"/>
        </w:rPr>
        <w:t>43%</w:t>
      </w:r>
      <w:r>
        <w:rPr>
          <w:rFonts w:ascii="Arial" w:cs="Arial" w:eastAsia="Arial" w:hAnsi="Arial"/>
          <w:sz w:val="2"/>
          <w:szCs w:val="2"/>
          <w:color w:val="FFFFFF"/>
        </w:rPr>
        <w:t xml:space="preserve"> 50 51</w:t>
      </w:r>
    </w:p>
    <w:p>
      <w:pPr>
        <w:ind w:right="4379"/>
        <w:spacing w:after="0" w:line="234" w:lineRule="auto"/>
        <w:rPr>
          <w:sz w:val="20"/>
          <w:szCs w:val="20"/>
          <w:color w:val="auto"/>
        </w:rPr>
      </w:pPr>
      <w:r>
        <w:rPr>
          <w:rFonts w:ascii="Arial" w:cs="Arial" w:eastAsia="Arial" w:hAnsi="Arial"/>
          <w:sz w:val="7"/>
          <w:szCs w:val="7"/>
          <w:color w:val="FFFFFF"/>
        </w:rPr>
        <w:t>% % Autocam Precision 60 Components Plastic &amp; Rubber Components Metal Bearing Components % 25 % Segment mix continues to improve as our revenues continue to grow 19</w:t>
      </w:r>
    </w:p>
    <w:p>
      <w:pPr>
        <w:spacing w:after="0"/>
        <w:rPr>
          <w:sz w:val="20"/>
          <w:szCs w:val="20"/>
          <w:color w:val="auto"/>
        </w:rPr>
      </w:pPr>
      <w:r>
        <w:rPr>
          <w:rFonts w:ascii="Arial" w:cs="Arial" w:eastAsia="Arial" w:hAnsi="Arial"/>
          <w:sz w:val="13"/>
          <w:szCs w:val="13"/>
          <w:color w:val="FFFFFF"/>
        </w:rPr>
        <w:t>*Proforma full year consolidated revenue</w:t>
      </w:r>
    </w:p>
    <w:p>
      <w:pPr>
        <w:sectPr>
          <w:pgSz w:w="11900" w:h="16838" w:orient="portrait"/>
          <w:cols w:equalWidth="0" w:num="1">
            <w:col w:w="10219"/>
          </w:cols>
          <w:pgMar w:left="240" w:top="1440" w:right="1440"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3"/>
          <w:szCs w:val="13"/>
          <w:color w:val="FFFFFF"/>
        </w:rPr>
        <w:t>31.Strategic9%18.2%Building Blocks 2018</w:t>
      </w:r>
    </w:p>
    <w:p>
      <w:pPr>
        <w:spacing w:after="0" w:line="204" w:lineRule="auto"/>
        <w:rPr>
          <w:sz w:val="20"/>
          <w:szCs w:val="20"/>
          <w:color w:val="auto"/>
        </w:rPr>
      </w:pPr>
      <w:r>
        <w:rPr>
          <w:rFonts w:ascii="Arial" w:cs="Arial" w:eastAsia="Arial" w:hAnsi="Arial"/>
          <w:sz w:val="2"/>
          <w:szCs w:val="2"/>
          <w:color w:val="FFFFFF"/>
        </w:rPr>
        <w:t>37EPS</w:t>
      </w:r>
      <w:r>
        <w:rPr>
          <w:rFonts w:ascii="Arial" w:cs="Arial" w:eastAsia="Arial" w:hAnsi="Arial"/>
          <w:sz w:val="4"/>
          <w:szCs w:val="4"/>
          <w:color w:val="FFFFFF"/>
          <w:vertAlign w:val="subscript"/>
        </w:rPr>
        <w:t>.8%</w:t>
      </w:r>
      <w:r>
        <w:rPr>
          <w:rFonts w:ascii="Arial" w:cs="Arial" w:eastAsia="Arial" w:hAnsi="Arial"/>
          <w:sz w:val="2"/>
          <w:szCs w:val="2"/>
          <w:color w:val="FFFFFF"/>
        </w:rPr>
        <w:t>5%CAGR8%25.ROIC</w:t>
      </w:r>
    </w:p>
    <w:p>
      <w:pPr>
        <w:spacing w:after="0" w:line="182" w:lineRule="auto"/>
        <w:tabs>
          <w:tab w:leader="none" w:pos="360" w:val="left"/>
        </w:tabs>
        <w:rPr>
          <w:sz w:val="20"/>
          <w:szCs w:val="20"/>
          <w:color w:val="auto"/>
        </w:rPr>
      </w:pPr>
      <w:r>
        <w:rPr>
          <w:rFonts w:ascii="Arial" w:cs="Arial" w:eastAsia="Arial" w:hAnsi="Arial"/>
          <w:sz w:val="9"/>
          <w:szCs w:val="9"/>
          <w:color w:val="FFFFFF"/>
        </w:rPr>
        <w:t>21</w:t>
      </w:r>
      <w:r>
        <w:rPr>
          <w:sz w:val="20"/>
          <w:szCs w:val="20"/>
          <w:color w:val="auto"/>
        </w:rPr>
        <w:tab/>
      </w:r>
      <w:r>
        <w:rPr>
          <w:rFonts w:ascii="Arial" w:cs="Arial" w:eastAsia="Arial" w:hAnsi="Arial"/>
          <w:sz w:val="9"/>
          <w:szCs w:val="9"/>
          <w:color w:val="FFFFFF"/>
        </w:rPr>
        <w:t>Operating</w:t>
      </w:r>
    </w:p>
    <w:p>
      <w:pPr>
        <w:spacing w:after="0"/>
        <w:rPr>
          <w:sz w:val="20"/>
          <w:szCs w:val="20"/>
          <w:color w:val="auto"/>
        </w:rPr>
      </w:pPr>
      <w:r>
        <w:rPr>
          <w:rFonts w:ascii="Arial" w:cs="Arial" w:eastAsia="Arial" w:hAnsi="Arial"/>
          <w:sz w:val="11"/>
          <w:szCs w:val="11"/>
          <w:color w:val="FFFFFF"/>
        </w:rPr>
        <w:t>20Manufacturing Sales CAGR Income Margin CAGR</w:t>
      </w:r>
    </w:p>
    <w:p>
      <w:pPr>
        <w:sectPr>
          <w:pgSz w:w="11900" w:h="16838" w:orient="portrait"/>
          <w:cols w:equalWidth="0" w:num="1">
            <w:col w:w="10219"/>
          </w:cols>
          <w:pgMar w:left="240" w:top="1440" w:right="1440"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gridSpan w:val="2"/>
          </w:tcPr>
          <w:p>
            <w:pPr>
              <w:spacing w:after="0"/>
              <w:rPr>
                <w:sz w:val="20"/>
                <w:szCs w:val="20"/>
                <w:color w:val="auto"/>
              </w:rPr>
            </w:pPr>
            <w:r>
              <w:rPr>
                <w:rFonts w:ascii="Arial" w:cs="Arial" w:eastAsia="Arial" w:hAnsi="Arial"/>
                <w:sz w:val="13"/>
                <w:szCs w:val="13"/>
                <w:color w:val="FFFFFF"/>
              </w:rPr>
              <w:t>Financial</w:t>
            </w:r>
          </w:p>
        </w:tc>
        <w:tc>
          <w:tcPr>
            <w:tcW w:w="5400" w:type="dxa"/>
            <w:vAlign w:val="bottom"/>
          </w:tcPr>
          <w:p>
            <w:pPr>
              <w:ind w:left="60"/>
              <w:spacing w:after="0"/>
              <w:rPr>
                <w:sz w:val="20"/>
                <w:szCs w:val="20"/>
                <w:color w:val="auto"/>
              </w:rPr>
            </w:pPr>
            <w:r>
              <w:rPr>
                <w:rFonts w:ascii="Arial" w:cs="Arial" w:eastAsia="Arial" w:hAnsi="Arial"/>
                <w:sz w:val="13"/>
                <w:szCs w:val="13"/>
                <w:color w:val="FFFFFF"/>
              </w:rPr>
              <w:t>/ Policy</w:t>
            </w:r>
          </w:p>
        </w:tc>
      </w:tr>
      <w:tr>
        <w:trPr>
          <w:trHeight w:val="39"/>
        </w:trPr>
        <w:tc>
          <w:tcPr>
            <w:tcW w:w="6340" w:type="dxa"/>
            <w:vAlign w:val="bottom"/>
            <w:gridSpan w:val="3"/>
          </w:tcPr>
          <w:p>
            <w:pPr>
              <w:spacing w:after="0" w:line="40" w:lineRule="exact"/>
              <w:rPr>
                <w:sz w:val="20"/>
                <w:szCs w:val="20"/>
                <w:color w:val="auto"/>
              </w:rPr>
            </w:pPr>
            <w:r>
              <w:rPr>
                <w:rFonts w:ascii="Arial" w:cs="Arial" w:eastAsia="Arial" w:hAnsi="Arial"/>
                <w:sz w:val="4"/>
                <w:szCs w:val="4"/>
                <w:color w:val="FFFFFF"/>
              </w:rPr>
              <w:t>Build uponStrategystrong, global operating platform while maintaining financial strength and flexibility</w:t>
            </w:r>
          </w:p>
        </w:tc>
      </w:tr>
      <w:tr>
        <w:trPr>
          <w:trHeight w:val="39"/>
        </w:trPr>
        <w:tc>
          <w:tcPr>
            <w:tcW w:w="940" w:type="dxa"/>
            <w:vAlign w:val="bottom"/>
            <w:gridSpan w:val="2"/>
          </w:tcPr>
          <w:p>
            <w:pPr>
              <w:spacing w:after="0" w:line="40" w:lineRule="exact"/>
              <w:rPr>
                <w:sz w:val="20"/>
                <w:szCs w:val="20"/>
                <w:color w:val="auto"/>
              </w:rPr>
            </w:pPr>
            <w:r>
              <w:rPr>
                <w:rFonts w:ascii="Arial" w:cs="Arial" w:eastAsia="Arial" w:hAnsi="Arial"/>
                <w:sz w:val="4"/>
                <w:szCs w:val="4"/>
                <w:color w:val="FFFFFF"/>
              </w:rPr>
              <w:t>Financial policy:</w:t>
            </w:r>
          </w:p>
        </w:tc>
        <w:tc>
          <w:tcPr>
            <w:tcW w:w="5400" w:type="dxa"/>
            <w:vAlign w:val="bottom"/>
          </w:tcPr>
          <w:p>
            <w:pPr>
              <w:spacing w:after="0"/>
              <w:rPr>
                <w:sz w:val="3"/>
                <w:szCs w:val="3"/>
                <w:color w:val="auto"/>
              </w:rPr>
            </w:pPr>
          </w:p>
        </w:tc>
      </w:tr>
      <w:tr>
        <w:trPr>
          <w:trHeight w:val="39"/>
        </w:trPr>
        <w:tc>
          <w:tcPr>
            <w:tcW w:w="6340" w:type="dxa"/>
            <w:vAlign w:val="bottom"/>
            <w:gridSpan w:val="3"/>
          </w:tcPr>
          <w:p>
            <w:pPr>
              <w:spacing w:after="0" w:line="40" w:lineRule="exact"/>
              <w:rPr>
                <w:sz w:val="20"/>
                <w:szCs w:val="20"/>
                <w:color w:val="auto"/>
              </w:rPr>
            </w:pPr>
            <w:r>
              <w:rPr>
                <w:rFonts w:ascii="Arial" w:cs="Arial" w:eastAsia="Arial" w:hAnsi="Arial"/>
                <w:sz w:val="4"/>
                <w:szCs w:val="4"/>
                <w:color w:val="FFFFFF"/>
              </w:rPr>
              <w:t>Maintain healthy leverage over business cycles and strategic growth period: Debt to EBITDA 2.0x – 3.0x, &lt; 4.0x at peak</w:t>
            </w:r>
          </w:p>
        </w:tc>
      </w:tr>
      <w:tr>
        <w:trPr>
          <w:trHeight w:val="39"/>
        </w:trPr>
        <w:tc>
          <w:tcPr>
            <w:tcW w:w="6340" w:type="dxa"/>
            <w:vAlign w:val="bottom"/>
            <w:gridSpan w:val="3"/>
          </w:tcPr>
          <w:p>
            <w:pPr>
              <w:spacing w:after="0" w:line="40" w:lineRule="exact"/>
              <w:rPr>
                <w:sz w:val="20"/>
                <w:szCs w:val="20"/>
                <w:color w:val="auto"/>
              </w:rPr>
            </w:pPr>
            <w:r>
              <w:rPr>
                <w:rFonts w:ascii="Arial" w:cs="Arial" w:eastAsia="Arial" w:hAnsi="Arial"/>
                <w:sz w:val="4"/>
                <w:szCs w:val="4"/>
                <w:color w:val="FFFFFF"/>
              </w:rPr>
              <w:t>Cash flow priorities:</w:t>
            </w: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6200" w:type="dxa"/>
            <w:vAlign w:val="bottom"/>
            <w:gridSpan w:val="2"/>
          </w:tcPr>
          <w:p>
            <w:pPr>
              <w:spacing w:after="0" w:line="40" w:lineRule="exact"/>
              <w:rPr>
                <w:sz w:val="20"/>
                <w:szCs w:val="20"/>
                <w:color w:val="auto"/>
              </w:rPr>
            </w:pPr>
            <w:r>
              <w:rPr>
                <w:rFonts w:ascii="Arial" w:cs="Arial" w:eastAsia="Arial" w:hAnsi="Arial"/>
                <w:sz w:val="4"/>
                <w:szCs w:val="4"/>
                <w:color w:val="FFFFFF"/>
              </w:rPr>
              <w:t>Debt repayment to achieve target leverage</w:t>
            </w: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6200" w:type="dxa"/>
            <w:vAlign w:val="bottom"/>
            <w:gridSpan w:val="2"/>
          </w:tcPr>
          <w:p>
            <w:pPr>
              <w:spacing w:after="0" w:line="40" w:lineRule="exact"/>
              <w:rPr>
                <w:sz w:val="20"/>
                <w:szCs w:val="20"/>
                <w:color w:val="auto"/>
              </w:rPr>
            </w:pPr>
            <w:r>
              <w:rPr>
                <w:rFonts w:ascii="Arial" w:cs="Arial" w:eastAsia="Arial" w:hAnsi="Arial"/>
                <w:sz w:val="4"/>
                <w:szCs w:val="4"/>
                <w:color w:val="FFFFFF"/>
              </w:rPr>
              <w:t>Capex to achieve operational excellence and growth</w:t>
            </w: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3)</w:t>
            </w:r>
          </w:p>
        </w:tc>
        <w:tc>
          <w:tcPr>
            <w:tcW w:w="6200" w:type="dxa"/>
            <w:vAlign w:val="bottom"/>
            <w:gridSpan w:val="2"/>
          </w:tcPr>
          <w:p>
            <w:pPr>
              <w:ind w:left="120"/>
              <w:spacing w:after="0" w:line="40" w:lineRule="exact"/>
              <w:rPr>
                <w:sz w:val="20"/>
                <w:szCs w:val="20"/>
                <w:color w:val="auto"/>
              </w:rPr>
            </w:pPr>
            <w:r>
              <w:rPr>
                <w:rFonts w:ascii="Arial" w:cs="Arial" w:eastAsia="Arial" w:hAnsi="Arial"/>
                <w:sz w:val="4"/>
                <w:szCs w:val="4"/>
                <w:color w:val="FFFFFF"/>
              </w:rPr>
              <w:t>able common dividends to shareholders (&lt; 20% free cash flow)</w:t>
            </w:r>
          </w:p>
        </w:tc>
      </w:tr>
      <w:tr>
        <w:trPr>
          <w:trHeight w:val="0"/>
        </w:trPr>
        <w:tc>
          <w:tcPr>
            <w:tcW w:w="140" w:type="dxa"/>
            <w:vAlign w:val="bottom"/>
          </w:tcPr>
          <w:p>
            <w:pPr>
              <w:spacing w:after="0" w:line="38" w:lineRule="exact"/>
              <w:rPr>
                <w:sz w:val="20"/>
                <w:szCs w:val="20"/>
                <w:color w:val="auto"/>
              </w:rPr>
            </w:pPr>
            <w:r>
              <w:rPr>
                <w:rFonts w:ascii="Arial" w:cs="Arial" w:eastAsia="Arial" w:hAnsi="Arial"/>
                <w:sz w:val="4"/>
                <w:szCs w:val="4"/>
                <w:color w:val="FFFFFF"/>
              </w:rPr>
              <w:t>4)</w:t>
            </w:r>
          </w:p>
        </w:tc>
        <w:tc>
          <w:tcPr>
            <w:tcW w:w="6200" w:type="dxa"/>
            <w:vAlign w:val="bottom"/>
            <w:gridSpan w:val="2"/>
          </w:tcPr>
          <w:p>
            <w:pPr>
              <w:spacing w:after="0" w:line="38" w:lineRule="exact"/>
              <w:rPr>
                <w:sz w:val="20"/>
                <w:szCs w:val="20"/>
                <w:color w:val="auto"/>
              </w:rPr>
            </w:pPr>
            <w:r>
              <w:rPr>
                <w:rFonts w:ascii="Arial" w:cs="Arial" w:eastAsia="Arial" w:hAnsi="Arial"/>
                <w:sz w:val="4"/>
                <w:szCs w:val="4"/>
                <w:color w:val="FFFFFF"/>
              </w:rPr>
              <w:t>Strategic acquisitions financed by debt and equity issuance to maintain leverage target</w:t>
            </w:r>
          </w:p>
        </w:tc>
      </w:tr>
    </w:tbl>
    <w:p>
      <w:pPr>
        <w:spacing w:after="0" w:line="211" w:lineRule="auto"/>
        <w:rPr>
          <w:sz w:val="20"/>
          <w:szCs w:val="20"/>
          <w:color w:val="auto"/>
        </w:rPr>
      </w:pPr>
      <w:r>
        <w:rPr>
          <w:rFonts w:ascii="Arial" w:cs="Arial" w:eastAsia="Arial" w:hAnsi="Arial"/>
          <w:sz w:val="4"/>
          <w:szCs w:val="4"/>
          <w:color w:val="FFFFFF"/>
        </w:rPr>
        <w:t>Generate above-market-average revenue growth and capture market share in key areas of new technology over Strategic Plan period</w:t>
      </w:r>
    </w:p>
    <w:p>
      <w:pPr>
        <w:ind w:left="40"/>
        <w:spacing w:after="0" w:line="205" w:lineRule="auto"/>
        <w:rPr>
          <w:sz w:val="20"/>
          <w:szCs w:val="20"/>
          <w:color w:val="auto"/>
        </w:rPr>
      </w:pPr>
      <w:r>
        <w:rPr>
          <w:rFonts w:ascii="Arial" w:cs="Arial" w:eastAsia="Arial" w:hAnsi="Arial"/>
          <w:sz w:val="4"/>
          <w:szCs w:val="4"/>
          <w:color w:val="FFFFFF"/>
        </w:rPr>
        <w:t>mprove market mix by decreasing auto exposure from 70% to 50%</w:t>
      </w:r>
    </w:p>
    <w:p>
      <w:pPr>
        <w:spacing w:after="0" w:line="182" w:lineRule="auto"/>
        <w:rPr>
          <w:sz w:val="20"/>
          <w:szCs w:val="20"/>
          <w:color w:val="auto"/>
        </w:rPr>
      </w:pPr>
      <w:r>
        <w:rPr>
          <w:rFonts w:ascii="Arial" w:cs="Arial" w:eastAsia="Arial" w:hAnsi="Arial"/>
          <w:sz w:val="9"/>
          <w:szCs w:val="9"/>
          <w:color w:val="FFFFFF"/>
        </w:rPr>
        <w:t>ExpandIncreasesegmentindustrialgross/aerospace/medicalandoperatingmarginsofferings(optimizeinexistingmix,productoperationallines improvement, cost reductions)</w:t>
      </w:r>
    </w:p>
    <w:p>
      <w:pPr>
        <w:ind w:right="3719"/>
        <w:spacing w:after="0" w:line="184" w:lineRule="auto"/>
        <w:rPr>
          <w:sz w:val="20"/>
          <w:szCs w:val="20"/>
          <w:color w:val="auto"/>
        </w:rPr>
      </w:pPr>
      <w:r>
        <w:rPr>
          <w:rFonts w:ascii="Arial" w:cs="Arial" w:eastAsia="Arial" w:hAnsi="Arial"/>
          <w:sz w:val="11"/>
          <w:szCs w:val="11"/>
          <w:color w:val="FFFFFF"/>
        </w:rPr>
        <w:t>Continue to pursueinvestinselectiveR&amp;D strategic acquisitions to diversify end markets and expand global reach, within leverage targets 21</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22</w:t>
      </w:r>
    </w:p>
    <w:p>
      <w:pPr>
        <w:sectPr>
          <w:pgSz w:w="11900" w:h="16838" w:orient="portrait"/>
          <w:cols w:equalWidth="0" w:num="1">
            <w:col w:w="10219"/>
          </w:cols>
          <w:pgMar w:left="240" w:top="1440" w:right="1440"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Macro Trend: CAFE Standards</w:t>
      </w:r>
    </w:p>
    <w:p>
      <w:pPr>
        <w:spacing w:after="0" w:line="204" w:lineRule="auto"/>
        <w:rPr>
          <w:sz w:val="20"/>
          <w:szCs w:val="20"/>
          <w:color w:val="auto"/>
        </w:rPr>
      </w:pPr>
      <w:r>
        <w:rPr>
          <w:rFonts w:ascii="Arial" w:cs="Arial" w:eastAsia="Arial" w:hAnsi="Arial"/>
          <w:sz w:val="4"/>
          <w:szCs w:val="4"/>
          <w:color w:val="FFFFFF"/>
        </w:rPr>
        <w:t>77Global Fuel Efficiency Standards</w:t>
      </w:r>
    </w:p>
    <w:p>
      <w:pPr>
        <w:spacing w:after="0" w:line="182" w:lineRule="auto"/>
        <w:rPr>
          <w:sz w:val="20"/>
          <w:szCs w:val="20"/>
          <w:color w:val="auto"/>
        </w:rPr>
      </w:pPr>
      <w:r>
        <w:rPr>
          <w:rFonts w:ascii="Arial" w:cs="Arial" w:eastAsia="Arial" w:hAnsi="Arial"/>
          <w:sz w:val="7"/>
          <w:szCs w:val="7"/>
          <w:color w:val="FFFFFF"/>
        </w:rPr>
        <w:t>50</w:t>
      </w:r>
      <w:r>
        <w:rPr>
          <w:rFonts w:ascii="Arial" w:cs="Arial" w:eastAsia="Arial" w:hAnsi="Arial"/>
          <w:sz w:val="9"/>
          <w:szCs w:val="9"/>
          <w:color w:val="FFFFFF"/>
          <w:vertAlign w:val="superscript"/>
        </w:rPr>
        <w:t>6</w:t>
      </w:r>
      <w:r>
        <w:rPr>
          <w:rFonts w:ascii="Arial" w:cs="Arial" w:eastAsia="Arial" w:hAnsi="Arial"/>
          <w:sz w:val="7"/>
          <w:szCs w:val="7"/>
          <w:color w:val="FFFFFF"/>
        </w:rPr>
        <w:t xml:space="preserve"> mpg</w:t>
      </w:r>
    </w:p>
    <w:p>
      <w:pPr>
        <w:spacing w:after="0" w:line="182" w:lineRule="auto"/>
        <w:rPr>
          <w:sz w:val="20"/>
          <w:szCs w:val="20"/>
          <w:color w:val="auto"/>
        </w:rPr>
      </w:pPr>
      <w:r>
        <w:rPr>
          <w:rFonts w:ascii="Arial" w:cs="Arial" w:eastAsia="Arial" w:hAnsi="Arial"/>
          <w:sz w:val="7"/>
          <w:szCs w:val="7"/>
          <w:color w:val="FFFFFF"/>
        </w:rPr>
        <w:t xml:space="preserve">Source: </w:t>
      </w:r>
      <w:r>
        <w:rPr>
          <w:rFonts w:ascii="Arial" w:cs="Arial" w:eastAsia="Arial" w:hAnsi="Arial"/>
          <w:sz w:val="9"/>
          <w:szCs w:val="9"/>
          <w:color w:val="FFFFFF"/>
          <w:vertAlign w:val="superscript"/>
        </w:rPr>
        <w:t>ICCT</w:t>
      </w:r>
    </w:p>
    <w:p>
      <w:pPr>
        <w:spacing w:after="0" w:line="183" w:lineRule="auto"/>
        <w:rPr>
          <w:sz w:val="20"/>
          <w:szCs w:val="20"/>
          <w:color w:val="auto"/>
        </w:rPr>
      </w:pPr>
      <w:r>
        <w:rPr>
          <w:rFonts w:ascii="Arial" w:cs="Arial" w:eastAsia="Arial" w:hAnsi="Arial"/>
          <w:sz w:val="9"/>
          <w:szCs w:val="9"/>
          <w:color w:val="FFFFFF"/>
        </w:rPr>
        <w:t>?U60%..fuelhigherefficiency requirements increase from 35 MPG in 2014 to 56 MPG in 2025</w:t>
      </w:r>
    </w:p>
    <w:p>
      <w:pPr>
        <w:spacing w:after="0" w:line="205" w:lineRule="auto"/>
        <w:rPr>
          <w:sz w:val="20"/>
          <w:szCs w:val="20"/>
          <w:color w:val="auto"/>
        </w:rPr>
      </w:pPr>
      <w:r>
        <w:rPr>
          <w:rFonts w:ascii="Arial" w:cs="Arial" w:eastAsia="Arial" w:hAnsi="Arial"/>
          <w:sz w:val="4"/>
          <w:szCs w:val="4"/>
          <w:color w:val="FFFFFF"/>
        </w:rPr>
        <w:t>requirementTheEU’s2020 requirement of 77 MPG is ~40% higher than the U.S. same-year</w:t>
      </w:r>
    </w:p>
    <w:p>
      <w:pPr>
        <w:spacing w:after="0" w:line="182" w:lineRule="auto"/>
        <w:rPr>
          <w:sz w:val="20"/>
          <w:szCs w:val="20"/>
          <w:color w:val="auto"/>
        </w:rPr>
      </w:pPr>
      <w:r>
        <w:rPr>
          <w:rFonts w:ascii="Arial" w:cs="Arial" w:eastAsia="Arial" w:hAnsi="Arial"/>
          <w:sz w:val="9"/>
          <w:szCs w:val="9"/>
          <w:color w:val="FFFFFF"/>
        </w:rPr>
        <w:t>China and Japan will both require fuel efficiency to reach 50 MPG or above by 2020</w:t>
      </w:r>
    </w:p>
    <w:p>
      <w:pPr>
        <w:spacing w:after="0" w:line="182" w:lineRule="auto"/>
        <w:rPr>
          <w:sz w:val="20"/>
          <w:szCs w:val="20"/>
          <w:color w:val="auto"/>
        </w:rPr>
      </w:pPr>
      <w:r>
        <w:rPr>
          <w:rFonts w:ascii="Arial" w:cs="Arial" w:eastAsia="Arial" w:hAnsi="Arial"/>
          <w:sz w:val="9"/>
          <w:szCs w:val="9"/>
          <w:color w:val="FFFFFF"/>
        </w:rPr>
        <w:t>developmentRapidlyincreasing standards are driving OEMs to accelerate new technology</w:t>
      </w:r>
    </w:p>
    <w:p>
      <w:pPr>
        <w:spacing w:after="0" w:line="206" w:lineRule="auto"/>
        <w:rPr>
          <w:sz w:val="20"/>
          <w:szCs w:val="20"/>
          <w:color w:val="auto"/>
        </w:rPr>
      </w:pPr>
      <w:r>
        <w:rPr>
          <w:rFonts w:ascii="Arial" w:cs="Arial" w:eastAsia="Arial" w:hAnsi="Arial"/>
          <w:sz w:val="4"/>
          <w:szCs w:val="4"/>
          <w:color w:val="FFFFFF"/>
        </w:rPr>
        <w:t>EfficiencyTechnology Increase in Fuel</w:t>
      </w:r>
    </w:p>
    <w:p>
      <w:pPr>
        <w:spacing w:after="0" w:line="223" w:lineRule="auto"/>
        <w:rPr>
          <w:sz w:val="20"/>
          <w:szCs w:val="20"/>
          <w:color w:val="auto"/>
        </w:rPr>
      </w:pPr>
      <w:r>
        <w:rPr>
          <w:rFonts w:ascii="Arial" w:cs="Arial" w:eastAsia="Arial" w:hAnsi="Arial"/>
          <w:sz w:val="11"/>
          <w:szCs w:val="11"/>
          <w:color w:val="FFFFFF"/>
        </w:rPr>
        <w:t>DirectMulti-SpeedfuelInjectionTransmissions/High Pressure(6-9gears)Diesel5-10%15-30%</w:t>
      </w:r>
    </w:p>
    <w:p>
      <w:pPr>
        <w:spacing w:after="0" w:line="206" w:lineRule="auto"/>
        <w:rPr>
          <w:sz w:val="20"/>
          <w:szCs w:val="20"/>
          <w:color w:val="auto"/>
        </w:rPr>
      </w:pPr>
      <w:r>
        <w:rPr>
          <w:rFonts w:ascii="Arial" w:cs="Arial" w:eastAsia="Arial" w:hAnsi="Arial"/>
          <w:sz w:val="4"/>
          <w:szCs w:val="4"/>
          <w:color w:val="FFFFFF"/>
        </w:rPr>
        <w:t>ElectricVariable PowerValve TimingSteering/ 1Variablempg Cam Timing 4-6%</w:t>
      </w:r>
    </w:p>
    <w:p>
      <w:pPr>
        <w:spacing w:after="0"/>
        <w:rPr>
          <w:sz w:val="20"/>
          <w:szCs w:val="20"/>
          <w:color w:val="auto"/>
        </w:rPr>
      </w:pPr>
      <w:r>
        <w:rPr>
          <w:rFonts w:ascii="Arial" w:cs="Arial" w:eastAsia="Arial" w:hAnsi="Arial"/>
          <w:sz w:val="13"/>
          <w:szCs w:val="13"/>
          <w:color w:val="FFFFFF"/>
        </w:rPr>
        <w:t>23</w:t>
      </w:r>
    </w:p>
    <w:p>
      <w:pPr>
        <w:sectPr>
          <w:pgSz w:w="11900" w:h="16838" w:orient="portrait"/>
          <w:cols w:equalWidth="0" w:num="1">
            <w:col w:w="10219"/>
          </w:cols>
          <w:pgMar w:left="240" w:top="1440" w:right="1440"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gridSpan w:val="2"/>
          </w:tcPr>
          <w:p>
            <w:pPr>
              <w:spacing w:after="0"/>
              <w:rPr>
                <w:sz w:val="20"/>
                <w:szCs w:val="20"/>
                <w:color w:val="auto"/>
              </w:rPr>
            </w:pPr>
            <w:r>
              <w:rPr>
                <w:rFonts w:ascii="Arial" w:cs="Arial" w:eastAsia="Arial" w:hAnsi="Arial"/>
                <w:sz w:val="13"/>
                <w:szCs w:val="13"/>
                <w:color w:val="FFFFFF"/>
              </w:rPr>
              <w:t>Target Segments: Fuel Saving Technologies</w:t>
            </w:r>
          </w:p>
        </w:tc>
        <w:tc>
          <w:tcPr>
            <w:tcW w:w="0" w:type="dxa"/>
            <w:vAlign w:val="bottom"/>
          </w:tcPr>
          <w:p>
            <w:pPr>
              <w:spacing w:after="0"/>
              <w:rPr>
                <w:sz w:val="1"/>
                <w:szCs w:val="1"/>
                <w:color w:val="auto"/>
              </w:rPr>
            </w:pPr>
          </w:p>
        </w:tc>
      </w:tr>
      <w:tr>
        <w:trPr>
          <w:trHeight w:val="39"/>
        </w:trPr>
        <w:tc>
          <w:tcPr>
            <w:tcW w:w="4700" w:type="dxa"/>
            <w:vAlign w:val="bottom"/>
            <w:gridSpan w:val="2"/>
          </w:tcPr>
          <w:p>
            <w:pPr>
              <w:spacing w:after="0" w:line="40" w:lineRule="exact"/>
              <w:rPr>
                <w:sz w:val="20"/>
                <w:szCs w:val="20"/>
                <w:color w:val="auto"/>
              </w:rPr>
            </w:pPr>
            <w:r>
              <w:rPr>
                <w:rFonts w:ascii="Arial" w:cs="Arial" w:eastAsia="Arial" w:hAnsi="Arial"/>
                <w:sz w:val="4"/>
                <w:szCs w:val="4"/>
                <w:color w:val="FFFFFF"/>
              </w:rPr>
              <w:t>GDI HP Diesel VCT/VVT Multi-Speed Trans EPS</w:t>
            </w:r>
          </w:p>
        </w:tc>
        <w:tc>
          <w:tcPr>
            <w:tcW w:w="0" w:type="dxa"/>
            <w:vAlign w:val="bottom"/>
          </w:tcPr>
          <w:p>
            <w:pPr>
              <w:spacing w:after="0" w:line="20" w:lineRule="exact"/>
              <w:rPr>
                <w:sz w:val="1"/>
                <w:szCs w:val="1"/>
                <w:color w:val="auto"/>
              </w:rPr>
            </w:pPr>
          </w:p>
        </w:tc>
      </w:tr>
      <w:tr>
        <w:trPr>
          <w:trHeight w:val="39"/>
        </w:trPr>
        <w:tc>
          <w:tcPr>
            <w:tcW w:w="4700" w:type="dxa"/>
            <w:vAlign w:val="bottom"/>
            <w:gridSpan w:val="2"/>
          </w:tcPr>
          <w:p>
            <w:pPr>
              <w:spacing w:after="0" w:line="40" w:lineRule="exact"/>
              <w:rPr>
                <w:sz w:val="20"/>
                <w:szCs w:val="20"/>
                <w:color w:val="auto"/>
              </w:rPr>
            </w:pPr>
            <w:r>
              <w:rPr>
                <w:rFonts w:ascii="Arial" w:cs="Arial" w:eastAsia="Arial" w:hAnsi="Arial"/>
                <w:sz w:val="4"/>
                <w:szCs w:val="4"/>
                <w:color w:val="FFFFFF"/>
              </w:rPr>
              <w:t>MPG Increase + 15—20% (1) + 20—30% (1) + 4—6% (2) + 5—10% (3) + 3—5% (4)</w:t>
            </w:r>
          </w:p>
        </w:tc>
        <w:tc>
          <w:tcPr>
            <w:tcW w:w="0" w:type="dxa"/>
            <w:vAlign w:val="bottom"/>
          </w:tcPr>
          <w:p>
            <w:pPr>
              <w:spacing w:after="0" w:line="20" w:lineRule="exact"/>
              <w:rPr>
                <w:sz w:val="1"/>
                <w:szCs w:val="1"/>
                <w:color w:val="auto"/>
              </w:rPr>
            </w:pPr>
          </w:p>
        </w:tc>
      </w:tr>
      <w:tr>
        <w:trPr>
          <w:trHeight w:val="39"/>
        </w:trPr>
        <w:tc>
          <w:tcPr>
            <w:tcW w:w="4700" w:type="dxa"/>
            <w:vAlign w:val="bottom"/>
            <w:gridSpan w:val="2"/>
          </w:tcPr>
          <w:p>
            <w:pPr>
              <w:spacing w:after="0" w:line="40" w:lineRule="exact"/>
              <w:rPr>
                <w:sz w:val="20"/>
                <w:szCs w:val="20"/>
                <w:color w:val="auto"/>
              </w:rPr>
            </w:pPr>
            <w:r>
              <w:rPr>
                <w:rFonts w:ascii="Arial" w:cs="Arial" w:eastAsia="Arial" w:hAnsi="Arial"/>
                <w:sz w:val="4"/>
                <w:szCs w:val="4"/>
                <w:color w:val="FFFFFF"/>
              </w:rPr>
              <w:t>CPV Impact + $54 (1) + $89 (1) + $10 (2) + $20 (3) + $4 (4)</w:t>
            </w:r>
          </w:p>
        </w:tc>
        <w:tc>
          <w:tcPr>
            <w:tcW w:w="0" w:type="dxa"/>
            <w:vAlign w:val="bottom"/>
          </w:tcPr>
          <w:p>
            <w:pPr>
              <w:spacing w:after="0" w:line="20" w:lineRule="exact"/>
              <w:rPr>
                <w:sz w:val="1"/>
                <w:szCs w:val="1"/>
                <w:color w:val="auto"/>
              </w:rPr>
            </w:pPr>
          </w:p>
        </w:tc>
      </w:tr>
      <w:tr>
        <w:trPr>
          <w:trHeight w:val="39"/>
        </w:trPr>
        <w:tc>
          <w:tcPr>
            <w:tcW w:w="4700" w:type="dxa"/>
            <w:vAlign w:val="bottom"/>
            <w:gridSpan w:val="2"/>
          </w:tcPr>
          <w:p>
            <w:pPr>
              <w:spacing w:after="0" w:line="40" w:lineRule="exact"/>
              <w:rPr>
                <w:sz w:val="20"/>
                <w:szCs w:val="20"/>
                <w:color w:val="auto"/>
              </w:rPr>
            </w:pPr>
            <w:r>
              <w:rPr>
                <w:rFonts w:ascii="Arial" w:cs="Arial" w:eastAsia="Arial" w:hAnsi="Arial"/>
                <w:sz w:val="4"/>
                <w:szCs w:val="4"/>
                <w:color w:val="FFFFFF"/>
              </w:rPr>
              <w:t>Market Gr wth &gt; 17% CAGR &gt; 10% CAGR &gt; 10% CAGR &gt; 15% CAGR &gt; 10% CAGR</w:t>
            </w:r>
          </w:p>
        </w:tc>
        <w:tc>
          <w:tcPr>
            <w:tcW w:w="0" w:type="dxa"/>
            <w:vAlign w:val="bottom"/>
          </w:tcPr>
          <w:p>
            <w:pPr>
              <w:spacing w:after="0" w:line="20" w:lineRule="exact"/>
              <w:rPr>
                <w:sz w:val="1"/>
                <w:szCs w:val="1"/>
                <w:color w:val="auto"/>
              </w:rPr>
            </w:pPr>
          </w:p>
        </w:tc>
      </w:tr>
      <w:tr>
        <w:trPr>
          <w:trHeight w:val="39"/>
        </w:trPr>
        <w:tc>
          <w:tcPr>
            <w:tcW w:w="1320" w:type="dxa"/>
            <w:vAlign w:val="bottom"/>
          </w:tcPr>
          <w:p>
            <w:pPr>
              <w:spacing w:after="0" w:line="40" w:lineRule="exact"/>
              <w:rPr>
                <w:sz w:val="20"/>
                <w:szCs w:val="20"/>
                <w:color w:val="auto"/>
              </w:rPr>
            </w:pPr>
            <w:r>
              <w:rPr>
                <w:rFonts w:ascii="Arial" w:cs="Arial" w:eastAsia="Arial" w:hAnsi="Arial"/>
                <w:sz w:val="4"/>
                <w:szCs w:val="4"/>
                <w:color w:val="FFFFFF"/>
              </w:rPr>
              <w:t>Global Adoption (5) (6)</w:t>
            </w:r>
          </w:p>
        </w:tc>
        <w:tc>
          <w:tcPr>
            <w:tcW w:w="3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700" w:type="dxa"/>
            <w:vAlign w:val="bottom"/>
            <w:gridSpan w:val="2"/>
          </w:tcPr>
          <w:p>
            <w:pPr>
              <w:spacing w:after="0" w:line="40" w:lineRule="exact"/>
              <w:rPr>
                <w:sz w:val="20"/>
                <w:szCs w:val="20"/>
                <w:color w:val="auto"/>
              </w:rPr>
            </w:pPr>
            <w:r>
              <w:rPr>
                <w:rFonts w:ascii="Arial" w:cs="Arial" w:eastAsia="Arial" w:hAnsi="Arial"/>
                <w:sz w:val="4"/>
                <w:szCs w:val="4"/>
                <w:color w:val="FFFFFF"/>
              </w:rPr>
              <w:t>27%  46% 20% / 30% 72% / 95% 30% / 45% 50% / 75%</w:t>
            </w:r>
          </w:p>
        </w:tc>
        <w:tc>
          <w:tcPr>
            <w:tcW w:w="0" w:type="dxa"/>
            <w:vAlign w:val="bottom"/>
          </w:tcPr>
          <w:p>
            <w:pPr>
              <w:spacing w:after="0" w:line="20" w:lineRule="exact"/>
              <w:rPr>
                <w:sz w:val="1"/>
                <w:szCs w:val="1"/>
                <w:color w:val="auto"/>
              </w:rPr>
            </w:pPr>
          </w:p>
        </w:tc>
      </w:tr>
      <w:tr>
        <w:trPr>
          <w:trHeight w:val="39"/>
        </w:trPr>
        <w:tc>
          <w:tcPr>
            <w:tcW w:w="1320" w:type="dxa"/>
            <w:vAlign w:val="bottom"/>
          </w:tcPr>
          <w:p>
            <w:pPr>
              <w:spacing w:after="0" w:line="40" w:lineRule="exact"/>
              <w:rPr>
                <w:sz w:val="20"/>
                <w:szCs w:val="20"/>
                <w:color w:val="auto"/>
              </w:rPr>
            </w:pPr>
            <w:r>
              <w:rPr>
                <w:rFonts w:ascii="Arial" w:cs="Arial" w:eastAsia="Arial" w:hAnsi="Arial"/>
                <w:sz w:val="4"/>
                <w:szCs w:val="4"/>
                <w:color w:val="FFFFFF"/>
              </w:rPr>
              <w:t>Rate</w:t>
            </w:r>
          </w:p>
        </w:tc>
        <w:tc>
          <w:tcPr>
            <w:tcW w:w="3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320" w:type="dxa"/>
            <w:vAlign w:val="bottom"/>
          </w:tcPr>
          <w:p>
            <w:pPr>
              <w:spacing w:after="0" w:line="40" w:lineRule="exact"/>
              <w:rPr>
                <w:sz w:val="20"/>
                <w:szCs w:val="20"/>
                <w:color w:val="auto"/>
              </w:rPr>
            </w:pPr>
            <w:r>
              <w:rPr>
                <w:rFonts w:ascii="Arial" w:cs="Arial" w:eastAsia="Arial" w:hAnsi="Arial"/>
                <w:sz w:val="4"/>
                <w:szCs w:val="4"/>
                <w:color w:val="FFFFFF"/>
              </w:rPr>
              <w:t>Key Regions2014/2018</w:t>
            </w:r>
          </w:p>
        </w:tc>
        <w:tc>
          <w:tcPr>
            <w:tcW w:w="3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320" w:type="dxa"/>
            <w:vAlign w:val="bottom"/>
          </w:tcPr>
          <w:p>
            <w:pPr>
              <w:spacing w:after="0" w:line="40" w:lineRule="exact"/>
              <w:rPr>
                <w:sz w:val="20"/>
                <w:szCs w:val="20"/>
                <w:color w:val="auto"/>
              </w:rPr>
            </w:pPr>
            <w:r>
              <w:rPr>
                <w:rFonts w:ascii="Arial" w:cs="Arial" w:eastAsia="Arial" w:hAnsi="Arial"/>
                <w:sz w:val="4"/>
                <w:szCs w:val="4"/>
                <w:color w:val="FFFFFF"/>
              </w:rPr>
              <w:t>Markets</w:t>
            </w:r>
          </w:p>
        </w:tc>
        <w:tc>
          <w:tcPr>
            <w:tcW w:w="3380" w:type="dxa"/>
            <w:vAlign w:val="bottom"/>
            <w:vMerge w:val="restart"/>
          </w:tcPr>
          <w:p>
            <w:pPr>
              <w:ind w:left="80"/>
              <w:spacing w:after="0" w:line="38" w:lineRule="exact"/>
              <w:rPr>
                <w:sz w:val="20"/>
                <w:szCs w:val="20"/>
                <w:color w:val="auto"/>
              </w:rPr>
            </w:pPr>
            <w:r>
              <w:rPr>
                <w:rFonts w:ascii="Arial" w:cs="Arial" w:eastAsia="Arial" w:hAnsi="Arial"/>
                <w:sz w:val="4"/>
                <w:szCs w:val="4"/>
                <w:color w:val="FFFFFF"/>
              </w:rPr>
              <w:t>global scale to meet fuel economy regulations</w:t>
            </w:r>
          </w:p>
        </w:tc>
        <w:tc>
          <w:tcPr>
            <w:tcW w:w="0" w:type="dxa"/>
            <w:vAlign w:val="bottom"/>
          </w:tcPr>
          <w:p>
            <w:pPr>
              <w:spacing w:after="0" w:line="20" w:lineRule="exact"/>
              <w:rPr>
                <w:sz w:val="1"/>
                <w:szCs w:val="1"/>
                <w:color w:val="auto"/>
              </w:rPr>
            </w:pPr>
          </w:p>
        </w:tc>
      </w:tr>
      <w:tr>
        <w:trPr>
          <w:trHeight w:val="0"/>
        </w:trPr>
        <w:tc>
          <w:tcPr>
            <w:tcW w:w="1320" w:type="dxa"/>
            <w:vAlign w:val="bottom"/>
          </w:tcPr>
          <w:p>
            <w:pPr>
              <w:spacing w:after="0" w:line="78" w:lineRule="exact"/>
              <w:rPr>
                <w:sz w:val="20"/>
                <w:szCs w:val="20"/>
                <w:color w:val="auto"/>
              </w:rPr>
            </w:pPr>
            <w:r>
              <w:rPr>
                <w:rFonts w:ascii="Arial" w:cs="Arial" w:eastAsia="Arial" w:hAnsi="Arial"/>
                <w:sz w:val="8"/>
                <w:szCs w:val="8"/>
                <w:color w:val="FFFFFF"/>
              </w:rPr>
              <w:t>Technologies needed</w:t>
            </w:r>
          </w:p>
        </w:tc>
        <w:tc>
          <w:tcPr>
            <w:tcW w:w="33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auto"/>
        <w:rPr>
          <w:sz w:val="20"/>
          <w:szCs w:val="20"/>
          <w:color w:val="auto"/>
        </w:rPr>
      </w:pPr>
      <w:r>
        <w:rPr>
          <w:rFonts w:ascii="Arial" w:cs="Arial" w:eastAsia="Arial" w:hAnsi="Arial"/>
          <w:sz w:val="4"/>
          <w:szCs w:val="4"/>
          <w:color w:val="FFFFFF"/>
        </w:rPr>
        <w:t>Conversion/implementation rates will outpace market growth</w:t>
      </w:r>
    </w:p>
    <w:p>
      <w:pPr>
        <w:spacing w:after="0"/>
        <w:rPr>
          <w:sz w:val="20"/>
          <w:szCs w:val="20"/>
          <w:color w:val="auto"/>
        </w:rPr>
      </w:pPr>
      <w:r>
        <w:rPr>
          <w:rFonts w:ascii="Arial" w:cs="Arial" w:eastAsia="Arial" w:hAnsi="Arial"/>
          <w:sz w:val="13"/>
          <w:szCs w:val="13"/>
          <w:color w:val="FFFFFF"/>
        </w:rPr>
        <w:t>24•All of these technologies require numerous high precision metal components</w:t>
      </w:r>
    </w:p>
    <w:p>
      <w:pPr>
        <w:sectPr>
          <w:pgSz w:w="11900" w:h="16838" w:orient="portrait"/>
          <w:cols w:equalWidth="0" w:num="1">
            <w:col w:w="10219"/>
          </w:cols>
          <w:pgMar w:left="240" w:top="1440" w:right="1440"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Target Segments: Fuel Saving Technologies</w:t>
      </w:r>
    </w:p>
    <w:p>
      <w:pPr>
        <w:spacing w:after="0" w:line="204" w:lineRule="auto"/>
        <w:rPr>
          <w:sz w:val="20"/>
          <w:szCs w:val="20"/>
          <w:color w:val="auto"/>
        </w:rPr>
      </w:pPr>
      <w:r>
        <w:rPr>
          <w:rFonts w:ascii="Arial" w:cs="Arial" w:eastAsia="Arial" w:hAnsi="Arial"/>
          <w:sz w:val="4"/>
          <w:szCs w:val="4"/>
          <w:color w:val="FFFFFF"/>
        </w:rPr>
        <w:t>MPFI V6 GDI V6</w:t>
      </w:r>
    </w:p>
    <w:p>
      <w:pPr>
        <w:spacing w:after="0" w:line="205" w:lineRule="auto"/>
        <w:rPr>
          <w:sz w:val="20"/>
          <w:szCs w:val="20"/>
          <w:color w:val="auto"/>
        </w:rPr>
      </w:pPr>
      <w:r>
        <w:rPr>
          <w:rFonts w:ascii="Arial" w:cs="Arial" w:eastAsia="Arial" w:hAnsi="Arial"/>
          <w:sz w:val="4"/>
          <w:szCs w:val="4"/>
          <w:color w:val="FFFFFF"/>
        </w:rPr>
        <w:t>GDI Fuel System</w:t>
      </w:r>
    </w:p>
    <w:p>
      <w:pPr>
        <w:spacing w:after="0" w:line="205" w:lineRule="auto"/>
        <w:rPr>
          <w:sz w:val="20"/>
          <w:szCs w:val="20"/>
          <w:color w:val="auto"/>
        </w:rPr>
      </w:pPr>
      <w:r>
        <w:rPr>
          <w:rFonts w:ascii="Arial" w:cs="Arial" w:eastAsia="Arial" w:hAnsi="Arial"/>
          <w:sz w:val="4"/>
          <w:szCs w:val="4"/>
          <w:color w:val="FFFFFF"/>
        </w:rPr>
        <w:t>Precision Turned Part content: Precision Turned Part content:</w:t>
      </w:r>
    </w:p>
    <w:p>
      <w:pPr>
        <w:spacing w:after="0" w:line="182" w:lineRule="auto"/>
        <w:rPr>
          <w:sz w:val="20"/>
          <w:szCs w:val="20"/>
          <w:color w:val="auto"/>
        </w:rPr>
      </w:pPr>
      <w:r>
        <w:rPr>
          <w:rFonts w:ascii="Arial" w:cs="Arial" w:eastAsia="Arial" w:hAnsi="Arial"/>
          <w:sz w:val="9"/>
          <w:szCs w:val="9"/>
          <w:color w:val="FFFFFF"/>
        </w:rPr>
        <w:t>6 injectors 6 Injectors</w:t>
      </w:r>
    </w:p>
    <w:p>
      <w:pPr>
        <w:spacing w:after="0" w:line="206" w:lineRule="auto"/>
        <w:rPr>
          <w:sz w:val="20"/>
          <w:szCs w:val="20"/>
          <w:color w:val="auto"/>
        </w:rPr>
      </w:pPr>
      <w:r>
        <w:rPr>
          <w:rFonts w:ascii="Arial" w:cs="Arial" w:eastAsia="Arial" w:hAnsi="Arial"/>
          <w:sz w:val="2"/>
          <w:szCs w:val="2"/>
          <w:color w:val="FFFFFF"/>
        </w:rPr>
        <w:t>• 2</w:t>
      </w:r>
      <w:r>
        <w:rPr>
          <w:rFonts w:ascii="Arial" w:cs="Arial" w:eastAsia="Arial" w:hAnsi="Arial"/>
          <w:sz w:val="4"/>
          <w:szCs w:val="4"/>
          <w:color w:val="FFFFFF"/>
          <w:vertAlign w:val="superscript"/>
        </w:rPr>
        <w:t>1</w:t>
      </w:r>
      <w:r>
        <w:rPr>
          <w:rFonts w:ascii="Arial" w:cs="Arial" w:eastAsia="Arial" w:hAnsi="Arial"/>
          <w:sz w:val="2"/>
          <w:szCs w:val="2"/>
          <w:color w:val="FFFFFF"/>
        </w:rPr>
        <w:t xml:space="preserve"> High pressure fittings</w:t>
      </w:r>
      <w:r>
        <w:rPr>
          <w:rFonts w:ascii="Arial" w:cs="Arial" w:eastAsia="Arial" w:hAnsi="Arial"/>
          <w:sz w:val="4"/>
          <w:szCs w:val="4"/>
          <w:color w:val="FFFFFF"/>
          <w:vertAlign w:val="superscript"/>
        </w:rPr>
        <w:t>uelpump</w:t>
      </w:r>
    </w:p>
    <w:p>
      <w:pPr>
        <w:spacing w:after="0" w:line="205" w:lineRule="auto"/>
        <w:rPr>
          <w:sz w:val="20"/>
          <w:szCs w:val="20"/>
          <w:color w:val="auto"/>
        </w:rPr>
      </w:pPr>
      <w:r>
        <w:rPr>
          <w:rFonts w:ascii="Arial" w:cs="Arial" w:eastAsia="Arial" w:hAnsi="Arial"/>
          <w:sz w:val="4"/>
          <w:szCs w:val="4"/>
          <w:color w:val="FFFFFF"/>
        </w:rPr>
        <w:t>$6.00 per vehicle $60 per vehicle</w:t>
      </w:r>
    </w:p>
    <w:p>
      <w:pPr>
        <w:spacing w:after="0" w:line="205" w:lineRule="auto"/>
        <w:rPr>
          <w:sz w:val="20"/>
          <w:szCs w:val="20"/>
          <w:color w:val="auto"/>
        </w:rPr>
      </w:pPr>
      <w:r>
        <w:rPr>
          <w:rFonts w:ascii="Arial" w:cs="Arial" w:eastAsia="Arial" w:hAnsi="Arial"/>
          <w:sz w:val="4"/>
          <w:szCs w:val="4"/>
          <w:color w:val="FFFFFF"/>
        </w:rPr>
        <w:t>Technology requires more precision, tighter tolerances</w:t>
      </w:r>
    </w:p>
    <w:p>
      <w:pPr>
        <w:spacing w:after="0"/>
        <w:rPr>
          <w:sz w:val="20"/>
          <w:szCs w:val="20"/>
          <w:color w:val="auto"/>
        </w:rPr>
      </w:pPr>
      <w:r>
        <w:rPr>
          <w:rFonts w:ascii="Arial" w:cs="Arial" w:eastAsia="Arial" w:hAnsi="Arial"/>
          <w:sz w:val="12"/>
          <w:szCs w:val="12"/>
          <w:color w:val="FFFFFF"/>
        </w:rPr>
        <w:t>GDI will have a VERY long life: 10-15+ years (MPFI lived for 30+ years) 25</w:t>
      </w:r>
    </w:p>
    <w:p>
      <w:pPr>
        <w:sectPr>
          <w:pgSz w:w="11900" w:h="16838" w:orient="portrait"/>
          <w:cols w:equalWidth="0" w:num="1">
            <w:col w:w="10219"/>
          </w:cols>
          <w:pgMar w:left="240" w:top="1440" w:right="1440"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Expansion Segments</w:t>
      </w:r>
    </w:p>
    <w:p>
      <w:pPr>
        <w:spacing w:after="0" w:line="204" w:lineRule="auto"/>
        <w:rPr>
          <w:sz w:val="20"/>
          <w:szCs w:val="20"/>
          <w:color w:val="auto"/>
        </w:rPr>
      </w:pPr>
      <w:r>
        <w:rPr>
          <w:rFonts w:ascii="Arial" w:cs="Arial" w:eastAsia="Arial" w:hAnsi="Arial"/>
          <w:sz w:val="4"/>
          <w:szCs w:val="4"/>
          <w:color w:val="FFFFFF"/>
        </w:rPr>
        <w:t>Product Segments, Markets &amp; Customers</w:t>
      </w:r>
    </w:p>
    <w:p>
      <w:pPr>
        <w:spacing w:after="0" w:line="182" w:lineRule="auto"/>
        <w:rPr>
          <w:sz w:val="20"/>
          <w:szCs w:val="20"/>
          <w:color w:val="auto"/>
        </w:rPr>
      </w:pPr>
      <w:r>
        <w:rPr>
          <w:rFonts w:ascii="Arial" w:cs="Arial" w:eastAsia="Arial" w:hAnsi="Arial"/>
          <w:sz w:val="9"/>
          <w:szCs w:val="9"/>
          <w:color w:val="FFFFFF"/>
        </w:rPr>
        <w:t>Consumer Tools HVAC Rec/ATV Industrial Motors Aerospace Fluid Power</w:t>
      </w:r>
    </w:p>
    <w:p>
      <w:pPr>
        <w:spacing w:after="0" w:line="206" w:lineRule="auto"/>
        <w:rPr>
          <w:sz w:val="20"/>
          <w:szCs w:val="20"/>
          <w:color w:val="auto"/>
        </w:rPr>
      </w:pPr>
      <w:r>
        <w:rPr>
          <w:rFonts w:ascii="Arial" w:cs="Arial" w:eastAsia="Arial" w:hAnsi="Arial"/>
          <w:sz w:val="4"/>
          <w:szCs w:val="4"/>
          <w:color w:val="FFFFFF"/>
          <w:vertAlign w:val="subscript"/>
        </w:rPr>
        <w:t>Market</w:t>
      </w:r>
      <w:r>
        <w:rPr>
          <w:rFonts w:ascii="Arial" w:cs="Arial" w:eastAsia="Arial" w:hAnsi="Arial"/>
          <w:sz w:val="2"/>
          <w:szCs w:val="2"/>
          <w:color w:val="FFFFFF"/>
        </w:rPr>
        <w:t>Addressable(2014)$2 billion $3 billion $200 million $3 billion $10+ billion $5+ billion</w:t>
      </w:r>
    </w:p>
    <w:p>
      <w:pPr>
        <w:ind w:left="420"/>
        <w:spacing w:after="0" w:line="205" w:lineRule="auto"/>
        <w:rPr>
          <w:sz w:val="20"/>
          <w:szCs w:val="20"/>
          <w:color w:val="auto"/>
        </w:rPr>
      </w:pPr>
      <w:r>
        <w:rPr>
          <w:rFonts w:ascii="Arial" w:cs="Arial" w:eastAsia="Arial" w:hAnsi="Arial"/>
          <w:sz w:val="4"/>
          <w:szCs w:val="4"/>
          <w:color w:val="FFFFFF"/>
        </w:rPr>
        <w:t>Growth</w:t>
      </w:r>
    </w:p>
    <w:p>
      <w:pPr>
        <w:ind w:right="519"/>
        <w:spacing w:after="0" w:line="182" w:lineRule="auto"/>
        <w:rPr>
          <w:sz w:val="20"/>
          <w:szCs w:val="20"/>
          <w:color w:val="auto"/>
        </w:rPr>
      </w:pPr>
      <w:r>
        <w:rPr>
          <w:rFonts w:ascii="Arial" w:cs="Arial" w:eastAsia="Arial" w:hAnsi="Arial"/>
          <w:sz w:val="9"/>
          <w:szCs w:val="9"/>
          <w:color w:val="FFFFFF"/>
        </w:rPr>
        <w:t>Technologies Longer battery life, EPS (Steering) Higher pressure, greater Compressor modulation High efficiency motors Weight reduction Driving Growth Lighter weight ABS control Customers</w:t>
      </w:r>
    </w:p>
    <w:p>
      <w:pPr>
        <w:spacing w:after="0"/>
        <w:rPr>
          <w:sz w:val="20"/>
          <w:szCs w:val="20"/>
          <w:color w:val="auto"/>
        </w:rPr>
      </w:pPr>
      <w:r>
        <w:rPr>
          <w:rFonts w:ascii="Arial" w:cs="Arial" w:eastAsia="Arial" w:hAnsi="Arial"/>
          <w:sz w:val="13"/>
          <w:szCs w:val="13"/>
          <w:color w:val="FFFFFF"/>
        </w:rPr>
        <w:t>26</w:t>
      </w:r>
    </w:p>
    <w:p>
      <w:pPr>
        <w:sectPr>
          <w:pgSz w:w="11900" w:h="16838" w:orient="portrait"/>
          <w:cols w:equalWidth="0" w:num="1">
            <w:col w:w="10219"/>
          </w:cols>
          <w:pgMar w:left="240" w:top="1440" w:right="1440"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FFFFFF"/>
        </w:rPr>
        <w:t>27</w:t>
      </w:r>
    </w:p>
    <w:p>
      <w:pPr>
        <w:sectPr>
          <w:pgSz w:w="11900" w:h="16838" w:orient="portrait"/>
          <w:cols w:equalWidth="0" w:num="1">
            <w:col w:w="10219"/>
          </w:cols>
          <w:pgMar w:left="240" w:top="1440" w:right="1440"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MBC High Growth Product Segments</w:t>
      </w:r>
    </w:p>
    <w:p>
      <w:pPr>
        <w:spacing w:after="0" w:line="204" w:lineRule="auto"/>
        <w:rPr>
          <w:sz w:val="20"/>
          <w:szCs w:val="20"/>
          <w:color w:val="auto"/>
        </w:rPr>
      </w:pPr>
      <w:r>
        <w:rPr>
          <w:rFonts w:ascii="Arial" w:cs="Arial" w:eastAsia="Arial" w:hAnsi="Arial"/>
          <w:sz w:val="4"/>
          <w:szCs w:val="4"/>
          <w:color w:val="FFFFFF"/>
        </w:rPr>
        <w:t>Balls Tapered Rollers Other Rollers Cages Sheet Metal Parts</w:t>
      </w:r>
    </w:p>
    <w:p>
      <w:pPr>
        <w:ind w:right="3459"/>
        <w:spacing w:after="0" w:line="182" w:lineRule="auto"/>
        <w:rPr>
          <w:sz w:val="20"/>
          <w:szCs w:val="20"/>
          <w:color w:val="auto"/>
        </w:rPr>
      </w:pPr>
      <w:r>
        <w:rPr>
          <w:rFonts w:ascii="Arial" w:cs="Arial" w:eastAsia="Arial" w:hAnsi="Arial"/>
          <w:sz w:val="9"/>
          <w:szCs w:val="9"/>
          <w:color w:val="FFFFFF"/>
        </w:rPr>
        <w:t>Competitive Profile Primarily outsourced Primarily insourced Primarily insourced Mixed and fragmented Mixed and fragmented Industrial, automotive,</w:t>
      </w:r>
    </w:p>
    <w:p>
      <w:pPr>
        <w:spacing w:after="0" w:line="182" w:lineRule="auto"/>
        <w:rPr>
          <w:sz w:val="20"/>
          <w:szCs w:val="20"/>
          <w:color w:val="auto"/>
        </w:rPr>
      </w:pPr>
      <w:r>
        <w:rPr>
          <w:rFonts w:ascii="Arial" w:cs="Arial" w:eastAsia="Arial" w:hAnsi="Arial"/>
          <w:sz w:val="9"/>
          <w:szCs w:val="9"/>
          <w:color w:val="FFFFFF"/>
        </w:rPr>
        <w:t>Automotive, electrical Industrial and some</w:t>
      </w:r>
    </w:p>
    <w:p>
      <w:pPr>
        <w:spacing w:after="0" w:line="205" w:lineRule="auto"/>
        <w:rPr>
          <w:sz w:val="20"/>
          <w:szCs w:val="20"/>
          <w:color w:val="auto"/>
        </w:rPr>
      </w:pPr>
      <w:r>
        <w:rPr>
          <w:rFonts w:ascii="Arial" w:cs="Arial" w:eastAsia="Arial" w:hAnsi="Arial"/>
          <w:sz w:val="4"/>
          <w:szCs w:val="4"/>
          <w:color w:val="FFFFFF"/>
        </w:rPr>
        <w:t>aeroPrimaryand Marketsindustrialoffautomotive-highway, rail and General industrial Diversified end market</w:t>
      </w:r>
    </w:p>
    <w:p>
      <w:pPr>
        <w:spacing w:after="0" w:line="205" w:lineRule="auto"/>
        <w:rPr>
          <w:sz w:val="20"/>
          <w:szCs w:val="20"/>
          <w:color w:val="auto"/>
        </w:rPr>
      </w:pPr>
      <w:r>
        <w:rPr>
          <w:rFonts w:ascii="Arial" w:cs="Arial" w:eastAsia="Arial" w:hAnsi="Arial"/>
          <w:sz w:val="4"/>
          <w:szCs w:val="4"/>
          <w:color w:val="FFFFFF"/>
        </w:rPr>
        <w:t>industrial</w:t>
      </w:r>
    </w:p>
    <w:p>
      <w:pPr>
        <w:spacing w:after="0" w:line="182" w:lineRule="auto"/>
        <w:rPr>
          <w:sz w:val="20"/>
          <w:szCs w:val="20"/>
          <w:color w:val="auto"/>
        </w:rPr>
      </w:pPr>
      <w:r>
        <w:rPr>
          <w:rFonts w:ascii="Arial" w:cs="Arial" w:eastAsia="Arial" w:hAnsi="Arial"/>
          <w:sz w:val="7"/>
          <w:szCs w:val="7"/>
          <w:color w:val="FFFFFF"/>
        </w:rPr>
        <w:t>Market Growth Automotive growth</w:t>
      </w:r>
      <w:r>
        <w:rPr>
          <w:rFonts w:ascii="Arial" w:cs="Arial" w:eastAsia="Arial" w:hAnsi="Arial"/>
          <w:sz w:val="9"/>
          <w:szCs w:val="9"/>
          <w:color w:val="FFFFFF"/>
          <w:vertAlign w:val="subscript"/>
        </w:rPr>
        <w:t>outsourcing</w:t>
      </w:r>
      <w:r>
        <w:rPr>
          <w:rFonts w:ascii="Arial" w:cs="Arial" w:eastAsia="Arial" w:hAnsi="Arial"/>
          <w:sz w:val="7"/>
          <w:szCs w:val="7"/>
          <w:color w:val="FFFFFF"/>
        </w:rPr>
        <w:t>Developing trend Industrial investment and Follows the roller Niche market within</w:t>
      </w:r>
    </w:p>
    <w:p>
      <w:pPr>
        <w:spacing w:after="0" w:line="182" w:lineRule="auto"/>
        <w:tabs>
          <w:tab w:leader="none" w:pos="2140" w:val="left"/>
        </w:tabs>
        <w:rPr>
          <w:sz w:val="20"/>
          <w:szCs w:val="20"/>
          <w:color w:val="auto"/>
        </w:rPr>
      </w:pPr>
      <w:r>
        <w:rPr>
          <w:rFonts w:ascii="Arial" w:cs="Arial" w:eastAsia="Arial" w:hAnsi="Arial"/>
          <w:sz w:val="9"/>
          <w:szCs w:val="9"/>
          <w:color w:val="FFFFFF"/>
        </w:rPr>
        <w:t>KeydevelopingRegions/Marketsmarketstowards</w:t>
      </w:r>
      <w:r>
        <w:rPr>
          <w:sz w:val="20"/>
          <w:szCs w:val="20"/>
          <w:color w:val="auto"/>
        </w:rPr>
        <w:tab/>
      </w:r>
      <w:r>
        <w:rPr>
          <w:rFonts w:ascii="Arial" w:cs="Arial" w:eastAsia="Arial" w:hAnsi="Arial"/>
          <w:sz w:val="9"/>
          <w:szCs w:val="9"/>
          <w:color w:val="FFFFFF"/>
        </w:rPr>
        <w:t>aftermarket demand markets automotive</w:t>
      </w:r>
    </w:p>
    <w:p>
      <w:pPr>
        <w:spacing w:after="0" w:line="183" w:lineRule="auto"/>
        <w:rPr>
          <w:sz w:val="20"/>
          <w:szCs w:val="20"/>
          <w:color w:val="auto"/>
        </w:rPr>
      </w:pPr>
      <w:r>
        <w:rPr>
          <w:rFonts w:ascii="Arial" w:cs="Arial" w:eastAsia="Arial" w:hAnsi="Arial"/>
          <w:sz w:val="7"/>
          <w:szCs w:val="7"/>
          <w:color w:val="FFFFFF"/>
        </w:rPr>
        <w:t>ExpansionGrowthin developingofcontentintomarketsbroaderwillindustrialdriveend</w:t>
      </w:r>
      <w:r>
        <w:rPr>
          <w:rFonts w:ascii="Arial" w:cs="Arial" w:eastAsia="Arial" w:hAnsi="Arial"/>
          <w:sz w:val="9"/>
          <w:szCs w:val="9"/>
          <w:color w:val="FFFFFF"/>
          <w:vertAlign w:val="subscript"/>
        </w:rPr>
        <w:t>markets</w:t>
      </w:r>
      <w:r>
        <w:rPr>
          <w:rFonts w:ascii="Arial" w:cs="Arial" w:eastAsia="Arial" w:hAnsi="Arial"/>
          <w:sz w:val="7"/>
          <w:szCs w:val="7"/>
          <w:color w:val="FFFFFF"/>
        </w:rPr>
        <w:t xml:space="preserve"> expansion</w:t>
      </w:r>
    </w:p>
    <w:p>
      <w:pPr>
        <w:spacing w:after="0"/>
        <w:rPr>
          <w:sz w:val="20"/>
          <w:szCs w:val="20"/>
          <w:color w:val="auto"/>
        </w:rPr>
      </w:pPr>
      <w:r>
        <w:rPr>
          <w:rFonts w:ascii="Arial" w:cs="Arial" w:eastAsia="Arial" w:hAnsi="Arial"/>
          <w:sz w:val="13"/>
          <w:szCs w:val="13"/>
          <w:color w:val="FFFFFF"/>
        </w:rPr>
        <w:t>28•Outsourcing will create significant opportunities</w:t>
      </w:r>
    </w:p>
    <w:p>
      <w:pPr>
        <w:sectPr>
          <w:pgSz w:w="11900" w:h="16838" w:orient="portrait"/>
          <w:cols w:equalWidth="0" w:num="1">
            <w:col w:w="10219"/>
          </w:cols>
          <w:pgMar w:left="2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Expansion Segments</w:t>
      </w:r>
    </w:p>
    <w:p>
      <w:pPr>
        <w:spacing w:after="0" w:line="182" w:lineRule="auto"/>
        <w:rPr>
          <w:sz w:val="20"/>
          <w:szCs w:val="20"/>
          <w:color w:val="auto"/>
        </w:rPr>
      </w:pPr>
      <w:r>
        <w:rPr>
          <w:rFonts w:ascii="Arial" w:cs="Arial" w:eastAsia="Arial" w:hAnsi="Arial"/>
          <w:sz w:val="9"/>
          <w:szCs w:val="9"/>
          <w:color w:val="FFFFFF"/>
        </w:rPr>
        <w:t>Product Segments, Markets and Customers 2014</w:t>
      </w:r>
    </w:p>
    <w:p>
      <w:pPr>
        <w:spacing w:after="0" w:line="205" w:lineRule="auto"/>
        <w:rPr>
          <w:sz w:val="20"/>
          <w:szCs w:val="20"/>
          <w:color w:val="auto"/>
        </w:rPr>
      </w:pPr>
      <w:r>
        <w:rPr>
          <w:rFonts w:ascii="Arial" w:cs="Arial" w:eastAsia="Arial" w:hAnsi="Arial"/>
          <w:sz w:val="4"/>
          <w:szCs w:val="4"/>
          <w:color w:val="FFFFFF"/>
        </w:rPr>
        <w:t>35%Automotive Aerospace Railway Linear Systems Fluid Power Industrial</w:t>
      </w:r>
    </w:p>
    <w:p>
      <w:pPr>
        <w:spacing w:after="0" w:line="182" w:lineRule="auto"/>
        <w:rPr>
          <w:sz w:val="20"/>
          <w:szCs w:val="20"/>
          <w:color w:val="auto"/>
        </w:rPr>
      </w:pPr>
      <w:r>
        <w:rPr>
          <w:rFonts w:ascii="Arial" w:cs="Arial" w:eastAsia="Arial" w:hAnsi="Arial"/>
          <w:sz w:val="9"/>
          <w:szCs w:val="9"/>
          <w:color w:val="FFFFFF"/>
        </w:rPr>
        <w:t>Addressable</w:t>
      </w:r>
    </w:p>
    <w:p>
      <w:pPr>
        <w:spacing w:after="0" w:line="205" w:lineRule="auto"/>
        <w:rPr>
          <w:sz w:val="20"/>
          <w:szCs w:val="20"/>
          <w:color w:val="auto"/>
        </w:rPr>
      </w:pPr>
      <w:r>
        <w:rPr>
          <w:rFonts w:ascii="Arial" w:cs="Arial" w:eastAsia="Arial" w:hAnsi="Arial"/>
          <w:sz w:val="4"/>
          <w:szCs w:val="4"/>
          <w:color w:val="FFFFFF"/>
        </w:rPr>
        <w:t>Market$1billion(2014)$250 million $125 million $100 million $100 million</w:t>
      </w:r>
    </w:p>
    <w:p>
      <w:pPr>
        <w:spacing w:after="0" w:line="182" w:lineRule="auto"/>
        <w:rPr>
          <w:sz w:val="20"/>
          <w:szCs w:val="20"/>
          <w:color w:val="auto"/>
        </w:rPr>
      </w:pPr>
      <w:r>
        <w:rPr>
          <w:rFonts w:ascii="Arial" w:cs="Arial" w:eastAsia="Arial" w:hAnsi="Arial"/>
          <w:sz w:val="9"/>
          <w:szCs w:val="9"/>
          <w:color w:val="FFFFFF"/>
        </w:rPr>
        <w:t>65%</w:t>
      </w:r>
    </w:p>
    <w:p>
      <w:pPr>
        <w:spacing w:after="0" w:line="206" w:lineRule="auto"/>
        <w:rPr>
          <w:sz w:val="20"/>
          <w:szCs w:val="20"/>
          <w:color w:val="auto"/>
        </w:rPr>
      </w:pPr>
      <w:r>
        <w:rPr>
          <w:rFonts w:ascii="Arial" w:cs="Arial" w:eastAsia="Arial" w:hAnsi="Arial"/>
          <w:sz w:val="4"/>
          <w:szCs w:val="4"/>
          <w:color w:val="FFFFFF"/>
        </w:rPr>
        <w:t>MarketAutomotiveGrowth</w:t>
      </w:r>
    </w:p>
    <w:p>
      <w:pPr>
        <w:ind w:right="4879"/>
        <w:spacing w:after="0" w:line="234" w:lineRule="auto"/>
        <w:rPr>
          <w:sz w:val="20"/>
          <w:szCs w:val="20"/>
          <w:color w:val="auto"/>
        </w:rPr>
      </w:pPr>
      <w:r>
        <w:rPr>
          <w:rFonts w:ascii="Arial" w:cs="Arial" w:eastAsia="Arial" w:hAnsi="Arial"/>
          <w:sz w:val="7"/>
          <w:szCs w:val="7"/>
          <w:color w:val="FFFFFF"/>
        </w:rPr>
        <w:t>Growth Drivers Penetration in Build rate on Increased utilization Expanding industrial Manufacturing developing markets commercial aircraft of rail automation investment</w:t>
      </w:r>
    </w:p>
    <w:p>
      <w:pPr>
        <w:spacing w:after="0" w:line="182" w:lineRule="auto"/>
        <w:rPr>
          <w:sz w:val="20"/>
          <w:szCs w:val="20"/>
          <w:color w:val="auto"/>
        </w:rPr>
      </w:pPr>
      <w:r>
        <w:rPr>
          <w:rFonts w:ascii="Arial" w:cs="Arial" w:eastAsia="Arial" w:hAnsi="Arial"/>
          <w:sz w:val="9"/>
          <w:szCs w:val="9"/>
          <w:color w:val="FFFFFF"/>
        </w:rPr>
        <w:t>2018</w:t>
      </w:r>
    </w:p>
    <w:p>
      <w:pPr>
        <w:spacing w:after="0" w:line="205" w:lineRule="auto"/>
        <w:rPr>
          <w:sz w:val="20"/>
          <w:szCs w:val="20"/>
          <w:color w:val="auto"/>
        </w:rPr>
      </w:pPr>
      <w:r>
        <w:rPr>
          <w:rFonts w:ascii="Arial" w:cs="Arial" w:eastAsia="Arial" w:hAnsi="Arial"/>
          <w:sz w:val="4"/>
          <w:szCs w:val="4"/>
          <w:color w:val="FFFFFF"/>
        </w:rPr>
        <w:t>IndustrialCustomers</w:t>
      </w:r>
    </w:p>
    <w:p>
      <w:pPr>
        <w:spacing w:after="0" w:line="189" w:lineRule="auto"/>
        <w:rPr>
          <w:sz w:val="20"/>
          <w:szCs w:val="20"/>
          <w:color w:val="auto"/>
        </w:rPr>
      </w:pPr>
      <w:r>
        <w:rPr>
          <w:rFonts w:ascii="Arial" w:cs="Arial" w:eastAsia="Arial" w:hAnsi="Arial"/>
          <w:sz w:val="13"/>
          <w:szCs w:val="13"/>
          <w:color w:val="FFFFFF"/>
          <w:vertAlign w:val="superscript"/>
        </w:rPr>
        <w:t>42%</w:t>
      </w:r>
      <w:r>
        <w:rPr>
          <w:rFonts w:ascii="Arial" w:cs="Arial" w:eastAsia="Arial" w:hAnsi="Arial"/>
          <w:sz w:val="8"/>
          <w:szCs w:val="8"/>
          <w:color w:val="FFFFFF"/>
        </w:rPr>
        <w:t>58%</w:t>
      </w:r>
    </w:p>
    <w:p>
      <w:pPr>
        <w:spacing w:after="0"/>
        <w:rPr>
          <w:sz w:val="20"/>
          <w:szCs w:val="20"/>
          <w:color w:val="auto"/>
        </w:rPr>
      </w:pPr>
      <w:r>
        <w:rPr>
          <w:rFonts w:ascii="Arial" w:cs="Arial" w:eastAsia="Arial" w:hAnsi="Arial"/>
          <w:sz w:val="13"/>
          <w:szCs w:val="13"/>
          <w:color w:val="FFFFFF"/>
        </w:rPr>
        <w:t>29Automotive</w:t>
      </w:r>
    </w:p>
    <w:p>
      <w:pPr>
        <w:sectPr>
          <w:pgSz w:w="11900" w:h="16838" w:orient="portrait"/>
          <w:cols w:equalWidth="0" w:num="1">
            <w:col w:w="10219"/>
          </w:cols>
          <w:pgMar w:left="2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FFFFFF"/>
          <w:vertAlign w:val="subscript"/>
        </w:rPr>
        <w:t>30</w:t>
      </w:r>
      <w:r>
        <w:rPr>
          <w:rFonts w:ascii="Arial" w:cs="Arial" w:eastAsia="Arial" w:hAnsi="Arial"/>
          <w:sz w:val="10"/>
          <w:szCs w:val="10"/>
          <w:color w:val="FFFFFF"/>
        </w:rPr>
        <w:t>214 Results</w:t>
      </w:r>
    </w:p>
    <w:p>
      <w:pPr>
        <w:sectPr>
          <w:pgSz w:w="11900" w:h="16838" w:orient="portrait"/>
          <w:cols w:equalWidth="0" w:num="1">
            <w:col w:w="10219"/>
          </w:cols>
          <w:pgMar w:left="240" w:top="1440" w:right="1440"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1"/>
          <w:szCs w:val="11"/>
          <w:color w:val="FFFFFF"/>
        </w:rPr>
        <w:t>Full Year 2014 Performance Summary</w:t>
      </w:r>
    </w:p>
    <w:p>
      <w:pPr>
        <w:spacing w:after="0" w:line="182" w:lineRule="auto"/>
        <w:rPr>
          <w:sz w:val="20"/>
          <w:szCs w:val="20"/>
          <w:color w:val="auto"/>
        </w:rPr>
      </w:pPr>
      <w:r>
        <w:rPr>
          <w:rFonts w:ascii="Arial" w:cs="Arial" w:eastAsia="Arial" w:hAnsi="Arial"/>
          <w:sz w:val="9"/>
          <w:szCs w:val="9"/>
          <w:color w:val="FFFFFF"/>
        </w:rPr>
        <w:t>ADJUSTED DILUTED NET</w:t>
      </w:r>
    </w:p>
    <w:p>
      <w:pPr>
        <w:spacing w:after="0" w:line="205" w:lineRule="auto"/>
        <w:rPr>
          <w:sz w:val="20"/>
          <w:szCs w:val="20"/>
          <w:color w:val="auto"/>
        </w:rPr>
      </w:pPr>
      <w:r>
        <w:rPr>
          <w:rFonts w:ascii="Arial" w:cs="Arial" w:eastAsia="Arial" w:hAnsi="Arial"/>
          <w:sz w:val="4"/>
          <w:szCs w:val="4"/>
          <w:color w:val="FFFFFF"/>
        </w:rPr>
        <w:t>+25%EARNINGS PER SHARE</w:t>
      </w:r>
    </w:p>
    <w:p>
      <w:pPr>
        <w:ind w:left="160"/>
        <w:spacing w:after="0" w:line="182" w:lineRule="auto"/>
        <w:rPr>
          <w:sz w:val="20"/>
          <w:szCs w:val="20"/>
          <w:color w:val="auto"/>
        </w:rPr>
      </w:pPr>
      <w:r>
        <w:rPr>
          <w:rFonts w:ascii="Arial" w:cs="Arial" w:eastAsia="Arial" w:hAnsi="Arial"/>
          <w:sz w:val="7"/>
          <w:szCs w:val="7"/>
          <w:color w:val="FFFFFF"/>
        </w:rPr>
        <w:t>40</w:t>
      </w:r>
      <w:r>
        <w:rPr>
          <w:rFonts w:ascii="Arial" w:cs="Arial" w:eastAsia="Arial" w:hAnsi="Arial"/>
          <w:sz w:val="9"/>
          <w:szCs w:val="9"/>
          <w:color w:val="FFFFFF"/>
          <w:vertAlign w:val="superscript"/>
        </w:rPr>
        <w:t>20</w:t>
      </w:r>
      <w:r>
        <w:rPr>
          <w:rFonts w:ascii="Arial" w:cs="Arial" w:eastAsia="Arial" w:hAnsi="Arial"/>
          <w:sz w:val="7"/>
          <w:szCs w:val="7"/>
          <w:color w:val="FFFFFF"/>
        </w:rPr>
        <w:t xml:space="preserve"> </w:t>
      </w:r>
      <w:r>
        <w:rPr>
          <w:rFonts w:ascii="Arial" w:cs="Arial" w:eastAsia="Arial" w:hAnsi="Arial"/>
          <w:sz w:val="9"/>
          <w:szCs w:val="9"/>
          <w:color w:val="FFFFFF"/>
          <w:vertAlign w:val="subscript"/>
        </w:rPr>
        <w:t>$1.29</w:t>
      </w:r>
    </w:p>
    <w:p>
      <w:pPr>
        <w:ind w:left="80"/>
        <w:spacing w:after="0" w:line="182" w:lineRule="auto"/>
        <w:rPr>
          <w:sz w:val="20"/>
          <w:szCs w:val="20"/>
          <w:color w:val="auto"/>
        </w:rPr>
      </w:pPr>
      <w:r>
        <w:rPr>
          <w:rFonts w:ascii="Arial" w:cs="Arial" w:eastAsia="Arial" w:hAnsi="Arial"/>
          <w:sz w:val="9"/>
          <w:szCs w:val="9"/>
          <w:color w:val="FFFFFF"/>
        </w:rPr>
        <w:t>1 03</w:t>
      </w:r>
    </w:p>
    <w:p>
      <w:pPr>
        <w:ind w:left="160"/>
        <w:spacing w:after="0" w:line="206" w:lineRule="auto"/>
        <w:rPr>
          <w:sz w:val="20"/>
          <w:szCs w:val="20"/>
          <w:color w:val="auto"/>
        </w:rPr>
      </w:pPr>
      <w:r>
        <w:rPr>
          <w:rFonts w:ascii="Arial" w:cs="Arial" w:eastAsia="Arial" w:hAnsi="Arial"/>
          <w:sz w:val="2"/>
          <w:szCs w:val="2"/>
          <w:color w:val="FFFFFF"/>
        </w:rPr>
        <w:t>80</w:t>
      </w:r>
      <w:r>
        <w:rPr>
          <w:rFonts w:ascii="Arial" w:cs="Arial" w:eastAsia="Arial" w:hAnsi="Arial"/>
          <w:sz w:val="4"/>
          <w:szCs w:val="4"/>
          <w:color w:val="FFFFFF"/>
          <w:vertAlign w:val="subscript"/>
        </w:rPr>
        <w:t>60</w:t>
      </w:r>
    </w:p>
    <w:p>
      <w:pPr>
        <w:ind w:left="160"/>
        <w:spacing w:after="0" w:line="182" w:lineRule="auto"/>
        <w:rPr>
          <w:sz w:val="20"/>
          <w:szCs w:val="20"/>
          <w:color w:val="auto"/>
        </w:rPr>
      </w:pPr>
      <w:r>
        <w:rPr>
          <w:rFonts w:ascii="Arial" w:cs="Arial" w:eastAsia="Arial" w:hAnsi="Arial"/>
          <w:sz w:val="9"/>
          <w:szCs w:val="9"/>
          <w:color w:val="FFFFFF"/>
        </w:rPr>
        <w:t>40</w:t>
      </w:r>
    </w:p>
    <w:p>
      <w:pPr>
        <w:jc w:val="right"/>
        <w:ind w:right="9919"/>
        <w:spacing w:after="0" w:line="205" w:lineRule="auto"/>
        <w:rPr>
          <w:sz w:val="20"/>
          <w:szCs w:val="20"/>
          <w:color w:val="auto"/>
        </w:rPr>
      </w:pPr>
      <w:r>
        <w:rPr>
          <w:rFonts w:ascii="Arial" w:cs="Arial" w:eastAsia="Arial" w:hAnsi="Arial"/>
          <w:sz w:val="8"/>
          <w:szCs w:val="8"/>
          <w:color w:val="FFFFFF"/>
        </w:rPr>
        <w:t>$0.0020</w:t>
      </w:r>
    </w:p>
    <w:p>
      <w:pPr>
        <w:spacing w:after="0" w:line="182" w:lineRule="auto"/>
        <w:rPr>
          <w:sz w:val="20"/>
          <w:szCs w:val="20"/>
          <w:color w:val="auto"/>
        </w:rPr>
      </w:pPr>
      <w:r>
        <w:rPr>
          <w:rFonts w:ascii="Arial" w:cs="Arial" w:eastAsia="Arial" w:hAnsi="Arial"/>
          <w:sz w:val="9"/>
          <w:szCs w:val="9"/>
          <w:color w:val="FFFFFF"/>
        </w:rPr>
        <w:t>FY 2013 FY 2014</w:t>
      </w:r>
    </w:p>
    <w:p>
      <w:pPr>
        <w:spacing w:after="0" w:line="206" w:lineRule="auto"/>
        <w:rPr>
          <w:sz w:val="20"/>
          <w:szCs w:val="20"/>
          <w:color w:val="auto"/>
        </w:rPr>
      </w:pPr>
      <w:r>
        <w:rPr>
          <w:rFonts w:ascii="Arial" w:cs="Arial" w:eastAsia="Arial" w:hAnsi="Arial"/>
          <w:sz w:val="4"/>
          <w:szCs w:val="4"/>
          <w:color w:val="FFFFFF"/>
        </w:rPr>
        <w:t>+31%REVENUE</w:t>
      </w:r>
    </w:p>
    <w:p>
      <w:pPr>
        <w:spacing w:after="0" w:line="205" w:lineRule="auto"/>
        <w:rPr>
          <w:sz w:val="20"/>
          <w:szCs w:val="20"/>
          <w:color w:val="auto"/>
        </w:rPr>
      </w:pPr>
      <w:r>
        <w:rPr>
          <w:rFonts w:ascii="Arial" w:cs="Arial" w:eastAsia="Arial" w:hAnsi="Arial"/>
          <w:sz w:val="4"/>
          <w:szCs w:val="4"/>
          <w:color w:val="FFFFFF"/>
        </w:rPr>
        <w:t>Core +8.0%</w:t>
      </w:r>
    </w:p>
    <w:p>
      <w:pPr>
        <w:spacing w:after="0" w:line="205" w:lineRule="auto"/>
        <w:rPr>
          <w:sz w:val="20"/>
          <w:szCs w:val="20"/>
          <w:color w:val="auto"/>
        </w:rPr>
      </w:pPr>
      <w:r>
        <w:rPr>
          <w:rFonts w:ascii="Arial" w:cs="Arial" w:eastAsia="Arial" w:hAnsi="Arial"/>
          <w:sz w:val="4"/>
          <w:szCs w:val="4"/>
          <w:color w:val="FFFFFF"/>
        </w:rPr>
        <w:t>Acquisitions +27.3%</w:t>
      </w:r>
    </w:p>
    <w:p>
      <w:pPr>
        <w:ind w:left="80"/>
        <w:spacing w:after="0" w:line="205" w:lineRule="auto"/>
        <w:rPr>
          <w:sz w:val="20"/>
          <w:szCs w:val="20"/>
          <w:color w:val="auto"/>
        </w:rPr>
      </w:pPr>
      <w:r>
        <w:rPr>
          <w:rFonts w:ascii="Arial" w:cs="Arial" w:eastAsia="Arial" w:hAnsi="Arial"/>
          <w:sz w:val="2"/>
          <w:szCs w:val="2"/>
          <w:color w:val="FFFFFF"/>
        </w:rPr>
        <w:t>M</w:t>
      </w:r>
      <w:r>
        <w:rPr>
          <w:rFonts w:ascii="Arial" w:cs="Arial" w:eastAsia="Arial" w:hAnsi="Arial"/>
          <w:sz w:val="4"/>
          <w:szCs w:val="4"/>
          <w:color w:val="FFFFFF"/>
          <w:vertAlign w:val="subscript"/>
        </w:rPr>
        <w:t>700</w:t>
      </w:r>
      <w:r>
        <w:rPr>
          <w:rFonts w:ascii="Arial" w:cs="Arial" w:eastAsia="Arial" w:hAnsi="Arial"/>
          <w:sz w:val="2"/>
          <w:szCs w:val="2"/>
          <w:color w:val="FFFFFF"/>
        </w:rPr>
        <w:t>FX -4.3%</w:t>
      </w:r>
    </w:p>
    <w:p>
      <w:pPr>
        <w:ind w:left="140"/>
        <w:spacing w:after="0" w:line="205" w:lineRule="auto"/>
        <w:rPr>
          <w:sz w:val="20"/>
          <w:szCs w:val="20"/>
          <w:color w:val="auto"/>
        </w:rPr>
      </w:pPr>
      <w:r>
        <w:rPr>
          <w:rFonts w:ascii="Arial" w:cs="Arial" w:eastAsia="Arial" w:hAnsi="Arial"/>
          <w:sz w:val="4"/>
          <w:szCs w:val="4"/>
          <w:color w:val="FFFFFF"/>
        </w:rPr>
        <w:t>50</w:t>
      </w:r>
    </w:p>
    <w:p>
      <w:pPr>
        <w:ind w:left="80"/>
        <w:spacing w:after="0" w:line="205" w:lineRule="auto"/>
        <w:rPr>
          <w:sz w:val="20"/>
          <w:szCs w:val="20"/>
          <w:color w:val="auto"/>
        </w:rPr>
      </w:pPr>
      <w:r>
        <w:rPr>
          <w:rFonts w:ascii="Arial" w:cs="Arial" w:eastAsia="Arial" w:hAnsi="Arial"/>
          <w:sz w:val="4"/>
          <w:szCs w:val="4"/>
          <w:color w:val="FFFFFF"/>
          <w:vertAlign w:val="subscript"/>
        </w:rPr>
        <w:t>600</w:t>
      </w:r>
      <w:r>
        <w:rPr>
          <w:rFonts w:ascii="Arial" w:cs="Arial" w:eastAsia="Arial" w:hAnsi="Arial"/>
          <w:sz w:val="2"/>
          <w:szCs w:val="2"/>
          <w:color w:val="FFFFFF"/>
        </w:rPr>
        <w:t xml:space="preserve"> $670</w:t>
      </w:r>
    </w:p>
    <w:p>
      <w:pPr>
        <w:ind w:left="80"/>
        <w:spacing w:after="0" w:line="189" w:lineRule="auto"/>
        <w:rPr>
          <w:sz w:val="20"/>
          <w:szCs w:val="20"/>
          <w:color w:val="auto"/>
        </w:rPr>
      </w:pPr>
      <w:r>
        <w:rPr>
          <w:rFonts w:ascii="Arial" w:cs="Arial" w:eastAsia="Arial" w:hAnsi="Arial"/>
          <w:sz w:val="13"/>
          <w:szCs w:val="13"/>
          <w:color w:val="FFFFFF"/>
          <w:vertAlign w:val="subscript"/>
        </w:rPr>
        <w:t>500</w:t>
      </w:r>
      <w:r>
        <w:rPr>
          <w:rFonts w:ascii="Arial" w:cs="Arial" w:eastAsia="Arial" w:hAnsi="Arial"/>
          <w:sz w:val="8"/>
          <w:szCs w:val="8"/>
          <w:color w:val="FFFFFF"/>
        </w:rPr>
        <w:t xml:space="preserve"> -$690</w:t>
      </w:r>
    </w:p>
    <w:p>
      <w:pPr>
        <w:ind w:left="80"/>
        <w:spacing w:after="0" w:line="205" w:lineRule="auto"/>
        <w:rPr>
          <w:sz w:val="20"/>
          <w:szCs w:val="20"/>
          <w:color w:val="auto"/>
        </w:rPr>
      </w:pPr>
      <w:r>
        <w:rPr>
          <w:rFonts w:ascii="Arial" w:cs="Arial" w:eastAsia="Arial" w:hAnsi="Arial"/>
          <w:sz w:val="4"/>
          <w:szCs w:val="4"/>
          <w:color w:val="FFFFFF"/>
          <w:vertAlign w:val="subscript"/>
        </w:rPr>
        <w:t>400</w:t>
      </w:r>
      <w:r>
        <w:rPr>
          <w:rFonts w:ascii="Arial" w:cs="Arial" w:eastAsia="Arial" w:hAnsi="Arial"/>
          <w:sz w:val="2"/>
          <w:szCs w:val="2"/>
          <w:color w:val="FFFFFF"/>
        </w:rPr>
        <w:t xml:space="preserve"> $488.6</w:t>
      </w:r>
    </w:p>
    <w:p>
      <w:pPr>
        <w:ind w:left="140"/>
        <w:spacing w:after="0" w:line="205" w:lineRule="auto"/>
        <w:rPr>
          <w:sz w:val="20"/>
          <w:szCs w:val="20"/>
          <w:color w:val="auto"/>
        </w:rPr>
      </w:pPr>
      <w:r>
        <w:rPr>
          <w:rFonts w:ascii="Arial" w:cs="Arial" w:eastAsia="Arial" w:hAnsi="Arial"/>
          <w:sz w:val="4"/>
          <w:szCs w:val="4"/>
          <w:color w:val="FFFFFF"/>
        </w:rPr>
        <w:t>50</w:t>
      </w:r>
    </w:p>
    <w:p>
      <w:pPr>
        <w:ind w:left="80"/>
        <w:spacing w:after="0" w:line="205" w:lineRule="auto"/>
        <w:rPr>
          <w:sz w:val="20"/>
          <w:szCs w:val="20"/>
          <w:color w:val="auto"/>
        </w:rPr>
      </w:pPr>
      <w:r>
        <w:rPr>
          <w:rFonts w:ascii="Arial" w:cs="Arial" w:eastAsia="Arial" w:hAnsi="Arial"/>
          <w:sz w:val="4"/>
          <w:szCs w:val="4"/>
          <w:color w:val="FFFFFF"/>
          <w:vertAlign w:val="subscript"/>
        </w:rPr>
        <w:t>300</w:t>
      </w:r>
      <w:r>
        <w:rPr>
          <w:rFonts w:ascii="Arial" w:cs="Arial" w:eastAsia="Arial" w:hAnsi="Arial"/>
          <w:sz w:val="2"/>
          <w:szCs w:val="2"/>
          <w:color w:val="FFFFFF"/>
        </w:rPr>
        <w:t xml:space="preserve"> $373.2</w:t>
      </w:r>
    </w:p>
    <w:p>
      <w:pPr>
        <w:ind w:left="140"/>
        <w:spacing w:after="0" w:line="205" w:lineRule="auto"/>
        <w:rPr>
          <w:sz w:val="20"/>
          <w:szCs w:val="20"/>
          <w:color w:val="auto"/>
        </w:rPr>
      </w:pPr>
      <w:r>
        <w:rPr>
          <w:rFonts w:ascii="Arial" w:cs="Arial" w:eastAsia="Arial" w:hAnsi="Arial"/>
          <w:sz w:val="4"/>
          <w:szCs w:val="4"/>
          <w:color w:val="FFFFFF"/>
        </w:rPr>
        <w:t>50</w:t>
      </w:r>
    </w:p>
    <w:p>
      <w:pPr>
        <w:ind w:left="80"/>
        <w:spacing w:after="0" w:line="205" w:lineRule="auto"/>
        <w:rPr>
          <w:sz w:val="20"/>
          <w:szCs w:val="20"/>
          <w:color w:val="auto"/>
        </w:rPr>
      </w:pPr>
      <w:r>
        <w:rPr>
          <w:rFonts w:ascii="Arial" w:cs="Arial" w:eastAsia="Arial" w:hAnsi="Arial"/>
          <w:sz w:val="4"/>
          <w:szCs w:val="4"/>
          <w:color w:val="FFFFFF"/>
        </w:rPr>
        <w:t>200</w:t>
      </w:r>
    </w:p>
    <w:p>
      <w:pPr>
        <w:ind w:left="80"/>
        <w:spacing w:after="0" w:line="189" w:lineRule="auto"/>
        <w:rPr>
          <w:sz w:val="20"/>
          <w:szCs w:val="20"/>
          <w:color w:val="auto"/>
        </w:rPr>
      </w:pPr>
      <w:r>
        <w:rPr>
          <w:rFonts w:ascii="Arial" w:cs="Arial" w:eastAsia="Arial" w:hAnsi="Arial"/>
          <w:sz w:val="13"/>
          <w:szCs w:val="13"/>
          <w:color w:val="FFFFFF"/>
        </w:rPr>
        <w:t>150</w:t>
      </w:r>
    </w:p>
    <w:p>
      <w:pPr>
        <w:spacing w:after="0" w:line="189" w:lineRule="auto"/>
        <w:rPr>
          <w:sz w:val="20"/>
          <w:szCs w:val="20"/>
          <w:color w:val="auto"/>
        </w:rPr>
      </w:pPr>
      <w:r>
        <w:rPr>
          <w:rFonts w:ascii="Arial" w:cs="Arial" w:eastAsia="Arial" w:hAnsi="Arial"/>
          <w:sz w:val="13"/>
          <w:szCs w:val="13"/>
          <w:color w:val="FFFFFF"/>
        </w:rPr>
        <w:t>$500</w:t>
      </w:r>
    </w:p>
    <w:p>
      <w:pPr>
        <w:spacing w:after="0"/>
        <w:rPr>
          <w:sz w:val="20"/>
          <w:szCs w:val="20"/>
          <w:color w:val="auto"/>
        </w:rPr>
      </w:pPr>
      <w:r>
        <w:rPr>
          <w:rFonts w:ascii="Arial" w:cs="Arial" w:eastAsia="Arial" w:hAnsi="Arial"/>
          <w:sz w:val="12"/>
          <w:szCs w:val="12"/>
          <w:color w:val="FFFFFF"/>
        </w:rPr>
        <w:t>31FY 2013 FY 2014 2015 Forecast</w:t>
      </w:r>
    </w:p>
    <w:p>
      <w:pPr>
        <w:sectPr>
          <w:pgSz w:w="11900" w:h="16838" w:orient="portrait"/>
          <w:cols w:equalWidth="0" w:num="1">
            <w:col w:w="10219"/>
          </w:cols>
          <w:pgMar w:left="240" w:top="1440" w:right="1440"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00" w:type="dxa"/>
            <w:vAlign w:val="bottom"/>
            <w:gridSpan w:val="6"/>
          </w:tcPr>
          <w:p>
            <w:pPr>
              <w:spacing w:after="0"/>
              <w:rPr>
                <w:sz w:val="20"/>
                <w:szCs w:val="20"/>
                <w:color w:val="auto"/>
              </w:rPr>
            </w:pPr>
            <w:r>
              <w:rPr>
                <w:rFonts w:ascii="Arial" w:cs="Arial" w:eastAsia="Arial" w:hAnsi="Arial"/>
                <w:sz w:val="13"/>
                <w:szCs w:val="13"/>
                <w:color w:val="FFFFFF"/>
              </w:rPr>
              <w:t>Adjusted Operating Margin +60bps</w:t>
            </w:r>
          </w:p>
        </w:tc>
        <w:tc>
          <w:tcPr>
            <w:tcW w:w="0" w:type="dxa"/>
            <w:vAlign w:val="bottom"/>
          </w:tcPr>
          <w:p>
            <w:pPr>
              <w:spacing w:after="0"/>
              <w:rPr>
                <w:sz w:val="1"/>
                <w:szCs w:val="1"/>
                <w:color w:val="auto"/>
              </w:rPr>
            </w:pPr>
          </w:p>
        </w:tc>
      </w:tr>
      <w:tr>
        <w:trPr>
          <w:trHeight w:val="39"/>
        </w:trPr>
        <w:tc>
          <w:tcPr>
            <w:tcW w:w="5100" w:type="dxa"/>
            <w:vAlign w:val="bottom"/>
            <w:gridSpan w:val="6"/>
          </w:tcPr>
          <w:p>
            <w:pPr>
              <w:spacing w:after="0" w:line="40" w:lineRule="exact"/>
              <w:rPr>
                <w:sz w:val="20"/>
                <w:szCs w:val="20"/>
                <w:color w:val="auto"/>
              </w:rPr>
            </w:pPr>
            <w:r>
              <w:rPr>
                <w:rFonts w:ascii="Arial" w:cs="Arial" w:eastAsia="Arial" w:hAnsi="Arial"/>
                <w:sz w:val="4"/>
                <w:szCs w:val="4"/>
                <w:color w:val="FFFFFF"/>
              </w:rPr>
              <w:t>Margin Expansion Through Improving Business Mix, Synergies % and Continuous Improvement</w:t>
            </w:r>
          </w:p>
        </w:tc>
        <w:tc>
          <w:tcPr>
            <w:tcW w:w="0" w:type="dxa"/>
            <w:vAlign w:val="bottom"/>
          </w:tcPr>
          <w:p>
            <w:pPr>
              <w:spacing w:after="0" w:line="20" w:lineRule="exact"/>
              <w:rPr>
                <w:sz w:val="1"/>
                <w:szCs w:val="1"/>
                <w:color w:val="auto"/>
              </w:rPr>
            </w:pPr>
          </w:p>
        </w:tc>
      </w:tr>
      <w:tr>
        <w:trPr>
          <w:trHeight w:val="39"/>
        </w:trPr>
        <w:tc>
          <w:tcPr>
            <w:tcW w:w="5100" w:type="dxa"/>
            <w:vAlign w:val="bottom"/>
            <w:gridSpan w:val="6"/>
          </w:tcPr>
          <w:p>
            <w:pPr>
              <w:spacing w:after="0" w:line="40" w:lineRule="exact"/>
              <w:rPr>
                <w:sz w:val="20"/>
                <w:szCs w:val="20"/>
                <w:color w:val="auto"/>
              </w:rPr>
            </w:pPr>
            <w:r>
              <w:rPr>
                <w:rFonts w:ascii="Arial" w:cs="Arial" w:eastAsia="Arial" w:hAnsi="Arial"/>
                <w:sz w:val="4"/>
                <w:szCs w:val="4"/>
                <w:color w:val="FFFFFF"/>
              </w:rPr>
              <w:t>Full Year 2014 Performance Summary</w:t>
            </w:r>
          </w:p>
        </w:tc>
        <w:tc>
          <w:tcPr>
            <w:tcW w:w="0" w:type="dxa"/>
            <w:vAlign w:val="bottom"/>
          </w:tcPr>
          <w:p>
            <w:pPr>
              <w:spacing w:after="0" w:line="20" w:lineRule="exact"/>
              <w:rPr>
                <w:sz w:val="1"/>
                <w:szCs w:val="1"/>
                <w:color w:val="auto"/>
              </w:rPr>
            </w:pPr>
          </w:p>
        </w:tc>
      </w:tr>
      <w:tr>
        <w:trPr>
          <w:trHeight w:val="39"/>
        </w:trPr>
        <w:tc>
          <w:tcPr>
            <w:tcW w:w="5100" w:type="dxa"/>
            <w:vAlign w:val="bottom"/>
            <w:gridSpan w:val="6"/>
          </w:tcPr>
          <w:p>
            <w:pPr>
              <w:spacing w:after="0" w:line="40" w:lineRule="exact"/>
              <w:rPr>
                <w:sz w:val="20"/>
                <w:szCs w:val="20"/>
                <w:color w:val="auto"/>
              </w:rPr>
            </w:pPr>
            <w:r>
              <w:rPr>
                <w:rFonts w:ascii="Arial" w:cs="Arial" w:eastAsia="Arial" w:hAnsi="Arial"/>
                <w:sz w:val="4"/>
                <w:szCs w:val="4"/>
                <w:color w:val="FFFFFF"/>
              </w:rPr>
              <w:t>Adjusted Manufacturing Margin1 +70bps</w:t>
            </w:r>
          </w:p>
        </w:tc>
        <w:tc>
          <w:tcPr>
            <w:tcW w:w="0" w:type="dxa"/>
            <w:vAlign w:val="bottom"/>
          </w:tcPr>
          <w:p>
            <w:pPr>
              <w:spacing w:after="0" w:line="20" w:lineRule="exact"/>
              <w:rPr>
                <w:sz w:val="1"/>
                <w:szCs w:val="1"/>
                <w:color w:val="auto"/>
              </w:rPr>
            </w:pPr>
          </w:p>
        </w:tc>
      </w:tr>
      <w:tr>
        <w:trPr>
          <w:trHeight w:val="39"/>
        </w:trPr>
        <w:tc>
          <w:tcPr>
            <w:tcW w:w="5100" w:type="dxa"/>
            <w:vAlign w:val="bottom"/>
            <w:gridSpan w:val="6"/>
          </w:tcPr>
          <w:p>
            <w:pPr>
              <w:spacing w:after="0" w:line="40" w:lineRule="exact"/>
              <w:rPr>
                <w:sz w:val="20"/>
                <w:szCs w:val="20"/>
                <w:color w:val="auto"/>
              </w:rPr>
            </w:pPr>
            <w:r>
              <w:rPr>
                <w:rFonts w:ascii="Arial" w:cs="Arial" w:eastAsia="Arial" w:hAnsi="Arial"/>
                <w:sz w:val="4"/>
                <w:szCs w:val="4"/>
                <w:color w:val="FFFFFF"/>
              </w:rPr>
              <w:t>Margin Expansion Through Improving Business Mix, Synergies and Continuous Improvement</w:t>
            </w: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ind w:left="80"/>
              <w:spacing w:after="0" w:line="40" w:lineRule="exact"/>
              <w:rPr>
                <w:sz w:val="20"/>
                <w:szCs w:val="20"/>
                <w:color w:val="auto"/>
              </w:rPr>
            </w:pPr>
            <w:r>
              <w:rPr>
                <w:rFonts w:ascii="Arial" w:cs="Arial" w:eastAsia="Arial" w:hAnsi="Arial"/>
                <w:sz w:val="4"/>
                <w:szCs w:val="4"/>
                <w:color w:val="FFFFFF"/>
              </w:rPr>
              <w:t>4</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ind w:left="80"/>
              <w:spacing w:after="0" w:line="40" w:lineRule="exact"/>
              <w:rPr>
                <w:sz w:val="20"/>
                <w:szCs w:val="20"/>
                <w:color w:val="auto"/>
              </w:rPr>
            </w:pPr>
            <w:r>
              <w:rPr>
                <w:rFonts w:ascii="Arial" w:cs="Arial" w:eastAsia="Arial" w:hAnsi="Arial"/>
                <w:sz w:val="4"/>
                <w:szCs w:val="4"/>
                <w:color w:val="FFFFFF"/>
              </w:rPr>
              <w:t>3</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ind w:left="80"/>
              <w:spacing w:after="0" w:line="40" w:lineRule="exact"/>
              <w:rPr>
                <w:sz w:val="20"/>
                <w:szCs w:val="20"/>
                <w:color w:val="auto"/>
              </w:rPr>
            </w:pPr>
            <w:r>
              <w:rPr>
                <w:rFonts w:ascii="Arial" w:cs="Arial" w:eastAsia="Arial" w:hAnsi="Arial"/>
                <w:sz w:val="4"/>
                <w:szCs w:val="4"/>
                <w:color w:val="FFFFFF"/>
              </w:rPr>
              <w:t>2</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gridSpan w:val="2"/>
            <w:vMerge w:val="restart"/>
          </w:tcPr>
          <w:p>
            <w:pPr>
              <w:spacing w:after="0" w:line="79" w:lineRule="exact"/>
              <w:rPr>
                <w:sz w:val="20"/>
                <w:szCs w:val="20"/>
                <w:color w:val="auto"/>
              </w:rPr>
            </w:pPr>
            <w:r>
              <w:rPr>
                <w:rFonts w:ascii="Arial" w:cs="Arial" w:eastAsia="Arial" w:hAnsi="Arial"/>
                <w:sz w:val="9"/>
                <w:szCs w:val="9"/>
                <w:color w:val="FFFFFF"/>
              </w:rPr>
              <w:t>21 6%</w:t>
            </w:r>
          </w:p>
        </w:tc>
        <w:tc>
          <w:tcPr>
            <w:tcW w:w="4340" w:type="dxa"/>
            <w:vAlign w:val="bottom"/>
            <w:vMerge w:val="restart"/>
          </w:tcPr>
          <w:p>
            <w:pPr>
              <w:jc w:val="right"/>
              <w:ind w:right="4087"/>
              <w:spacing w:after="0" w:line="79" w:lineRule="exact"/>
              <w:rPr>
                <w:sz w:val="20"/>
                <w:szCs w:val="20"/>
                <w:color w:val="auto"/>
              </w:rPr>
            </w:pPr>
            <w:r>
              <w:rPr>
                <w:rFonts w:ascii="Arial" w:cs="Arial" w:eastAsia="Arial" w:hAnsi="Arial"/>
                <w:sz w:val="9"/>
                <w:szCs w:val="9"/>
                <w:color w:val="FFFFFF"/>
              </w:rPr>
              <w:t>.9%</w:t>
            </w:r>
          </w:p>
        </w:tc>
        <w:tc>
          <w:tcPr>
            <w:tcW w:w="0" w:type="dxa"/>
            <w:vAlign w:val="bottom"/>
          </w:tcPr>
          <w:p>
            <w:pPr>
              <w:spacing w:after="0" w:line="20" w:lineRule="exact"/>
              <w:rPr>
                <w:sz w:val="1"/>
                <w:szCs w:val="1"/>
                <w:color w:val="auto"/>
              </w:rPr>
            </w:pPr>
          </w:p>
        </w:tc>
      </w:tr>
      <w:tr>
        <w:trPr>
          <w:trHeight w:val="39"/>
        </w:trPr>
        <w:tc>
          <w:tcPr>
            <w:tcW w:w="140" w:type="dxa"/>
            <w:vAlign w:val="bottom"/>
          </w:tcPr>
          <w:p>
            <w:pPr>
              <w:ind w:left="80"/>
              <w:spacing w:after="0" w:line="40" w:lineRule="exact"/>
              <w:rPr>
                <w:sz w:val="20"/>
                <w:szCs w:val="20"/>
                <w:color w:val="auto"/>
              </w:rPr>
            </w:pPr>
            <w:r>
              <w:rPr>
                <w:rFonts w:ascii="Arial" w:cs="Arial" w:eastAsia="Arial" w:hAnsi="Arial"/>
                <w:sz w:val="4"/>
                <w:szCs w:val="4"/>
                <w:color w:val="FFFFFF"/>
              </w:rPr>
              <w:t>1</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43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20</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gridSpan w:val="2"/>
          </w:tcPr>
          <w:p>
            <w:pPr>
              <w:spacing w:after="0" w:line="40" w:lineRule="exact"/>
              <w:rPr>
                <w:sz w:val="20"/>
                <w:szCs w:val="20"/>
                <w:color w:val="auto"/>
              </w:rPr>
            </w:pPr>
            <w:r>
              <w:rPr>
                <w:rFonts w:ascii="Arial" w:cs="Arial" w:eastAsia="Arial" w:hAnsi="Arial"/>
                <w:sz w:val="4"/>
                <w:szCs w:val="4"/>
                <w:color w:val="FFFFFF"/>
              </w:rPr>
              <w:t>19.0 18.20</w:t>
            </w:r>
          </w:p>
        </w:tc>
        <w:tc>
          <w:tcPr>
            <w:tcW w:w="4340" w:type="dxa"/>
            <w:vAlign w:val="bottom"/>
          </w:tcPr>
          <w:p>
            <w:pPr>
              <w:jc w:val="right"/>
              <w:ind w:right="3787"/>
              <w:spacing w:after="0" w:line="40" w:lineRule="exact"/>
              <w:rPr>
                <w:sz w:val="20"/>
                <w:szCs w:val="20"/>
                <w:color w:val="auto"/>
              </w:rPr>
            </w:pPr>
            <w:r>
              <w:rPr>
                <w:rFonts w:ascii="Arial" w:cs="Arial" w:eastAsia="Arial" w:hAnsi="Arial"/>
                <w:sz w:val="4"/>
                <w:szCs w:val="4"/>
                <w:color w:val="FFFFFF"/>
              </w:rPr>
              <w:t>17.0 16.0</w:t>
            </w:r>
          </w:p>
        </w:tc>
        <w:tc>
          <w:tcPr>
            <w:tcW w:w="0" w:type="dxa"/>
            <w:vAlign w:val="bottom"/>
          </w:tcPr>
          <w:p>
            <w:pPr>
              <w:spacing w:after="0" w:line="20" w:lineRule="exact"/>
              <w:rPr>
                <w:sz w:val="1"/>
                <w:szCs w:val="1"/>
                <w:color w:val="auto"/>
              </w:rPr>
            </w:pPr>
          </w:p>
        </w:tc>
      </w:tr>
      <w:tr>
        <w:trPr>
          <w:trHeight w:val="39"/>
        </w:trPr>
        <w:tc>
          <w:tcPr>
            <w:tcW w:w="260" w:type="dxa"/>
            <w:vAlign w:val="bottom"/>
            <w:gridSpan w:val="3"/>
          </w:tcPr>
          <w:p>
            <w:pPr>
              <w:spacing w:after="0" w:line="40" w:lineRule="exact"/>
              <w:rPr>
                <w:sz w:val="20"/>
                <w:szCs w:val="20"/>
                <w:color w:val="auto"/>
              </w:rPr>
            </w:pPr>
            <w:r>
              <w:rPr>
                <w:rFonts w:ascii="Arial" w:cs="Arial" w:eastAsia="Arial" w:hAnsi="Arial"/>
                <w:sz w:val="4"/>
                <w:szCs w:val="4"/>
                <w:color w:val="FFFFFF"/>
              </w:rPr>
              <w:t>15.0</w:t>
            </w:r>
          </w:p>
        </w:tc>
        <w:tc>
          <w:tcPr>
            <w:tcW w:w="180" w:type="dxa"/>
            <w:vAlign w:val="bottom"/>
          </w:tcPr>
          <w:p>
            <w:pPr>
              <w:spacing w:after="0"/>
              <w:rPr>
                <w:sz w:val="3"/>
                <w:szCs w:val="3"/>
                <w:color w:val="auto"/>
              </w:rPr>
            </w:pPr>
          </w:p>
        </w:tc>
        <w:tc>
          <w:tcPr>
            <w:tcW w:w="320" w:type="dxa"/>
            <w:vAlign w:val="bottom"/>
            <w:vMerge w:val="restart"/>
          </w:tcPr>
          <w:p>
            <w:pPr>
              <w:ind w:left="60"/>
              <w:spacing w:after="0" w:line="79" w:lineRule="exact"/>
              <w:rPr>
                <w:sz w:val="20"/>
                <w:szCs w:val="20"/>
                <w:color w:val="auto"/>
              </w:rPr>
            </w:pPr>
            <w:r>
              <w:rPr>
                <w:rFonts w:ascii="Arial" w:cs="Arial" w:eastAsia="Arial" w:hAnsi="Arial"/>
                <w:sz w:val="9"/>
                <w:szCs w:val="9"/>
                <w:color w:val="FFFFFF"/>
              </w:rPr>
              <w:t>FY</w:t>
            </w: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0" w:type="dxa"/>
            <w:vAlign w:val="bottom"/>
            <w:gridSpan w:val="2"/>
          </w:tcPr>
          <w:p>
            <w:pPr>
              <w:spacing w:after="0" w:line="40" w:lineRule="exact"/>
              <w:rPr>
                <w:sz w:val="20"/>
                <w:szCs w:val="20"/>
                <w:color w:val="auto"/>
              </w:rPr>
            </w:pPr>
            <w:r>
              <w:rPr>
                <w:rFonts w:ascii="Arial" w:cs="Arial" w:eastAsia="Arial" w:hAnsi="Arial"/>
                <w:sz w:val="4"/>
                <w:szCs w:val="4"/>
                <w:color w:val="FFFFFF"/>
              </w:rPr>
              <w:t>FY</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100" w:type="dxa"/>
            <w:vAlign w:val="bottom"/>
            <w:gridSpan w:val="6"/>
          </w:tcPr>
          <w:p>
            <w:pPr>
              <w:spacing w:after="0" w:line="40" w:lineRule="exact"/>
              <w:rPr>
                <w:sz w:val="20"/>
                <w:szCs w:val="20"/>
                <w:color w:val="auto"/>
              </w:rPr>
            </w:pPr>
            <w:r>
              <w:rPr>
                <w:rFonts w:ascii="Arial" w:cs="Arial" w:eastAsia="Arial" w:hAnsi="Arial"/>
                <w:sz w:val="4"/>
                <w:szCs w:val="4"/>
                <w:color w:val="FFFFFF"/>
              </w:rPr>
              <w:t>14.02013.0 12.02014.0 10.0</w:t>
            </w: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9</w:t>
            </w:r>
          </w:p>
        </w:tc>
        <w:tc>
          <w:tcPr>
            <w:tcW w:w="40" w:type="dxa"/>
            <w:vAlign w:val="bottom"/>
          </w:tcPr>
          <w:p>
            <w:pPr>
              <w:spacing w:after="0"/>
              <w:rPr>
                <w:sz w:val="3"/>
                <w:szCs w:val="3"/>
                <w:color w:val="auto"/>
              </w:rPr>
            </w:pPr>
          </w:p>
        </w:tc>
        <w:tc>
          <w:tcPr>
            <w:tcW w:w="260" w:type="dxa"/>
            <w:vAlign w:val="bottom"/>
            <w:gridSpan w:val="2"/>
          </w:tcPr>
          <w:p>
            <w:pPr>
              <w:ind w:left="20"/>
              <w:spacing w:after="0" w:line="40" w:lineRule="exact"/>
              <w:rPr>
                <w:sz w:val="20"/>
                <w:szCs w:val="20"/>
                <w:color w:val="auto"/>
              </w:rPr>
            </w:pPr>
            <w:r>
              <w:rPr>
                <w:rFonts w:ascii="Arial" w:cs="Arial" w:eastAsia="Arial" w:hAnsi="Arial"/>
                <w:sz w:val="4"/>
                <w:szCs w:val="4"/>
                <w:color w:val="FFFFFF"/>
              </w:rPr>
              <w:t>10%</w:t>
            </w:r>
          </w:p>
        </w:tc>
        <w:tc>
          <w:tcPr>
            <w:tcW w:w="3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8</w:t>
            </w:r>
          </w:p>
        </w:tc>
        <w:tc>
          <w:tcPr>
            <w:tcW w:w="40" w:type="dxa"/>
            <w:vAlign w:val="bottom"/>
          </w:tcPr>
          <w:p>
            <w:pPr>
              <w:spacing w:after="0"/>
              <w:rPr>
                <w:sz w:val="3"/>
                <w:szCs w:val="3"/>
                <w:color w:val="auto"/>
              </w:rPr>
            </w:pPr>
          </w:p>
        </w:tc>
        <w:tc>
          <w:tcPr>
            <w:tcW w:w="580" w:type="dxa"/>
            <w:vAlign w:val="bottom"/>
            <w:gridSpan w:val="3"/>
          </w:tcPr>
          <w:p>
            <w:pPr>
              <w:ind w:left="20"/>
              <w:spacing w:after="0" w:line="40" w:lineRule="exact"/>
              <w:rPr>
                <w:sz w:val="20"/>
                <w:szCs w:val="20"/>
                <w:color w:val="auto"/>
              </w:rPr>
            </w:pPr>
            <w:r>
              <w:rPr>
                <w:rFonts w:ascii="Arial" w:cs="Arial" w:eastAsia="Arial" w:hAnsi="Arial"/>
                <w:sz w:val="4"/>
                <w:szCs w:val="4"/>
                <w:color w:val="FFFFFF"/>
              </w:rPr>
              <w:t>8 2%</w:t>
            </w: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7</w:t>
            </w:r>
          </w:p>
        </w:tc>
        <w:tc>
          <w:tcPr>
            <w:tcW w:w="40" w:type="dxa"/>
            <w:vAlign w:val="bottom"/>
          </w:tcPr>
          <w:p>
            <w:pPr>
              <w:spacing w:after="0"/>
              <w:rPr>
                <w:sz w:val="3"/>
                <w:szCs w:val="3"/>
                <w:color w:val="auto"/>
              </w:rPr>
            </w:pPr>
          </w:p>
        </w:tc>
        <w:tc>
          <w:tcPr>
            <w:tcW w:w="580" w:type="dxa"/>
            <w:vAlign w:val="bottom"/>
            <w:gridSpan w:val="3"/>
          </w:tcPr>
          <w:p>
            <w:pPr>
              <w:ind w:left="20"/>
              <w:spacing w:after="0" w:line="40" w:lineRule="exact"/>
              <w:rPr>
                <w:sz w:val="20"/>
                <w:szCs w:val="20"/>
                <w:color w:val="auto"/>
              </w:rPr>
            </w:pPr>
            <w:r>
              <w:rPr>
                <w:rFonts w:ascii="Arial" w:cs="Arial" w:eastAsia="Arial" w:hAnsi="Arial"/>
                <w:sz w:val="4"/>
                <w:szCs w:val="4"/>
                <w:color w:val="FFFFFF"/>
              </w:rPr>
              <w:t>7.6%</w:t>
            </w: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6</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5</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4</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3</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2</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80" w:type="dxa"/>
            <w:vAlign w:val="bottom"/>
            <w:gridSpan w:val="2"/>
          </w:tcPr>
          <w:p>
            <w:pPr>
              <w:spacing w:after="0" w:line="40" w:lineRule="exact"/>
              <w:rPr>
                <w:sz w:val="20"/>
                <w:szCs w:val="20"/>
                <w:color w:val="auto"/>
              </w:rPr>
            </w:pPr>
            <w:r>
              <w:rPr>
                <w:rFonts w:ascii="Arial" w:cs="Arial" w:eastAsia="Arial" w:hAnsi="Arial"/>
                <w:sz w:val="4"/>
                <w:szCs w:val="4"/>
                <w:color w:val="FFFFFF"/>
              </w:rPr>
              <w:t>0.0</w:t>
            </w: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100" w:type="dxa"/>
            <w:vAlign w:val="bottom"/>
            <w:gridSpan w:val="6"/>
          </w:tcPr>
          <w:p>
            <w:pPr>
              <w:spacing w:after="0" w:line="40" w:lineRule="exact"/>
              <w:rPr>
                <w:sz w:val="20"/>
                <w:szCs w:val="20"/>
                <w:color w:val="auto"/>
              </w:rPr>
            </w:pPr>
            <w:r>
              <w:rPr>
                <w:rFonts w:ascii="Arial" w:cs="Arial" w:eastAsia="Arial" w:hAnsi="Arial"/>
                <w:sz w:val="4"/>
                <w:szCs w:val="4"/>
                <w:color w:val="FFFFFF"/>
              </w:rPr>
              <w:t>FY 2013 FY 2014 2015 Forecast2</w:t>
            </w:r>
          </w:p>
        </w:tc>
        <w:tc>
          <w:tcPr>
            <w:tcW w:w="0" w:type="dxa"/>
            <w:vAlign w:val="bottom"/>
          </w:tcPr>
          <w:p>
            <w:pPr>
              <w:spacing w:after="0" w:line="20" w:lineRule="exact"/>
              <w:rPr>
                <w:sz w:val="1"/>
                <w:szCs w:val="1"/>
                <w:color w:val="auto"/>
              </w:rPr>
            </w:pPr>
          </w:p>
        </w:tc>
      </w:tr>
      <w:tr>
        <w:trPr>
          <w:trHeight w:val="39"/>
        </w:trPr>
        <w:tc>
          <w:tcPr>
            <w:tcW w:w="140" w:type="dxa"/>
            <w:vAlign w:val="bottom"/>
          </w:tcPr>
          <w:p>
            <w:pPr>
              <w:spacing w:after="0"/>
              <w:rPr>
                <w:sz w:val="3"/>
                <w:szCs w:val="3"/>
                <w:color w:val="auto"/>
              </w:rPr>
            </w:pPr>
          </w:p>
        </w:tc>
        <w:tc>
          <w:tcPr>
            <w:tcW w:w="4960" w:type="dxa"/>
            <w:vAlign w:val="bottom"/>
            <w:gridSpan w:val="5"/>
          </w:tcPr>
          <w:p>
            <w:pPr>
              <w:jc w:val="right"/>
              <w:ind w:right="1927"/>
              <w:spacing w:after="0" w:line="40" w:lineRule="exact"/>
              <w:rPr>
                <w:sz w:val="20"/>
                <w:szCs w:val="20"/>
                <w:color w:val="auto"/>
              </w:rPr>
            </w:pPr>
            <w:r>
              <w:rPr>
                <w:rFonts w:ascii="Arial" w:cs="Arial" w:eastAsia="Arial" w:hAnsi="Arial"/>
                <w:sz w:val="4"/>
                <w:szCs w:val="4"/>
                <w:color w:val="FFFFFF"/>
              </w:rPr>
              <w:t>Manufacturing Margin = Net Sales—Cost of Goods Sold</w:t>
            </w:r>
          </w:p>
        </w:tc>
        <w:tc>
          <w:tcPr>
            <w:tcW w:w="0" w:type="dxa"/>
            <w:vAlign w:val="bottom"/>
          </w:tcPr>
          <w:p>
            <w:pPr>
              <w:spacing w:after="0" w:line="20" w:lineRule="exact"/>
              <w:rPr>
                <w:sz w:val="1"/>
                <w:szCs w:val="1"/>
                <w:color w:val="auto"/>
              </w:rPr>
            </w:pPr>
          </w:p>
        </w:tc>
      </w:tr>
      <w:tr>
        <w:trPr>
          <w:trHeight w:val="39"/>
        </w:trPr>
        <w:tc>
          <w:tcPr>
            <w:tcW w:w="440" w:type="dxa"/>
            <w:vAlign w:val="bottom"/>
            <w:gridSpan w:val="4"/>
          </w:tcPr>
          <w:p>
            <w:pPr>
              <w:spacing w:after="0" w:line="40" w:lineRule="exact"/>
              <w:rPr>
                <w:sz w:val="20"/>
                <w:szCs w:val="20"/>
                <w:color w:val="auto"/>
              </w:rPr>
            </w:pPr>
            <w:r>
              <w:rPr>
                <w:rFonts w:ascii="Arial" w:cs="Arial" w:eastAsia="Arial" w:hAnsi="Arial"/>
                <w:sz w:val="4"/>
                <w:szCs w:val="4"/>
                <w:color w:val="FFFFFF"/>
              </w:rPr>
              <w:t>[2]2015</w:t>
            </w:r>
          </w:p>
        </w:tc>
        <w:tc>
          <w:tcPr>
            <w:tcW w:w="4660" w:type="dxa"/>
            <w:vAlign w:val="bottom"/>
            <w:gridSpan w:val="2"/>
          </w:tcPr>
          <w:p>
            <w:pPr>
              <w:jc w:val="right"/>
              <w:ind w:right="1187"/>
              <w:spacing w:after="0" w:line="40" w:lineRule="exact"/>
              <w:rPr>
                <w:sz w:val="20"/>
                <w:szCs w:val="20"/>
                <w:color w:val="auto"/>
              </w:rPr>
            </w:pPr>
            <w:r>
              <w:rPr>
                <w:rFonts w:ascii="Arial" w:cs="Arial" w:eastAsia="Arial" w:hAnsi="Arial"/>
                <w:sz w:val="4"/>
                <w:szCs w:val="4"/>
                <w:color w:val="FFFFFF"/>
              </w:rPr>
              <w:t>Adjusted Operating Margin rounded to the nearest whole number</w:t>
            </w:r>
          </w:p>
        </w:tc>
        <w:tc>
          <w:tcPr>
            <w:tcW w:w="0" w:type="dxa"/>
            <w:vAlign w:val="bottom"/>
          </w:tcPr>
          <w:p>
            <w:pPr>
              <w:spacing w:after="0" w:line="20" w:lineRule="exact"/>
              <w:rPr>
                <w:sz w:val="1"/>
                <w:szCs w:val="1"/>
                <w:color w:val="auto"/>
              </w:rPr>
            </w:pPr>
          </w:p>
        </w:tc>
      </w:tr>
      <w:tr>
        <w:trPr>
          <w:trHeight w:val="165"/>
        </w:trPr>
        <w:tc>
          <w:tcPr>
            <w:tcW w:w="140" w:type="dxa"/>
            <w:vAlign w:val="bottom"/>
          </w:tcPr>
          <w:p>
            <w:pPr>
              <w:spacing w:after="0"/>
              <w:rPr>
                <w:sz w:val="20"/>
                <w:szCs w:val="20"/>
                <w:color w:val="auto"/>
              </w:rPr>
            </w:pPr>
            <w:r>
              <w:rPr>
                <w:rFonts w:ascii="Arial" w:cs="Arial" w:eastAsia="Arial" w:hAnsi="Arial"/>
                <w:sz w:val="13"/>
                <w:szCs w:val="13"/>
                <w:color w:val="FFFFFF"/>
                <w:w w:val="82"/>
              </w:rPr>
              <w:t>32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RevenueFullYear +125%2014– APC Group</w:t>
      </w:r>
    </w:p>
    <w:p>
      <w:pPr>
        <w:spacing w:after="0" w:line="182" w:lineRule="auto"/>
        <w:rPr>
          <w:sz w:val="20"/>
          <w:szCs w:val="20"/>
          <w:color w:val="auto"/>
        </w:rPr>
      </w:pPr>
      <w:r>
        <w:rPr>
          <w:rFonts w:ascii="Arial" w:cs="Arial" w:eastAsia="Arial" w:hAnsi="Arial"/>
          <w:sz w:val="7"/>
          <w:szCs w:val="7"/>
          <w:color w:val="FFFFFF"/>
        </w:rPr>
        <w:t>Growth</w:t>
      </w:r>
      <w:r>
        <w:rPr>
          <w:rFonts w:ascii="Arial" w:cs="Arial" w:eastAsia="Arial" w:hAnsi="Arial"/>
          <w:sz w:val="9"/>
          <w:szCs w:val="9"/>
          <w:color w:val="FFFFFF"/>
          <w:vertAlign w:val="superscript"/>
        </w:rPr>
        <w:t>5</w:t>
      </w:r>
      <w:r>
        <w:rPr>
          <w:rFonts w:ascii="Arial" w:cs="Arial" w:eastAsia="Arial" w:hAnsi="Arial"/>
          <w:sz w:val="7"/>
          <w:szCs w:val="7"/>
          <w:color w:val="FFFFFF"/>
        </w:rPr>
        <w:t xml:space="preserve"> by Acquisitions and $M Organic Growth</w:t>
      </w:r>
    </w:p>
    <w:p>
      <w:pPr>
        <w:ind w:left="80"/>
        <w:spacing w:after="0" w:line="205" w:lineRule="auto"/>
        <w:rPr>
          <w:sz w:val="20"/>
          <w:szCs w:val="20"/>
          <w:color w:val="auto"/>
        </w:rPr>
      </w:pPr>
      <w:r>
        <w:rPr>
          <w:rFonts w:ascii="Arial" w:cs="Arial" w:eastAsia="Arial" w:hAnsi="Arial"/>
          <w:sz w:val="4"/>
          <w:szCs w:val="4"/>
          <w:color w:val="FFFFFF"/>
        </w:rPr>
        <w:t>20077</w:t>
      </w:r>
    </w:p>
    <w:p>
      <w:pPr>
        <w:ind w:left="140"/>
        <w:spacing w:after="0" w:line="182" w:lineRule="auto"/>
        <w:rPr>
          <w:sz w:val="20"/>
          <w:szCs w:val="20"/>
          <w:color w:val="auto"/>
        </w:rPr>
      </w:pPr>
      <w:r>
        <w:rPr>
          <w:rFonts w:ascii="Arial" w:cs="Arial" w:eastAsia="Arial" w:hAnsi="Arial"/>
          <w:sz w:val="9"/>
          <w:szCs w:val="9"/>
          <w:color w:val="FFFFFF"/>
          <w:vertAlign w:val="subscript"/>
        </w:rPr>
        <w:t>50</w:t>
      </w:r>
      <w:r>
        <w:rPr>
          <w:rFonts w:ascii="Arial" w:cs="Arial" w:eastAsia="Arial" w:hAnsi="Arial"/>
          <w:sz w:val="7"/>
          <w:szCs w:val="7"/>
          <w:color w:val="FFFFFF"/>
        </w:rPr>
        <w:t>.2</w:t>
      </w:r>
    </w:p>
    <w:p>
      <w:pPr>
        <w:jc w:val="right"/>
        <w:ind w:right="9959"/>
        <w:spacing w:after="0" w:line="234" w:lineRule="auto"/>
        <w:rPr>
          <w:sz w:val="20"/>
          <w:szCs w:val="20"/>
          <w:color w:val="auto"/>
        </w:rPr>
      </w:pPr>
      <w:r>
        <w:rPr>
          <w:rFonts w:ascii="Arial" w:cs="Arial" w:eastAsia="Arial" w:hAnsi="Arial"/>
          <w:sz w:val="7"/>
          <w:szCs w:val="7"/>
          <w:color w:val="FFFFFF"/>
        </w:rPr>
        <w:t>$10025</w:t>
      </w:r>
    </w:p>
    <w:p>
      <w:pPr>
        <w:jc w:val="right"/>
        <w:ind w:right="9879"/>
        <w:spacing w:after="0" w:line="206" w:lineRule="auto"/>
        <w:rPr>
          <w:sz w:val="20"/>
          <w:szCs w:val="20"/>
          <w:color w:val="auto"/>
        </w:rPr>
      </w:pPr>
      <w:r>
        <w:rPr>
          <w:rFonts w:ascii="Arial" w:cs="Arial" w:eastAsia="Arial" w:hAnsi="Arial"/>
          <w:sz w:val="4"/>
          <w:szCs w:val="4"/>
          <w:color w:val="FFFFFF"/>
        </w:rPr>
        <w:t>20.9%</w:t>
      </w:r>
    </w:p>
    <w:p>
      <w:pPr>
        <w:jc w:val="right"/>
        <w:ind w:right="9919"/>
        <w:spacing w:after="0" w:line="189" w:lineRule="auto"/>
        <w:rPr>
          <w:sz w:val="20"/>
          <w:szCs w:val="20"/>
          <w:color w:val="auto"/>
        </w:rPr>
      </w:pPr>
      <w:r>
        <w:rPr>
          <w:rFonts w:ascii="Arial" w:cs="Arial" w:eastAsia="Arial" w:hAnsi="Arial"/>
          <w:sz w:val="8"/>
          <w:szCs w:val="8"/>
          <w:color w:val="FFFFFF"/>
        </w:rPr>
        <w:t>78</w:t>
      </w:r>
      <w:r>
        <w:rPr>
          <w:rFonts w:ascii="Arial" w:cs="Arial" w:eastAsia="Arial" w:hAnsi="Arial"/>
          <w:sz w:val="13"/>
          <w:szCs w:val="13"/>
          <w:color w:val="FFFFFF"/>
          <w:vertAlign w:val="subscript"/>
        </w:rPr>
        <w:t>50</w:t>
      </w:r>
      <w:r>
        <w:rPr>
          <w:rFonts w:ascii="Arial" w:cs="Arial" w:eastAsia="Arial" w:hAnsi="Arial"/>
          <w:sz w:val="8"/>
          <w:szCs w:val="8"/>
          <w:color w:val="FFFFFF"/>
        </w:rPr>
        <w:t>.8</w:t>
      </w:r>
    </w:p>
    <w:p>
      <w:pPr>
        <w:spacing w:after="0" w:line="182" w:lineRule="auto"/>
        <w:rPr>
          <w:sz w:val="20"/>
          <w:szCs w:val="20"/>
          <w:color w:val="auto"/>
        </w:rPr>
      </w:pPr>
      <w:r>
        <w:rPr>
          <w:rFonts w:ascii="Arial" w:cs="Arial" w:eastAsia="Arial" w:hAnsi="Arial"/>
          <w:sz w:val="9"/>
          <w:szCs w:val="9"/>
          <w:color w:val="FFFFFF"/>
        </w:rPr>
        <w:t>$250</w:t>
      </w:r>
    </w:p>
    <w:p>
      <w:pPr>
        <w:spacing w:after="0" w:line="182" w:lineRule="auto"/>
        <w:rPr>
          <w:sz w:val="20"/>
          <w:szCs w:val="20"/>
          <w:color w:val="auto"/>
        </w:rPr>
      </w:pPr>
      <w:r>
        <w:rPr>
          <w:rFonts w:ascii="Arial" w:cs="Arial" w:eastAsia="Arial" w:hAnsi="Arial"/>
          <w:sz w:val="9"/>
          <w:szCs w:val="9"/>
          <w:color w:val="FFFFFF"/>
        </w:rPr>
        <w:t>FY 2013 FY 2014</w:t>
      </w:r>
    </w:p>
    <w:p>
      <w:pPr>
        <w:spacing w:after="0" w:line="206" w:lineRule="auto"/>
        <w:rPr>
          <w:sz w:val="20"/>
          <w:szCs w:val="20"/>
          <w:color w:val="auto"/>
        </w:rPr>
      </w:pPr>
      <w:r>
        <w:rPr>
          <w:rFonts w:ascii="Arial" w:cs="Arial" w:eastAsia="Arial" w:hAnsi="Arial"/>
          <w:sz w:val="4"/>
          <w:szCs w:val="4"/>
          <w:color w:val="FFFFFF"/>
        </w:rPr>
        <w:t>MarginAdjusted Operating</w:t>
      </w:r>
    </w:p>
    <w:p>
      <w:pPr>
        <w:spacing w:after="0" w:line="182" w:lineRule="auto"/>
        <w:rPr>
          <w:sz w:val="20"/>
          <w:szCs w:val="20"/>
          <w:color w:val="auto"/>
        </w:rPr>
      </w:pPr>
      <w:r>
        <w:rPr>
          <w:rFonts w:ascii="Arial" w:cs="Arial" w:eastAsia="Arial" w:hAnsi="Arial"/>
          <w:sz w:val="9"/>
          <w:szCs w:val="9"/>
          <w:color w:val="FFFFFF"/>
        </w:rPr>
        <w:t>-150bps</w:t>
      </w:r>
    </w:p>
    <w:p>
      <w:pPr>
        <w:spacing w:after="0" w:line="206" w:lineRule="auto"/>
        <w:rPr>
          <w:sz w:val="20"/>
          <w:szCs w:val="20"/>
          <w:color w:val="auto"/>
        </w:rPr>
      </w:pPr>
      <w:r>
        <w:rPr>
          <w:rFonts w:ascii="Arial" w:cs="Arial" w:eastAsia="Arial" w:hAnsi="Arial"/>
          <w:sz w:val="4"/>
          <w:szCs w:val="4"/>
          <w:color w:val="FFFFFF"/>
        </w:rPr>
        <w:t>%DownMarginin2014Expansiondueto Newin2015.Program Start-ups.</w:t>
      </w:r>
    </w:p>
    <w:p>
      <w:pPr>
        <w:ind w:left="80"/>
        <w:spacing w:after="0" w:line="205" w:lineRule="auto"/>
        <w:rPr>
          <w:sz w:val="20"/>
          <w:szCs w:val="20"/>
          <w:color w:val="auto"/>
        </w:rPr>
      </w:pPr>
      <w:r>
        <w:rPr>
          <w:rFonts w:ascii="Arial" w:cs="Arial" w:eastAsia="Arial" w:hAnsi="Arial"/>
          <w:sz w:val="2"/>
          <w:szCs w:val="2"/>
          <w:color w:val="FFFFFF"/>
        </w:rPr>
        <w:t>5</w:t>
      </w:r>
      <w:r>
        <w:rPr>
          <w:rFonts w:ascii="Arial" w:cs="Arial" w:eastAsia="Arial" w:hAnsi="Arial"/>
          <w:sz w:val="4"/>
          <w:szCs w:val="4"/>
          <w:color w:val="FFFFFF"/>
          <w:vertAlign w:val="superscript"/>
        </w:rPr>
        <w:t>6</w:t>
      </w:r>
    </w:p>
    <w:p>
      <w:pPr>
        <w:ind w:left="80"/>
        <w:spacing w:after="0" w:line="205" w:lineRule="auto"/>
        <w:rPr>
          <w:sz w:val="20"/>
          <w:szCs w:val="20"/>
          <w:color w:val="auto"/>
        </w:rPr>
      </w:pPr>
      <w:r>
        <w:rPr>
          <w:rFonts w:ascii="Arial" w:cs="Arial" w:eastAsia="Arial" w:hAnsi="Arial"/>
          <w:sz w:val="4"/>
          <w:szCs w:val="4"/>
          <w:color w:val="FFFFFF"/>
        </w:rPr>
        <w:t>4</w:t>
      </w:r>
    </w:p>
    <w:p>
      <w:pPr>
        <w:ind w:left="80"/>
        <w:spacing w:after="0" w:line="205" w:lineRule="auto"/>
        <w:rPr>
          <w:sz w:val="20"/>
          <w:szCs w:val="20"/>
          <w:color w:val="auto"/>
        </w:rPr>
      </w:pPr>
      <w:r>
        <w:rPr>
          <w:rFonts w:ascii="Arial" w:cs="Arial" w:eastAsia="Arial" w:hAnsi="Arial"/>
          <w:sz w:val="4"/>
          <w:szCs w:val="4"/>
          <w:color w:val="FFFFFF"/>
        </w:rPr>
        <w:t>3</w:t>
      </w:r>
    </w:p>
    <w:p>
      <w:pPr>
        <w:ind w:left="80"/>
        <w:spacing w:after="0" w:line="182" w:lineRule="auto"/>
        <w:rPr>
          <w:sz w:val="20"/>
          <w:szCs w:val="20"/>
          <w:color w:val="auto"/>
        </w:rPr>
      </w:pPr>
      <w:r>
        <w:rPr>
          <w:rFonts w:ascii="Arial" w:cs="Arial" w:eastAsia="Arial" w:hAnsi="Arial"/>
          <w:sz w:val="9"/>
          <w:szCs w:val="9"/>
          <w:color w:val="FFFFFF"/>
        </w:rPr>
        <w:t>2.0</w:t>
      </w:r>
    </w:p>
    <w:p>
      <w:pPr>
        <w:ind w:left="60"/>
        <w:spacing w:after="0" w:line="205" w:lineRule="auto"/>
        <w:rPr>
          <w:sz w:val="20"/>
          <w:szCs w:val="20"/>
          <w:color w:val="auto"/>
        </w:rPr>
      </w:pPr>
      <w:r>
        <w:rPr>
          <w:rFonts w:ascii="Arial" w:cs="Arial" w:eastAsia="Arial" w:hAnsi="Arial"/>
          <w:sz w:val="4"/>
          <w:szCs w:val="4"/>
          <w:color w:val="FFFFFF"/>
          <w:vertAlign w:val="subscript"/>
        </w:rPr>
        <w:t>1.</w:t>
      </w:r>
      <w:r>
        <w:rPr>
          <w:rFonts w:ascii="Arial" w:cs="Arial" w:eastAsia="Arial" w:hAnsi="Arial"/>
          <w:sz w:val="2"/>
          <w:szCs w:val="2"/>
          <w:color w:val="FFFFFF"/>
        </w:rPr>
        <w:t>0 12%</w:t>
      </w:r>
    </w:p>
    <w:p>
      <w:pPr>
        <w:ind w:left="160"/>
        <w:spacing w:after="0" w:line="205" w:lineRule="auto"/>
        <w:rPr>
          <w:sz w:val="20"/>
          <w:szCs w:val="20"/>
          <w:color w:val="auto"/>
        </w:rPr>
      </w:pPr>
      <w:r>
        <w:rPr>
          <w:rFonts w:ascii="Arial" w:cs="Arial" w:eastAsia="Arial" w:hAnsi="Arial"/>
          <w:sz w:val="4"/>
          <w:szCs w:val="4"/>
          <w:color w:val="FFFFFF"/>
        </w:rPr>
        <w:t>6%</w:t>
      </w:r>
    </w:p>
    <w:p>
      <w:pPr>
        <w:spacing w:after="0" w:line="205" w:lineRule="auto"/>
        <w:rPr>
          <w:sz w:val="20"/>
          <w:szCs w:val="20"/>
          <w:color w:val="auto"/>
        </w:rPr>
      </w:pPr>
      <w:r>
        <w:rPr>
          <w:rFonts w:ascii="Arial" w:cs="Arial" w:eastAsia="Arial" w:hAnsi="Arial"/>
          <w:sz w:val="2"/>
          <w:szCs w:val="2"/>
          <w:color w:val="FFFFFF"/>
        </w:rPr>
        <w:t>10.</w:t>
      </w:r>
      <w:r>
        <w:rPr>
          <w:rFonts w:ascii="Arial" w:cs="Arial" w:eastAsia="Arial" w:hAnsi="Arial"/>
          <w:sz w:val="4"/>
          <w:szCs w:val="4"/>
          <w:color w:val="FFFFFF"/>
          <w:vertAlign w:val="superscript"/>
        </w:rPr>
        <w:t>0</w:t>
      </w:r>
    </w:p>
    <w:p>
      <w:pPr>
        <w:spacing w:after="0" w:line="182" w:lineRule="auto"/>
        <w:rPr>
          <w:sz w:val="20"/>
          <w:szCs w:val="20"/>
          <w:color w:val="auto"/>
        </w:rPr>
      </w:pPr>
      <w:r>
        <w:rPr>
          <w:rFonts w:ascii="Arial" w:cs="Arial" w:eastAsia="Arial" w:hAnsi="Arial"/>
          <w:sz w:val="9"/>
          <w:szCs w:val="9"/>
          <w:color w:val="FFFFFF"/>
          <w:vertAlign w:val="subscript"/>
        </w:rPr>
        <w:t>9</w:t>
      </w:r>
      <w:r>
        <w:rPr>
          <w:rFonts w:ascii="Arial" w:cs="Arial" w:eastAsia="Arial" w:hAnsi="Arial"/>
          <w:sz w:val="7"/>
          <w:szCs w:val="7"/>
          <w:color w:val="FFFFFF"/>
        </w:rPr>
        <w:t xml:space="preserve">  1%</w:t>
      </w:r>
    </w:p>
    <w:p>
      <w:pPr>
        <w:spacing w:after="0" w:line="206" w:lineRule="auto"/>
        <w:rPr>
          <w:sz w:val="20"/>
          <w:szCs w:val="20"/>
          <w:color w:val="auto"/>
        </w:rPr>
      </w:pPr>
      <w:r>
        <w:rPr>
          <w:rFonts w:ascii="Arial" w:cs="Arial" w:eastAsia="Arial" w:hAnsi="Arial"/>
          <w:sz w:val="4"/>
          <w:szCs w:val="4"/>
          <w:color w:val="FFFFFF"/>
        </w:rPr>
        <w:t>8</w:t>
      </w:r>
    </w:p>
    <w:p>
      <w:pPr>
        <w:spacing w:after="0" w:line="205" w:lineRule="auto"/>
        <w:rPr>
          <w:sz w:val="20"/>
          <w:szCs w:val="20"/>
          <w:color w:val="auto"/>
        </w:rPr>
      </w:pPr>
      <w:r>
        <w:rPr>
          <w:rFonts w:ascii="Arial" w:cs="Arial" w:eastAsia="Arial" w:hAnsi="Arial"/>
          <w:sz w:val="4"/>
          <w:szCs w:val="4"/>
          <w:color w:val="FFFFFF"/>
        </w:rPr>
        <w:t>7</w:t>
      </w:r>
    </w:p>
    <w:p>
      <w:pPr>
        <w:spacing w:after="0" w:line="204" w:lineRule="auto"/>
        <w:rPr>
          <w:sz w:val="20"/>
          <w:szCs w:val="20"/>
          <w:color w:val="auto"/>
        </w:rPr>
      </w:pPr>
      <w:r>
        <w:rPr>
          <w:rFonts w:ascii="Arial" w:cs="Arial" w:eastAsia="Arial" w:hAnsi="Arial"/>
          <w:sz w:val="4"/>
          <w:szCs w:val="4"/>
          <w:color w:val="FFFFFF"/>
        </w:rPr>
        <w:t>6</w:t>
      </w:r>
    </w:p>
    <w:p>
      <w:pPr>
        <w:spacing w:after="0" w:line="205" w:lineRule="auto"/>
        <w:rPr>
          <w:sz w:val="20"/>
          <w:szCs w:val="20"/>
          <w:color w:val="auto"/>
        </w:rPr>
      </w:pPr>
      <w:r>
        <w:rPr>
          <w:rFonts w:ascii="Arial" w:cs="Arial" w:eastAsia="Arial" w:hAnsi="Arial"/>
          <w:sz w:val="4"/>
          <w:szCs w:val="4"/>
          <w:color w:val="FFFFFF"/>
        </w:rPr>
        <w:t>5</w:t>
      </w:r>
    </w:p>
    <w:p>
      <w:pPr>
        <w:spacing w:after="0" w:line="205" w:lineRule="auto"/>
        <w:rPr>
          <w:sz w:val="20"/>
          <w:szCs w:val="20"/>
          <w:color w:val="auto"/>
        </w:rPr>
      </w:pPr>
      <w:r>
        <w:rPr>
          <w:rFonts w:ascii="Arial" w:cs="Arial" w:eastAsia="Arial" w:hAnsi="Arial"/>
          <w:sz w:val="4"/>
          <w:szCs w:val="4"/>
          <w:color w:val="FFFFFF"/>
        </w:rPr>
        <w:t>4</w:t>
      </w:r>
    </w:p>
    <w:p>
      <w:pPr>
        <w:spacing w:after="0" w:line="205" w:lineRule="auto"/>
        <w:rPr>
          <w:sz w:val="20"/>
          <w:szCs w:val="20"/>
          <w:color w:val="auto"/>
        </w:rPr>
      </w:pPr>
      <w:r>
        <w:rPr>
          <w:rFonts w:ascii="Arial" w:cs="Arial" w:eastAsia="Arial" w:hAnsi="Arial"/>
          <w:sz w:val="4"/>
          <w:szCs w:val="4"/>
          <w:color w:val="FFFFFF"/>
          <w:vertAlign w:val="superscript"/>
        </w:rPr>
        <w:t>3</w:t>
      </w:r>
      <w:r>
        <w:rPr>
          <w:rFonts w:ascii="Arial" w:cs="Arial" w:eastAsia="Arial" w:hAnsi="Arial"/>
          <w:sz w:val="2"/>
          <w:szCs w:val="2"/>
          <w:color w:val="FFFFFF"/>
        </w:rPr>
        <w:t>.0</w:t>
      </w:r>
    </w:p>
    <w:p>
      <w:pPr>
        <w:spacing w:after="0" w:line="182" w:lineRule="auto"/>
        <w:rPr>
          <w:sz w:val="20"/>
          <w:szCs w:val="20"/>
          <w:color w:val="auto"/>
        </w:rPr>
      </w:pPr>
      <w:r>
        <w:rPr>
          <w:rFonts w:ascii="Arial" w:cs="Arial" w:eastAsia="Arial" w:hAnsi="Arial"/>
          <w:sz w:val="9"/>
          <w:szCs w:val="9"/>
          <w:color w:val="FFFFFF"/>
        </w:rPr>
        <w:t>2</w:t>
      </w:r>
    </w:p>
    <w:p>
      <w:pPr>
        <w:spacing w:after="0" w:line="206" w:lineRule="auto"/>
        <w:rPr>
          <w:sz w:val="20"/>
          <w:szCs w:val="20"/>
          <w:color w:val="auto"/>
        </w:rPr>
      </w:pPr>
      <w:r>
        <w:rPr>
          <w:rFonts w:ascii="Arial" w:cs="Arial" w:eastAsia="Arial" w:hAnsi="Arial"/>
          <w:sz w:val="4"/>
          <w:szCs w:val="4"/>
          <w:color w:val="FFFFFF"/>
        </w:rPr>
        <w:t>33FY 2013 FY 2014 2015 Forecast1</w:t>
      </w:r>
    </w:p>
    <w:p>
      <w:pPr>
        <w:spacing w:after="0"/>
        <w:rPr>
          <w:sz w:val="20"/>
          <w:szCs w:val="20"/>
          <w:color w:val="auto"/>
        </w:rPr>
      </w:pPr>
      <w:r>
        <w:rPr>
          <w:rFonts w:ascii="Arial" w:cs="Arial" w:eastAsia="Arial" w:hAnsi="Arial"/>
          <w:sz w:val="11"/>
          <w:szCs w:val="11"/>
          <w:color w:val="FFFFFF"/>
        </w:rPr>
        <w:t>[1]2015 Adjusted Operating Margin rounded to the nearest whole number</w:t>
      </w:r>
    </w:p>
    <w:p>
      <w:pPr>
        <w:sectPr>
          <w:pgSz w:w="11900" w:h="16838" w:orient="portrait"/>
          <w:cols w:equalWidth="0" w:num="1">
            <w:col w:w="10219"/>
          </w:cols>
          <w:pgMar w:left="240" w:top="1440" w:right="1440"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FFFFFF"/>
        </w:rPr>
        <w:t>RevenueFullYear 2014 – MBC Group</w:t>
      </w:r>
    </w:p>
    <w:p>
      <w:pPr>
        <w:spacing w:after="0" w:line="182" w:lineRule="auto"/>
        <w:rPr>
          <w:sz w:val="20"/>
          <w:szCs w:val="20"/>
          <w:color w:val="auto"/>
        </w:rPr>
      </w:pPr>
      <w:r>
        <w:rPr>
          <w:rFonts w:ascii="Arial" w:cs="Arial" w:eastAsia="Arial" w:hAnsi="Arial"/>
          <w:sz w:val="9"/>
          <w:szCs w:val="9"/>
          <w:color w:val="FFFFFF"/>
        </w:rPr>
        <w:t>+7%</w:t>
      </w:r>
    </w:p>
    <w:p>
      <w:pPr>
        <w:spacing w:after="0" w:line="205" w:lineRule="auto"/>
        <w:rPr>
          <w:sz w:val="20"/>
          <w:szCs w:val="20"/>
          <w:color w:val="auto"/>
        </w:rPr>
      </w:pPr>
      <w:r>
        <w:rPr>
          <w:rFonts w:ascii="Arial" w:cs="Arial" w:eastAsia="Arial" w:hAnsi="Arial"/>
          <w:sz w:val="2"/>
          <w:szCs w:val="2"/>
          <w:color w:val="FFFFFF"/>
        </w:rPr>
        <w:t>Driven</w:t>
      </w:r>
      <w:r>
        <w:rPr>
          <w:rFonts w:ascii="Arial" w:cs="Arial" w:eastAsia="Arial" w:hAnsi="Arial"/>
          <w:sz w:val="4"/>
          <w:szCs w:val="4"/>
          <w:color w:val="FFFFFF"/>
          <w:vertAlign w:val="superscript"/>
        </w:rPr>
        <w:t>M</w:t>
      </w:r>
      <w:r>
        <w:rPr>
          <w:rFonts w:ascii="Arial" w:cs="Arial" w:eastAsia="Arial" w:hAnsi="Arial"/>
          <w:sz w:val="2"/>
          <w:szCs w:val="2"/>
          <w:color w:val="FFFFFF"/>
        </w:rPr>
        <w:t>25 by Organic Growth</w:t>
      </w:r>
    </w:p>
    <w:p>
      <w:pPr>
        <w:ind w:left="80"/>
        <w:spacing w:after="0" w:line="205" w:lineRule="auto"/>
        <w:rPr>
          <w:sz w:val="20"/>
          <w:szCs w:val="20"/>
          <w:color w:val="auto"/>
        </w:rPr>
      </w:pPr>
      <w:r>
        <w:rPr>
          <w:rFonts w:ascii="Arial" w:cs="Arial" w:eastAsia="Arial" w:hAnsi="Arial"/>
          <w:sz w:val="4"/>
          <w:szCs w:val="4"/>
          <w:color w:val="FFFFFF"/>
        </w:rPr>
        <w:t>300</w:t>
      </w:r>
    </w:p>
    <w:p>
      <w:pPr>
        <w:ind w:left="140"/>
        <w:spacing w:after="0" w:line="205" w:lineRule="auto"/>
        <w:rPr>
          <w:sz w:val="20"/>
          <w:szCs w:val="20"/>
          <w:color w:val="auto"/>
        </w:rPr>
      </w:pPr>
      <w:r>
        <w:rPr>
          <w:rFonts w:ascii="Arial" w:cs="Arial" w:eastAsia="Arial" w:hAnsi="Arial"/>
          <w:sz w:val="4"/>
          <w:szCs w:val="4"/>
          <w:color w:val="FFFFFF"/>
        </w:rPr>
        <w:t>75</w:t>
      </w:r>
    </w:p>
    <w:p>
      <w:pPr>
        <w:ind w:left="140"/>
        <w:spacing w:after="0" w:line="205" w:lineRule="auto"/>
        <w:rPr>
          <w:sz w:val="20"/>
          <w:szCs w:val="20"/>
          <w:color w:val="auto"/>
        </w:rPr>
      </w:pPr>
      <w:r>
        <w:rPr>
          <w:rFonts w:ascii="Arial" w:cs="Arial" w:eastAsia="Arial" w:hAnsi="Arial"/>
          <w:sz w:val="2"/>
          <w:szCs w:val="2"/>
          <w:color w:val="FFFFFF"/>
        </w:rPr>
        <w:t>50 $259</w:t>
      </w:r>
      <w:r>
        <w:rPr>
          <w:rFonts w:ascii="Arial" w:cs="Arial" w:eastAsia="Arial" w:hAnsi="Arial"/>
          <w:sz w:val="4"/>
          <w:szCs w:val="4"/>
          <w:color w:val="FFFFFF"/>
          <w:vertAlign w:val="superscript"/>
        </w:rPr>
        <w:t>78</w:t>
      </w:r>
      <w:r>
        <w:rPr>
          <w:rFonts w:ascii="Arial" w:cs="Arial" w:eastAsia="Arial" w:hAnsi="Arial"/>
          <w:sz w:val="2"/>
          <w:szCs w:val="2"/>
          <w:color w:val="FFFFFF"/>
        </w:rPr>
        <w:t>.</w:t>
      </w:r>
      <w:r>
        <w:rPr>
          <w:rFonts w:ascii="Arial" w:cs="Arial" w:eastAsia="Arial" w:hAnsi="Arial"/>
          <w:sz w:val="4"/>
          <w:szCs w:val="4"/>
          <w:color w:val="FFFFFF"/>
          <w:vertAlign w:val="superscript"/>
        </w:rPr>
        <w:t>2</w:t>
      </w:r>
    </w:p>
    <w:p>
      <w:pPr>
        <w:ind w:left="140"/>
        <w:spacing w:after="0" w:line="205" w:lineRule="auto"/>
        <w:tabs>
          <w:tab w:leader="none" w:pos="580" w:val="left"/>
        </w:tabs>
        <w:rPr>
          <w:sz w:val="20"/>
          <w:szCs w:val="20"/>
          <w:color w:val="auto"/>
        </w:rPr>
      </w:pPr>
      <w:r>
        <w:rPr>
          <w:rFonts w:ascii="Arial" w:cs="Arial" w:eastAsia="Arial" w:hAnsi="Arial"/>
          <w:sz w:val="2"/>
          <w:szCs w:val="2"/>
          <w:color w:val="FFFFFF"/>
        </w:rPr>
        <w:t>25</w:t>
      </w:r>
      <w:r>
        <w:rPr>
          <w:sz w:val="20"/>
          <w:szCs w:val="20"/>
          <w:color w:val="auto"/>
        </w:rPr>
        <w:tab/>
      </w:r>
      <w:r>
        <w:rPr>
          <w:rFonts w:ascii="Arial" w:cs="Arial" w:eastAsia="Arial" w:hAnsi="Arial"/>
          <w:sz w:val="4"/>
          <w:szCs w:val="4"/>
          <w:color w:val="FFFFFF"/>
          <w:vertAlign w:val="superscript"/>
        </w:rPr>
        <w:t>5</w:t>
      </w:r>
    </w:p>
    <w:p>
      <w:pPr>
        <w:jc w:val="right"/>
        <w:ind w:right="9959"/>
        <w:spacing w:after="0" w:line="205" w:lineRule="auto"/>
        <w:rPr>
          <w:sz w:val="20"/>
          <w:szCs w:val="20"/>
          <w:color w:val="auto"/>
        </w:rPr>
      </w:pPr>
      <w:r>
        <w:rPr>
          <w:rFonts w:ascii="Arial" w:cs="Arial" w:eastAsia="Arial" w:hAnsi="Arial"/>
          <w:sz w:val="4"/>
          <w:szCs w:val="4"/>
          <w:color w:val="FFFFFF"/>
        </w:rPr>
        <w:t>200</w:t>
      </w:r>
    </w:p>
    <w:p>
      <w:pPr>
        <w:jc w:val="right"/>
        <w:ind w:right="9959"/>
        <w:spacing w:after="0" w:line="205" w:lineRule="auto"/>
        <w:rPr>
          <w:sz w:val="20"/>
          <w:szCs w:val="20"/>
          <w:color w:val="auto"/>
        </w:rPr>
      </w:pPr>
      <w:r>
        <w:rPr>
          <w:rFonts w:ascii="Arial" w:cs="Arial" w:eastAsia="Arial" w:hAnsi="Arial"/>
          <w:sz w:val="4"/>
          <w:szCs w:val="4"/>
          <w:color w:val="FFFFFF"/>
        </w:rPr>
        <w:t>75</w:t>
      </w:r>
    </w:p>
    <w:p>
      <w:pPr>
        <w:jc w:val="right"/>
        <w:ind w:right="9959"/>
        <w:spacing w:after="0" w:line="182" w:lineRule="auto"/>
        <w:rPr>
          <w:sz w:val="20"/>
          <w:szCs w:val="20"/>
          <w:color w:val="auto"/>
        </w:rPr>
      </w:pPr>
      <w:r>
        <w:rPr>
          <w:rFonts w:ascii="Arial" w:cs="Arial" w:eastAsia="Arial" w:hAnsi="Arial"/>
          <w:sz w:val="9"/>
          <w:szCs w:val="9"/>
          <w:color w:val="FFFFFF"/>
        </w:rPr>
        <w:t>50</w:t>
      </w:r>
    </w:p>
    <w:p>
      <w:pPr>
        <w:jc w:val="right"/>
        <w:ind w:right="9959"/>
        <w:spacing w:after="0" w:line="234" w:lineRule="auto"/>
        <w:rPr>
          <w:sz w:val="20"/>
          <w:szCs w:val="20"/>
          <w:color w:val="auto"/>
        </w:rPr>
      </w:pPr>
      <w:r>
        <w:rPr>
          <w:rFonts w:ascii="Arial" w:cs="Arial" w:eastAsia="Arial" w:hAnsi="Arial"/>
          <w:sz w:val="7"/>
          <w:szCs w:val="7"/>
          <w:color w:val="FFFFFF"/>
        </w:rPr>
        <w:t>$10025</w:t>
      </w:r>
    </w:p>
    <w:p>
      <w:pPr>
        <w:spacing w:after="0" w:line="182" w:lineRule="auto"/>
        <w:rPr>
          <w:sz w:val="20"/>
          <w:szCs w:val="20"/>
          <w:color w:val="auto"/>
        </w:rPr>
      </w:pPr>
      <w:r>
        <w:rPr>
          <w:rFonts w:ascii="Arial" w:cs="Arial" w:eastAsia="Arial" w:hAnsi="Arial"/>
          <w:sz w:val="9"/>
          <w:szCs w:val="9"/>
          <w:color w:val="FFFFFF"/>
        </w:rPr>
        <w:t>FY 2013 FY 2014</w:t>
      </w:r>
    </w:p>
    <w:p>
      <w:pPr>
        <w:spacing w:after="0" w:line="206" w:lineRule="auto"/>
        <w:rPr>
          <w:sz w:val="20"/>
          <w:szCs w:val="20"/>
          <w:color w:val="auto"/>
        </w:rPr>
      </w:pPr>
      <w:r>
        <w:rPr>
          <w:rFonts w:ascii="Arial" w:cs="Arial" w:eastAsia="Arial" w:hAnsi="Arial"/>
          <w:sz w:val="4"/>
          <w:szCs w:val="4"/>
          <w:color w:val="FFFFFF"/>
        </w:rPr>
        <w:t>MarginAdjusted Operating</w:t>
      </w:r>
    </w:p>
    <w:p>
      <w:pPr>
        <w:spacing w:after="0" w:line="205" w:lineRule="auto"/>
        <w:rPr>
          <w:sz w:val="20"/>
          <w:szCs w:val="20"/>
          <w:color w:val="auto"/>
        </w:rPr>
      </w:pPr>
      <w:r>
        <w:rPr>
          <w:rFonts w:ascii="Arial" w:cs="Arial" w:eastAsia="Arial" w:hAnsi="Arial"/>
          <w:sz w:val="4"/>
          <w:szCs w:val="4"/>
          <w:color w:val="FFFFFF"/>
        </w:rPr>
        <w:t>+80bps</w:t>
      </w:r>
    </w:p>
    <w:p>
      <w:pPr>
        <w:spacing w:after="0" w:line="205" w:lineRule="auto"/>
        <w:rPr>
          <w:sz w:val="20"/>
          <w:szCs w:val="20"/>
          <w:color w:val="auto"/>
        </w:rPr>
      </w:pPr>
      <w:r>
        <w:rPr>
          <w:rFonts w:ascii="Arial" w:cs="Arial" w:eastAsia="Arial" w:hAnsi="Arial"/>
          <w:sz w:val="4"/>
          <w:szCs w:val="4"/>
          <w:color w:val="FFFFFF"/>
        </w:rPr>
        <w:t>Continuous Improvement Coupled</w:t>
      </w:r>
    </w:p>
    <w:p>
      <w:pPr>
        <w:spacing w:after="0" w:line="189" w:lineRule="auto"/>
        <w:rPr>
          <w:sz w:val="20"/>
          <w:szCs w:val="20"/>
          <w:color w:val="auto"/>
        </w:rPr>
      </w:pPr>
      <w:r>
        <w:rPr>
          <w:rFonts w:ascii="Arial" w:cs="Arial" w:eastAsia="Arial" w:hAnsi="Arial"/>
          <w:sz w:val="8"/>
          <w:szCs w:val="8"/>
          <w:color w:val="FFFFFF"/>
        </w:rPr>
        <w:t>%</w:t>
      </w:r>
      <w:r>
        <w:rPr>
          <w:rFonts w:ascii="Arial" w:cs="Arial" w:eastAsia="Arial" w:hAnsi="Arial"/>
          <w:sz w:val="13"/>
          <w:szCs w:val="13"/>
          <w:color w:val="FFFFFF"/>
          <w:vertAlign w:val="subscript"/>
        </w:rPr>
        <w:t>5</w:t>
      </w:r>
      <w:r>
        <w:rPr>
          <w:rFonts w:ascii="Arial" w:cs="Arial" w:eastAsia="Arial" w:hAnsi="Arial"/>
          <w:sz w:val="8"/>
          <w:szCs w:val="8"/>
          <w:color w:val="FFFFFF"/>
        </w:rPr>
        <w:t>6 with Growth in Profitable Segments</w:t>
      </w:r>
    </w:p>
    <w:p>
      <w:pPr>
        <w:ind w:left="80"/>
        <w:spacing w:after="0" w:line="206" w:lineRule="auto"/>
        <w:rPr>
          <w:sz w:val="20"/>
          <w:szCs w:val="20"/>
          <w:color w:val="auto"/>
        </w:rPr>
      </w:pPr>
      <w:r>
        <w:rPr>
          <w:rFonts w:ascii="Arial" w:cs="Arial" w:eastAsia="Arial" w:hAnsi="Arial"/>
          <w:sz w:val="4"/>
          <w:szCs w:val="4"/>
          <w:color w:val="FFFFFF"/>
        </w:rPr>
        <w:t>34</w:t>
      </w:r>
    </w:p>
    <w:p>
      <w:pPr>
        <w:ind w:left="80"/>
        <w:spacing w:after="0" w:line="182" w:lineRule="auto"/>
        <w:rPr>
          <w:sz w:val="20"/>
          <w:szCs w:val="20"/>
          <w:color w:val="auto"/>
        </w:rPr>
      </w:pPr>
      <w:r>
        <w:rPr>
          <w:rFonts w:ascii="Arial" w:cs="Arial" w:eastAsia="Arial" w:hAnsi="Arial"/>
          <w:sz w:val="9"/>
          <w:szCs w:val="9"/>
          <w:color w:val="FFFFFF"/>
          <w:vertAlign w:val="subscript"/>
        </w:rPr>
        <w:t>2.0</w:t>
      </w:r>
      <w:r>
        <w:rPr>
          <w:rFonts w:ascii="Arial" w:cs="Arial" w:eastAsia="Arial" w:hAnsi="Arial"/>
          <w:sz w:val="7"/>
          <w:szCs w:val="7"/>
          <w:color w:val="FFFFFF"/>
        </w:rPr>
        <w:t xml:space="preserve"> 14%</w:t>
      </w:r>
    </w:p>
    <w:p>
      <w:pPr>
        <w:spacing w:after="0" w:line="205" w:lineRule="auto"/>
        <w:rPr>
          <w:sz w:val="20"/>
          <w:szCs w:val="20"/>
          <w:color w:val="auto"/>
        </w:rPr>
      </w:pPr>
      <w:r>
        <w:rPr>
          <w:rFonts w:ascii="Arial" w:cs="Arial" w:eastAsia="Arial" w:hAnsi="Arial"/>
          <w:sz w:val="4"/>
          <w:szCs w:val="4"/>
          <w:color w:val="FFFFFF"/>
          <w:vertAlign w:val="subscript"/>
        </w:rPr>
        <w:t>10</w:t>
      </w:r>
      <w:r>
        <w:rPr>
          <w:rFonts w:ascii="Arial" w:cs="Arial" w:eastAsia="Arial" w:hAnsi="Arial"/>
          <w:sz w:val="2"/>
          <w:szCs w:val="2"/>
          <w:color w:val="FFFFFF"/>
        </w:rPr>
        <w:t>.</w:t>
      </w:r>
      <w:r>
        <w:rPr>
          <w:rFonts w:ascii="Arial" w:cs="Arial" w:eastAsia="Arial" w:hAnsi="Arial"/>
          <w:sz w:val="4"/>
          <w:szCs w:val="4"/>
          <w:color w:val="FFFFFF"/>
          <w:vertAlign w:val="superscript"/>
        </w:rPr>
        <w:t>5%</w:t>
      </w:r>
    </w:p>
    <w:p>
      <w:pPr>
        <w:ind w:left="160"/>
        <w:spacing w:after="0" w:line="205" w:lineRule="auto"/>
        <w:rPr>
          <w:sz w:val="20"/>
          <w:szCs w:val="20"/>
          <w:color w:val="auto"/>
        </w:rPr>
      </w:pPr>
      <w:r>
        <w:rPr>
          <w:rFonts w:ascii="Arial" w:cs="Arial" w:eastAsia="Arial" w:hAnsi="Arial"/>
          <w:sz w:val="4"/>
          <w:szCs w:val="4"/>
          <w:color w:val="FFFFFF"/>
        </w:rPr>
        <w:t>0</w:t>
      </w:r>
    </w:p>
    <w:p>
      <w:pPr>
        <w:ind w:left="140"/>
        <w:spacing w:after="0" w:line="205" w:lineRule="auto"/>
        <w:rPr>
          <w:sz w:val="20"/>
          <w:szCs w:val="20"/>
          <w:color w:val="auto"/>
        </w:rPr>
      </w:pPr>
      <w:r>
        <w:rPr>
          <w:rFonts w:ascii="Arial" w:cs="Arial" w:eastAsia="Arial" w:hAnsi="Arial"/>
          <w:sz w:val="4"/>
          <w:szCs w:val="4"/>
          <w:color w:val="FFFFFF"/>
        </w:rPr>
        <w:t>.0 10.7% 8.2</w:t>
      </w:r>
    </w:p>
    <w:p>
      <w:pPr>
        <w:spacing w:after="0" w:line="205" w:lineRule="auto"/>
        <w:tabs>
          <w:tab w:leader="none" w:pos="180" w:val="left"/>
        </w:tabs>
        <w:rPr>
          <w:sz w:val="20"/>
          <w:szCs w:val="20"/>
          <w:color w:val="auto"/>
        </w:rPr>
      </w:pPr>
      <w:r>
        <w:rPr>
          <w:rFonts w:ascii="Arial" w:cs="Arial" w:eastAsia="Arial" w:hAnsi="Arial"/>
          <w:sz w:val="4"/>
          <w:szCs w:val="4"/>
          <w:color w:val="FFFFFF"/>
        </w:rPr>
        <w:t>9</w:t>
      </w:r>
      <w:r>
        <w:rPr>
          <w:sz w:val="20"/>
          <w:szCs w:val="20"/>
          <w:color w:val="auto"/>
        </w:rPr>
        <w:tab/>
      </w:r>
      <w:r>
        <w:rPr>
          <w:rFonts w:ascii="Arial" w:cs="Arial" w:eastAsia="Arial" w:hAnsi="Arial"/>
          <w:sz w:val="4"/>
          <w:szCs w:val="4"/>
          <w:color w:val="FFFFFF"/>
        </w:rPr>
        <w:t>6%</w:t>
      </w:r>
    </w:p>
    <w:p>
      <w:pPr>
        <w:spacing w:after="0" w:line="205" w:lineRule="auto"/>
        <w:rPr>
          <w:sz w:val="20"/>
          <w:szCs w:val="20"/>
          <w:color w:val="auto"/>
        </w:rPr>
      </w:pPr>
      <w:r>
        <w:rPr>
          <w:rFonts w:ascii="Arial" w:cs="Arial" w:eastAsia="Arial" w:hAnsi="Arial"/>
          <w:sz w:val="4"/>
          <w:szCs w:val="4"/>
          <w:color w:val="FFFFFF"/>
        </w:rPr>
        <w:t>8</w:t>
      </w:r>
    </w:p>
    <w:p>
      <w:pPr>
        <w:spacing w:after="0" w:line="205" w:lineRule="auto"/>
        <w:rPr>
          <w:sz w:val="20"/>
          <w:szCs w:val="20"/>
          <w:color w:val="auto"/>
        </w:rPr>
      </w:pPr>
      <w:r>
        <w:rPr>
          <w:rFonts w:ascii="Arial" w:cs="Arial" w:eastAsia="Arial" w:hAnsi="Arial"/>
          <w:sz w:val="4"/>
          <w:szCs w:val="4"/>
          <w:color w:val="FFFFFF"/>
        </w:rPr>
        <w:t>7</w:t>
      </w:r>
    </w:p>
    <w:p>
      <w:pPr>
        <w:spacing w:after="0" w:line="205" w:lineRule="auto"/>
        <w:rPr>
          <w:sz w:val="20"/>
          <w:szCs w:val="20"/>
          <w:color w:val="auto"/>
        </w:rPr>
      </w:pPr>
      <w:r>
        <w:rPr>
          <w:rFonts w:ascii="Arial" w:cs="Arial" w:eastAsia="Arial" w:hAnsi="Arial"/>
          <w:sz w:val="4"/>
          <w:szCs w:val="4"/>
          <w:color w:val="FFFFFF"/>
        </w:rPr>
        <w:t>6</w:t>
      </w:r>
    </w:p>
    <w:p>
      <w:pPr>
        <w:spacing w:after="0" w:line="205" w:lineRule="auto"/>
        <w:rPr>
          <w:sz w:val="20"/>
          <w:szCs w:val="20"/>
          <w:color w:val="auto"/>
        </w:rPr>
      </w:pPr>
      <w:r>
        <w:rPr>
          <w:rFonts w:ascii="Arial" w:cs="Arial" w:eastAsia="Arial" w:hAnsi="Arial"/>
          <w:sz w:val="4"/>
          <w:szCs w:val="4"/>
          <w:color w:val="FFFFFF"/>
        </w:rPr>
        <w:t>5</w:t>
      </w:r>
    </w:p>
    <w:p>
      <w:pPr>
        <w:spacing w:after="0" w:line="205" w:lineRule="auto"/>
        <w:rPr>
          <w:sz w:val="20"/>
          <w:szCs w:val="20"/>
          <w:color w:val="auto"/>
        </w:rPr>
      </w:pPr>
      <w:r>
        <w:rPr>
          <w:rFonts w:ascii="Arial" w:cs="Arial" w:eastAsia="Arial" w:hAnsi="Arial"/>
          <w:sz w:val="4"/>
          <w:szCs w:val="4"/>
          <w:color w:val="FFFFFF"/>
        </w:rPr>
        <w:t>4</w:t>
      </w:r>
    </w:p>
    <w:p>
      <w:pPr>
        <w:spacing w:after="0" w:line="205" w:lineRule="auto"/>
        <w:rPr>
          <w:sz w:val="20"/>
          <w:szCs w:val="20"/>
          <w:color w:val="auto"/>
        </w:rPr>
      </w:pPr>
      <w:r>
        <w:rPr>
          <w:rFonts w:ascii="Arial" w:cs="Arial" w:eastAsia="Arial" w:hAnsi="Arial"/>
          <w:sz w:val="4"/>
          <w:szCs w:val="4"/>
          <w:color w:val="FFFFFF"/>
          <w:vertAlign w:val="superscript"/>
        </w:rPr>
        <w:t>3</w:t>
      </w:r>
      <w:r>
        <w:rPr>
          <w:rFonts w:ascii="Arial" w:cs="Arial" w:eastAsia="Arial" w:hAnsi="Arial"/>
          <w:sz w:val="2"/>
          <w:szCs w:val="2"/>
          <w:color w:val="FFFFFF"/>
        </w:rPr>
        <w:t>.0</w:t>
      </w:r>
    </w:p>
    <w:p>
      <w:pPr>
        <w:spacing w:after="0" w:line="182" w:lineRule="auto"/>
        <w:rPr>
          <w:sz w:val="20"/>
          <w:szCs w:val="20"/>
          <w:color w:val="auto"/>
        </w:rPr>
      </w:pPr>
      <w:r>
        <w:rPr>
          <w:rFonts w:ascii="Arial" w:cs="Arial" w:eastAsia="Arial" w:hAnsi="Arial"/>
          <w:sz w:val="9"/>
          <w:szCs w:val="9"/>
          <w:color w:val="FFFFFF"/>
        </w:rPr>
        <w:t>2</w:t>
      </w:r>
    </w:p>
    <w:p>
      <w:pPr>
        <w:spacing w:after="0" w:line="205" w:lineRule="auto"/>
        <w:rPr>
          <w:sz w:val="20"/>
          <w:szCs w:val="20"/>
          <w:color w:val="auto"/>
        </w:rPr>
      </w:pPr>
      <w:r>
        <w:rPr>
          <w:rFonts w:ascii="Arial" w:cs="Arial" w:eastAsia="Arial" w:hAnsi="Arial"/>
          <w:sz w:val="4"/>
          <w:szCs w:val="4"/>
          <w:color w:val="FFFFFF"/>
        </w:rPr>
        <w:t>34FY 2013 FY 2014 2015 Forecast1</w:t>
      </w:r>
    </w:p>
    <w:p>
      <w:pPr>
        <w:spacing w:after="0"/>
        <w:rPr>
          <w:sz w:val="20"/>
          <w:szCs w:val="20"/>
          <w:color w:val="auto"/>
        </w:rPr>
      </w:pPr>
      <w:r>
        <w:rPr>
          <w:rFonts w:ascii="Arial" w:cs="Arial" w:eastAsia="Arial" w:hAnsi="Arial"/>
          <w:sz w:val="11"/>
          <w:szCs w:val="11"/>
          <w:color w:val="FFFFFF"/>
        </w:rPr>
        <w:t>[1]2015 Adjusted Operating Margin rounded to the nearest whole number</w:t>
      </w:r>
    </w:p>
    <w:p>
      <w:pPr>
        <w:sectPr>
          <w:pgSz w:w="11900" w:h="16838" w:orient="portrait"/>
          <w:cols w:equalWidth="0" w:num="1">
            <w:col w:w="10219"/>
          </w:cols>
          <w:pgMar w:left="240" w:top="1440" w:right="1440"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20"/>
                <w:szCs w:val="20"/>
                <w:color w:val="auto"/>
              </w:rPr>
            </w:pPr>
            <w:r>
              <w:rPr>
                <w:rFonts w:ascii="Arial" w:cs="Arial" w:eastAsia="Arial" w:hAnsi="Arial"/>
                <w:sz w:val="13"/>
                <w:szCs w:val="13"/>
                <w:color w:val="FFFFFF"/>
              </w:rPr>
              <w:t>Non-GAAP to GAAP Reconciliations</w:t>
            </w:r>
          </w:p>
        </w:tc>
        <w:tc>
          <w:tcPr>
            <w:tcW w:w="8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660" w:type="dxa"/>
            <w:vAlign w:val="bottom"/>
          </w:tcPr>
          <w:p>
            <w:pPr>
              <w:spacing w:after="0" w:line="40" w:lineRule="exact"/>
              <w:rPr>
                <w:sz w:val="20"/>
                <w:szCs w:val="20"/>
                <w:color w:val="auto"/>
              </w:rPr>
            </w:pPr>
            <w:r>
              <w:rPr>
                <w:rFonts w:ascii="Arial" w:cs="Arial" w:eastAsia="Arial" w:hAnsi="Arial"/>
                <w:sz w:val="4"/>
                <w:szCs w:val="4"/>
                <w:color w:val="FFFFFF"/>
              </w:rPr>
              <w:t>2014 2013 2014 2013</w:t>
            </w:r>
          </w:p>
        </w:tc>
        <w:tc>
          <w:tcPr>
            <w:tcW w:w="8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80" w:type="dxa"/>
            <w:vAlign w:val="bottom"/>
            <w:gridSpan w:val="2"/>
          </w:tcPr>
          <w:p>
            <w:pPr>
              <w:spacing w:after="0" w:line="40" w:lineRule="exact"/>
              <w:rPr>
                <w:sz w:val="20"/>
                <w:szCs w:val="20"/>
                <w:color w:val="auto"/>
              </w:rPr>
            </w:pPr>
            <w:r>
              <w:rPr>
                <w:rFonts w:ascii="Arial" w:cs="Arial" w:eastAsia="Arial" w:hAnsi="Arial"/>
                <w:sz w:val="4"/>
                <w:szCs w:val="4"/>
                <w:color w:val="FFFFFF"/>
              </w:rPr>
              <w:t>Net Income 8,217 17,178 Net sales 488,601 373,206 Acquisition and integration costs   Cost of products sold 2,063 — Cost of products sold (exclusive of depreciation and amortization shown separately below)</w:t>
            </w:r>
          </w:p>
        </w:tc>
        <w:tc>
          <w:tcPr>
            <w:tcW w:w="0" w:type="dxa"/>
            <w:vAlign w:val="bottom"/>
          </w:tcPr>
          <w:p>
            <w:pPr>
              <w:spacing w:after="0" w:line="20" w:lineRule="exact"/>
              <w:rPr>
                <w:sz w:val="1"/>
                <w:szCs w:val="1"/>
                <w:color w:val="auto"/>
              </w:rPr>
            </w:pPr>
          </w:p>
        </w:tc>
      </w:tr>
      <w:tr>
        <w:trPr>
          <w:trHeight w:val="39"/>
        </w:trPr>
        <w:tc>
          <w:tcPr>
            <w:tcW w:w="11280" w:type="dxa"/>
            <w:vAlign w:val="bottom"/>
            <w:gridSpan w:val="2"/>
          </w:tcPr>
          <w:p>
            <w:pPr>
              <w:spacing w:after="0" w:line="40" w:lineRule="exact"/>
              <w:rPr>
                <w:sz w:val="20"/>
                <w:szCs w:val="20"/>
                <w:color w:val="auto"/>
              </w:rPr>
            </w:pPr>
            <w:r>
              <w:rPr>
                <w:rFonts w:ascii="Arial" w:cs="Arial" w:eastAsia="Arial" w:hAnsi="Arial"/>
                <w:sz w:val="4"/>
                <w:szCs w:val="4"/>
                <w:color w:val="FFFFFF"/>
              </w:rPr>
              <w:t>384,889 295,136 Acquisition related costs excluded from selling, general and administrative 9,248 — Manufacturing Margin 103,712 78,070 Acquisition and integration costs in interest expense 2,974 —</w:t>
            </w:r>
          </w:p>
        </w:tc>
        <w:tc>
          <w:tcPr>
            <w:tcW w:w="0" w:type="dxa"/>
            <w:vAlign w:val="bottom"/>
          </w:tcPr>
          <w:p>
            <w:pPr>
              <w:spacing w:after="0" w:line="20" w:lineRule="exact"/>
              <w:rPr>
                <w:sz w:val="1"/>
                <w:szCs w:val="1"/>
                <w:color w:val="auto"/>
              </w:rPr>
            </w:pPr>
          </w:p>
        </w:tc>
      </w:tr>
      <w:tr>
        <w:trPr>
          <w:trHeight w:val="39"/>
        </w:trPr>
        <w:tc>
          <w:tcPr>
            <w:tcW w:w="11280" w:type="dxa"/>
            <w:vAlign w:val="bottom"/>
            <w:gridSpan w:val="2"/>
          </w:tcPr>
          <w:p>
            <w:pPr>
              <w:spacing w:after="0" w:line="40" w:lineRule="exact"/>
              <w:rPr>
                <w:sz w:val="20"/>
                <w:szCs w:val="20"/>
                <w:color w:val="auto"/>
              </w:rPr>
            </w:pPr>
            <w:r>
              <w:rPr>
                <w:rFonts w:ascii="Arial" w:cs="Arial" w:eastAsia="Arial" w:hAnsi="Arial"/>
                <w:sz w:val="4"/>
                <w:szCs w:val="4"/>
                <w:color w:val="FFFFFF"/>
              </w:rPr>
              <w:t>Manufacturing Margin % 21.2% 20.9% Integration costs included in Other expense, net 319 — Taxes benefits from acquisition related costs -1,277 — 2014 2013</w:t>
            </w:r>
          </w:p>
        </w:tc>
        <w:tc>
          <w:tcPr>
            <w:tcW w:w="0" w:type="dxa"/>
            <w:vAlign w:val="bottom"/>
          </w:tcPr>
          <w:p>
            <w:pPr>
              <w:spacing w:after="0" w:line="20" w:lineRule="exact"/>
              <w:rPr>
                <w:sz w:val="1"/>
                <w:szCs w:val="1"/>
                <w:color w:val="auto"/>
              </w:rPr>
            </w:pPr>
          </w:p>
        </w:tc>
      </w:tr>
      <w:tr>
        <w:trPr>
          <w:trHeight w:val="39"/>
        </w:trPr>
        <w:tc>
          <w:tcPr>
            <w:tcW w:w="11280" w:type="dxa"/>
            <w:vAlign w:val="bottom"/>
            <w:gridSpan w:val="2"/>
          </w:tcPr>
          <w:p>
            <w:pPr>
              <w:ind w:left="100"/>
              <w:spacing w:after="0" w:line="40" w:lineRule="exact"/>
              <w:rPr>
                <w:sz w:val="20"/>
                <w:szCs w:val="20"/>
                <w:color w:val="auto"/>
              </w:rPr>
            </w:pPr>
            <w:r>
              <w:rPr>
                <w:rFonts w:ascii="Arial" w:cs="Arial" w:eastAsia="Arial" w:hAnsi="Arial"/>
                <w:sz w:val="4"/>
                <w:szCs w:val="4"/>
                <w:color w:val="FFFFFF"/>
              </w:rPr>
              <w:t>cquisition related costs in share of net income (loss) from joint venture 226 —</w:t>
            </w:r>
          </w:p>
        </w:tc>
        <w:tc>
          <w:tcPr>
            <w:tcW w:w="0" w:type="dxa"/>
            <w:vAlign w:val="bottom"/>
          </w:tcPr>
          <w:p>
            <w:pPr>
              <w:spacing w:after="0" w:line="20" w:lineRule="exact"/>
              <w:rPr>
                <w:sz w:val="1"/>
                <w:szCs w:val="1"/>
                <w:color w:val="auto"/>
              </w:rPr>
            </w:pPr>
          </w:p>
        </w:tc>
      </w:tr>
      <w:tr>
        <w:trPr>
          <w:trHeight w:val="39"/>
        </w:trPr>
        <w:tc>
          <w:tcPr>
            <w:tcW w:w="11280" w:type="dxa"/>
            <w:vAlign w:val="bottom"/>
            <w:gridSpan w:val="2"/>
          </w:tcPr>
          <w:p>
            <w:pPr>
              <w:spacing w:after="0" w:line="40" w:lineRule="exact"/>
              <w:rPr>
                <w:sz w:val="20"/>
                <w:szCs w:val="20"/>
                <w:color w:val="auto"/>
              </w:rPr>
            </w:pPr>
            <w:r>
              <w:rPr>
                <w:rFonts w:ascii="Arial" w:cs="Arial" w:eastAsia="Arial" w:hAnsi="Arial"/>
                <w:sz w:val="4"/>
                <w:szCs w:val="4"/>
                <w:color w:val="FFFFFF"/>
              </w:rPr>
              <w:t>After-tax foreign exchange gain on inter-company loans 1,197 84 Net sales 488,601 373,206 After tax restructuring and impairment charges 577 482 Cost of products sold (exclusive of depreciation and amortization</w:t>
            </w:r>
          </w:p>
        </w:tc>
        <w:tc>
          <w:tcPr>
            <w:tcW w:w="0" w:type="dxa"/>
            <w:vAlign w:val="bottom"/>
          </w:tcPr>
          <w:p>
            <w:pPr>
              <w:spacing w:after="0" w:line="20" w:lineRule="exact"/>
              <w:rPr>
                <w:sz w:val="1"/>
                <w:szCs w:val="1"/>
                <w:color w:val="auto"/>
              </w:rPr>
            </w:pPr>
          </w:p>
        </w:tc>
      </w:tr>
      <w:tr>
        <w:trPr>
          <w:trHeight w:val="39"/>
        </w:trPr>
        <w:tc>
          <w:tcPr>
            <w:tcW w:w="11280" w:type="dxa"/>
            <w:vAlign w:val="bottom"/>
            <w:gridSpan w:val="2"/>
          </w:tcPr>
          <w:p>
            <w:pPr>
              <w:spacing w:after="0" w:line="40" w:lineRule="exact"/>
              <w:rPr>
                <w:sz w:val="20"/>
                <w:szCs w:val="20"/>
                <w:color w:val="auto"/>
              </w:rPr>
            </w:pPr>
            <w:r>
              <w:rPr>
                <w:rFonts w:ascii="Arial" w:cs="Arial" w:eastAsia="Arial" w:hAnsi="Arial"/>
                <w:sz w:val="4"/>
                <w:szCs w:val="4"/>
                <w:color w:val="FFFFFF"/>
              </w:rPr>
              <w:t>shown separately below) 384,889 295,136 Adjusted Net Income $23,544 $17,744 Manufacturing Margin 103,712 78,070 Acquisition and integration costs included in cost of products sold 2,063 0 Weighted average</w:t>
            </w:r>
          </w:p>
        </w:tc>
        <w:tc>
          <w:tcPr>
            <w:tcW w:w="0" w:type="dxa"/>
            <w:vAlign w:val="bottom"/>
          </w:tcPr>
          <w:p>
            <w:pPr>
              <w:spacing w:after="0" w:line="20" w:lineRule="exact"/>
              <w:rPr>
                <w:sz w:val="1"/>
                <w:szCs w:val="1"/>
                <w:color w:val="auto"/>
              </w:rPr>
            </w:pPr>
          </w:p>
        </w:tc>
      </w:tr>
      <w:tr>
        <w:trPr>
          <w:trHeight w:val="39"/>
        </w:trPr>
        <w:tc>
          <w:tcPr>
            <w:tcW w:w="11280" w:type="dxa"/>
            <w:vAlign w:val="bottom"/>
            <w:gridSpan w:val="2"/>
          </w:tcPr>
          <w:p>
            <w:pPr>
              <w:spacing w:after="0" w:line="40" w:lineRule="exact"/>
              <w:rPr>
                <w:sz w:val="20"/>
                <w:szCs w:val="20"/>
                <w:color w:val="auto"/>
              </w:rPr>
            </w:pPr>
            <w:r>
              <w:rPr>
                <w:rFonts w:ascii="Arial" w:cs="Arial" w:eastAsia="Arial" w:hAnsi="Arial"/>
                <w:sz w:val="4"/>
                <w:szCs w:val="4"/>
                <w:color w:val="FFFFFF"/>
              </w:rPr>
              <w:t>diluted shares outstanding 18,253 17,260 Adjusted Manufacturing Margin 105,775 78,070 Adjusted Manufacturing Margin % 21.6% 20.9% ADJUSTED DILUTED NET EARNINGS PER SHARE $ 1.29 $ 1.03</w:t>
            </w:r>
          </w:p>
        </w:tc>
        <w:tc>
          <w:tcPr>
            <w:tcW w:w="0" w:type="dxa"/>
            <w:vAlign w:val="bottom"/>
          </w:tcPr>
          <w:p>
            <w:pPr>
              <w:spacing w:after="0" w:line="20" w:lineRule="exact"/>
              <w:rPr>
                <w:sz w:val="1"/>
                <w:szCs w:val="1"/>
                <w:color w:val="auto"/>
              </w:rPr>
            </w:pPr>
          </w:p>
        </w:tc>
      </w:tr>
      <w:tr>
        <w:trPr>
          <w:trHeight w:val="39"/>
        </w:trPr>
        <w:tc>
          <w:tcPr>
            <w:tcW w:w="2660" w:type="dxa"/>
            <w:vAlign w:val="bottom"/>
          </w:tcPr>
          <w:p>
            <w:pPr>
              <w:spacing w:after="0" w:line="40" w:lineRule="exact"/>
              <w:rPr>
                <w:sz w:val="20"/>
                <w:szCs w:val="20"/>
                <w:color w:val="auto"/>
              </w:rPr>
            </w:pPr>
            <w:r>
              <w:rPr>
                <w:rFonts w:ascii="Arial" w:cs="Arial" w:eastAsia="Arial" w:hAnsi="Arial"/>
                <w:sz w:val="4"/>
                <w:szCs w:val="4"/>
                <w:color w:val="FFFFFF"/>
              </w:rPr>
              <w:t>APC GROUP 2014 2013</w:t>
            </w:r>
          </w:p>
        </w:tc>
        <w:tc>
          <w:tcPr>
            <w:tcW w:w="8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660" w:type="dxa"/>
            <w:vAlign w:val="bottom"/>
          </w:tcPr>
          <w:p>
            <w:pPr>
              <w:spacing w:after="0" w:line="40" w:lineRule="exact"/>
              <w:rPr>
                <w:sz w:val="20"/>
                <w:szCs w:val="20"/>
                <w:color w:val="auto"/>
              </w:rPr>
            </w:pPr>
            <w:r>
              <w:rPr>
                <w:rFonts w:ascii="Arial" w:cs="Arial" w:eastAsia="Arial" w:hAnsi="Arial"/>
                <w:sz w:val="4"/>
                <w:szCs w:val="4"/>
                <w:color w:val="FFFFFF"/>
              </w:rPr>
              <w:t>Income from operations 27,687 27,827</w:t>
            </w:r>
          </w:p>
        </w:tc>
        <w:tc>
          <w:tcPr>
            <w:tcW w:w="8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80" w:type="dxa"/>
            <w:vAlign w:val="bottom"/>
            <w:gridSpan w:val="2"/>
          </w:tcPr>
          <w:p>
            <w:pPr>
              <w:spacing w:after="0" w:line="40" w:lineRule="exact"/>
              <w:rPr>
                <w:sz w:val="20"/>
                <w:szCs w:val="20"/>
                <w:color w:val="auto"/>
              </w:rPr>
            </w:pPr>
            <w:r>
              <w:rPr>
                <w:rFonts w:ascii="Arial" w:cs="Arial" w:eastAsia="Arial" w:hAnsi="Arial"/>
                <w:sz w:val="4"/>
                <w:szCs w:val="4"/>
                <w:color w:val="FFFFFF"/>
              </w:rPr>
              <w:t>Net sales $488,601 373,206 Net sales 177,224 78,756 Operating Margin 5.7% 7.5% Income from Operations 15,732 9,112 Operating Margin 8.9% 11.6%</w:t>
            </w:r>
          </w:p>
        </w:tc>
        <w:tc>
          <w:tcPr>
            <w:tcW w:w="0" w:type="dxa"/>
            <w:vAlign w:val="bottom"/>
          </w:tcPr>
          <w:p>
            <w:pPr>
              <w:spacing w:after="0" w:line="20" w:lineRule="exact"/>
              <w:rPr>
                <w:sz w:val="1"/>
                <w:szCs w:val="1"/>
                <w:color w:val="auto"/>
              </w:rPr>
            </w:pPr>
          </w:p>
        </w:tc>
      </w:tr>
      <w:tr>
        <w:trPr>
          <w:trHeight w:val="39"/>
        </w:trPr>
        <w:tc>
          <w:tcPr>
            <w:tcW w:w="2660" w:type="dxa"/>
            <w:vAlign w:val="bottom"/>
          </w:tcPr>
          <w:p>
            <w:pPr>
              <w:spacing w:after="0" w:line="40" w:lineRule="exact"/>
              <w:rPr>
                <w:sz w:val="20"/>
                <w:szCs w:val="20"/>
                <w:color w:val="auto"/>
              </w:rPr>
            </w:pPr>
            <w:r>
              <w:rPr>
                <w:rFonts w:ascii="Arial" w:cs="Arial" w:eastAsia="Arial" w:hAnsi="Arial"/>
                <w:sz w:val="4"/>
                <w:szCs w:val="4"/>
                <w:color w:val="FFFFFF"/>
              </w:rPr>
              <w:t>2014 2013</w:t>
            </w:r>
          </w:p>
        </w:tc>
        <w:tc>
          <w:tcPr>
            <w:tcW w:w="8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660" w:type="dxa"/>
            <w:vAlign w:val="bottom"/>
          </w:tcPr>
          <w:p>
            <w:pPr>
              <w:spacing w:after="0" w:line="40" w:lineRule="exact"/>
              <w:rPr>
                <w:sz w:val="20"/>
                <w:szCs w:val="20"/>
                <w:color w:val="auto"/>
              </w:rPr>
            </w:pPr>
            <w:r>
              <w:rPr>
                <w:rFonts w:ascii="Arial" w:cs="Arial" w:eastAsia="Arial" w:hAnsi="Arial"/>
                <w:sz w:val="4"/>
                <w:szCs w:val="4"/>
                <w:color w:val="FFFFFF"/>
              </w:rPr>
              <w:t>Income from operations 27,687 27,827</w:t>
            </w:r>
          </w:p>
        </w:tc>
        <w:tc>
          <w:tcPr>
            <w:tcW w:w="8620" w:type="dxa"/>
            <w:vAlign w:val="bottom"/>
            <w:vMerge w:val="restart"/>
          </w:tcPr>
          <w:p>
            <w:pPr>
              <w:ind w:left="180"/>
              <w:spacing w:after="0" w:line="79" w:lineRule="exact"/>
              <w:rPr>
                <w:sz w:val="20"/>
                <w:szCs w:val="20"/>
                <w:color w:val="auto"/>
              </w:rPr>
            </w:pPr>
            <w:r>
              <w:rPr>
                <w:rFonts w:ascii="Arial" w:cs="Arial" w:eastAsia="Arial" w:hAnsi="Arial"/>
                <w:sz w:val="9"/>
                <w:szCs w:val="9"/>
                <w:color w:val="FFFFFF"/>
              </w:rPr>
              <w:t>costs included in cost of products sold 2,063 —Income from Operations 15,732 9,112 Acquisition related costs excluded from selling, general and administrative</w:t>
            </w:r>
          </w:p>
        </w:tc>
        <w:tc>
          <w:tcPr>
            <w:tcW w:w="0" w:type="dxa"/>
            <w:vAlign w:val="bottom"/>
          </w:tcPr>
          <w:p>
            <w:pPr>
              <w:spacing w:after="0" w:line="20" w:lineRule="exact"/>
              <w:rPr>
                <w:sz w:val="1"/>
                <w:szCs w:val="1"/>
                <w:color w:val="auto"/>
              </w:rPr>
            </w:pPr>
          </w:p>
        </w:tc>
      </w:tr>
      <w:tr>
        <w:trPr>
          <w:trHeight w:val="39"/>
        </w:trPr>
        <w:tc>
          <w:tcPr>
            <w:tcW w:w="2660" w:type="dxa"/>
            <w:vAlign w:val="bottom"/>
          </w:tcPr>
          <w:p>
            <w:pPr>
              <w:spacing w:after="0" w:line="40" w:lineRule="exact"/>
              <w:rPr>
                <w:sz w:val="20"/>
                <w:szCs w:val="20"/>
                <w:color w:val="auto"/>
              </w:rPr>
            </w:pPr>
            <w:r>
              <w:rPr>
                <w:rFonts w:ascii="Arial" w:cs="Arial" w:eastAsia="Arial" w:hAnsi="Arial"/>
                <w:sz w:val="4"/>
                <w:szCs w:val="4"/>
                <w:color w:val="FFFFFF"/>
              </w:rPr>
              <w:t>Net sales 177,224 78,756 Acquisition and</w:t>
            </w:r>
          </w:p>
        </w:tc>
        <w:tc>
          <w:tcPr>
            <w:tcW w:w="86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280" w:type="dxa"/>
            <w:vAlign w:val="bottom"/>
            <w:gridSpan w:val="2"/>
          </w:tcPr>
          <w:p>
            <w:pPr>
              <w:spacing w:after="0" w:line="40" w:lineRule="exact"/>
              <w:rPr>
                <w:sz w:val="20"/>
                <w:szCs w:val="20"/>
                <w:color w:val="auto"/>
              </w:rPr>
            </w:pPr>
            <w:r>
              <w:rPr>
                <w:rFonts w:ascii="Arial" w:cs="Arial" w:eastAsia="Arial" w:hAnsi="Arial"/>
                <w:sz w:val="4"/>
                <w:szCs w:val="4"/>
                <w:color w:val="FFFFFF"/>
              </w:rPr>
              <w:t>9,248 —875 568 Acquisition and integrationintegrationcosts Cost of products sold 2,063 0 Restructuring and impairment charges Adjusted Income from operations $39,873 $28,395 Acquisition related costs excluded from</w:t>
            </w:r>
          </w:p>
        </w:tc>
        <w:tc>
          <w:tcPr>
            <w:tcW w:w="0" w:type="dxa"/>
            <w:vAlign w:val="bottom"/>
          </w:tcPr>
          <w:p>
            <w:pPr>
              <w:spacing w:after="0" w:line="20" w:lineRule="exact"/>
              <w:rPr>
                <w:sz w:val="1"/>
                <w:szCs w:val="1"/>
                <w:color w:val="auto"/>
              </w:rPr>
            </w:pPr>
          </w:p>
        </w:tc>
      </w:tr>
      <w:tr>
        <w:trPr>
          <w:trHeight w:val="39"/>
        </w:trPr>
        <w:tc>
          <w:tcPr>
            <w:tcW w:w="2660" w:type="dxa"/>
            <w:vAlign w:val="bottom"/>
          </w:tcPr>
          <w:p>
            <w:pPr>
              <w:spacing w:after="0" w:line="40" w:lineRule="exact"/>
              <w:rPr>
                <w:sz w:val="20"/>
                <w:szCs w:val="20"/>
                <w:color w:val="auto"/>
              </w:rPr>
            </w:pPr>
            <w:r>
              <w:rPr>
                <w:rFonts w:ascii="Arial" w:cs="Arial" w:eastAsia="Arial" w:hAnsi="Arial"/>
                <w:sz w:val="4"/>
                <w:szCs w:val="4"/>
                <w:color w:val="FFFFFF"/>
              </w:rPr>
              <w:t>selling, general and administrative 172 0 Adjusted</w:t>
            </w:r>
          </w:p>
        </w:tc>
        <w:tc>
          <w:tcPr>
            <w:tcW w:w="8620" w:type="dxa"/>
            <w:vAlign w:val="bottom"/>
          </w:tcPr>
          <w:p>
            <w:pPr>
              <w:ind w:left="20"/>
              <w:spacing w:after="0" w:line="40" w:lineRule="exact"/>
              <w:rPr>
                <w:sz w:val="20"/>
                <w:szCs w:val="20"/>
                <w:color w:val="auto"/>
              </w:rPr>
            </w:pPr>
            <w:r>
              <w:rPr>
                <w:rFonts w:ascii="Arial" w:cs="Arial" w:eastAsia="Arial" w:hAnsi="Arial"/>
                <w:sz w:val="4"/>
                <w:szCs w:val="4"/>
                <w:color w:val="FFFFFF"/>
              </w:rPr>
              <w:t>Income from Operations 17,967 9,112 Net sales $488,601 373,206 Adjusted Operating Margin 10.1% 11.6%</w:t>
            </w:r>
          </w:p>
        </w:tc>
        <w:tc>
          <w:tcPr>
            <w:tcW w:w="0" w:type="dxa"/>
            <w:vAlign w:val="bottom"/>
          </w:tcPr>
          <w:p>
            <w:pPr>
              <w:spacing w:after="0" w:line="20" w:lineRule="exact"/>
              <w:rPr>
                <w:sz w:val="1"/>
                <w:szCs w:val="1"/>
                <w:color w:val="auto"/>
              </w:rPr>
            </w:pPr>
          </w:p>
        </w:tc>
      </w:tr>
      <w:tr>
        <w:trPr>
          <w:trHeight w:val="39"/>
        </w:trPr>
        <w:tc>
          <w:tcPr>
            <w:tcW w:w="2660" w:type="dxa"/>
            <w:vAlign w:val="bottom"/>
          </w:tcPr>
          <w:p>
            <w:pPr>
              <w:spacing w:after="0" w:line="40" w:lineRule="exact"/>
              <w:rPr>
                <w:sz w:val="20"/>
                <w:szCs w:val="20"/>
                <w:color w:val="auto"/>
              </w:rPr>
            </w:pPr>
            <w:r>
              <w:rPr>
                <w:rFonts w:ascii="Arial" w:cs="Arial" w:eastAsia="Arial" w:hAnsi="Arial"/>
                <w:sz w:val="4"/>
                <w:szCs w:val="4"/>
                <w:color w:val="FFFFFF"/>
              </w:rPr>
              <w:t>Adjusted Operating Margin 8.2% 7.6%</w:t>
            </w:r>
          </w:p>
        </w:tc>
        <w:tc>
          <w:tcPr>
            <w:tcW w:w="8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5"/>
        </w:trPr>
        <w:tc>
          <w:tcPr>
            <w:tcW w:w="2660" w:type="dxa"/>
            <w:vAlign w:val="bottom"/>
          </w:tcPr>
          <w:p>
            <w:pPr>
              <w:spacing w:after="0"/>
              <w:rPr>
                <w:sz w:val="20"/>
                <w:szCs w:val="20"/>
                <w:color w:val="auto"/>
              </w:rPr>
            </w:pPr>
            <w:r>
              <w:rPr>
                <w:rFonts w:ascii="Arial" w:cs="Arial" w:eastAsia="Arial" w:hAnsi="Arial"/>
                <w:sz w:val="13"/>
                <w:szCs w:val="13"/>
                <w:color w:val="FFFFFF"/>
              </w:rPr>
              <w:t>35</w:t>
            </w:r>
          </w:p>
        </w:tc>
        <w:tc>
          <w:tcPr>
            <w:tcW w:w="8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440" w:right="37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FFFFFF"/>
        </w:rPr>
        <w:t>Non-GAAP to GAAP Reconciliations</w:t>
      </w:r>
    </w:p>
    <w:p>
      <w:pPr>
        <w:spacing w:after="0" w:line="204" w:lineRule="auto"/>
        <w:rPr>
          <w:sz w:val="20"/>
          <w:szCs w:val="20"/>
          <w:color w:val="auto"/>
        </w:rPr>
      </w:pPr>
      <w:r>
        <w:rPr>
          <w:rFonts w:ascii="Arial" w:cs="Arial" w:eastAsia="Arial" w:hAnsi="Arial"/>
          <w:sz w:val="2"/>
          <w:szCs w:val="2"/>
          <w:color w:val="FFFFFF"/>
        </w:rPr>
        <w:t xml:space="preserve">MBC GROUP 2014 2013 Net sales 278,026 259,459 Income from Operations 31,872 27,380 </w:t>
      </w:r>
      <w:r>
        <w:rPr>
          <w:rFonts w:ascii="Arial" w:cs="Arial" w:eastAsia="Arial" w:hAnsi="Arial"/>
          <w:sz w:val="4"/>
          <w:szCs w:val="4"/>
          <w:color w:val="FFFFFF"/>
          <w:vertAlign w:val="subscript"/>
        </w:rPr>
        <w:t>Operating</w:t>
      </w:r>
      <w:r>
        <w:rPr>
          <w:rFonts w:ascii="Arial" w:cs="Arial" w:eastAsia="Arial" w:hAnsi="Arial"/>
          <w:sz w:val="2"/>
          <w:szCs w:val="2"/>
          <w:color w:val="FFFFFF"/>
        </w:rPr>
        <w:t xml:space="preserve"> Margin 11.5% 10.6%</w:t>
      </w:r>
    </w:p>
    <w:p>
      <w:pPr>
        <w:spacing w:after="0" w:line="234" w:lineRule="auto"/>
        <w:rPr>
          <w:sz w:val="20"/>
          <w:szCs w:val="20"/>
          <w:color w:val="auto"/>
        </w:rPr>
      </w:pPr>
      <w:r>
        <w:rPr>
          <w:rFonts w:ascii="Arial" w:cs="Arial" w:eastAsia="Arial" w:hAnsi="Arial"/>
          <w:sz w:val="7"/>
          <w:szCs w:val="7"/>
          <w:color w:val="FFFFFF"/>
        </w:rPr>
        <w:t>Net sales 278,026 259,459 Income from Operations 31,872 27,380 Acquisition and integration costs Cost of products sold 0 0 Acquisition related costs excluded from selling, general and administrative 0 0 Restructuring charges 0 316 Adjusted Income from Operations 31,872 27,696 Adjusted Operating Margin 11.5% 10.7%</w:t>
      </w:r>
    </w:p>
    <w:p>
      <w:pPr>
        <w:spacing w:after="0"/>
        <w:rPr>
          <w:sz w:val="20"/>
          <w:szCs w:val="20"/>
          <w:color w:val="auto"/>
        </w:rPr>
      </w:pPr>
      <w:r>
        <w:rPr>
          <w:rFonts w:ascii="Arial" w:cs="Arial" w:eastAsia="Arial" w:hAnsi="Arial"/>
          <w:sz w:val="13"/>
          <w:szCs w:val="13"/>
          <w:color w:val="FFFFFF"/>
        </w:rPr>
        <w:t>36</w:t>
      </w:r>
    </w:p>
    <w:p>
      <w:pPr>
        <w:sectPr>
          <w:pgSz w:w="11900" w:h="16838" w:orient="portrait"/>
          <w:cols w:equalWidth="0" w:num="1">
            <w:col w:w="10900"/>
          </w:cols>
          <w:pgMar w:left="240" w:top="1440" w:right="75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207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4725" cy="420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7"/>
          <w:szCs w:val="7"/>
          <w:color w:val="FFFFFF"/>
        </w:rPr>
        <w:t>MarchInvestor23,Presentation2015</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2019-12-06T10:11:13Z</dcterms:created>
  <dcterms:modified xsi:type="dcterms:W3CDTF">2019-12-06T10:11:13Z</dcterms:modified>
</cp:coreProperties>
</file>