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NN INC</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001-39268</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6210 ARDREY KELL ROAD</w:t>
              <w:br/>
              <w:t>SUITE 120</w:t>
              <w:br/>
              <w:t>CHARLOTTE</w:t>
              <w:br/>
              <w:t xml:space="preserve">NORTH CAROLINA </w:t>
              <w:br/>
              <w:t>28277</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980-264-4300</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Legion Partners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Affiliate of 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Jonestrading</w:t>
              <w:br/>
              <w:t>555 St. Charles Drive, Ste 200</w:t>
              <w:br/>
              <w:t>Thousand Oaks   CA   91360</w:t>
            </w:r>
          </w:p>
        </w:tc>
        <w:tc>
          <w:tcPr>
            <w:tcW w:w="1138" w:type="dxa"/>
            <w:tcBorders/>
            <w:vAlign w:val="center"/>
          </w:tcPr>
          <w:p>
            <w:pPr>
              <w:pStyle w:val="TableContents"/>
              <w:bidi w:val="0"/>
              <w:spacing w:before="0" w:after="283"/>
              <w:jc w:val="left"/>
              <w:rPr/>
            </w:pPr>
            <w:r>
              <w:rPr/>
              <w:t>500000</w:t>
            </w:r>
          </w:p>
        </w:tc>
        <w:tc>
          <w:tcPr>
            <w:tcW w:w="1431" w:type="dxa"/>
            <w:tcBorders/>
            <w:vAlign w:val="center"/>
          </w:tcPr>
          <w:p>
            <w:pPr>
              <w:pStyle w:val="TableContents"/>
              <w:bidi w:val="0"/>
              <w:spacing w:before="0" w:after="283"/>
              <w:jc w:val="left"/>
              <w:rPr/>
            </w:pPr>
            <w:r>
              <w:rPr/>
              <w:t>1805000.00</w:t>
            </w:r>
          </w:p>
        </w:tc>
        <w:tc>
          <w:tcPr>
            <w:tcW w:w="1525" w:type="dxa"/>
            <w:tcBorders/>
            <w:vAlign w:val="center"/>
          </w:tcPr>
          <w:p>
            <w:pPr>
              <w:pStyle w:val="TableContents"/>
              <w:bidi w:val="0"/>
              <w:spacing w:before="0" w:after="283"/>
              <w:jc w:val="left"/>
              <w:rPr/>
            </w:pPr>
            <w:r>
              <w:rPr/>
              <w:t>82580864</w:t>
            </w:r>
          </w:p>
        </w:tc>
        <w:tc>
          <w:tcPr>
            <w:tcW w:w="1551" w:type="dxa"/>
            <w:tcBorders/>
            <w:vAlign w:val="center"/>
          </w:tcPr>
          <w:p>
            <w:pPr>
              <w:pStyle w:val="TableContents"/>
              <w:bidi w:val="0"/>
              <w:spacing w:before="0" w:after="283"/>
              <w:jc w:val="left"/>
              <w:rPr/>
            </w:pPr>
            <w:r>
              <w:rPr/>
              <w:t>08/14/2026</w:t>
            </w:r>
          </w:p>
        </w:tc>
        <w:tc>
          <w:tcPr>
            <w:tcW w:w="1376" w:type="dxa"/>
            <w:tcBorders/>
            <w:vAlign w:val="center"/>
          </w:tcPr>
          <w:p>
            <w:pPr>
              <w:pStyle w:val="TableContents"/>
              <w:bidi w:val="0"/>
              <w:spacing w:before="0" w:after="0"/>
              <w:jc w:val="left"/>
              <w:rPr/>
            </w:pPr>
            <w:r>
              <w:rPr/>
              <w:t>NASDAQ</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Tourmaline Partners</w:t>
              <w:br/>
              <w:t>680 Washington Blvd, 10th Floor</w:t>
              <w:br/>
              <w:t>Stamford   CT   06901</w:t>
            </w:r>
          </w:p>
        </w:tc>
        <w:tc>
          <w:tcPr>
            <w:tcW w:w="1138" w:type="dxa"/>
            <w:tcBorders/>
            <w:vAlign w:val="center"/>
          </w:tcPr>
          <w:p>
            <w:pPr>
              <w:pStyle w:val="TableContents"/>
              <w:bidi w:val="0"/>
              <w:spacing w:before="0" w:after="283"/>
              <w:jc w:val="left"/>
              <w:rPr/>
            </w:pPr>
            <w:r>
              <w:rPr/>
              <w:t>725006</w:t>
            </w:r>
          </w:p>
        </w:tc>
        <w:tc>
          <w:tcPr>
            <w:tcW w:w="1431" w:type="dxa"/>
            <w:tcBorders/>
            <w:vAlign w:val="center"/>
          </w:tcPr>
          <w:p>
            <w:pPr>
              <w:pStyle w:val="TableContents"/>
              <w:bidi w:val="0"/>
              <w:spacing w:before="0" w:after="283"/>
              <w:jc w:val="left"/>
              <w:rPr/>
            </w:pPr>
            <w:r>
              <w:rPr/>
              <w:t>2617272.00</w:t>
            </w:r>
          </w:p>
        </w:tc>
        <w:tc>
          <w:tcPr>
            <w:tcW w:w="1525" w:type="dxa"/>
            <w:tcBorders/>
            <w:vAlign w:val="center"/>
          </w:tcPr>
          <w:p>
            <w:pPr>
              <w:pStyle w:val="TableContents"/>
              <w:bidi w:val="0"/>
              <w:spacing w:before="0" w:after="283"/>
              <w:jc w:val="left"/>
              <w:rPr/>
            </w:pPr>
            <w:r>
              <w:rPr/>
              <w:t>82580864</w:t>
            </w:r>
          </w:p>
        </w:tc>
        <w:tc>
          <w:tcPr>
            <w:tcW w:w="1551" w:type="dxa"/>
            <w:tcBorders/>
            <w:vAlign w:val="center"/>
          </w:tcPr>
          <w:p>
            <w:pPr>
              <w:pStyle w:val="TableContents"/>
              <w:bidi w:val="0"/>
              <w:spacing w:before="0" w:after="283"/>
              <w:jc w:val="left"/>
              <w:rPr/>
            </w:pPr>
            <w:r>
              <w:rPr/>
              <w:t>08/14/2026</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09/20/2018</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986306</w:t>
            </w:r>
          </w:p>
        </w:tc>
        <w:tc>
          <w:tcPr>
            <w:tcW w:w="1078" w:type="dxa"/>
            <w:tcBorders/>
            <w:vAlign w:val="center"/>
          </w:tcPr>
          <w:p>
            <w:pPr>
              <w:pStyle w:val="TableContents"/>
              <w:bidi w:val="0"/>
              <w:spacing w:before="0" w:after="283"/>
              <w:jc w:val="left"/>
              <w:rPr/>
            </w:pPr>
            <w:r>
              <w:rPr/>
              <w:t>09/20/2018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08/25/2022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100892</w:t>
            </w:r>
          </w:p>
        </w:tc>
        <w:tc>
          <w:tcPr>
            <w:tcW w:w="1078" w:type="dxa"/>
            <w:tcBorders/>
            <w:vAlign w:val="center"/>
          </w:tcPr>
          <w:p>
            <w:pPr>
              <w:pStyle w:val="TableContents"/>
              <w:bidi w:val="0"/>
              <w:spacing w:before="0" w:after="283"/>
              <w:jc w:val="left"/>
              <w:rPr/>
            </w:pPr>
            <w:r>
              <w:rPr/>
              <w:t>08/25/2022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02/07/2019</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137808</w:t>
            </w:r>
          </w:p>
        </w:tc>
        <w:tc>
          <w:tcPr>
            <w:tcW w:w="1078" w:type="dxa"/>
            <w:tcBorders/>
            <w:vAlign w:val="center"/>
          </w:tcPr>
          <w:p>
            <w:pPr>
              <w:pStyle w:val="TableContents"/>
              <w:bidi w:val="0"/>
              <w:spacing w:before="0" w:after="283"/>
              <w:jc w:val="left"/>
              <w:rPr/>
            </w:pPr>
            <w:r>
              <w:rPr/>
              <w:t>02/07/2019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827"/>
        <w:gridCol w:w="922"/>
        <w:gridCol w:w="1532"/>
        <w:gridCol w:w="1811"/>
      </w:tblGrid>
      <w:tr>
        <w:trPr/>
        <w:tc>
          <w:tcPr>
            <w:tcW w:w="3113" w:type="dxa"/>
            <w:tcBorders/>
            <w:vAlign w:val="center"/>
          </w:tcPr>
          <w:p>
            <w:pPr>
              <w:pStyle w:val="TableHeading"/>
              <w:suppressLineNumbers/>
              <w:bidi w:val="0"/>
              <w:spacing w:before="0" w:after="283"/>
              <w:jc w:val="center"/>
              <w:rPr/>
            </w:pPr>
            <w:r>
              <w:rPr/>
              <w:t>Name and Address of Seller</w:t>
            </w:r>
          </w:p>
        </w:tc>
        <w:tc>
          <w:tcPr>
            <w:tcW w:w="2827"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7"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08/06/2026</w:t>
            </w:r>
          </w:p>
        </w:tc>
        <w:tc>
          <w:tcPr>
            <w:tcW w:w="1532" w:type="dxa"/>
            <w:tcBorders/>
            <w:vAlign w:val="center"/>
          </w:tcPr>
          <w:p>
            <w:pPr>
              <w:pStyle w:val="TableContents"/>
              <w:bidi w:val="0"/>
              <w:spacing w:before="0" w:after="283"/>
              <w:jc w:val="left"/>
              <w:rPr/>
            </w:pPr>
            <w:r>
              <w:rPr/>
              <w:t>370001</w:t>
            </w:r>
          </w:p>
        </w:tc>
        <w:tc>
          <w:tcPr>
            <w:tcW w:w="1811" w:type="dxa"/>
            <w:tcBorders/>
            <w:vAlign w:val="center"/>
          </w:tcPr>
          <w:p>
            <w:pPr>
              <w:pStyle w:val="TableContents"/>
              <w:bidi w:val="0"/>
              <w:spacing w:before="0" w:after="283"/>
              <w:jc w:val="left"/>
              <w:rPr/>
            </w:pPr>
            <w:r>
              <w:rPr/>
              <w:t>1442152.90</w:t>
            </w:r>
          </w:p>
        </w:tc>
      </w:tr>
      <w:tr>
        <w:trPr/>
        <w:tc>
          <w:tcPr>
            <w:tcW w:w="3113" w:type="dxa"/>
            <w:tcBorders/>
            <w:vAlign w:val="center"/>
          </w:tcPr>
          <w:p>
            <w:pPr>
              <w:pStyle w:val="TableContents"/>
              <w:bidi w:val="0"/>
              <w:spacing w:before="0" w:after="283"/>
              <w:jc w:val="left"/>
              <w:rPr/>
            </w:pPr>
            <w:r>
              <w:rPr/>
              <w:t>Legion Partners, L.P. I</w:t>
              <w:br/>
              <w:t>12121 Wilshire Blvd, Suite 1240</w:t>
              <w:br/>
              <w:t>Los Angeles   CA   90025</w:t>
            </w:r>
          </w:p>
        </w:tc>
        <w:tc>
          <w:tcPr>
            <w:tcW w:w="2827"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08/06/2026</w:t>
            </w:r>
          </w:p>
        </w:tc>
        <w:tc>
          <w:tcPr>
            <w:tcW w:w="1532" w:type="dxa"/>
            <w:tcBorders/>
            <w:vAlign w:val="center"/>
          </w:tcPr>
          <w:p>
            <w:pPr>
              <w:pStyle w:val="TableContents"/>
              <w:bidi w:val="0"/>
              <w:spacing w:before="0" w:after="283"/>
              <w:jc w:val="left"/>
              <w:rPr/>
            </w:pPr>
            <w:r>
              <w:rPr/>
              <w:t>24716</w:t>
            </w:r>
          </w:p>
        </w:tc>
        <w:tc>
          <w:tcPr>
            <w:tcW w:w="1811" w:type="dxa"/>
            <w:tcBorders/>
            <w:vAlign w:val="center"/>
          </w:tcPr>
          <w:p>
            <w:pPr>
              <w:pStyle w:val="TableContents"/>
              <w:bidi w:val="0"/>
              <w:spacing w:before="0" w:after="283"/>
              <w:jc w:val="left"/>
              <w:rPr/>
            </w:pPr>
            <w:r>
              <w:rPr/>
              <w:t>96335.55</w:t>
            </w:r>
          </w:p>
        </w:tc>
      </w:tr>
      <w:tr>
        <w:trPr/>
        <w:tc>
          <w:tcPr>
            <w:tcW w:w="3113" w:type="dxa"/>
            <w:tcBorders/>
            <w:vAlign w:val="center"/>
          </w:tcPr>
          <w:p>
            <w:pPr>
              <w:pStyle w:val="TableContents"/>
              <w:bidi w:val="0"/>
              <w:spacing w:before="0" w:after="283"/>
              <w:jc w:val="left"/>
              <w:rPr/>
            </w:pPr>
            <w:r>
              <w:rPr/>
              <w:t>Legion Partners, L.P. II</w:t>
              <w:br/>
              <w:t>12121 Wilshire Blvd, Suite 1240</w:t>
              <w:br/>
              <w:t>Los Angeles   CA   90025</w:t>
            </w:r>
          </w:p>
        </w:tc>
        <w:tc>
          <w:tcPr>
            <w:tcW w:w="2827"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08/06/2026</w:t>
            </w:r>
          </w:p>
        </w:tc>
        <w:tc>
          <w:tcPr>
            <w:tcW w:w="1532" w:type="dxa"/>
            <w:tcBorders/>
            <w:vAlign w:val="center"/>
          </w:tcPr>
          <w:p>
            <w:pPr>
              <w:pStyle w:val="TableContents"/>
              <w:bidi w:val="0"/>
              <w:spacing w:before="0" w:after="283"/>
              <w:jc w:val="left"/>
              <w:rPr/>
            </w:pPr>
            <w:r>
              <w:rPr/>
              <w:t>37661</w:t>
            </w:r>
          </w:p>
        </w:tc>
        <w:tc>
          <w:tcPr>
            <w:tcW w:w="1811" w:type="dxa"/>
            <w:tcBorders/>
            <w:vAlign w:val="center"/>
          </w:tcPr>
          <w:p>
            <w:pPr>
              <w:pStyle w:val="TableContents"/>
              <w:bidi w:val="0"/>
              <w:spacing w:before="0" w:after="283"/>
              <w:jc w:val="left"/>
              <w:rPr/>
            </w:pPr>
            <w:r>
              <w:rPr/>
              <w:t>146791.28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00"/>
        <w:gridCol w:w="8905"/>
      </w:tblGrid>
      <w:tr>
        <w:trPr/>
        <w:tc>
          <w:tcPr>
            <w:tcW w:w="1300" w:type="dxa"/>
            <w:tcBorders/>
            <w:vAlign w:val="center"/>
          </w:tcPr>
          <w:p>
            <w:pPr>
              <w:pStyle w:val="TableContents"/>
              <w:bidi w:val="0"/>
              <w:spacing w:before="0" w:after="283"/>
              <w:jc w:val="left"/>
              <w:rPr/>
            </w:pPr>
            <w:r>
              <w:rPr/>
              <w:t>Remarks</w:t>
            </w:r>
          </w:p>
        </w:tc>
        <w:tc>
          <w:tcPr>
            <w:tcW w:w="8905" w:type="dxa"/>
            <w:tcBorders/>
            <w:vAlign w:val="center"/>
          </w:tcPr>
          <w:p>
            <w:pPr>
              <w:pStyle w:val="TableContents"/>
              <w:bidi w:val="0"/>
              <w:spacing w:before="0" w:after="0"/>
              <w:jc w:val="left"/>
              <w:rPr/>
            </w:pPr>
            <w:r>
              <w:rPr/>
              <w:t>The Aggregate Market Value is as of the close of business on 08/13/2026. The number of securities outstanding is as of 08/05/2026. Shares of Common Stock to be sold were purchased by entities managed by Legion Partners Asset Management, LLC between 09/20/2018 and 06/26/2024.</w:t>
            </w:r>
          </w:p>
        </w:tc>
      </w:tr>
      <w:tr>
        <w:trPr/>
        <w:tc>
          <w:tcPr>
            <w:tcW w:w="1300" w:type="dxa"/>
            <w:tcBorders/>
            <w:vAlign w:val="center"/>
          </w:tcPr>
          <w:p>
            <w:pPr>
              <w:pStyle w:val="TableContents"/>
              <w:bidi w:val="0"/>
              <w:spacing w:before="0" w:after="283"/>
              <w:jc w:val="left"/>
              <w:rPr/>
            </w:pPr>
            <w:r>
              <w:rPr/>
              <w:t>Date of Notice</w:t>
            </w:r>
          </w:p>
        </w:tc>
        <w:tc>
          <w:tcPr>
            <w:tcW w:w="8905"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0" w:type="dxa"/>
            <w:tcBorders/>
            <w:vAlign w:val="center"/>
          </w:tcPr>
          <w:p>
            <w:pPr>
              <w:pStyle w:val="TableContents"/>
              <w:bidi w:val="0"/>
              <w:spacing w:before="0" w:after="283"/>
              <w:jc w:val="left"/>
              <w:rPr/>
            </w:pPr>
            <w:r>
              <w:rPr/>
              <w:t>Signature</w:t>
            </w:r>
          </w:p>
        </w:tc>
        <w:tc>
          <w:tcPr>
            <w:tcW w:w="8905" w:type="dxa"/>
            <w:tcBorders/>
            <w:vAlign w:val="center"/>
          </w:tcPr>
          <w:p>
            <w:pPr>
              <w:pStyle w:val="TableContents"/>
              <w:bidi w:val="0"/>
              <w:spacing w:before="0" w:after="0"/>
              <w:jc w:val="left"/>
              <w:rPr/>
            </w:pPr>
            <w:r>
              <w:rPr/>
              <w:t>Raymond T. White, Managing Director of Legion Partners Asset Management,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3874</Characters>
  <CharactersWithSpaces>4541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