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4"/>
          <w:szCs w:val="14"/>
          <w:color w:val="auto"/>
        </w:rPr>
        <w:t>As Filed with the Securities and Exchange Commission on June 21, 2019</w:t>
      </w:r>
    </w:p>
    <w:p>
      <w:pPr>
        <w:spacing w:after="0" w:line="254" w:lineRule="exact"/>
        <w:rPr>
          <w:sz w:val="24"/>
          <w:szCs w:val="24"/>
          <w:color w:val="auto"/>
        </w:rPr>
      </w:pPr>
    </w:p>
    <w:p>
      <w:pPr>
        <w:ind w:left="79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327025</wp:posOffset>
            </wp:positionV>
            <wp:extent cx="57029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29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8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S-8</w:t>
      </w:r>
    </w:p>
    <w:p>
      <w:pPr>
        <w:spacing w:after="0" w:line="23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REGISTRATION STATEMENT UNDER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91440</wp:posOffset>
            </wp:positionV>
            <wp:extent cx="57029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2935" cy="1714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314325</wp:posOffset>
            </wp:positionV>
            <wp:extent cx="754380" cy="694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 cy="694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NN,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80"/>
          </w:cols>
          <w:pgMar w:left="240" w:top="913" w:right="379" w:bottom="1440" w:gutter="0" w:footer="0" w:header="0"/>
        </w:sectPr>
      </w:pPr>
    </w:p>
    <w:p>
      <w:pPr>
        <w:spacing w:after="0" w:line="15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90" w:lineRule="exact"/>
        <w:rPr>
          <w:sz w:val="24"/>
          <w:szCs w:val="24"/>
          <w:color w:val="auto"/>
        </w:rPr>
      </w:pPr>
    </w:p>
    <w:p>
      <w:pPr>
        <w:sectPr>
          <w:pgSz w:w="11900" w:h="16838" w:orient="portrait"/>
          <w:cols w:equalWidth="0" w:num="2">
            <w:col w:w="7440" w:space="720"/>
            <w:col w:w="3120"/>
          </w:cols>
          <w:pgMar w:left="240" w:top="913" w:right="37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1" w:lineRule="exact"/>
        <w:rPr>
          <w:sz w:val="24"/>
          <w:szCs w:val="24"/>
          <w:color w:val="auto"/>
        </w:rPr>
      </w:pPr>
    </w:p>
    <w:p>
      <w:pPr>
        <w:sectPr>
          <w:pgSz w:w="11900" w:h="16838" w:orient="portrait"/>
          <w:cols w:equalWidth="0" w:num="2">
            <w:col w:w="6560" w:space="720"/>
            <w:col w:w="4000"/>
          </w:cols>
          <w:pgMar w:left="240" w:top="913" w:right="379" w:bottom="1440"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Charlotte, North Carolina 28277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16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NN, Inc. 2019 Omnibus Incentive Plan</w:t>
      </w:r>
    </w:p>
    <w:p>
      <w:pPr>
        <w:spacing w:after="0" w:line="6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(Full title of the plan)</w:t>
      </w:r>
    </w:p>
    <w:p>
      <w:pPr>
        <w:spacing w:after="0" w:line="28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Matthew S. Heiter, Esq.</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NN, Inc.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6210 Ardrey Kell Road</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Charlotte, North Carolina 28277</w:t>
      </w:r>
    </w:p>
    <w:p>
      <w:pPr>
        <w:spacing w:after="0" w:line="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(980) 264-4300</w:t>
      </w:r>
    </w:p>
    <w:p>
      <w:pPr>
        <w:spacing w:after="0" w:line="6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30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Copy to:</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Richard F. Mattern, Esq.</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Bass, Berry &amp; Sims PLC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100 Peabody Place, Suite 1300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Memphis, Tennessee 38103</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(901) 543-5933</w:t>
      </w:r>
    </w:p>
    <w:p>
      <w:pPr>
        <w:spacing w:after="0" w:line="130"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26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27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426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1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260" w:type="dxa"/>
            <w:vAlign w:val="bottom"/>
          </w:tcPr>
          <w:p>
            <w:pPr>
              <w:ind w:left="226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ectPr>
          <w:pgSz w:w="11900" w:h="16838" w:orient="portrait"/>
          <w:cols w:equalWidth="0" w:num="1">
            <w:col w:w="11280"/>
          </w:cols>
          <w:pgMar w:left="240" w:top="913" w:right="379" w:bottom="1440" w:gutter="0" w:footer="0" w:header="0"/>
          <w:type w:val="continuous"/>
        </w:sectPr>
      </w:pPr>
    </w:p>
    <w:bookmarkStart w:id="1" w:name="page2"/>
    <w:bookmarkEnd w:id="1"/>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90170</wp:posOffset>
            </wp:positionV>
            <wp:extent cx="5840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107950</wp:posOffset>
            </wp:positionV>
            <wp:extent cx="5840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5"/>
              </w:rPr>
              <w:t>Proposed</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Proposed</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jc w:val="center"/>
              <w:ind w:left="30"/>
              <w:spacing w:after="0"/>
              <w:rPr>
                <w:sz w:val="20"/>
                <w:szCs w:val="20"/>
                <w:color w:val="auto"/>
              </w:rPr>
            </w:pPr>
            <w:r>
              <w:rPr>
                <w:rFonts w:ascii="Arial" w:cs="Arial" w:eastAsia="Arial" w:hAnsi="Arial"/>
                <w:sz w:val="18"/>
                <w:szCs w:val="18"/>
                <w:color w:val="auto"/>
                <w:w w:val="93"/>
              </w:rPr>
              <w:t>Title of securities</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Amount to be</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maximum offering price</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maximum aggregate</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57"/>
        </w:trPr>
        <w:tc>
          <w:tcPr>
            <w:tcW w:w="2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to be registered</w:t>
            </w:r>
          </w:p>
        </w:tc>
        <w:tc>
          <w:tcPr>
            <w:tcW w:w="1560" w:type="dxa"/>
            <w:vAlign w:val="bottom"/>
            <w:tcBorders>
              <w:bottom w:val="single" w:sz="8" w:color="auto"/>
            </w:tcBorders>
          </w:tcPr>
          <w:p>
            <w:pPr>
              <w:jc w:val="center"/>
              <w:ind w:left="10"/>
              <w:spacing w:after="0" w:line="257" w:lineRule="exact"/>
              <w:rPr>
                <w:sz w:val="20"/>
                <w:szCs w:val="20"/>
                <w:color w:val="auto"/>
              </w:rPr>
            </w:pPr>
            <w:r>
              <w:rPr>
                <w:rFonts w:ascii="Arial" w:cs="Arial" w:eastAsia="Arial" w:hAnsi="Arial"/>
                <w:sz w:val="18"/>
                <w:szCs w:val="18"/>
                <w:color w:val="auto"/>
                <w:w w:val="85"/>
              </w:rPr>
              <w:t xml:space="preserve">registered </w:t>
            </w:r>
            <w:r>
              <w:rPr>
                <w:rFonts w:ascii="Arial" w:cs="Arial" w:eastAsia="Arial" w:hAnsi="Arial"/>
                <w:sz w:val="25"/>
                <w:szCs w:val="25"/>
                <w:color w:val="auto"/>
                <w:w w:val="85"/>
                <w:vertAlign w:val="superscript"/>
              </w:rPr>
              <w:t>(1)</w:t>
            </w:r>
          </w:p>
        </w:tc>
        <w:tc>
          <w:tcPr>
            <w:tcW w:w="20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2"/>
              </w:rPr>
              <w:t xml:space="preserve">per share </w:t>
            </w:r>
            <w:r>
              <w:rPr>
                <w:rFonts w:ascii="Arial" w:cs="Arial" w:eastAsia="Arial" w:hAnsi="Arial"/>
                <w:sz w:val="25"/>
                <w:szCs w:val="25"/>
                <w:color w:val="auto"/>
                <w:w w:val="82"/>
                <w:vertAlign w:val="superscript"/>
              </w:rPr>
              <w:t>(2)</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offering price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registration fee</w:t>
            </w:r>
          </w:p>
        </w:tc>
        <w:tc>
          <w:tcPr>
            <w:tcW w:w="0" w:type="dxa"/>
            <w:vAlign w:val="bottom"/>
          </w:tcPr>
          <w:p>
            <w:pPr>
              <w:spacing w:after="0"/>
              <w:rPr>
                <w:sz w:val="1"/>
                <w:szCs w:val="1"/>
                <w:color w:val="auto"/>
              </w:rPr>
            </w:pPr>
          </w:p>
        </w:tc>
      </w:tr>
      <w:tr>
        <w:trPr>
          <w:trHeight w:val="222"/>
        </w:trPr>
        <w:tc>
          <w:tcPr>
            <w:tcW w:w="2380" w:type="dxa"/>
            <w:vAlign w:val="bottom"/>
          </w:tcPr>
          <w:p>
            <w:pPr>
              <w:jc w:val="center"/>
              <w:ind w:left="30"/>
              <w:spacing w:after="0"/>
              <w:rPr>
                <w:sz w:val="20"/>
                <w:szCs w:val="20"/>
                <w:color w:val="auto"/>
              </w:rPr>
            </w:pPr>
            <w:r>
              <w:rPr>
                <w:rFonts w:ascii="Arial" w:cs="Arial" w:eastAsia="Arial" w:hAnsi="Arial"/>
                <w:sz w:val="18"/>
                <w:szCs w:val="18"/>
                <w:color w:val="auto"/>
                <w:w w:val="92"/>
              </w:rPr>
              <w:t>Common Stock,</w:t>
            </w:r>
          </w:p>
        </w:tc>
        <w:tc>
          <w:tcPr>
            <w:tcW w:w="1560" w:type="dxa"/>
            <w:vAlign w:val="bottom"/>
            <w:vMerge w:val="restart"/>
          </w:tcPr>
          <w:p>
            <w:pPr>
              <w:jc w:val="center"/>
              <w:ind w:left="10"/>
              <w:spacing w:after="0"/>
              <w:rPr>
                <w:sz w:val="20"/>
                <w:szCs w:val="20"/>
                <w:color w:val="auto"/>
              </w:rPr>
            </w:pPr>
            <w:r>
              <w:rPr>
                <w:rFonts w:ascii="Arial" w:cs="Arial" w:eastAsia="Arial" w:hAnsi="Arial"/>
                <w:sz w:val="18"/>
                <w:szCs w:val="18"/>
                <w:color w:val="auto"/>
                <w:w w:val="87"/>
              </w:rPr>
              <w:t>2,900,000 shares</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88"/>
              </w:rPr>
              <w:t>$7.22</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89"/>
              </w:rPr>
              <w:t>$20,938,000</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9"/>
              </w:rPr>
              <w:t>$2,537.69</w:t>
            </w:r>
          </w:p>
        </w:tc>
        <w:tc>
          <w:tcPr>
            <w:tcW w:w="0" w:type="dxa"/>
            <w:vAlign w:val="bottom"/>
          </w:tcPr>
          <w:p>
            <w:pPr>
              <w:spacing w:after="0"/>
              <w:rPr>
                <w:sz w:val="1"/>
                <w:szCs w:val="1"/>
                <w:color w:val="auto"/>
              </w:rPr>
            </w:pPr>
          </w:p>
        </w:tc>
      </w:tr>
      <w:tr>
        <w:trPr>
          <w:trHeight w:val="122"/>
        </w:trPr>
        <w:tc>
          <w:tcPr>
            <w:tcW w:w="2380" w:type="dxa"/>
            <w:vAlign w:val="bottom"/>
            <w:vMerge w:val="restart"/>
          </w:tcPr>
          <w:p>
            <w:pPr>
              <w:jc w:val="center"/>
              <w:ind w:left="30"/>
              <w:spacing w:after="0"/>
              <w:rPr>
                <w:sz w:val="20"/>
                <w:szCs w:val="20"/>
                <w:color w:val="auto"/>
              </w:rPr>
            </w:pPr>
            <w:r>
              <w:rPr>
                <w:rFonts w:ascii="Arial" w:cs="Arial" w:eastAsia="Arial" w:hAnsi="Arial"/>
                <w:sz w:val="18"/>
                <w:szCs w:val="18"/>
                <w:color w:val="auto"/>
                <w:w w:val="88"/>
              </w:rPr>
              <w:t>par value $0.01 per share</w:t>
            </w:r>
          </w:p>
        </w:tc>
        <w:tc>
          <w:tcPr>
            <w:tcW w:w="1560" w:type="dxa"/>
            <w:vAlign w:val="bottom"/>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20" w:firstLine="8"/>
        <w:spacing w:after="0" w:line="246" w:lineRule="auto"/>
        <w:tabs>
          <w:tab w:leader="none" w:pos="167" w:val="left"/>
        </w:tabs>
        <w:numPr>
          <w:ilvl w:val="0"/>
          <w:numId w:val="1"/>
        </w:numPr>
        <w:rPr>
          <w:rFonts w:ascii="Arial" w:cs="Arial" w:eastAsia="Arial" w:hAnsi="Arial"/>
          <w:sz w:val="19"/>
          <w:szCs w:val="19"/>
          <w:color w:val="auto"/>
          <w:vertAlign w:val="superscript"/>
        </w:rPr>
      </w:pPr>
      <w:r>
        <w:rPr>
          <w:rFonts w:ascii="Arial" w:cs="Arial" w:eastAsia="Arial" w:hAnsi="Arial"/>
          <w:sz w:val="15"/>
          <w:szCs w:val="15"/>
          <w:color w:val="auto"/>
        </w:rPr>
        <w:t>Pursuant to Rule 416 under the Securities Act of 1933, as amended (the “Securities Act”), this registration statement includes an indeterminate number of additional shares which may be offered and issued to prevent dilution resulting from stock splits, stock dividends or similar transactions.</w:t>
      </w:r>
    </w:p>
    <w:p>
      <w:pPr>
        <w:spacing w:after="0" w:line="193" w:lineRule="exact"/>
        <w:rPr>
          <w:rFonts w:ascii="Arial" w:cs="Arial" w:eastAsia="Arial" w:hAnsi="Arial"/>
          <w:sz w:val="19"/>
          <w:szCs w:val="19"/>
          <w:color w:val="auto"/>
          <w:vertAlign w:val="superscript"/>
        </w:rPr>
      </w:pPr>
    </w:p>
    <w:p>
      <w:pPr>
        <w:ind w:firstLine="8"/>
        <w:spacing w:after="0" w:line="252" w:lineRule="auto"/>
        <w:tabs>
          <w:tab w:leader="none" w:pos="167" w:val="left"/>
        </w:tabs>
        <w:numPr>
          <w:ilvl w:val="0"/>
          <w:numId w:val="1"/>
        </w:numPr>
        <w:rPr>
          <w:rFonts w:ascii="Arial" w:cs="Arial" w:eastAsia="Arial" w:hAnsi="Arial"/>
          <w:sz w:val="19"/>
          <w:szCs w:val="19"/>
          <w:color w:val="auto"/>
          <w:vertAlign w:val="superscript"/>
        </w:rPr>
      </w:pPr>
      <w:r>
        <w:rPr>
          <w:rFonts w:ascii="Arial" w:cs="Arial" w:eastAsia="Arial" w:hAnsi="Arial"/>
          <w:sz w:val="15"/>
          <w:szCs w:val="15"/>
          <w:color w:val="auto"/>
        </w:rPr>
        <w:t>Pursuant to Rules 457(c) and 457(h) under the Securities Act, the proposed maximum offering price is determined, solely for the purpose of calculating the registration fee, on the basis of the average of the high and low sales prices of the Registrant’s common stock, par value $0.01 per share (the “Common Stock”) on the Nasdaq Global Select Market on June 14, 2019.</w:t>
      </w:r>
    </w:p>
    <w:p>
      <w:pPr>
        <w:sectPr>
          <w:pgSz w:w="11900" w:h="16838" w:orient="portrait"/>
          <w:cols w:equalWidth="0" w:num="1">
            <w:col w:w="11300"/>
          </w:cols>
          <w:pgMar w:left="240" w:top="80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NN, Inc. (the “Registrant”) has sent or given or will send or give documents containing the information specified by Part I of this Form S-8 Registration Statement (the “Registration Statement”) to participants in the plan to which this Registration Statement relates, as specified in Rule 428(b)(1) promulgated by the Securities and Exchange Commission (the “Commission”) under the Securities Act. The Registrant is not filing such documents with the Commission, but these documents constitute (along with the documents incorporated by reference into the Registration Statement pursuant to Item 3 of Part II hereof) a prospectus that meets the requirements of Section 10(a) of the Securities 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following documents filed by the Registrant with the Commission, pursuant to the Securities Act or the Securities Exchange Act of 1934, as amended (the “Exchange Act”), are hereby incorporated by reference and shall be deemed to be a part hereof from the date of filing of such document:</w:t>
      </w:r>
    </w:p>
    <w:p>
      <w:pPr>
        <w:spacing w:after="0" w:line="124" w:lineRule="exact"/>
        <w:rPr>
          <w:sz w:val="20"/>
          <w:szCs w:val="20"/>
          <w:color w:val="auto"/>
        </w:rPr>
      </w:pPr>
    </w:p>
    <w:p>
      <w:pPr>
        <w:ind w:left="820" w:hanging="650"/>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0000FF"/>
        </w:rPr>
        <w:t>The Registrant’s Annual Report on Form 10-K for the fiscal year ended December 31, 2018, filed with the Commission on March 18, 2019</w:t>
      </w:r>
      <w:r>
        <w:rPr>
          <w:rFonts w:ascii="Arial" w:cs="Arial" w:eastAsia="Arial" w:hAnsi="Arial"/>
          <w:sz w:val="17"/>
          <w:szCs w:val="17"/>
          <w:color w:val="000000"/>
        </w:rPr>
        <w:t>;</w:t>
      </w:r>
    </w:p>
    <w:p>
      <w:pPr>
        <w:spacing w:after="0" w:line="34" w:lineRule="exact"/>
        <w:rPr>
          <w:rFonts w:ascii="Arial" w:cs="Arial" w:eastAsia="Arial" w:hAnsi="Arial"/>
          <w:sz w:val="17"/>
          <w:szCs w:val="17"/>
          <w:color w:val="auto"/>
        </w:rPr>
      </w:pPr>
    </w:p>
    <w:p>
      <w:pPr>
        <w:ind w:left="820" w:hanging="650"/>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Form 10-Q for the quarter ended March 31, 2019, filed with the Commission on </w:t>
      </w:r>
      <w:r>
        <w:rPr>
          <w:rFonts w:ascii="Arial" w:cs="Arial" w:eastAsia="Arial" w:hAnsi="Arial"/>
          <w:sz w:val="18"/>
          <w:szCs w:val="18"/>
          <w:u w:val="single" w:color="auto"/>
          <w:color w:val="0000FF"/>
        </w:rPr>
        <w:t>May 10, 2019</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820" w:right="240" w:hanging="650"/>
        <w:spacing w:after="0" w:line="250"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Commission on </w:t>
      </w:r>
      <w:r>
        <w:rPr>
          <w:rFonts w:ascii="Arial" w:cs="Arial" w:eastAsia="Arial" w:hAnsi="Arial"/>
          <w:sz w:val="18"/>
          <w:szCs w:val="18"/>
          <w:u w:val="single" w:color="auto"/>
          <w:color w:val="0000FF"/>
        </w:rPr>
        <w:t>February 4, 2019</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February 26, 2019</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March 18, 2019</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March 19,</w:t>
      </w:r>
      <w:r>
        <w:rPr>
          <w:rFonts w:ascii="Arial" w:cs="Arial" w:eastAsia="Arial" w:hAnsi="Arial"/>
          <w:sz w:val="18"/>
          <w:szCs w:val="18"/>
          <w:color w:val="auto"/>
        </w:rPr>
        <w:t xml:space="preserve"> </w:t>
      </w:r>
      <w:r>
        <w:rPr>
          <w:rFonts w:ascii="Arial" w:cs="Arial" w:eastAsia="Arial" w:hAnsi="Arial"/>
          <w:sz w:val="18"/>
          <w:szCs w:val="18"/>
          <w:u w:val="single" w:color="auto"/>
          <w:color w:val="0000FF"/>
        </w:rPr>
        <w:t>2019, May 20, 2019</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June 12, 2019</w:t>
      </w:r>
      <w:r>
        <w:rPr>
          <w:rFonts w:ascii="Arial" w:cs="Arial" w:eastAsia="Arial" w:hAnsi="Arial"/>
          <w:sz w:val="18"/>
          <w:szCs w:val="18"/>
          <w:color w:val="000000"/>
        </w:rPr>
        <w:t>; and</w:t>
      </w:r>
    </w:p>
    <w:p>
      <w:pPr>
        <w:ind w:left="1460" w:right="80" w:hanging="1290"/>
        <w:spacing w:after="0" w:line="323" w:lineRule="auto"/>
        <w:tabs>
          <w:tab w:leader="none" w:pos="812"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the </w:t>
      </w:r>
      <w:r>
        <w:rPr>
          <w:rFonts w:ascii="Arial" w:cs="Arial" w:eastAsia="Arial" w:hAnsi="Arial"/>
          <w:sz w:val="16"/>
          <w:szCs w:val="16"/>
          <w:u w:val="single" w:color="auto"/>
          <w:color w:val="0000FF"/>
        </w:rPr>
        <w:t>Registrant’s Amendment No. 1 to Registration Statement on Form 8-A/A, filed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with the Commission on November 22, 2002</w:t>
      </w:r>
      <w:r>
        <w:rPr>
          <w:rFonts w:ascii="Arial" w:cs="Arial" w:eastAsia="Arial" w:hAnsi="Arial"/>
          <w:sz w:val="16"/>
          <w:szCs w:val="16"/>
          <w:color w:val="000000"/>
        </w:rPr>
        <w:t>, including any amendment or report filed for the purpose of updating such description.</w:t>
      </w:r>
    </w:p>
    <w:p>
      <w:pPr>
        <w:spacing w:after="0" w:line="13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Except to the extent that information therein is deemed furnished and not filed pursuant to the Exchange Act, all documents filed by the Registrant pursuant to Sections 13(a), 13(c), 14 and 15(d) of the Exchange Act after the date hereof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date of filing of such documents. Any statements contained in a document incorporated or deemed to be incorporated by reference herein shall be deemed to be modified or replaced for purposes hereof to the extent that a statement contained herein (or in any other subsequently filed document which also is incorporated or deemed to be incorporated by reference herein) modifies or replaces such statement. Any statement so modified or replaced shall not be deemed, except as so modified or replaced, to constitute a part hereof.</w:t>
      </w:r>
    </w:p>
    <w:p>
      <w:pPr>
        <w:spacing w:after="0" w:line="167" w:lineRule="exact"/>
        <w:rPr>
          <w:sz w:val="20"/>
          <w:szCs w:val="20"/>
          <w:color w:val="auto"/>
        </w:rPr>
      </w:pPr>
    </w:p>
    <w:p>
      <w:pPr>
        <w:ind w:right="140" w:firstLine="180"/>
        <w:spacing w:after="0" w:line="277"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is not incorporated by reference in this Registration Statement or the related prospectus.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Section 102(b)(7) of the General Corporation Law of the State of Delaware (“DGCL”), which is applicable to the Registrant, allows a corporation to include in its certificate of incorporation a provision that limits or eliminates the personal liability of directors of a corporation or its stockholders for monetary damages for a breach of a fiduciary duty as a director, except where the director breached his duty of loyalty, failed to act in good faith, engaged in intentional misconduct or</w:t>
      </w:r>
    </w:p>
    <w:p>
      <w:pPr>
        <w:sectPr>
          <w:pgSz w:w="11900" w:h="16838" w:orient="portrait"/>
          <w:cols w:equalWidth="0" w:num="1">
            <w:col w:w="11420"/>
          </w:cols>
          <w:pgMar w:left="240" w:top="796" w:right="239" w:bottom="1440" w:gutter="0" w:footer="0" w:header="0"/>
        </w:sectPr>
      </w:pPr>
    </w:p>
    <w:bookmarkStart w:id="3" w:name="page4"/>
    <w:bookmarkEnd w:id="3"/>
    <w:p>
      <w:pPr>
        <w:ind w:right="400"/>
        <w:spacing w:after="0" w:line="277" w:lineRule="auto"/>
        <w:rPr>
          <w:sz w:val="20"/>
          <w:szCs w:val="20"/>
          <w:color w:val="auto"/>
        </w:rPr>
      </w:pPr>
      <w:r>
        <w:rPr>
          <w:rFonts w:ascii="Arial" w:cs="Arial" w:eastAsia="Arial" w:hAnsi="Arial"/>
          <w:sz w:val="18"/>
          <w:szCs w:val="18"/>
          <w:color w:val="auto"/>
        </w:rPr>
        <w:t>knowingly violated a law, authorized the payment of a dividend or approved a stock repurchase or redemption in violation of Delaware corporate law or obtained an improper personal benefit.</w:t>
      </w:r>
    </w:p>
    <w:p>
      <w:pPr>
        <w:spacing w:after="0" w:line="13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Section 145 of the DGCL authorizes a corporation to indemnify any person who was or is a party or is threatened to be made a party to any threatened, pending or completed action, suit or proceeding, other than an action by or in the right of the corporation, because such person is or was a director, officer, employee or agent of the corporation or is or was serving at the request of the corporation as a director, officer, employee or agent of another corporation or other enterprise, against expenses, including attorneys’ fees, judgments, fines and amounts paid in settlement actually and reasonably incurred by him or her in connection with such suit or proceeding if he or she acted in good faith and in a manner he reasonably believed to be in or not opposed to the best interests of the corporation, and, with respect to any criminal action or proceeding, had no reason to believe his conduct was unlawful. Similar indemnity is authorized for such persons against expenses, including attorneys’ fees, actually and reasonably incurred in defense or settlement of any such pending, completed or threatened action or suit by or in the right of the corporation if such person acted in good faith and in a manner he reasonably believed to be in or not opposed to the best interests of the corporation, and provided further that, unless a court of competent jurisdiction otherwise provides, such person shall not have been adjudged liable to the corporation. Any such indemnification may be made only as authorized in each specific case upon a determination by the stockholders or disinterested directors that indemnification is proper because the indemnitee has met the applicable standard of conduct.</w:t>
      </w:r>
    </w:p>
    <w:p>
      <w:pPr>
        <w:spacing w:after="0" w:line="13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Section 145 of the DGCL also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The Registrant maintains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a director or officer of the Registrant.</w:t>
      </w:r>
    </w:p>
    <w:p>
      <w:pPr>
        <w:spacing w:after="0" w:line="14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Registrant’s certificate of incorporation and bylaws provide that the Registrant will indemnify its directors and executive officers to the fullest extent provided by the DGCL and that any repeal or modification of such provisions will be prospective only and will not adversely affect the rights provided by the certificate of incorporation and bylaws in effect at the time of the alleged occurrence of any action or omission to act that is the cause of any proceeding against any agent of the Registrant. In addition, the Registrant’s bylaws provide that the Registrant is not required to indemnify any director or executive officer in connection with any proceeding initiated by such person unless the indemnification is expressly required to be made by law, the proceeding was authorized by the Board of Directors of the Registrant, such indemnification is provided by the Registrant, in its sole discretion, pursuant to the DGCL or any other applicable law. The Registrant’s bylaws further provide that the Registrant may modify the extent of indemnification of its directors and executive officers by individual contract.</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60"/>
          </w:cols>
          <w:pgMar w:left="240" w:top="584"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Arial" w:cs="Arial" w:eastAsia="Arial" w:hAnsi="Arial"/>
                <w:sz w:val="18"/>
                <w:szCs w:val="18"/>
                <w:b w:val="1"/>
                <w:bCs w:val="1"/>
                <w:color w:val="auto"/>
              </w:rPr>
              <w:t>Item 8.  Exhibits.</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54"/>
        </w:trPr>
        <w:tc>
          <w:tcPr>
            <w:tcW w:w="1700" w:type="dxa"/>
            <w:vAlign w:val="bottom"/>
          </w:tcPr>
          <w:p>
            <w:pPr>
              <w:ind w:left="1120"/>
              <w:spacing w:after="0"/>
              <w:rPr>
                <w:sz w:val="20"/>
                <w:szCs w:val="20"/>
                <w:color w:val="auto"/>
              </w:rPr>
            </w:pPr>
            <w:r>
              <w:rPr>
                <w:rFonts w:ascii="Arial" w:cs="Arial" w:eastAsia="Arial" w:hAnsi="Arial"/>
                <w:sz w:val="18"/>
                <w:szCs w:val="18"/>
                <w:color w:val="auto"/>
              </w:rPr>
              <w:t>3.1</w:t>
            </w:r>
          </w:p>
        </w:tc>
        <w:tc>
          <w:tcPr>
            <w:tcW w:w="8440" w:type="dxa"/>
            <w:vAlign w:val="bottom"/>
            <w:gridSpan w:val="17"/>
          </w:tcPr>
          <w:p>
            <w:pPr>
              <w:spacing w:after="0"/>
              <w:rPr>
                <w:rFonts w:ascii="Arial" w:cs="Arial" w:eastAsia="Arial" w:hAnsi="Arial"/>
                <w:sz w:val="18"/>
                <w:szCs w:val="18"/>
                <w:color w:val="0000FF"/>
              </w:rPr>
            </w:pPr>
            <w:hyperlink r:id="rId13">
              <w:r>
                <w:rPr>
                  <w:rFonts w:ascii="Arial" w:cs="Arial" w:eastAsia="Arial" w:hAnsi="Arial"/>
                  <w:sz w:val="18"/>
                  <w:szCs w:val="18"/>
                  <w:color w:val="0000FF"/>
                </w:rPr>
                <w:t>Restated Certificate of Incorporation of NN, Inc.</w:t>
              </w:r>
            </w:hyperlink>
          </w:p>
        </w:tc>
      </w:tr>
      <w:tr>
        <w:trPr>
          <w:trHeight w:val="20"/>
        </w:trPr>
        <w:tc>
          <w:tcPr>
            <w:tcW w:w="17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1700" w:type="dxa"/>
            <w:vAlign w:val="bottom"/>
          </w:tcPr>
          <w:p>
            <w:pPr>
              <w:spacing w:after="0"/>
              <w:rPr>
                <w:sz w:val="24"/>
                <w:szCs w:val="24"/>
                <w:color w:val="auto"/>
              </w:rPr>
            </w:pPr>
          </w:p>
        </w:tc>
        <w:tc>
          <w:tcPr>
            <w:tcW w:w="8440" w:type="dxa"/>
            <w:vAlign w:val="bottom"/>
            <w:gridSpan w:val="17"/>
          </w:tcPr>
          <w:p>
            <w:pPr>
              <w:spacing w:after="0"/>
              <w:rPr>
                <w:sz w:val="20"/>
                <w:szCs w:val="20"/>
                <w:color w:val="auto"/>
              </w:rPr>
            </w:pPr>
            <w:r>
              <w:rPr>
                <w:rFonts w:ascii="Arial" w:cs="Arial" w:eastAsia="Arial" w:hAnsi="Arial"/>
                <w:sz w:val="18"/>
                <w:szCs w:val="18"/>
                <w:color w:val="auto"/>
                <w:w w:val="91"/>
              </w:rPr>
              <w:t>(incorporated by reference to Exhibit 3.1 of NN, Inc.’s Registration Statement No. 333-89950 on Form S-3 filed June</w:t>
            </w:r>
          </w:p>
        </w:tc>
      </w:tr>
      <w:tr>
        <w:trPr>
          <w:trHeight w:val="230"/>
        </w:trPr>
        <w:tc>
          <w:tcPr>
            <w:tcW w:w="1700" w:type="dxa"/>
            <w:vAlign w:val="bottom"/>
          </w:tcPr>
          <w:p>
            <w:pPr>
              <w:spacing w:after="0"/>
              <w:rPr>
                <w:sz w:val="20"/>
                <w:szCs w:val="20"/>
                <w:color w:val="auto"/>
              </w:rPr>
            </w:pPr>
          </w:p>
        </w:tc>
        <w:tc>
          <w:tcPr>
            <w:tcW w:w="2200" w:type="dxa"/>
            <w:vAlign w:val="bottom"/>
            <w:gridSpan w:val="3"/>
          </w:tcPr>
          <w:p>
            <w:pPr>
              <w:ind w:left="640"/>
              <w:spacing w:after="0"/>
              <w:rPr>
                <w:sz w:val="20"/>
                <w:szCs w:val="20"/>
                <w:color w:val="auto"/>
              </w:rPr>
            </w:pPr>
            <w:r>
              <w:rPr>
                <w:rFonts w:ascii="Arial" w:cs="Arial" w:eastAsia="Arial" w:hAnsi="Arial"/>
                <w:sz w:val="18"/>
                <w:szCs w:val="18"/>
                <w:color w:val="auto"/>
              </w:rPr>
              <w:t>6, 2002).</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54"/>
        </w:trPr>
        <w:tc>
          <w:tcPr>
            <w:tcW w:w="1700" w:type="dxa"/>
            <w:vAlign w:val="bottom"/>
          </w:tcPr>
          <w:p>
            <w:pPr>
              <w:spacing w:after="0"/>
              <w:rPr>
                <w:sz w:val="24"/>
                <w:szCs w:val="24"/>
                <w:color w:val="auto"/>
              </w:rPr>
            </w:pPr>
          </w:p>
        </w:tc>
        <w:tc>
          <w:tcPr>
            <w:tcW w:w="8380" w:type="dxa"/>
            <w:vAlign w:val="bottom"/>
            <w:tcBorders>
              <w:bottom w:val="single" w:sz="8" w:color="0000FF"/>
            </w:tcBorders>
            <w:gridSpan w:val="15"/>
          </w:tcPr>
          <w:p>
            <w:pPr>
              <w:spacing w:after="0"/>
              <w:rPr>
                <w:rFonts w:ascii="Arial" w:cs="Arial" w:eastAsia="Arial" w:hAnsi="Arial"/>
                <w:sz w:val="18"/>
                <w:szCs w:val="18"/>
                <w:color w:val="0000FF"/>
                <w:w w:val="92"/>
              </w:rPr>
            </w:pPr>
            <w:hyperlink r:id="rId14">
              <w:r>
                <w:rPr>
                  <w:rFonts w:ascii="Arial" w:cs="Arial" w:eastAsia="Arial" w:hAnsi="Arial"/>
                  <w:sz w:val="18"/>
                  <w:szCs w:val="18"/>
                  <w:color w:val="0000FF"/>
                  <w:w w:val="92"/>
                </w:rPr>
                <w:t>Certificate of Designation of Series A Junior Participating Preferred Stock of NN, Inc., as filed with the Secretary of</w:t>
              </w:r>
            </w:hyperlink>
          </w:p>
        </w:tc>
        <w:tc>
          <w:tcPr>
            <w:tcW w:w="60" w:type="dxa"/>
            <w:vAlign w:val="bottom"/>
            <w:gridSpan w:val="2"/>
          </w:tcPr>
          <w:p>
            <w:pPr>
              <w:spacing w:after="0"/>
              <w:rPr>
                <w:sz w:val="24"/>
                <w:szCs w:val="24"/>
                <w:color w:val="auto"/>
              </w:rPr>
            </w:pPr>
          </w:p>
        </w:tc>
      </w:tr>
      <w:tr>
        <w:trPr>
          <w:trHeight w:val="196"/>
        </w:trPr>
        <w:tc>
          <w:tcPr>
            <w:tcW w:w="1700" w:type="dxa"/>
            <w:vAlign w:val="bottom"/>
          </w:tcPr>
          <w:p>
            <w:pPr>
              <w:ind w:left="1120"/>
              <w:spacing w:after="0" w:line="196" w:lineRule="exact"/>
              <w:rPr>
                <w:sz w:val="20"/>
                <w:szCs w:val="20"/>
                <w:color w:val="auto"/>
              </w:rPr>
            </w:pPr>
            <w:r>
              <w:rPr>
                <w:rFonts w:ascii="Arial" w:cs="Arial" w:eastAsia="Arial" w:hAnsi="Arial"/>
                <w:sz w:val="18"/>
                <w:szCs w:val="18"/>
                <w:color w:val="auto"/>
              </w:rPr>
              <w:t>3.2</w:t>
            </w:r>
          </w:p>
        </w:tc>
        <w:tc>
          <w:tcPr>
            <w:tcW w:w="640" w:type="dxa"/>
            <w:vAlign w:val="bottom"/>
          </w:tcPr>
          <w:p>
            <w:pPr>
              <w:spacing w:after="0"/>
              <w:rPr>
                <w:sz w:val="17"/>
                <w:szCs w:val="17"/>
                <w:color w:val="auto"/>
              </w:rPr>
            </w:pPr>
          </w:p>
        </w:tc>
        <w:tc>
          <w:tcPr>
            <w:tcW w:w="156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14">
              <w:r>
                <w:rPr>
                  <w:rFonts w:ascii="Arial" w:cs="Arial" w:eastAsia="Arial" w:hAnsi="Arial"/>
                  <w:sz w:val="18"/>
                  <w:szCs w:val="18"/>
                  <w:color w:val="0000FF"/>
                  <w:w w:val="88"/>
                </w:rPr>
                <w:t>the State of Delaware</w:t>
              </w:r>
            </w:hyperlink>
          </w:p>
        </w:tc>
        <w:tc>
          <w:tcPr>
            <w:tcW w:w="6240" w:type="dxa"/>
            <w:vAlign w:val="bottom"/>
            <w:gridSpan w:val="14"/>
          </w:tcPr>
          <w:p>
            <w:pPr>
              <w:spacing w:after="0"/>
              <w:rPr>
                <w:sz w:val="17"/>
                <w:szCs w:val="17"/>
                <w:color w:val="auto"/>
              </w:rPr>
            </w:pPr>
          </w:p>
        </w:tc>
      </w:tr>
      <w:tr>
        <w:trPr>
          <w:trHeight w:val="291"/>
        </w:trPr>
        <w:tc>
          <w:tcPr>
            <w:tcW w:w="1700" w:type="dxa"/>
            <w:vAlign w:val="bottom"/>
          </w:tcPr>
          <w:p>
            <w:pPr>
              <w:spacing w:after="0"/>
              <w:rPr>
                <w:sz w:val="24"/>
                <w:szCs w:val="24"/>
                <w:color w:val="auto"/>
              </w:rPr>
            </w:pPr>
          </w:p>
        </w:tc>
        <w:tc>
          <w:tcPr>
            <w:tcW w:w="8440" w:type="dxa"/>
            <w:vAlign w:val="bottom"/>
            <w:gridSpan w:val="17"/>
          </w:tcPr>
          <w:p>
            <w:pPr>
              <w:spacing w:after="0"/>
              <w:rPr>
                <w:sz w:val="20"/>
                <w:szCs w:val="20"/>
                <w:color w:val="auto"/>
              </w:rPr>
            </w:pPr>
            <w:r>
              <w:rPr>
                <w:rFonts w:ascii="Arial" w:cs="Arial" w:eastAsia="Arial" w:hAnsi="Arial"/>
                <w:sz w:val="18"/>
                <w:szCs w:val="18"/>
                <w:color w:val="auto"/>
                <w:w w:val="94"/>
              </w:rPr>
              <w:t>(incorporated by reference to Exhibit 3.1 to NN, Inc.’s Current Report on Form 8-K filed on December 19, 2008).</w:t>
            </w:r>
          </w:p>
        </w:tc>
      </w:tr>
      <w:tr>
        <w:trPr>
          <w:trHeight w:val="554"/>
        </w:trPr>
        <w:tc>
          <w:tcPr>
            <w:tcW w:w="1700" w:type="dxa"/>
            <w:vAlign w:val="bottom"/>
          </w:tcPr>
          <w:p>
            <w:pPr>
              <w:ind w:left="1120"/>
              <w:spacing w:after="0"/>
              <w:rPr>
                <w:sz w:val="20"/>
                <w:szCs w:val="20"/>
                <w:color w:val="auto"/>
              </w:rPr>
            </w:pPr>
            <w:r>
              <w:rPr>
                <w:rFonts w:ascii="Arial" w:cs="Arial" w:eastAsia="Arial" w:hAnsi="Arial"/>
                <w:sz w:val="18"/>
                <w:szCs w:val="18"/>
                <w:color w:val="auto"/>
              </w:rPr>
              <w:t>3.3</w:t>
            </w:r>
          </w:p>
        </w:tc>
        <w:tc>
          <w:tcPr>
            <w:tcW w:w="8440" w:type="dxa"/>
            <w:vAlign w:val="bottom"/>
            <w:gridSpan w:val="17"/>
          </w:tcPr>
          <w:p>
            <w:pPr>
              <w:spacing w:after="0"/>
              <w:rPr>
                <w:rFonts w:ascii="Arial" w:cs="Arial" w:eastAsia="Arial" w:hAnsi="Arial"/>
                <w:sz w:val="18"/>
                <w:szCs w:val="18"/>
                <w:color w:val="0000FF"/>
              </w:rPr>
            </w:pPr>
            <w:hyperlink r:id="rId15">
              <w:r>
                <w:rPr>
                  <w:rFonts w:ascii="Arial" w:cs="Arial" w:eastAsia="Arial" w:hAnsi="Arial"/>
                  <w:sz w:val="18"/>
                  <w:szCs w:val="18"/>
                  <w:color w:val="0000FF"/>
                </w:rPr>
                <w:t>Certificate of Amendment to Restated Certificate of Incorporation of NN, Inc.</w:t>
              </w:r>
            </w:hyperlink>
          </w:p>
        </w:tc>
      </w:tr>
      <w:tr>
        <w:trPr>
          <w:trHeight w:val="20"/>
        </w:trPr>
        <w:tc>
          <w:tcPr>
            <w:tcW w:w="17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700" w:type="dxa"/>
            <w:vAlign w:val="bottom"/>
          </w:tcPr>
          <w:p>
            <w:pPr>
              <w:spacing w:after="0"/>
              <w:rPr>
                <w:sz w:val="24"/>
                <w:szCs w:val="24"/>
                <w:color w:val="auto"/>
              </w:rPr>
            </w:pPr>
          </w:p>
        </w:tc>
        <w:tc>
          <w:tcPr>
            <w:tcW w:w="8440" w:type="dxa"/>
            <w:vAlign w:val="bottom"/>
            <w:gridSpan w:val="17"/>
          </w:tcPr>
          <w:p>
            <w:pPr>
              <w:spacing w:after="0"/>
              <w:rPr>
                <w:sz w:val="20"/>
                <w:szCs w:val="20"/>
                <w:color w:val="auto"/>
              </w:rPr>
            </w:pPr>
            <w:r>
              <w:rPr>
                <w:rFonts w:ascii="Arial" w:cs="Arial" w:eastAsia="Arial" w:hAnsi="Arial"/>
                <w:sz w:val="18"/>
                <w:szCs w:val="18"/>
                <w:color w:val="auto"/>
              </w:rPr>
              <w:t>(incorporated by reference to Exhibit 3.1 to NN, Inc.’s Current Report on Form 8-K filed on May 20, 2019).</w:t>
            </w:r>
          </w:p>
        </w:tc>
      </w:tr>
      <w:tr>
        <w:trPr>
          <w:trHeight w:val="554"/>
        </w:trPr>
        <w:tc>
          <w:tcPr>
            <w:tcW w:w="1700" w:type="dxa"/>
            <w:vAlign w:val="bottom"/>
          </w:tcPr>
          <w:p>
            <w:pPr>
              <w:ind w:left="1120"/>
              <w:spacing w:after="0"/>
              <w:rPr>
                <w:sz w:val="20"/>
                <w:szCs w:val="20"/>
                <w:color w:val="auto"/>
              </w:rPr>
            </w:pPr>
            <w:r>
              <w:rPr>
                <w:rFonts w:ascii="Arial" w:cs="Arial" w:eastAsia="Arial" w:hAnsi="Arial"/>
                <w:sz w:val="18"/>
                <w:szCs w:val="18"/>
                <w:color w:val="auto"/>
              </w:rPr>
              <w:t>3.4</w:t>
            </w:r>
          </w:p>
        </w:tc>
        <w:tc>
          <w:tcPr>
            <w:tcW w:w="5640" w:type="dxa"/>
            <w:vAlign w:val="bottom"/>
            <w:tcBorders>
              <w:bottom w:val="single" w:sz="8" w:color="0000FF"/>
            </w:tcBorders>
            <w:gridSpan w:val="12"/>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Certificate of Amendment of Restated Certificate of Incorporation of NN, Inc.</w:t>
              </w:r>
            </w:hyperlink>
          </w:p>
        </w:tc>
        <w:tc>
          <w:tcPr>
            <w:tcW w:w="2800" w:type="dxa"/>
            <w:vAlign w:val="bottom"/>
            <w:gridSpan w:val="5"/>
          </w:tcPr>
          <w:p>
            <w:pPr>
              <w:spacing w:after="0"/>
              <w:rPr>
                <w:sz w:val="24"/>
                <w:szCs w:val="24"/>
                <w:color w:val="auto"/>
              </w:rPr>
            </w:pPr>
          </w:p>
        </w:tc>
      </w:tr>
      <w:tr>
        <w:trPr>
          <w:trHeight w:val="291"/>
        </w:trPr>
        <w:tc>
          <w:tcPr>
            <w:tcW w:w="1700" w:type="dxa"/>
            <w:vAlign w:val="bottom"/>
          </w:tcPr>
          <w:p>
            <w:pPr>
              <w:spacing w:after="0"/>
              <w:rPr>
                <w:sz w:val="24"/>
                <w:szCs w:val="24"/>
                <w:color w:val="auto"/>
              </w:rPr>
            </w:pPr>
          </w:p>
        </w:tc>
        <w:tc>
          <w:tcPr>
            <w:tcW w:w="8440" w:type="dxa"/>
            <w:vAlign w:val="bottom"/>
            <w:gridSpan w:val="17"/>
          </w:tcPr>
          <w:p>
            <w:pPr>
              <w:spacing w:after="0"/>
              <w:rPr>
                <w:sz w:val="20"/>
                <w:szCs w:val="20"/>
                <w:color w:val="auto"/>
              </w:rPr>
            </w:pPr>
            <w:r>
              <w:rPr>
                <w:rFonts w:ascii="Arial" w:cs="Arial" w:eastAsia="Arial" w:hAnsi="Arial"/>
                <w:sz w:val="18"/>
                <w:szCs w:val="18"/>
                <w:color w:val="auto"/>
              </w:rPr>
              <w:t>(incorporated by reference to Exhibit 3.2 to NN, Inc.’s Current Report on Form 8-K filed on May 20, 2019).</w:t>
            </w:r>
          </w:p>
        </w:tc>
      </w:tr>
      <w:tr>
        <w:trPr>
          <w:trHeight w:val="554"/>
        </w:trPr>
        <w:tc>
          <w:tcPr>
            <w:tcW w:w="1700" w:type="dxa"/>
            <w:vAlign w:val="bottom"/>
          </w:tcPr>
          <w:p>
            <w:pPr>
              <w:ind w:left="1120"/>
              <w:spacing w:after="0"/>
              <w:rPr>
                <w:sz w:val="20"/>
                <w:szCs w:val="20"/>
                <w:color w:val="auto"/>
              </w:rPr>
            </w:pPr>
            <w:r>
              <w:rPr>
                <w:rFonts w:ascii="Arial" w:cs="Arial" w:eastAsia="Arial" w:hAnsi="Arial"/>
                <w:sz w:val="18"/>
                <w:szCs w:val="18"/>
                <w:color w:val="auto"/>
              </w:rPr>
              <w:t>3.5</w:t>
            </w:r>
          </w:p>
        </w:tc>
        <w:tc>
          <w:tcPr>
            <w:tcW w:w="3120" w:type="dxa"/>
            <w:vAlign w:val="bottom"/>
            <w:tcBorders>
              <w:bottom w:val="single" w:sz="8" w:color="0000FF"/>
            </w:tcBorders>
            <w:gridSpan w:val="6"/>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Amended and Restated Bylaws of NN, Inc.</w:t>
              </w:r>
            </w:hyperlink>
          </w:p>
        </w:tc>
        <w:tc>
          <w:tcPr>
            <w:tcW w:w="5320" w:type="dxa"/>
            <w:vAlign w:val="bottom"/>
            <w:gridSpan w:val="11"/>
          </w:tcPr>
          <w:p>
            <w:pPr>
              <w:spacing w:after="0"/>
              <w:rPr>
                <w:sz w:val="24"/>
                <w:szCs w:val="24"/>
                <w:color w:val="auto"/>
              </w:rPr>
            </w:pPr>
          </w:p>
        </w:tc>
      </w:tr>
      <w:tr>
        <w:trPr>
          <w:trHeight w:val="291"/>
        </w:trPr>
        <w:tc>
          <w:tcPr>
            <w:tcW w:w="1700" w:type="dxa"/>
            <w:vAlign w:val="bottom"/>
          </w:tcPr>
          <w:p>
            <w:pPr>
              <w:spacing w:after="0"/>
              <w:rPr>
                <w:sz w:val="24"/>
                <w:szCs w:val="24"/>
                <w:color w:val="auto"/>
              </w:rPr>
            </w:pPr>
          </w:p>
        </w:tc>
        <w:tc>
          <w:tcPr>
            <w:tcW w:w="8440" w:type="dxa"/>
            <w:vAlign w:val="bottom"/>
            <w:gridSpan w:val="17"/>
          </w:tcPr>
          <w:p>
            <w:pPr>
              <w:spacing w:after="0"/>
              <w:rPr>
                <w:sz w:val="20"/>
                <w:szCs w:val="20"/>
                <w:color w:val="auto"/>
              </w:rPr>
            </w:pPr>
            <w:r>
              <w:rPr>
                <w:rFonts w:ascii="Arial" w:cs="Arial" w:eastAsia="Arial" w:hAnsi="Arial"/>
                <w:sz w:val="18"/>
                <w:szCs w:val="18"/>
                <w:color w:val="auto"/>
                <w:w w:val="94"/>
              </w:rPr>
              <w:t>(incorporated by reference to Exhibit 3.1 to NN, Inc.’s Current Report on Form 8-K filed on November 20, 2015).</w:t>
            </w:r>
          </w:p>
        </w:tc>
      </w:tr>
      <w:tr>
        <w:trPr>
          <w:trHeight w:val="554"/>
        </w:trPr>
        <w:tc>
          <w:tcPr>
            <w:tcW w:w="1700" w:type="dxa"/>
            <w:vAlign w:val="bottom"/>
          </w:tcPr>
          <w:p>
            <w:pPr>
              <w:ind w:left="1120"/>
              <w:spacing w:after="0"/>
              <w:rPr>
                <w:sz w:val="20"/>
                <w:szCs w:val="20"/>
                <w:color w:val="auto"/>
              </w:rPr>
            </w:pPr>
            <w:r>
              <w:rPr>
                <w:rFonts w:ascii="Arial" w:cs="Arial" w:eastAsia="Arial" w:hAnsi="Arial"/>
                <w:sz w:val="18"/>
                <w:szCs w:val="18"/>
                <w:color w:val="auto"/>
              </w:rPr>
              <w:t>3.6</w:t>
            </w:r>
          </w:p>
        </w:tc>
        <w:tc>
          <w:tcPr>
            <w:tcW w:w="4520" w:type="dxa"/>
            <w:vAlign w:val="bottom"/>
            <w:tcBorders>
              <w:bottom w:val="single" w:sz="8" w:color="0000FF"/>
            </w:tcBorders>
            <w:gridSpan w:val="10"/>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Amendment to the Amended and Restated Bylaws of NN, Inc.</w:t>
              </w:r>
            </w:hyperlink>
          </w:p>
        </w:tc>
        <w:tc>
          <w:tcPr>
            <w:tcW w:w="3920" w:type="dxa"/>
            <w:vAlign w:val="bottom"/>
            <w:gridSpan w:val="7"/>
          </w:tcPr>
          <w:p>
            <w:pPr>
              <w:spacing w:after="0"/>
              <w:rPr>
                <w:sz w:val="24"/>
                <w:szCs w:val="24"/>
                <w:color w:val="auto"/>
              </w:rPr>
            </w:pPr>
          </w:p>
        </w:tc>
      </w:tr>
      <w:tr>
        <w:trPr>
          <w:trHeight w:val="291"/>
        </w:trPr>
        <w:tc>
          <w:tcPr>
            <w:tcW w:w="1700" w:type="dxa"/>
            <w:vAlign w:val="bottom"/>
          </w:tcPr>
          <w:p>
            <w:pPr>
              <w:spacing w:after="0"/>
              <w:rPr>
                <w:sz w:val="24"/>
                <w:szCs w:val="24"/>
                <w:color w:val="auto"/>
              </w:rPr>
            </w:pPr>
          </w:p>
        </w:tc>
        <w:tc>
          <w:tcPr>
            <w:tcW w:w="8440" w:type="dxa"/>
            <w:vAlign w:val="bottom"/>
            <w:gridSpan w:val="17"/>
          </w:tcPr>
          <w:p>
            <w:pPr>
              <w:spacing w:after="0"/>
              <w:rPr>
                <w:sz w:val="20"/>
                <w:szCs w:val="20"/>
                <w:color w:val="auto"/>
              </w:rPr>
            </w:pPr>
            <w:r>
              <w:rPr>
                <w:rFonts w:ascii="Arial" w:cs="Arial" w:eastAsia="Arial" w:hAnsi="Arial"/>
                <w:sz w:val="18"/>
                <w:szCs w:val="18"/>
                <w:color w:val="auto"/>
              </w:rPr>
              <w:t>(incorporated by reference to Exhibit 3.3 to NN, Inc.’s Current Report on Form 8-K filed on May 20, 2019).</w:t>
            </w:r>
          </w:p>
        </w:tc>
      </w:tr>
      <w:tr>
        <w:trPr>
          <w:trHeight w:val="554"/>
        </w:trPr>
        <w:tc>
          <w:tcPr>
            <w:tcW w:w="1700" w:type="dxa"/>
            <w:vAlign w:val="bottom"/>
          </w:tcPr>
          <w:p>
            <w:pPr>
              <w:ind w:left="1120"/>
              <w:spacing w:after="0"/>
              <w:rPr>
                <w:sz w:val="20"/>
                <w:szCs w:val="20"/>
                <w:color w:val="auto"/>
              </w:rPr>
            </w:pPr>
            <w:r>
              <w:rPr>
                <w:rFonts w:ascii="Arial" w:cs="Arial" w:eastAsia="Arial" w:hAnsi="Arial"/>
                <w:sz w:val="18"/>
                <w:szCs w:val="18"/>
                <w:color w:val="auto"/>
              </w:rPr>
              <w:t>4.1</w:t>
            </w:r>
          </w:p>
        </w:tc>
        <w:tc>
          <w:tcPr>
            <w:tcW w:w="8440" w:type="dxa"/>
            <w:vAlign w:val="bottom"/>
            <w:gridSpan w:val="17"/>
          </w:tcPr>
          <w:p>
            <w:pPr>
              <w:spacing w:after="0"/>
              <w:rPr>
                <w:rFonts w:ascii="Arial" w:cs="Arial" w:eastAsia="Arial" w:hAnsi="Arial"/>
                <w:sz w:val="18"/>
                <w:szCs w:val="18"/>
                <w:color w:val="0000FF"/>
              </w:rPr>
            </w:pPr>
            <w:hyperlink r:id="rId19">
              <w:r>
                <w:rPr>
                  <w:rFonts w:ascii="Arial" w:cs="Arial" w:eastAsia="Arial" w:hAnsi="Arial"/>
                  <w:sz w:val="18"/>
                  <w:szCs w:val="18"/>
                  <w:color w:val="0000FF"/>
                </w:rPr>
                <w:t xml:space="preserve">The specimen stock certificate representing NN, Inc.’s Common Stock, par value </w:t>
              </w:r>
              <w:r>
                <w:rPr>
                  <w:rFonts w:ascii="Arial" w:cs="Arial" w:eastAsia="Arial" w:hAnsi="Arial"/>
                  <w:sz w:val="18"/>
                  <w:szCs w:val="18"/>
                  <w:u w:val="single" w:color="auto"/>
                  <w:color w:val="0000FF"/>
                </w:rPr>
                <w:t>$</w:t>
              </w:r>
              <w:r>
                <w:rPr>
                  <w:rFonts w:ascii="Arial" w:cs="Arial" w:eastAsia="Arial" w:hAnsi="Arial"/>
                  <w:sz w:val="18"/>
                  <w:szCs w:val="18"/>
                  <w:color w:val="0000FF"/>
                </w:rPr>
                <w:t>0.01 per share</w:t>
              </w:r>
            </w:hyperlink>
          </w:p>
        </w:tc>
      </w:tr>
      <w:tr>
        <w:trPr>
          <w:trHeight w:val="20"/>
        </w:trPr>
        <w:tc>
          <w:tcPr>
            <w:tcW w:w="17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1700" w:type="dxa"/>
            <w:vAlign w:val="bottom"/>
          </w:tcPr>
          <w:p>
            <w:pPr>
              <w:spacing w:after="0"/>
              <w:rPr>
                <w:sz w:val="24"/>
                <w:szCs w:val="24"/>
                <w:color w:val="auto"/>
              </w:rPr>
            </w:pPr>
          </w:p>
        </w:tc>
        <w:tc>
          <w:tcPr>
            <w:tcW w:w="8440" w:type="dxa"/>
            <w:vAlign w:val="bottom"/>
            <w:gridSpan w:val="17"/>
          </w:tcPr>
          <w:p>
            <w:pPr>
              <w:spacing w:after="0"/>
              <w:rPr>
                <w:sz w:val="20"/>
                <w:szCs w:val="20"/>
                <w:color w:val="auto"/>
              </w:rPr>
            </w:pPr>
            <w:r>
              <w:rPr>
                <w:rFonts w:ascii="Arial" w:cs="Arial" w:eastAsia="Arial" w:hAnsi="Arial"/>
                <w:sz w:val="18"/>
                <w:szCs w:val="18"/>
                <w:color w:val="auto"/>
                <w:w w:val="93"/>
              </w:rPr>
              <w:t>(incorporated by reference to Exhibit 4.1 of NN, Inc.’s Registration Statement No. 333-89950 on Form S-3 filed on</w:t>
            </w:r>
          </w:p>
        </w:tc>
      </w:tr>
      <w:tr>
        <w:trPr>
          <w:trHeight w:val="230"/>
        </w:trPr>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0" w:type="dxa"/>
            <w:vAlign w:val="bottom"/>
            <w:gridSpan w:val="16"/>
          </w:tcPr>
          <w:p>
            <w:pPr>
              <w:spacing w:after="0"/>
              <w:rPr>
                <w:sz w:val="20"/>
                <w:szCs w:val="20"/>
                <w:color w:val="auto"/>
              </w:rPr>
            </w:pPr>
            <w:r>
              <w:rPr>
                <w:rFonts w:ascii="Arial" w:cs="Arial" w:eastAsia="Arial" w:hAnsi="Arial"/>
                <w:sz w:val="18"/>
                <w:szCs w:val="18"/>
                <w:color w:val="auto"/>
              </w:rPr>
              <w:t>June 6, 2002).</w:t>
            </w:r>
          </w:p>
        </w:tc>
      </w:tr>
      <w:tr>
        <w:trPr>
          <w:trHeight w:val="554"/>
        </w:trPr>
        <w:tc>
          <w:tcPr>
            <w:tcW w:w="1700" w:type="dxa"/>
            <w:vAlign w:val="bottom"/>
          </w:tcPr>
          <w:p>
            <w:pPr>
              <w:ind w:left="1120"/>
              <w:spacing w:after="0"/>
              <w:rPr>
                <w:sz w:val="20"/>
                <w:szCs w:val="20"/>
                <w:color w:val="auto"/>
              </w:rPr>
            </w:pPr>
            <w:r>
              <w:rPr>
                <w:rFonts w:ascii="Arial" w:cs="Arial" w:eastAsia="Arial" w:hAnsi="Arial"/>
                <w:sz w:val="18"/>
                <w:szCs w:val="18"/>
                <w:color w:val="auto"/>
              </w:rPr>
              <w:t>5.1*</w:t>
            </w:r>
          </w:p>
        </w:tc>
        <w:tc>
          <w:tcPr>
            <w:tcW w:w="2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Opinion of Bass, Berry &amp; Sims PLC.</w:t>
            </w:r>
          </w:p>
        </w:tc>
        <w:tc>
          <w:tcPr>
            <w:tcW w:w="5760" w:type="dxa"/>
            <w:vAlign w:val="bottom"/>
            <w:gridSpan w:val="13"/>
          </w:tcPr>
          <w:p>
            <w:pPr>
              <w:spacing w:after="0"/>
              <w:rPr>
                <w:sz w:val="24"/>
                <w:szCs w:val="24"/>
                <w:color w:val="auto"/>
              </w:rPr>
            </w:pPr>
          </w:p>
        </w:tc>
      </w:tr>
      <w:tr>
        <w:trPr>
          <w:trHeight w:val="574"/>
        </w:trPr>
        <w:tc>
          <w:tcPr>
            <w:tcW w:w="1700" w:type="dxa"/>
            <w:vAlign w:val="bottom"/>
          </w:tcPr>
          <w:p>
            <w:pPr>
              <w:ind w:left="1120"/>
              <w:spacing w:after="0"/>
              <w:rPr>
                <w:sz w:val="20"/>
                <w:szCs w:val="20"/>
                <w:color w:val="auto"/>
              </w:rPr>
            </w:pPr>
            <w:r>
              <w:rPr>
                <w:rFonts w:ascii="Arial" w:cs="Arial" w:eastAsia="Arial" w:hAnsi="Arial"/>
                <w:sz w:val="18"/>
                <w:szCs w:val="18"/>
                <w:color w:val="auto"/>
              </w:rPr>
              <w:t>23.1*</w:t>
            </w:r>
          </w:p>
        </w:tc>
        <w:tc>
          <w:tcPr>
            <w:tcW w:w="8440" w:type="dxa"/>
            <w:vAlign w:val="bottom"/>
            <w:gridSpan w:val="17"/>
          </w:tcPr>
          <w:p>
            <w:pPr>
              <w:spacing w:after="0"/>
              <w:rPr>
                <w:sz w:val="20"/>
                <w:szCs w:val="20"/>
                <w:color w:val="auto"/>
              </w:rPr>
            </w:pPr>
            <w:r>
              <w:rPr>
                <w:rFonts w:ascii="Arial" w:cs="Arial" w:eastAsia="Arial" w:hAnsi="Arial"/>
                <w:sz w:val="18"/>
                <w:szCs w:val="18"/>
                <w:color w:val="0000FF"/>
              </w:rPr>
              <w:t>Consent of PricewaterhouseCoopers LLP, Independent Registered Public Accounting Firm.</w:t>
            </w:r>
          </w:p>
        </w:tc>
      </w:tr>
      <w:tr>
        <w:trPr>
          <w:trHeight w:val="20"/>
        </w:trPr>
        <w:tc>
          <w:tcPr>
            <w:tcW w:w="17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700" w:type="dxa"/>
            <w:vAlign w:val="bottom"/>
          </w:tcPr>
          <w:p>
            <w:pPr>
              <w:ind w:left="1120"/>
              <w:spacing w:after="0"/>
              <w:rPr>
                <w:sz w:val="20"/>
                <w:szCs w:val="20"/>
                <w:color w:val="auto"/>
              </w:rPr>
            </w:pPr>
            <w:r>
              <w:rPr>
                <w:rFonts w:ascii="Arial" w:cs="Arial" w:eastAsia="Arial" w:hAnsi="Arial"/>
                <w:sz w:val="18"/>
                <w:szCs w:val="18"/>
                <w:color w:val="auto"/>
              </w:rPr>
              <w:t>23.2*</w:t>
            </w:r>
          </w:p>
        </w:tc>
        <w:tc>
          <w:tcPr>
            <w:tcW w:w="84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Consent of Deloitte Touche Tohmatsu Certified Public Accountants LLP, Independent Registered Public Accounting</w:t>
            </w:r>
          </w:p>
        </w:tc>
        <w:tc>
          <w:tcPr>
            <w:tcW w:w="40" w:type="dxa"/>
            <w:vAlign w:val="bottom"/>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2"/>
              </w:rPr>
              <w:t>Firm.</w:t>
            </w:r>
          </w:p>
        </w:tc>
        <w:tc>
          <w:tcPr>
            <w:tcW w:w="7400" w:type="dxa"/>
            <w:vAlign w:val="bottom"/>
            <w:gridSpan w:val="15"/>
          </w:tcPr>
          <w:p>
            <w:pPr>
              <w:spacing w:after="0"/>
              <w:rPr>
                <w:sz w:val="17"/>
                <w:szCs w:val="17"/>
                <w:color w:val="auto"/>
              </w:rPr>
            </w:pPr>
          </w:p>
        </w:tc>
      </w:tr>
      <w:tr>
        <w:trPr>
          <w:trHeight w:val="574"/>
        </w:trPr>
        <w:tc>
          <w:tcPr>
            <w:tcW w:w="1700" w:type="dxa"/>
            <w:vAlign w:val="bottom"/>
          </w:tcPr>
          <w:p>
            <w:pPr>
              <w:ind w:left="1120"/>
              <w:spacing w:after="0"/>
              <w:rPr>
                <w:sz w:val="20"/>
                <w:szCs w:val="20"/>
                <w:color w:val="auto"/>
              </w:rPr>
            </w:pPr>
            <w:r>
              <w:rPr>
                <w:rFonts w:ascii="Arial" w:cs="Arial" w:eastAsia="Arial" w:hAnsi="Arial"/>
                <w:sz w:val="18"/>
                <w:szCs w:val="18"/>
                <w:color w:val="auto"/>
              </w:rPr>
              <w:t>23.3*</w:t>
            </w:r>
          </w:p>
        </w:tc>
        <w:tc>
          <w:tcPr>
            <w:tcW w:w="45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2"/>
              </w:rPr>
              <w:t>Consent of Bass, Berry &amp; Sims PLC (included in Exhibit 5.1).</w:t>
            </w:r>
          </w:p>
        </w:tc>
        <w:tc>
          <w:tcPr>
            <w:tcW w:w="3940" w:type="dxa"/>
            <w:vAlign w:val="bottom"/>
            <w:gridSpan w:val="8"/>
          </w:tcPr>
          <w:p>
            <w:pPr>
              <w:spacing w:after="0"/>
              <w:rPr>
                <w:sz w:val="24"/>
                <w:szCs w:val="24"/>
                <w:color w:val="auto"/>
              </w:rPr>
            </w:pPr>
          </w:p>
        </w:tc>
      </w:tr>
      <w:tr>
        <w:trPr>
          <w:trHeight w:val="574"/>
        </w:trPr>
        <w:tc>
          <w:tcPr>
            <w:tcW w:w="1700" w:type="dxa"/>
            <w:vAlign w:val="bottom"/>
          </w:tcPr>
          <w:p>
            <w:pPr>
              <w:ind w:left="1120"/>
              <w:spacing w:after="0"/>
              <w:rPr>
                <w:sz w:val="20"/>
                <w:szCs w:val="20"/>
                <w:color w:val="auto"/>
              </w:rPr>
            </w:pPr>
            <w:r>
              <w:rPr>
                <w:rFonts w:ascii="Arial" w:cs="Arial" w:eastAsia="Arial" w:hAnsi="Arial"/>
                <w:sz w:val="18"/>
                <w:szCs w:val="18"/>
                <w:color w:val="auto"/>
              </w:rPr>
              <w:t>24.1*</w:t>
            </w:r>
          </w:p>
        </w:tc>
        <w:tc>
          <w:tcPr>
            <w:tcW w:w="39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Power of Attorney (included on signature page hereto).</w:t>
              </w:r>
            </w:hyperlink>
          </w:p>
        </w:tc>
        <w:tc>
          <w:tcPr>
            <w:tcW w:w="4460" w:type="dxa"/>
            <w:vAlign w:val="bottom"/>
            <w:gridSpan w:val="9"/>
          </w:tcPr>
          <w:p>
            <w:pPr>
              <w:spacing w:after="0"/>
              <w:rPr>
                <w:sz w:val="24"/>
                <w:szCs w:val="24"/>
                <w:color w:val="auto"/>
              </w:rPr>
            </w:pPr>
          </w:p>
        </w:tc>
      </w:tr>
      <w:tr>
        <w:trPr>
          <w:trHeight w:val="574"/>
        </w:trPr>
        <w:tc>
          <w:tcPr>
            <w:tcW w:w="1700" w:type="dxa"/>
            <w:vAlign w:val="bottom"/>
          </w:tcPr>
          <w:p>
            <w:pPr>
              <w:ind w:left="1120"/>
              <w:spacing w:after="0"/>
              <w:rPr>
                <w:sz w:val="20"/>
                <w:szCs w:val="20"/>
                <w:color w:val="auto"/>
              </w:rPr>
            </w:pPr>
            <w:r>
              <w:rPr>
                <w:rFonts w:ascii="Arial" w:cs="Arial" w:eastAsia="Arial" w:hAnsi="Arial"/>
                <w:sz w:val="18"/>
                <w:szCs w:val="18"/>
                <w:color w:val="auto"/>
              </w:rPr>
              <w:t>99.1</w:t>
            </w:r>
          </w:p>
        </w:tc>
        <w:tc>
          <w:tcPr>
            <w:tcW w:w="2820" w:type="dxa"/>
            <w:vAlign w:val="bottom"/>
            <w:tcBorders>
              <w:bottom w:val="single" w:sz="8" w:color="0000FF"/>
            </w:tcBorders>
            <w:gridSpan w:val="5"/>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NN, Inc. 2019 Omnibus Incentive Plan</w:t>
              </w:r>
            </w:hyperlink>
          </w:p>
        </w:tc>
        <w:tc>
          <w:tcPr>
            <w:tcW w:w="5620" w:type="dxa"/>
            <w:vAlign w:val="bottom"/>
            <w:gridSpan w:val="12"/>
          </w:tcPr>
          <w:p>
            <w:pPr>
              <w:spacing w:after="0"/>
              <w:rPr>
                <w:sz w:val="24"/>
                <w:szCs w:val="24"/>
                <w:color w:val="auto"/>
              </w:rPr>
            </w:pPr>
          </w:p>
        </w:tc>
      </w:tr>
      <w:tr>
        <w:trPr>
          <w:trHeight w:val="276"/>
        </w:trPr>
        <w:tc>
          <w:tcPr>
            <w:tcW w:w="1700" w:type="dxa"/>
            <w:vAlign w:val="bottom"/>
          </w:tcPr>
          <w:p>
            <w:pPr>
              <w:spacing w:after="0"/>
              <w:rPr>
                <w:sz w:val="24"/>
                <w:szCs w:val="24"/>
                <w:color w:val="auto"/>
              </w:rPr>
            </w:pPr>
          </w:p>
        </w:tc>
        <w:tc>
          <w:tcPr>
            <w:tcW w:w="8440" w:type="dxa"/>
            <w:vAlign w:val="bottom"/>
            <w:gridSpan w:val="17"/>
          </w:tcPr>
          <w:p>
            <w:pPr>
              <w:spacing w:after="0"/>
              <w:rPr>
                <w:sz w:val="20"/>
                <w:szCs w:val="20"/>
                <w:color w:val="auto"/>
              </w:rPr>
            </w:pPr>
            <w:r>
              <w:rPr>
                <w:rFonts w:ascii="Arial" w:cs="Arial" w:eastAsia="Arial" w:hAnsi="Arial"/>
                <w:sz w:val="18"/>
                <w:szCs w:val="18"/>
                <w:color w:val="auto"/>
                <w:w w:val="93"/>
              </w:rPr>
              <w:t>(incorporated by reference to Appendix C to NN, Inc.’s Definitive Proxy Statement on Schedule 14A filed with the</w:t>
            </w:r>
          </w:p>
        </w:tc>
      </w:tr>
      <w:tr>
        <w:trPr>
          <w:trHeight w:val="230"/>
        </w:trPr>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0" w:type="dxa"/>
            <w:vAlign w:val="bottom"/>
            <w:gridSpan w:val="16"/>
          </w:tcPr>
          <w:p>
            <w:pPr>
              <w:spacing w:after="0"/>
              <w:rPr>
                <w:sz w:val="20"/>
                <w:szCs w:val="20"/>
                <w:color w:val="auto"/>
              </w:rPr>
            </w:pPr>
            <w:r>
              <w:rPr>
                <w:rFonts w:ascii="Arial" w:cs="Arial" w:eastAsia="Arial" w:hAnsi="Arial"/>
                <w:sz w:val="18"/>
                <w:szCs w:val="18"/>
                <w:color w:val="auto"/>
              </w:rPr>
              <w:t>Securities and Exchange Commission on April 8, 2019).</w:t>
            </w:r>
          </w:p>
        </w:tc>
      </w:tr>
      <w:tr>
        <w:trPr>
          <w:trHeight w:val="594"/>
        </w:trPr>
        <w:tc>
          <w:tcPr>
            <w:tcW w:w="1700" w:type="dxa"/>
            <w:vAlign w:val="bottom"/>
          </w:tcPr>
          <w:p>
            <w:pPr>
              <w:ind w:left="1120"/>
              <w:spacing w:after="0"/>
              <w:rPr>
                <w:sz w:val="20"/>
                <w:szCs w:val="20"/>
                <w:color w:val="auto"/>
              </w:rPr>
            </w:pPr>
            <w:r>
              <w:rPr>
                <w:rFonts w:ascii="Arial" w:cs="Arial" w:eastAsia="Arial" w:hAnsi="Arial"/>
                <w:sz w:val="18"/>
                <w:szCs w:val="18"/>
                <w:color w:val="auto"/>
              </w:rPr>
              <w:t>*</w:t>
            </w:r>
          </w:p>
        </w:tc>
        <w:tc>
          <w:tcPr>
            <w:tcW w:w="8440" w:type="dxa"/>
            <w:vAlign w:val="bottom"/>
            <w:gridSpan w:val="17"/>
          </w:tcPr>
          <w:p>
            <w:pPr>
              <w:spacing w:after="0"/>
              <w:rPr>
                <w:sz w:val="20"/>
                <w:szCs w:val="20"/>
                <w:color w:val="auto"/>
              </w:rPr>
            </w:pPr>
            <w:r>
              <w:rPr>
                <w:rFonts w:ascii="Arial" w:cs="Arial" w:eastAsia="Arial" w:hAnsi="Arial"/>
                <w:sz w:val="18"/>
                <w:szCs w:val="18"/>
                <w:color w:val="auto"/>
              </w:rPr>
              <w:t>Filed herewith</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ectPr>
          <w:pgSz w:w="11900" w:h="16838" w:orient="portrait"/>
          <w:cols w:equalWidth="0" w:num="1">
            <w:col w:w="10500"/>
          </w:cols>
          <w:pgMar w:left="240" w:top="580" w:right="1159" w:bottom="1440" w:gutter="0" w:footer="0" w:header="0"/>
        </w:sectPr>
      </w:pPr>
    </w:p>
    <w:bookmarkStart w:id="5" w:name="page6"/>
    <w:bookmarkEnd w:id="5"/>
    <w:p>
      <w:pPr>
        <w:ind w:left="2160" w:hanging="207"/>
        <w:spacing w:after="0"/>
        <w:tabs>
          <w:tab w:leader="none" w:pos="2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180" w:firstLine="1953"/>
        <w:spacing w:after="0" w:line="293" w:lineRule="auto"/>
        <w:tabs>
          <w:tab w:leader="none" w:pos="221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660" w:firstLine="1953"/>
        <w:spacing w:after="0" w:line="277" w:lineRule="auto"/>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15(d) of the Securities Exchange Act of 1934 that are incorporated by reference in the registration statement.</w:t>
      </w:r>
    </w:p>
    <w:p>
      <w:pPr>
        <w:spacing w:after="0" w:line="181" w:lineRule="exact"/>
        <w:rPr>
          <w:sz w:val="20"/>
          <w:szCs w:val="20"/>
          <w:color w:val="auto"/>
        </w:rPr>
      </w:pPr>
    </w:p>
    <w:p>
      <w:pPr>
        <w:ind w:right="120" w:firstLine="1305"/>
        <w:spacing w:after="0" w:line="264" w:lineRule="auto"/>
        <w:tabs>
          <w:tab w:leader="none" w:pos="1551"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right="180" w:firstLine="1305"/>
        <w:spacing w:after="0" w:line="277" w:lineRule="auto"/>
        <w:tabs>
          <w:tab w:leader="none" w:pos="1551"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80" w:firstLine="656"/>
        <w:spacing w:after="0" w:line="257"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firstLine="656"/>
        <w:spacing w:after="0" w:line="291" w:lineRule="auto"/>
        <w:tabs>
          <w:tab w:leader="none" w:pos="893"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20"/>
          </w:cols>
          <w:pgMar w:left="240" w:top="58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Charlotte, State of North Carolina, on this 21st day of June, 2019.</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RICHARD D. HOLDER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D. Holder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w:t>
      </w:r>
    </w:p>
    <w:p>
      <w:pPr>
        <w:spacing w:after="0" w:line="234" w:lineRule="exact"/>
        <w:rPr>
          <w:sz w:val="20"/>
          <w:szCs w:val="20"/>
          <w:color w:val="auto"/>
        </w:rPr>
      </w:pPr>
    </w:p>
    <w:p>
      <w:pPr>
        <w:ind w:right="20" w:firstLine="648"/>
        <w:spacing w:after="0" w:line="325" w:lineRule="auto"/>
        <w:rPr>
          <w:sz w:val="20"/>
          <w:szCs w:val="20"/>
          <w:color w:val="auto"/>
        </w:rPr>
      </w:pPr>
      <w:r>
        <w:rPr>
          <w:rFonts w:ascii="Arial" w:cs="Arial" w:eastAsia="Arial" w:hAnsi="Arial"/>
          <w:sz w:val="17"/>
          <w:szCs w:val="17"/>
          <w:b w:val="1"/>
          <w:bCs w:val="1"/>
          <w:color w:val="auto"/>
        </w:rPr>
        <w:t xml:space="preserve">KNOW ALL MEN BY THESE PRESENTS, </w:t>
      </w:r>
      <w:r>
        <w:rPr>
          <w:rFonts w:ascii="Arial" w:cs="Arial" w:eastAsia="Arial" w:hAnsi="Arial"/>
          <w:sz w:val="17"/>
          <w:szCs w:val="17"/>
          <w:color w:val="auto"/>
        </w:rPr>
        <w:t>each person whose signature appears below hereby constitutes and appoints Richard D. Holder and</w:t>
      </w:r>
      <w:r>
        <w:rPr>
          <w:rFonts w:ascii="Arial" w:cs="Arial" w:eastAsia="Arial" w:hAnsi="Arial"/>
          <w:sz w:val="17"/>
          <w:szCs w:val="17"/>
          <w:b w:val="1"/>
          <w:bCs w:val="1"/>
          <w:color w:val="auto"/>
        </w:rPr>
        <w:t xml:space="preserve"> </w:t>
      </w:r>
      <w:r>
        <w:rPr>
          <w:rFonts w:ascii="Arial" w:cs="Arial" w:eastAsia="Arial" w:hAnsi="Arial"/>
          <w:sz w:val="17"/>
          <w:szCs w:val="17"/>
          <w:color w:val="auto"/>
        </w:rPr>
        <w:t>Matthew S. Heiter,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15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15"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11"/>
          </w:tcPr>
          <w:p>
            <w:pPr>
              <w:jc w:val="center"/>
              <w:ind w:right="1260"/>
              <w:spacing w:after="0"/>
              <w:rPr>
                <w:sz w:val="20"/>
                <w:szCs w:val="20"/>
                <w:color w:val="auto"/>
              </w:rPr>
            </w:pPr>
            <w:r>
              <w:rPr>
                <w:rFonts w:ascii="Arial" w:cs="Arial" w:eastAsia="Arial" w:hAnsi="Arial"/>
                <w:sz w:val="18"/>
                <w:szCs w:val="18"/>
                <w:b w:val="1"/>
                <w:bCs w:val="1"/>
                <w:color w:val="auto"/>
                <w:w w:val="82"/>
              </w:rPr>
              <w:t>Name and Signature</w:t>
            </w: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64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3060" w:type="dxa"/>
            <w:vAlign w:val="bottom"/>
            <w:gridSpan w:val="15"/>
          </w:tcPr>
          <w:p>
            <w:pPr>
              <w:jc w:val="center"/>
              <w:ind w:right="1040"/>
              <w:spacing w:after="0"/>
              <w:rPr>
                <w:sz w:val="20"/>
                <w:szCs w:val="20"/>
                <w:color w:val="auto"/>
              </w:rPr>
            </w:pPr>
            <w:r>
              <w:rPr>
                <w:rFonts w:ascii="Arial" w:cs="Arial" w:eastAsia="Arial" w:hAnsi="Arial"/>
                <w:sz w:val="18"/>
                <w:szCs w:val="18"/>
                <w:color w:val="auto"/>
                <w:w w:val="96"/>
              </w:rPr>
              <w:t>/s/ RICHARD D. HOLDER</w:t>
            </w:r>
          </w:p>
        </w:tc>
        <w:tc>
          <w:tcPr>
            <w:tcW w:w="386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6"/>
          </w:tcPr>
          <w:p>
            <w:pPr>
              <w:jc w:val="center"/>
              <w:ind w:right="340"/>
              <w:spacing w:after="0"/>
              <w:rPr>
                <w:sz w:val="20"/>
                <w:szCs w:val="20"/>
                <w:color w:val="auto"/>
              </w:rPr>
            </w:pPr>
            <w:r>
              <w:rPr>
                <w:rFonts w:ascii="Arial" w:cs="Arial" w:eastAsia="Arial" w:hAnsi="Arial"/>
                <w:sz w:val="18"/>
                <w:szCs w:val="18"/>
                <w:color w:val="auto"/>
                <w:w w:val="92"/>
              </w:rPr>
              <w:t>Richard D. Holder</w:t>
            </w:r>
          </w:p>
        </w:tc>
        <w:tc>
          <w:tcPr>
            <w:tcW w:w="1040" w:type="dxa"/>
            <w:vAlign w:val="bottom"/>
            <w:gridSpan w:val="5"/>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w w:val="85"/>
              </w:rPr>
              <w:t>June 21, 2019</w:t>
            </w:r>
          </w:p>
        </w:tc>
      </w:tr>
      <w:tr>
        <w:trPr>
          <w:trHeight w:val="500"/>
        </w:trPr>
        <w:tc>
          <w:tcPr>
            <w:tcW w:w="2420" w:type="dxa"/>
            <w:vAlign w:val="bottom"/>
            <w:tcBorders>
              <w:bottom w:val="single" w:sz="8" w:color="auto"/>
            </w:tcBorders>
            <w:gridSpan w:val="15"/>
          </w:tcPr>
          <w:p>
            <w:pPr>
              <w:jc w:val="center"/>
              <w:spacing w:after="0"/>
              <w:rPr>
                <w:sz w:val="20"/>
                <w:szCs w:val="20"/>
                <w:color w:val="auto"/>
              </w:rPr>
            </w:pPr>
            <w:r>
              <w:rPr>
                <w:rFonts w:ascii="Arial" w:cs="Arial" w:eastAsia="Arial" w:hAnsi="Arial"/>
                <w:sz w:val="18"/>
                <w:szCs w:val="18"/>
                <w:color w:val="auto"/>
                <w:w w:val="95"/>
              </w:rPr>
              <w:t>/s/ THOMAS C. BURWELL, JR.</w:t>
            </w:r>
          </w:p>
        </w:tc>
        <w:tc>
          <w:tcPr>
            <w:tcW w:w="7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11"/>
          </w:tcPr>
          <w:p>
            <w:pPr>
              <w:jc w:val="center"/>
              <w:ind w:right="1120"/>
              <w:spacing w:after="0"/>
              <w:rPr>
                <w:sz w:val="20"/>
                <w:szCs w:val="20"/>
                <w:color w:val="auto"/>
              </w:rPr>
            </w:pPr>
            <w:r>
              <w:rPr>
                <w:rFonts w:ascii="Arial" w:cs="Arial" w:eastAsia="Arial" w:hAnsi="Arial"/>
                <w:sz w:val="18"/>
                <w:szCs w:val="18"/>
                <w:color w:val="auto"/>
                <w:w w:val="86"/>
              </w:rPr>
              <w:t>Thomas C. Burwell, Jr.</w:t>
            </w:r>
          </w:p>
        </w:tc>
        <w:tc>
          <w:tcPr>
            <w:tcW w:w="38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w w:val="85"/>
              </w:rPr>
              <w:t>June 21, 2019</w:t>
            </w:r>
          </w:p>
        </w:tc>
      </w:tr>
      <w:tr>
        <w:trPr>
          <w:trHeight w:val="500"/>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color w:val="auto"/>
                <w:w w:val="97"/>
              </w:rPr>
              <w:t>/s/ MICHAEL C. FELCHER</w:t>
            </w:r>
          </w:p>
        </w:tc>
        <w:tc>
          <w:tcPr>
            <w:tcW w:w="900" w:type="dxa"/>
            <w:vAlign w:val="bottom"/>
            <w:gridSpan w:val="2"/>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Vice President- Chief Accounting Officer</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11"/>
          </w:tcPr>
          <w:p>
            <w:pPr>
              <w:jc w:val="center"/>
              <w:ind w:right="1200"/>
              <w:spacing w:after="0"/>
              <w:rPr>
                <w:sz w:val="20"/>
                <w:szCs w:val="20"/>
                <w:color w:val="auto"/>
              </w:rPr>
            </w:pPr>
            <w:r>
              <w:rPr>
                <w:rFonts w:ascii="Arial" w:cs="Arial" w:eastAsia="Arial" w:hAnsi="Arial"/>
                <w:sz w:val="18"/>
                <w:szCs w:val="18"/>
                <w:color w:val="auto"/>
                <w:w w:val="91"/>
              </w:rPr>
              <w:t>Michael C. Felcher</w:t>
            </w:r>
          </w:p>
        </w:tc>
        <w:tc>
          <w:tcPr>
            <w:tcW w:w="38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w w:val="85"/>
              </w:rPr>
              <w:t>June 21, 2019</w:t>
            </w:r>
          </w:p>
        </w:tc>
      </w:tr>
      <w:tr>
        <w:trPr>
          <w:trHeight w:val="500"/>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3"/>
              </w:rPr>
              <w:t>/s/ ROBERT E. BRUNNER</w:t>
            </w:r>
          </w:p>
        </w:tc>
        <w:tc>
          <w:tcPr>
            <w:tcW w:w="94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11"/>
          </w:tcPr>
          <w:p>
            <w:pPr>
              <w:jc w:val="center"/>
              <w:ind w:right="1220"/>
              <w:spacing w:after="0"/>
              <w:rPr>
                <w:sz w:val="20"/>
                <w:szCs w:val="20"/>
                <w:color w:val="auto"/>
              </w:rPr>
            </w:pPr>
            <w:r>
              <w:rPr>
                <w:rFonts w:ascii="Arial" w:cs="Arial" w:eastAsia="Arial" w:hAnsi="Arial"/>
                <w:sz w:val="18"/>
                <w:szCs w:val="18"/>
                <w:color w:val="auto"/>
                <w:w w:val="90"/>
              </w:rPr>
              <w:t>Robert E. Brunner</w:t>
            </w:r>
          </w:p>
        </w:tc>
        <w:tc>
          <w:tcPr>
            <w:tcW w:w="3860" w:type="dxa"/>
            <w:vAlign w:val="bottom"/>
            <w:gridSpan w:val="2"/>
          </w:tcPr>
          <w:p>
            <w:pPr>
              <w:spacing w:after="0"/>
              <w:rPr>
                <w:sz w:val="20"/>
                <w:szCs w:val="20"/>
                <w:color w:val="auto"/>
              </w:rPr>
            </w:pPr>
            <w:r>
              <w:rPr>
                <w:rFonts w:ascii="Arial" w:cs="Arial" w:eastAsia="Arial" w:hAnsi="Arial"/>
                <w:sz w:val="18"/>
                <w:szCs w:val="18"/>
                <w:color w:val="auto"/>
              </w:rPr>
              <w:t>Non-Executive Chairman, Director</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w w:val="85"/>
              </w:rPr>
              <w:t>June 21, 2019</w:t>
            </w:r>
          </w:p>
        </w:tc>
      </w:tr>
      <w:tr>
        <w:trPr>
          <w:trHeight w:val="500"/>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11"/>
          </w:tcPr>
          <w:p>
            <w:pPr>
              <w:jc w:val="center"/>
              <w:ind w:right="1140"/>
              <w:spacing w:after="0"/>
              <w:rPr>
                <w:sz w:val="20"/>
                <w:szCs w:val="20"/>
                <w:color w:val="auto"/>
              </w:rPr>
            </w:pPr>
            <w:r>
              <w:rPr>
                <w:rFonts w:ascii="Arial" w:cs="Arial" w:eastAsia="Arial" w:hAnsi="Arial"/>
                <w:sz w:val="18"/>
                <w:szCs w:val="18"/>
                <w:color w:val="auto"/>
                <w:w w:val="93"/>
              </w:rPr>
              <w:t>/s/ DAVID K. FLOYD</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Borders>
              <w:top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5"/>
              </w:rPr>
              <w:t>David K. Floyd</w:t>
            </w:r>
          </w:p>
        </w:tc>
        <w:tc>
          <w:tcPr>
            <w:tcW w:w="1140" w:type="dxa"/>
            <w:vAlign w:val="bottom"/>
            <w:gridSpan w:val="6"/>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w w:val="85"/>
              </w:rPr>
              <w:t>June 21, 2019</w:t>
            </w:r>
          </w:p>
        </w:tc>
      </w:tr>
      <w:tr>
        <w:trPr>
          <w:trHeight w:val="500"/>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11"/>
          </w:tcPr>
          <w:p>
            <w:pPr>
              <w:jc w:val="center"/>
              <w:ind w:right="1160"/>
              <w:spacing w:after="0"/>
              <w:rPr>
                <w:sz w:val="20"/>
                <w:szCs w:val="20"/>
                <w:color w:val="auto"/>
              </w:rPr>
            </w:pPr>
            <w:r>
              <w:rPr>
                <w:rFonts w:ascii="Arial" w:cs="Arial" w:eastAsia="Arial" w:hAnsi="Arial"/>
                <w:sz w:val="18"/>
                <w:szCs w:val="18"/>
                <w:color w:val="auto"/>
                <w:w w:val="93"/>
              </w:rPr>
              <w:t>/s/ JERI J. HARMAN</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Jeri J. Harman</w:t>
            </w:r>
          </w:p>
        </w:tc>
        <w:tc>
          <w:tcPr>
            <w:tcW w:w="1160" w:type="dxa"/>
            <w:vAlign w:val="bottom"/>
            <w:gridSpan w:val="7"/>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w w:val="85"/>
              </w:rPr>
              <w:t>June 21, 2019</w:t>
            </w:r>
          </w:p>
        </w:tc>
      </w:tr>
      <w:tr>
        <w:trPr>
          <w:trHeight w:val="500"/>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11"/>
          </w:tcPr>
          <w:p>
            <w:pPr>
              <w:jc w:val="center"/>
              <w:ind w:right="1200"/>
              <w:spacing w:after="0"/>
              <w:rPr>
                <w:sz w:val="20"/>
                <w:szCs w:val="20"/>
                <w:color w:val="auto"/>
              </w:rPr>
            </w:pPr>
            <w:r>
              <w:rPr>
                <w:rFonts w:ascii="Arial" w:cs="Arial" w:eastAsia="Arial" w:hAnsi="Arial"/>
                <w:sz w:val="18"/>
                <w:szCs w:val="18"/>
                <w:color w:val="auto"/>
                <w:w w:val="96"/>
              </w:rPr>
              <w:t>/s/ DAVID L. PUGH</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David L. Pugh</w:t>
            </w:r>
          </w:p>
        </w:tc>
        <w:tc>
          <w:tcPr>
            <w:tcW w:w="1200" w:type="dxa"/>
            <w:vAlign w:val="bottom"/>
            <w:gridSpan w:val="8"/>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w w:val="85"/>
              </w:rPr>
              <w:t>June 21, 2019</w:t>
            </w:r>
          </w:p>
        </w:tc>
      </w:tr>
      <w:tr>
        <w:trPr>
          <w:trHeight w:val="527"/>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gridSpan w:val="13"/>
          </w:tcPr>
          <w:p>
            <w:pPr>
              <w:jc w:val="center"/>
              <w:ind w:right="1120"/>
              <w:spacing w:after="0"/>
              <w:rPr>
                <w:sz w:val="20"/>
                <w:szCs w:val="20"/>
                <w:color w:val="auto"/>
              </w:rPr>
            </w:pPr>
            <w:r>
              <w:rPr>
                <w:rFonts w:ascii="Arial" w:cs="Arial" w:eastAsia="Arial" w:hAnsi="Arial"/>
                <w:sz w:val="18"/>
                <w:szCs w:val="18"/>
                <w:color w:val="auto"/>
                <w:w w:val="96"/>
              </w:rPr>
              <w:t>/s/ CAREY A. SMITH</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2"/>
              </w:rPr>
              <w:t>Carey A. Smith</w:t>
            </w:r>
          </w:p>
        </w:tc>
        <w:tc>
          <w:tcPr>
            <w:tcW w:w="1220" w:type="dxa"/>
            <w:vAlign w:val="bottom"/>
            <w:gridSpan w:val="9"/>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w w:val="85"/>
              </w:rPr>
              <w:t>June 21, 2019</w:t>
            </w:r>
          </w:p>
        </w:tc>
      </w:tr>
      <w:tr>
        <w:trPr>
          <w:trHeight w:val="500"/>
        </w:trPr>
        <w:tc>
          <w:tcPr>
            <w:tcW w:w="100" w:type="dxa"/>
            <w:vAlign w:val="bottom"/>
          </w:tcPr>
          <w:p>
            <w:pPr>
              <w:spacing w:after="0"/>
              <w:rPr>
                <w:sz w:val="24"/>
                <w:szCs w:val="24"/>
                <w:color w:val="auto"/>
              </w:rPr>
            </w:pPr>
          </w:p>
        </w:tc>
        <w:tc>
          <w:tcPr>
            <w:tcW w:w="3060" w:type="dxa"/>
            <w:vAlign w:val="bottom"/>
            <w:gridSpan w:val="15"/>
          </w:tcPr>
          <w:p>
            <w:pPr>
              <w:jc w:val="center"/>
              <w:ind w:right="1020"/>
              <w:spacing w:after="0"/>
              <w:rPr>
                <w:sz w:val="20"/>
                <w:szCs w:val="20"/>
                <w:color w:val="auto"/>
              </w:rPr>
            </w:pPr>
            <w:r>
              <w:rPr>
                <w:rFonts w:ascii="Arial" w:cs="Arial" w:eastAsia="Arial" w:hAnsi="Arial"/>
                <w:sz w:val="18"/>
                <w:szCs w:val="18"/>
                <w:color w:val="auto"/>
                <w:w w:val="93"/>
              </w:rPr>
              <w:t>/s/ STEVEN T. WARSHAW</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7"/>
          </w:tcPr>
          <w:p>
            <w:pPr>
              <w:jc w:val="center"/>
              <w:ind w:right="320"/>
              <w:spacing w:after="0"/>
              <w:rPr>
                <w:sz w:val="20"/>
                <w:szCs w:val="20"/>
                <w:color w:val="auto"/>
              </w:rPr>
            </w:pPr>
            <w:r>
              <w:rPr>
                <w:rFonts w:ascii="Arial" w:cs="Arial" w:eastAsia="Arial" w:hAnsi="Arial"/>
                <w:sz w:val="18"/>
                <w:szCs w:val="18"/>
                <w:color w:val="auto"/>
                <w:w w:val="86"/>
              </w:rPr>
              <w:t>Steven T. Warshaw</w:t>
            </w:r>
          </w:p>
        </w:tc>
        <w:tc>
          <w:tcPr>
            <w:tcW w:w="1020" w:type="dxa"/>
            <w:vAlign w:val="bottom"/>
            <w:gridSpan w:val="4"/>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w w:val="85"/>
              </w:rPr>
              <w:t>June 21, 2019</w:t>
            </w:r>
          </w:p>
        </w:tc>
      </w:tr>
    </w:tbl>
    <w:p>
      <w:pPr>
        <w:sectPr>
          <w:pgSz w:w="11900" w:h="16838" w:orient="portrait"/>
          <w:cols w:equalWidth="0" w:num="1">
            <w:col w:w="11400"/>
          </w:cols>
          <w:pgMar w:left="240" w:top="580" w:right="25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12700</wp:posOffset>
            </wp:positionV>
            <wp:extent cx="2855595"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55595" cy="214630"/>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Tower at Peabody Place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 Peabody Place, Suite 1300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Memphis, Tennessee 38103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(901) 543-5900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21,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28277</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 relating to the NN, Inc. 2019 Omnibus Incentive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acted as counsel to NN,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of a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relating to 2,900,000 shares of Company’s common stock, par value $0.01 per share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available for issuance pursuant to the NN, Inc. 2019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this opinion, we have examined and relied upon such records, documents, certificates, and other instruments as we have deemed necessary or appropriate in order to express the opinions hereinafter set forth. We have also assumed the legal capacity of all natural persons, the genuineness of all signatures, the authenticity of all documents submitted to us as originals, the conformity to original documents of all documents submitted to us as copies, the authenticity of the originals of such latter documents, the legal competence of all signatories to such documents, and, except to the extent we express an opinion as to due authorization in the next paragraph of this letter, the due authorization, execution and delivery of all documents by the parties thereto.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and subject to the qualifications, assumptions and limitations set forth herein, we are of the opinion that:</w:t>
      </w:r>
    </w:p>
    <w:p>
      <w:pPr>
        <w:spacing w:after="0" w:line="212" w:lineRule="exact"/>
        <w:rPr>
          <w:sz w:val="20"/>
          <w:szCs w:val="20"/>
          <w:color w:val="auto"/>
        </w:rPr>
      </w:pPr>
    </w:p>
    <w:p>
      <w:pPr>
        <w:ind w:right="520" w:firstLine="656"/>
        <w:spacing w:after="0" w:line="297" w:lineRule="auto"/>
        <w:tabs>
          <w:tab w:leader="none" w:pos="149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Delaware and in good standing with the Secretary of State of the State of Delaware; and</w:t>
      </w:r>
    </w:p>
    <w:p>
      <w:pPr>
        <w:ind w:right="240" w:firstLine="656"/>
        <w:spacing w:after="0" w:line="324" w:lineRule="auto"/>
        <w:tabs>
          <w:tab w:leader="none" w:pos="150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of Common Stock issuable in connection with the Plan have been duly authorized and, when issued in accordance with the terms of the Plan, will be validly issued, fully paid and non-assessable.</w:t>
      </w:r>
    </w:p>
    <w:p>
      <w:pPr>
        <w:spacing w:after="0" w:line="14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opinions expressed above are limited to the General Corporation Law of the State of Delaware (which includes applicable provisions of the Delaware Constitution and reported judicial decisions interpreting the General Corporation Law of the State of Delaware and the Delaware Constitution).</w:t>
      </w:r>
    </w:p>
    <w:p>
      <w:pPr>
        <w:spacing w:after="0" w:line="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filing of this opinion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as Exhibit 5.1 to the Registration Statement. In giving this consent, we do not thereby admit that we are in the category of persons whose consent is required under Section 7 of the Securities Act of 1933, as amended, or the rules and regulations of the Commission.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opinion is limited to the specific issues addressed herein, and no opinion may be inferred or implied beyond that expressly stated herein.</w:t>
      </w:r>
    </w:p>
    <w:p>
      <w:pPr>
        <w:spacing w:after="0" w:line="19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opinion is furnished to you in connection with the filing of the Registration Statement. Our opinion is rendered as of the date hereof, and we assume no obligation to advise you of changes in law or fact (or the effect thereof on the opinions expressed herein) that hereafter may come to our attention.</w:t>
      </w:r>
    </w:p>
    <w:p>
      <w:pPr>
        <w:spacing w:after="0" w:line="12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Bass, Berry &amp; Sims PLC</w:t>
      </w:r>
    </w:p>
    <w:p>
      <w:pPr>
        <w:sectPr>
          <w:pgSz w:w="11900" w:h="16838" w:orient="portrait"/>
          <w:cols w:equalWidth="0" w:num="1">
            <w:col w:w="11420"/>
          </w:cols>
          <w:pgMar w:left="240" w:top="5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21" w:lineRule="exact"/>
        <w:rPr>
          <w:sz w:val="20"/>
          <w:szCs w:val="20"/>
          <w:color w:val="auto"/>
        </w:rPr>
      </w:pPr>
      <w:r>
        <w:rPr>
          <w:rFonts w:ascii="Arial" w:cs="Arial" w:eastAsia="Arial" w:hAnsi="Arial"/>
          <w:sz w:val="18"/>
          <w:szCs w:val="18"/>
          <w:color w:val="auto"/>
        </w:rPr>
        <w:t>We hereby consent to the incorporation by reference in this Registration Statement on Form S-8 of NN, Inc. of our report dated March 18, 2019 relating to the financial statements and the effectiveness of internal control over financial reporting, which appears in NN, Inc.’s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Atlanta, GA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21, 2019</w:t>
      </w:r>
    </w:p>
    <w:p>
      <w:pPr>
        <w:sectPr>
          <w:pgSz w:w="11900" w:h="16838" w:orient="portrait"/>
          <w:cols w:equalWidth="0" w:num="1">
            <w:col w:w="11420"/>
          </w:cols>
          <w:pgMar w:left="240" w:top="58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March 16, 2017, related to the financial statements of Wuxi Weifu Autocam Precision Machinery Company, Ltd. as of and for the year ended December 31, 2016, appearing in the Annual Report on Form 10-K of NN, Inc. for the year ended December 31, 2018.</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Letter"/>
      <w:start w:val="1"/>
    </w:lvl>
    <w:lvl w:ilvl="1">
      <w:lvlJc w:val="left"/>
      <w:lvlText w:val="(%2)"/>
      <w:numFmt w:val="decimal"/>
      <w:start w:val="2"/>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jpeg"/><Relationship Id="rId13" Type="http://schemas.openxmlformats.org/officeDocument/2006/relationships/hyperlink" Target="http://www.sec.gov/Archives/edgar/data/918541/000095016802001631/dex31.txt" TargetMode="External"/><Relationship Id="rId14" Type="http://schemas.openxmlformats.org/officeDocument/2006/relationships/hyperlink" Target="http://www.sec.gov/Archives/edgar/data/918541/000092290708000740/exhibit31_121608.htm" TargetMode="External"/><Relationship Id="rId15" Type="http://schemas.openxmlformats.org/officeDocument/2006/relationships/hyperlink" Target="http://www.sec.gov/Archives/edgar/data/918541/000119312519151712/d750456dex31.htm" TargetMode="External"/><Relationship Id="rId16" Type="http://schemas.openxmlformats.org/officeDocument/2006/relationships/hyperlink" Target="http://www.sec.gov/Archives/edgar/data/918541/000119312519151712/d750456dex32.htm" TargetMode="External"/><Relationship Id="rId17" Type="http://schemas.openxmlformats.org/officeDocument/2006/relationships/hyperlink" Target="http://www.sec.gov/Archives/edgar/data/918541/000119312515383841/d73953dex31.htm" TargetMode="External"/><Relationship Id="rId18" Type="http://schemas.openxmlformats.org/officeDocument/2006/relationships/hyperlink" Target="http://www.sec.gov/Archives/edgar/data/918541/000119312519151712/d750456dex33.htm" TargetMode="External"/><Relationship Id="rId19" Type="http://schemas.openxmlformats.org/officeDocument/2006/relationships/hyperlink" Target="http://www.sec.gov/Archives/edgar/data/918541/000095016802001631/dex41.txt" TargetMode="External"/><Relationship Id="rId20" Type="http://schemas.openxmlformats.org/officeDocument/2006/relationships/hyperlink" Target="http://www.sec.gov/Archives/edgar/data/918541/000119312519100697/d716172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2019-12-01T13:39:24Z</dcterms:created>
  <dcterms:modified xsi:type="dcterms:W3CDTF">2019-12-01T13:39:24Z</dcterms:modified>
</cp:coreProperties>
</file>