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Under the Securities Exchange Act of 1934</w:t>
      </w:r>
    </w:p>
    <w:p>
      <w:pPr>
        <w:ind w:left="2960"/>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3060" w:hanging="313"/>
        <w:spacing w:after="0"/>
        <w:tabs>
          <w:tab w:leader="none" w:pos="3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&amp; ROLLER, 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COMMON STOCK, Par Value $.01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629305103</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11" w:lineRule="exact"/>
        <w:rPr>
          <w:sz w:val="24"/>
          <w:szCs w:val="24"/>
          <w:color w:val="auto"/>
        </w:rPr>
      </w:pPr>
    </w:p>
    <w:p>
      <w:pPr>
        <w:ind w:right="340"/>
        <w:spacing w:after="0" w:line="235" w:lineRule="auto"/>
        <w:rPr>
          <w:sz w:val="20"/>
          <w:szCs w:val="20"/>
          <w:color w:val="auto"/>
        </w:rPr>
      </w:pPr>
      <w:r>
        <w:rPr>
          <w:rFonts w:ascii="Courier New" w:cs="Courier New" w:eastAsia="Courier New" w:hAnsi="Courier New"/>
          <w:sz w:val="18"/>
          <w:szCs w:val="18"/>
          <w:color w:val="auto"/>
        </w:rPr>
        <w:t>- ---------------------------------- CUSIP No. 629305103</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ectPr>
          <w:pgSz w:w="11900" w:h="16838" w:orient="portrait"/>
          <w:cols w:equalWidth="0" w:num="2">
            <w:col w:w="4140" w:space="720"/>
            <w:col w:w="5359"/>
          </w:cols>
          <w:pgMar w:left="240" w:top="649" w:right="1440" w:bottom="1440" w:gutter="0" w:footer="0" w:header="0"/>
          <w:type w:val="continuous"/>
        </w:sectPr>
      </w:pPr>
    </w:p>
    <w:p>
      <w:pPr>
        <w:ind w:left="4020"/>
        <w:spacing w:after="0"/>
        <w:rPr>
          <w:sz w:val="20"/>
          <w:szCs w:val="20"/>
          <w:color w:val="auto"/>
        </w:rPr>
      </w:pPr>
      <w:r>
        <w:rPr>
          <w:rFonts w:ascii="Courier New" w:cs="Courier New" w:eastAsia="Courier New" w:hAnsi="Courier New"/>
          <w:sz w:val="16"/>
          <w:szCs w:val="16"/>
          <w:color w:val="auto"/>
        </w:rPr>
        <w:t>13G</w:t>
      </w:r>
    </w:p>
    <w:p>
      <w:pPr>
        <w:sectPr>
          <w:pgSz w:w="11900" w:h="16838" w:orient="portrait"/>
          <w:cols w:equalWidth="0" w:num="1">
            <w:col w:w="10219"/>
          </w:cols>
          <w:pgMar w:left="240" w:top="649" w:right="1440" w:bottom="1440" w:gutter="0" w:footer="0" w:header="0"/>
          <w:type w:val="continuous"/>
        </w:sectPr>
      </w:pPr>
    </w:p>
    <w:p>
      <w:pPr>
        <w:spacing w:after="0" w:line="2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RICHARD D. ENMEN</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00" w:val="left"/>
          <w:tab w:leader="none" w:pos="6620" w:val="left"/>
          <w:tab w:leader="none" w:pos="7360" w:val="left"/>
        </w:tabs>
        <w:rPr>
          <w:sz w:val="20"/>
          <w:szCs w:val="20"/>
          <w:color w:val="auto"/>
        </w:rPr>
      </w:pPr>
      <w:r>
        <w:rPr>
          <w:rFonts w:ascii="Courier New" w:cs="Courier New" w:eastAsia="Courier New" w:hAnsi="Courier New"/>
          <w:sz w:val="18"/>
          <w:szCs w:val="18"/>
          <w:color w:val="auto"/>
        </w:rPr>
        <w:t>2</w:t>
        <w:tab/>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640"/>
        <w:spacing w:after="0"/>
        <w:tabs>
          <w:tab w:leader="none" w:pos="736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tbl>
      <w:tblPr>
        <w:tblLayout w:type="fixed"/>
        <w:tblInd w:w="640" w:type="dxa"/>
        <w:tblCellMar>
          <w:top w:w="0" w:type="dxa"/>
          <w:left w:w="0" w:type="dxa"/>
          <w:bottom w:w="0" w:type="dxa"/>
          <w:right w:w="0" w:type="dxa"/>
        </w:tblCellMar>
      </w:tblPr>
      <w:tr>
        <w:trPr>
          <w:trHeight w:val="203"/>
        </w:trPr>
        <w:tc>
          <w:tcPr>
            <w:tcW w:w="232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36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2,843,420</w:t>
            </w:r>
          </w:p>
        </w:tc>
      </w:tr>
      <w:tr>
        <w:trPr>
          <w:trHeight w:val="203"/>
        </w:trPr>
        <w:tc>
          <w:tcPr>
            <w:tcW w:w="232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3680" w:type="dxa"/>
            <w:vAlign w:val="bottom"/>
            <w:gridSpan w:val="2"/>
          </w:tcPr>
          <w:p>
            <w:pPr>
              <w:ind w:left="1060"/>
              <w:spacing w:after="0"/>
              <w:rPr>
                <w:sz w:val="20"/>
                <w:szCs w:val="20"/>
                <w:color w:val="auto"/>
              </w:rPr>
            </w:pPr>
            <w:r>
              <w:rPr>
                <w:rFonts w:ascii="Courier New" w:cs="Courier New" w:eastAsia="Courier New" w:hAnsi="Courier New"/>
                <w:sz w:val="15"/>
                <w:szCs w:val="15"/>
                <w:color w:val="auto"/>
                <w:w w:val="72"/>
              </w:rPr>
              <w:t>----------------------------------------</w:t>
            </w:r>
          </w:p>
        </w:tc>
      </w:tr>
      <w:tr>
        <w:trPr>
          <w:trHeight w:val="203"/>
        </w:trPr>
        <w:tc>
          <w:tcPr>
            <w:tcW w:w="232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320" w:type="dxa"/>
            <w:vAlign w:val="bottom"/>
          </w:tcPr>
          <w:p>
            <w:pPr>
              <w:jc w:val="center"/>
              <w:ind w:right="11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3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20" w:type="dxa"/>
            <w:vAlign w:val="bottom"/>
          </w:tcPr>
          <w:p>
            <w:pPr>
              <w:jc w:val="center"/>
              <w:ind w:right="1172"/>
              <w:spacing w:after="0" w:line="203" w:lineRule="exact"/>
              <w:rPr>
                <w:sz w:val="20"/>
                <w:szCs w:val="20"/>
                <w:color w:val="auto"/>
              </w:rPr>
            </w:pPr>
            <w:r>
              <w:rPr>
                <w:rFonts w:ascii="Courier New" w:cs="Courier New" w:eastAsia="Courier New" w:hAnsi="Courier New"/>
                <w:sz w:val="18"/>
                <w:szCs w:val="18"/>
                <w:color w:val="auto"/>
                <w:w w:val="97"/>
              </w:rPr>
              <w:t>EACH</w:t>
            </w:r>
          </w:p>
        </w:tc>
        <w:tc>
          <w:tcPr>
            <w:tcW w:w="3680" w:type="dxa"/>
            <w:vAlign w:val="bottom"/>
            <w:gridSpan w:val="2"/>
          </w:tcPr>
          <w:p>
            <w:pPr>
              <w:ind w:left="1060"/>
              <w:spacing w:after="0"/>
              <w:rPr>
                <w:sz w:val="20"/>
                <w:szCs w:val="20"/>
                <w:color w:val="auto"/>
              </w:rPr>
            </w:pPr>
            <w:r>
              <w:rPr>
                <w:rFonts w:ascii="Courier New" w:cs="Courier New" w:eastAsia="Courier New" w:hAnsi="Courier New"/>
                <w:sz w:val="15"/>
                <w:szCs w:val="15"/>
                <w:color w:val="auto"/>
                <w:w w:val="72"/>
              </w:rPr>
              <w:t>----------------------------------------</w:t>
            </w:r>
          </w:p>
        </w:tc>
      </w:tr>
      <w:tr>
        <w:trPr>
          <w:trHeight w:val="203"/>
        </w:trPr>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3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2320" w:type="dxa"/>
            <w:vAlign w:val="bottom"/>
          </w:tcPr>
          <w:p>
            <w:pPr>
              <w:jc w:val="center"/>
              <w:ind w:right="117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3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2,843,420</w:t>
            </w:r>
          </w:p>
        </w:tc>
      </w:tr>
      <w:tr>
        <w:trPr>
          <w:trHeight w:val="203"/>
        </w:trPr>
        <w:tc>
          <w:tcPr>
            <w:tcW w:w="2320" w:type="dxa"/>
            <w:vAlign w:val="bottom"/>
          </w:tcPr>
          <w:p>
            <w:pPr>
              <w:jc w:val="center"/>
              <w:ind w:right="1172"/>
              <w:spacing w:after="0" w:line="203" w:lineRule="exact"/>
              <w:rPr>
                <w:sz w:val="20"/>
                <w:szCs w:val="20"/>
                <w:color w:val="auto"/>
              </w:rPr>
            </w:pPr>
            <w:r>
              <w:rPr>
                <w:rFonts w:ascii="Courier New" w:cs="Courier New" w:eastAsia="Courier New" w:hAnsi="Courier New"/>
                <w:sz w:val="18"/>
                <w:szCs w:val="18"/>
                <w:color w:val="auto"/>
                <w:w w:val="97"/>
              </w:rPr>
              <w:t>WITH</w:t>
            </w:r>
          </w:p>
        </w:tc>
        <w:tc>
          <w:tcPr>
            <w:tcW w:w="3680" w:type="dxa"/>
            <w:vAlign w:val="bottom"/>
            <w:gridSpan w:val="2"/>
          </w:tcPr>
          <w:p>
            <w:pPr>
              <w:ind w:left="1060"/>
              <w:spacing w:after="0"/>
              <w:rPr>
                <w:sz w:val="20"/>
                <w:szCs w:val="20"/>
                <w:color w:val="auto"/>
              </w:rPr>
            </w:pPr>
            <w:r>
              <w:rPr>
                <w:rFonts w:ascii="Courier New" w:cs="Courier New" w:eastAsia="Courier New" w:hAnsi="Courier New"/>
                <w:sz w:val="15"/>
                <w:szCs w:val="15"/>
                <w:color w:val="auto"/>
                <w:w w:val="72"/>
              </w:rPr>
              <w:t>----------------------------------------</w:t>
            </w:r>
          </w:p>
        </w:tc>
      </w:tr>
    </w:tbl>
    <w:p>
      <w:pPr>
        <w:spacing w:after="0" w:line="4" w:lineRule="exact"/>
        <w:rPr>
          <w:sz w:val="20"/>
          <w:szCs w:val="20"/>
          <w:color w:val="auto"/>
        </w:rPr>
      </w:pPr>
    </w:p>
    <w:p>
      <w:pPr>
        <w:ind w:left="4320" w:right="3359" w:hanging="309"/>
        <w:spacing w:after="0" w:line="235" w:lineRule="auto"/>
        <w:tabs>
          <w:tab w:leader="none" w:pos="43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2,843,420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  /</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right="4939" w:hanging="316"/>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19.2%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right="7259" w:hanging="316"/>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FILING OUT!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NN Ball &amp; Roller,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800 Tennessee Road</w:t>
      </w:r>
    </w:p>
    <w:p>
      <w:pPr>
        <w:ind w:left="1280"/>
        <w:spacing w:after="0" w:line="238" w:lineRule="auto"/>
        <w:rPr>
          <w:sz w:val="20"/>
          <w:szCs w:val="20"/>
          <w:color w:val="auto"/>
        </w:rPr>
      </w:pPr>
      <w:r>
        <w:rPr>
          <w:rFonts w:ascii="Courier New" w:cs="Courier New" w:eastAsia="Courier New" w:hAnsi="Courier New"/>
          <w:sz w:val="18"/>
          <w:szCs w:val="18"/>
          <w:color w:val="auto"/>
        </w:rPr>
        <w:t>Erwin, TN 37650</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Richard D. Ennen</w:t>
      </w:r>
    </w:p>
    <w:p>
      <w:pPr>
        <w:sectPr>
          <w:pgSz w:w="11900" w:h="16838" w:orient="portrait"/>
          <w:cols w:equalWidth="0" w:num="1">
            <w:col w:w="10219"/>
          </w:cols>
          <w:pgMar w:left="240" w:top="72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405"/>
        </w:trPr>
        <w:tc>
          <w:tcPr>
            <w:tcW w:w="1120" w:type="dxa"/>
            <w:vAlign w:val="bottom"/>
          </w:tcPr>
          <w:p>
            <w:pPr>
              <w:spacing w:after="0"/>
              <w:rPr>
                <w:sz w:val="24"/>
                <w:szCs w:val="24"/>
                <w:color w:val="auto"/>
              </w:rPr>
            </w:pP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800 Tennessee Road</w:t>
            </w:r>
          </w:p>
        </w:tc>
      </w:tr>
      <w:tr>
        <w:trPr>
          <w:trHeight w:val="203"/>
        </w:trPr>
        <w:tc>
          <w:tcPr>
            <w:tcW w:w="1120" w:type="dxa"/>
            <w:vAlign w:val="bottom"/>
          </w:tcPr>
          <w:p>
            <w:pPr>
              <w:spacing w:after="0"/>
              <w:rPr>
                <w:sz w:val="17"/>
                <w:szCs w:val="17"/>
                <w:color w:val="auto"/>
              </w:rPr>
            </w:pPr>
          </w:p>
        </w:tc>
        <w:tc>
          <w:tcPr>
            <w:tcW w:w="71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Erwin, TN 37650</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1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5680" w:type="dxa"/>
            <w:vAlign w:val="bottom"/>
          </w:tcPr>
          <w:p>
            <w:pPr>
              <w:spacing w:after="0"/>
              <w:rPr>
                <w:sz w:val="24"/>
                <w:szCs w:val="24"/>
                <w:color w:val="auto"/>
              </w:rPr>
            </w:pPr>
          </w:p>
        </w:tc>
      </w:tr>
      <w:tr>
        <w:trPr>
          <w:trHeight w:val="405"/>
        </w:trPr>
        <w:tc>
          <w:tcPr>
            <w:tcW w:w="1120" w:type="dxa"/>
            <w:vAlign w:val="bottom"/>
          </w:tcPr>
          <w:p>
            <w:pPr>
              <w:spacing w:after="0"/>
              <w:rPr>
                <w:sz w:val="24"/>
                <w:szCs w:val="24"/>
                <w:color w:val="auto"/>
              </w:rPr>
            </w:pP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United States</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120" w:type="dxa"/>
            <w:vAlign w:val="bottom"/>
          </w:tcPr>
          <w:p>
            <w:pPr>
              <w:spacing w:after="0"/>
              <w:rPr>
                <w:sz w:val="24"/>
                <w:szCs w:val="24"/>
                <w:color w:val="auto"/>
              </w:rPr>
            </w:pP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Common Stock, par value $.01 per share</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4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5"/>
              </w:rPr>
              <w:t>CUSIP Number</w:t>
            </w:r>
          </w:p>
        </w:tc>
        <w:tc>
          <w:tcPr>
            <w:tcW w:w="5680" w:type="dxa"/>
            <w:vAlign w:val="bottom"/>
          </w:tcPr>
          <w:p>
            <w:pPr>
              <w:spacing w:after="0"/>
              <w:rPr>
                <w:sz w:val="24"/>
                <w:szCs w:val="24"/>
                <w:color w:val="auto"/>
              </w:rPr>
            </w:pPr>
          </w:p>
        </w:tc>
      </w:tr>
      <w:tr>
        <w:trPr>
          <w:trHeight w:val="405"/>
        </w:trPr>
        <w:tc>
          <w:tcPr>
            <w:tcW w:w="112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629305103</w:t>
            </w:r>
          </w:p>
        </w:tc>
        <w:tc>
          <w:tcPr>
            <w:tcW w:w="5680" w:type="dxa"/>
            <w:vAlign w:val="bottom"/>
          </w:tcPr>
          <w:p>
            <w:pPr>
              <w:spacing w:after="0"/>
              <w:rPr>
                <w:sz w:val="24"/>
                <w:szCs w:val="24"/>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This statement is not filed pursuant to Rule 13d-1(b) or 13d-2(b).</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Ownership</w:t>
            </w:r>
          </w:p>
        </w:tc>
        <w:tc>
          <w:tcPr>
            <w:tcW w:w="5680" w:type="dxa"/>
            <w:vAlign w:val="bottom"/>
          </w:tcPr>
          <w:p>
            <w:pPr>
              <w:spacing w:after="0"/>
              <w:rPr>
                <w:sz w:val="24"/>
                <w:szCs w:val="24"/>
                <w:color w:val="auto"/>
              </w:rPr>
            </w:pPr>
          </w:p>
        </w:tc>
      </w:tr>
      <w:tr>
        <w:trPr>
          <w:trHeight w:val="405"/>
        </w:trPr>
        <w:tc>
          <w:tcPr>
            <w:tcW w:w="112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6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Amount beneficially owned: 2,843,420</w:t>
            </w:r>
          </w:p>
        </w:tc>
      </w:tr>
      <w:tr>
        <w:trPr>
          <w:trHeight w:val="405"/>
        </w:trPr>
        <w:tc>
          <w:tcPr>
            <w:tcW w:w="112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(b)</w:t>
            </w:r>
          </w:p>
        </w:tc>
        <w:tc>
          <w:tcPr>
            <w:tcW w:w="6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Percent of class: 19.2%</w:t>
            </w:r>
          </w:p>
        </w:tc>
      </w:tr>
      <w:tr>
        <w:trPr>
          <w:trHeight w:val="405"/>
        </w:trPr>
        <w:tc>
          <w:tcPr>
            <w:tcW w:w="112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(c)</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Number</w:t>
            </w:r>
          </w:p>
        </w:tc>
        <w:tc>
          <w:tcPr>
            <w:tcW w:w="5680" w:type="dxa"/>
            <w:vAlign w:val="bottom"/>
          </w:tcPr>
          <w:p>
            <w:pPr>
              <w:spacing w:after="0"/>
              <w:rPr>
                <w:sz w:val="20"/>
                <w:szCs w:val="20"/>
                <w:color w:val="auto"/>
              </w:rPr>
            </w:pPr>
            <w:r>
              <w:rPr>
                <w:rFonts w:ascii="Courier New" w:cs="Courier New" w:eastAsia="Courier New" w:hAnsi="Courier New"/>
                <w:sz w:val="18"/>
                <w:szCs w:val="18"/>
                <w:color w:val="auto"/>
              </w:rPr>
              <w:t>of shares as to which such person has:</w:t>
            </w:r>
          </w:p>
        </w:tc>
      </w:tr>
      <w:tr>
        <w:trPr>
          <w:trHeight w:val="405"/>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(i)</w:t>
            </w:r>
          </w:p>
        </w:tc>
        <w:tc>
          <w:tcPr>
            <w:tcW w:w="5680" w:type="dxa"/>
            <w:vAlign w:val="bottom"/>
          </w:tcPr>
          <w:p>
            <w:pPr>
              <w:spacing w:after="0"/>
              <w:rPr>
                <w:sz w:val="20"/>
                <w:szCs w:val="20"/>
                <w:color w:val="auto"/>
              </w:rPr>
            </w:pPr>
            <w:r>
              <w:rPr>
                <w:rFonts w:ascii="Courier New" w:cs="Courier New" w:eastAsia="Courier New" w:hAnsi="Courier New"/>
                <w:sz w:val="18"/>
                <w:szCs w:val="18"/>
                <w:color w:val="auto"/>
              </w:rPr>
              <w:t>sole power to vote or to direct the vote: 2,843,420</w:t>
            </w:r>
          </w:p>
        </w:tc>
      </w:tr>
      <w:tr>
        <w:trPr>
          <w:trHeight w:val="405"/>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(ii)</w:t>
            </w:r>
          </w:p>
        </w:tc>
        <w:tc>
          <w:tcPr>
            <w:tcW w:w="5680" w:type="dxa"/>
            <w:vAlign w:val="bottom"/>
          </w:tcPr>
          <w:p>
            <w:pPr>
              <w:spacing w:after="0"/>
              <w:rPr>
                <w:sz w:val="20"/>
                <w:szCs w:val="20"/>
                <w:color w:val="auto"/>
              </w:rPr>
            </w:pPr>
            <w:r>
              <w:rPr>
                <w:rFonts w:ascii="Courier New" w:cs="Courier New" w:eastAsia="Courier New" w:hAnsi="Courier New"/>
                <w:sz w:val="18"/>
                <w:szCs w:val="18"/>
                <w:color w:val="auto"/>
                <w:w w:val="98"/>
              </w:rPr>
              <w:t>shared power to vote or to direct the vote: 2,843,420</w:t>
            </w:r>
          </w:p>
        </w:tc>
      </w:tr>
      <w:tr>
        <w:trPr>
          <w:trHeight w:val="405"/>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(iii)</w:t>
            </w:r>
          </w:p>
        </w:tc>
        <w:tc>
          <w:tcPr>
            <w:tcW w:w="5680" w:type="dxa"/>
            <w:vAlign w:val="bottom"/>
          </w:tcPr>
          <w:p>
            <w:pPr>
              <w:spacing w:after="0"/>
              <w:rPr>
                <w:sz w:val="20"/>
                <w:szCs w:val="20"/>
                <w:color w:val="auto"/>
              </w:rPr>
            </w:pPr>
            <w:r>
              <w:rPr>
                <w:rFonts w:ascii="Courier New" w:cs="Courier New" w:eastAsia="Courier New" w:hAnsi="Courier New"/>
                <w:sz w:val="18"/>
                <w:szCs w:val="18"/>
                <w:color w:val="auto"/>
                <w:w w:val="97"/>
              </w:rPr>
              <w:t>sole power to dispose or to direct the disposition of:</w:t>
            </w:r>
          </w:p>
        </w:tc>
      </w:tr>
      <w:tr>
        <w:trPr>
          <w:trHeight w:val="203"/>
        </w:trPr>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2,843,420</w:t>
            </w:r>
          </w:p>
        </w:tc>
      </w:tr>
      <w:tr>
        <w:trPr>
          <w:trHeight w:val="405"/>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(iv)   shared power to dispose of to direct the disposition</w:t>
            </w:r>
          </w:p>
        </w:tc>
      </w:tr>
      <w:tr>
        <w:trPr>
          <w:trHeight w:val="203"/>
        </w:trPr>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80" w:type="dxa"/>
            <w:vAlign w:val="bottom"/>
          </w:tcPr>
          <w:p>
            <w:pPr>
              <w:spacing w:after="0" w:line="203" w:lineRule="exact"/>
              <w:rPr>
                <w:sz w:val="20"/>
                <w:szCs w:val="20"/>
                <w:color w:val="auto"/>
              </w:rPr>
            </w:pPr>
            <w:r>
              <w:rPr>
                <w:rFonts w:ascii="Courier New" w:cs="Courier New" w:eastAsia="Courier New" w:hAnsi="Courier New"/>
                <w:sz w:val="18"/>
                <w:szCs w:val="18"/>
                <w:color w:val="auto"/>
              </w:rPr>
              <w:t>of: 0</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Ownership of Five Percent or Less of a Class</w:t>
            </w:r>
          </w:p>
        </w:tc>
      </w:tr>
      <w:tr>
        <w:trPr>
          <w:trHeight w:val="405"/>
        </w:trPr>
        <w:tc>
          <w:tcPr>
            <w:tcW w:w="1120" w:type="dxa"/>
            <w:vAlign w:val="bottom"/>
          </w:tcPr>
          <w:p>
            <w:pPr>
              <w:spacing w:after="0"/>
              <w:rPr>
                <w:sz w:val="24"/>
                <w:szCs w:val="24"/>
                <w:color w:val="auto"/>
              </w:rPr>
            </w:pP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r>
      <w:tr>
        <w:trPr>
          <w:trHeight w:val="405"/>
        </w:trPr>
        <w:tc>
          <w:tcPr>
            <w:tcW w:w="1120" w:type="dxa"/>
            <w:vAlign w:val="bottom"/>
          </w:tcPr>
          <w:p>
            <w:pPr>
              <w:spacing w:after="0"/>
              <w:rPr>
                <w:sz w:val="24"/>
                <w:szCs w:val="24"/>
                <w:color w:val="auto"/>
              </w:rPr>
            </w:pP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Identification and Classification of the Subsidiary Which Acquired</w:t>
            </w:r>
          </w:p>
        </w:tc>
      </w:tr>
      <w:tr>
        <w:trPr>
          <w:trHeight w:val="203"/>
        </w:trPr>
        <w:tc>
          <w:tcPr>
            <w:tcW w:w="1120" w:type="dxa"/>
            <w:vAlign w:val="bottom"/>
          </w:tcPr>
          <w:p>
            <w:pPr>
              <w:spacing w:after="0"/>
              <w:rPr>
                <w:sz w:val="17"/>
                <w:szCs w:val="17"/>
                <w:color w:val="auto"/>
              </w:rPr>
            </w:pPr>
          </w:p>
        </w:tc>
        <w:tc>
          <w:tcPr>
            <w:tcW w:w="71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the Security Being Reported on by the Parent Holding Company</w:t>
            </w:r>
          </w:p>
        </w:tc>
      </w:tr>
      <w:tr>
        <w:trPr>
          <w:trHeight w:val="405"/>
        </w:trPr>
        <w:tc>
          <w:tcPr>
            <w:tcW w:w="1120" w:type="dxa"/>
            <w:vAlign w:val="bottom"/>
          </w:tcPr>
          <w:p>
            <w:pPr>
              <w:spacing w:after="0"/>
              <w:rPr>
                <w:sz w:val="24"/>
                <w:szCs w:val="24"/>
                <w:color w:val="auto"/>
              </w:rPr>
            </w:pP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1120" w:type="dxa"/>
            <w:vAlign w:val="bottom"/>
          </w:tcPr>
          <w:p>
            <w:pPr>
              <w:spacing w:after="0"/>
              <w:rPr>
                <w:sz w:val="24"/>
                <w:szCs w:val="24"/>
                <w:color w:val="auto"/>
              </w:rPr>
            </w:pP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405"/>
        </w:trPr>
        <w:tc>
          <w:tcPr>
            <w:tcW w:w="1120" w:type="dxa"/>
            <w:vAlign w:val="bottom"/>
          </w:tcPr>
          <w:p>
            <w:pPr>
              <w:spacing w:after="0"/>
              <w:rPr>
                <w:sz w:val="24"/>
                <w:szCs w:val="24"/>
                <w:color w:val="auto"/>
              </w:rPr>
            </w:pP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Certification</w:t>
            </w:r>
          </w:p>
        </w:tc>
      </w:tr>
      <w:tr>
        <w:trPr>
          <w:trHeight w:val="405"/>
        </w:trPr>
        <w:tc>
          <w:tcPr>
            <w:tcW w:w="1120" w:type="dxa"/>
            <w:vAlign w:val="bottom"/>
          </w:tcPr>
          <w:p>
            <w:pPr>
              <w:spacing w:after="0"/>
              <w:rPr>
                <w:sz w:val="24"/>
                <w:szCs w:val="24"/>
                <w:color w:val="auto"/>
              </w:rPr>
            </w:pPr>
          </w:p>
        </w:tc>
        <w:tc>
          <w:tcPr>
            <w:tcW w:w="7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NOT APPLICABLE</w:t>
            </w:r>
          </w:p>
        </w:tc>
      </w:tr>
    </w:tbl>
    <w:p>
      <w:pPr>
        <w:sectPr>
          <w:pgSz w:w="11900" w:h="16838" w:orient="portrait"/>
          <w:cols w:equalWidth="0" w:num="1">
            <w:col w:w="10219"/>
          </w:cols>
          <w:pgMar w:left="240" w:top="717"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February 12, 1999</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/s/Richard D. Ennen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Richard D. Ennen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Name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40"/>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upperLetter"/>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2019-12-14T03:16:11Z</dcterms:created>
  <dcterms:modified xsi:type="dcterms:W3CDTF">2019-12-14T03:16:11Z</dcterms:modified>
</cp:coreProperties>
</file>