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ownership.xml.htm"/>
      <w:bookmarkStart w:id="1" w:name="ksownership"/>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Corre Partners Management,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12 EAST 49TH STREET 40TH FLOOR</w:t>
                  </w:r>
                </w:p>
              </w:tc>
            </w:tr>
            <w:tr>
              <w:trPr/>
              <w:tc>
                <w:tcPr>
                  <w:tcW w:w="343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10017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NN INC</w:t>
              </w:r>
            </w:hyperlink>
            <w:r>
              <w:rPr/>
              <w:t xml:space="preserve"> [ </w:t>
            </w:r>
            <w:r>
              <w:rPr>
                <w:rFonts w:ascii="Times;serif" w:hAnsi="Times;serif"/>
                <w:color w:val="0000FF"/>
                <w:sz w:val="24"/>
                <w:highlight w:val="white"/>
              </w:rPr>
              <w:t>NNBR</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2"/>
              <w:gridCol w:w="989"/>
              <w:gridCol w:w="422"/>
              <w:gridCol w:w="989"/>
            </w:tblGrid>
            <w:tr>
              <w:trPr/>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04/20/2023</w:t>
            </w:r>
            <w:r>
              <w:rPr/>
              <w:t xml:space="preserve"> </w:t>
            </w:r>
          </w:p>
        </w:tc>
        <w:tc>
          <w:tcPr>
            <w:tcW w:w="294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0"/>
            </w:tblGrid>
            <w:tr>
              <w:trPr/>
              <w:tc>
                <w:tcPr>
                  <w:tcW w:w="422" w:type="dxa"/>
                  <w:tcBorders/>
                  <w:shd w:fill="auto" w:val="clear"/>
                  <w:vAlign w:val="center"/>
                </w:tcPr>
                <w:p>
                  <w:pPr>
                    <w:pStyle w:val="TableContents"/>
                    <w:spacing w:before="0" w:after="283"/>
                    <w:rPr>
                      <w:sz w:val="4"/>
                      <w:szCs w:val="4"/>
                    </w:rPr>
                  </w:pPr>
                  <w:r>
                    <w:rPr>
                      <w:sz w:val="4"/>
                      <w:szCs w:val="4"/>
                    </w:rPr>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179"/>
              <w:gridCol w:w="6355"/>
            </w:tblGrid>
            <w:tr>
              <w:trPr/>
              <w:tc>
                <w:tcPr>
                  <w:tcW w:w="179" w:type="dxa"/>
                  <w:tcBorders/>
                  <w:shd w:fill="auto" w:val="clear"/>
                  <w:vAlign w:val="center"/>
                </w:tcPr>
                <w:tbl>
                  <w:tblPr>
                    <w:tblW w:w="266" w:type="dxa"/>
                    <w:jc w:val="left"/>
                    <w:tblInd w:w="0" w:type="dxa"/>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color w:val="0000FF"/>
                            <w:highlight w:val="white"/>
                          </w:rPr>
                        </w:pPr>
                        <w:r>
                          <w:rPr>
                            <w:color w:val="0000FF"/>
                            <w:highlight w:val="white"/>
                          </w:rPr>
                          <w:t>  </w:t>
                        </w:r>
                      </w:p>
                    </w:tc>
                  </w:tr>
                </w:tbl>
                <w:p>
                  <w:pPr>
                    <w:pStyle w:val="TableContents"/>
                    <w:spacing w:before="0" w:after="283"/>
                    <w:rPr>
                      <w:sz w:val="4"/>
                      <w:szCs w:val="4"/>
                    </w:rPr>
                  </w:pPr>
                  <w:r>
                    <w:rPr>
                      <w:sz w:val="4"/>
                      <w:szCs w:val="4"/>
                    </w:rPr>
                  </w:r>
                </w:p>
              </w:tc>
              <w:tc>
                <w:tcPr>
                  <w:tcW w:w="635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109"/>
        <w:gridCol w:w="901"/>
        <w:gridCol w:w="772"/>
        <w:gridCol w:w="598"/>
        <w:gridCol w:w="339"/>
        <w:gridCol w:w="905"/>
        <w:gridCol w:w="428"/>
        <w:gridCol w:w="878"/>
        <w:gridCol w:w="1244"/>
        <w:gridCol w:w="964"/>
        <w:gridCol w:w="106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9"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9"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0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24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6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67"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10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 par value $0.01 per share</w:t>
            </w:r>
          </w:p>
        </w:tc>
        <w:tc>
          <w:tcPr>
            <w:tcW w:w="9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04/20/2023</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P</w:t>
            </w:r>
          </w:p>
        </w:tc>
        <w:tc>
          <w:tcPr>
            <w:tcW w:w="33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200</w:t>
            </w:r>
          </w:p>
        </w:tc>
        <w:tc>
          <w:tcPr>
            <w:tcW w:w="42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87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1.08</w:t>
            </w:r>
            <w:r>
              <w:rPr/>
              <w:t xml:space="preserve"> </w:t>
            </w:r>
          </w:p>
        </w:tc>
        <w:tc>
          <w:tcPr>
            <w:tcW w:w="124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5,366,455</w:t>
            </w:r>
          </w:p>
        </w:tc>
        <w:tc>
          <w:tcPr>
            <w:tcW w:w="96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6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Footnote</w:t>
            </w:r>
            <w:r>
              <w:rPr>
                <w:rFonts w:ascii="Times;serif" w:hAnsi="Times;serif"/>
                <w:color w:val="008000"/>
                <w:position w:val="7"/>
                <w:sz w:val="16"/>
                <w:sz w:val="20"/>
                <w:highlight w:val="white"/>
              </w:rPr>
              <w:t>(1)</w:t>
            </w:r>
            <w:r>
              <w:rPr/>
              <w:t xml:space="preserve"> </w:t>
            </w:r>
          </w:p>
        </w:tc>
      </w:tr>
      <w:tr>
        <w:trPr/>
        <w:tc>
          <w:tcPr>
            <w:tcW w:w="210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 par value $0.01 per share</w:t>
            </w:r>
          </w:p>
        </w:tc>
        <w:tc>
          <w:tcPr>
            <w:tcW w:w="9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04/21/2023</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P</w:t>
            </w:r>
          </w:p>
        </w:tc>
        <w:tc>
          <w:tcPr>
            <w:tcW w:w="33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13,031</w:t>
            </w:r>
          </w:p>
        </w:tc>
        <w:tc>
          <w:tcPr>
            <w:tcW w:w="42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87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1.0655</w:t>
            </w:r>
            <w:r>
              <w:rPr>
                <w:rFonts w:ascii="Times;serif" w:hAnsi="Times;serif"/>
                <w:color w:val="008000"/>
                <w:position w:val="7"/>
                <w:sz w:val="16"/>
                <w:sz w:val="20"/>
                <w:highlight w:val="white"/>
              </w:rPr>
              <w:t>(2)</w:t>
            </w:r>
            <w:r>
              <w:rPr/>
              <w:t xml:space="preserve"> </w:t>
            </w:r>
          </w:p>
        </w:tc>
        <w:tc>
          <w:tcPr>
            <w:tcW w:w="124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5,379,486</w:t>
            </w:r>
          </w:p>
        </w:tc>
        <w:tc>
          <w:tcPr>
            <w:tcW w:w="96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6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Footnote</w:t>
            </w:r>
            <w:r>
              <w:rPr>
                <w:rFonts w:ascii="Times;serif" w:hAnsi="Times;serif"/>
                <w:color w:val="008000"/>
                <w:position w:val="7"/>
                <w:sz w:val="16"/>
                <w:sz w:val="20"/>
                <w:highlight w:val="white"/>
              </w:rPr>
              <w:t>(1)</w:t>
            </w:r>
            <w:r>
              <w:rPr/>
              <w:t xml:space="preserve"> </w:t>
            </w:r>
          </w:p>
        </w:tc>
      </w:tr>
      <w:tr>
        <w:trPr/>
        <w:tc>
          <w:tcPr>
            <w:tcW w:w="210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 par value $0.01 per share</w:t>
            </w:r>
          </w:p>
        </w:tc>
        <w:tc>
          <w:tcPr>
            <w:tcW w:w="9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04/24/2023</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P</w:t>
            </w:r>
          </w:p>
        </w:tc>
        <w:tc>
          <w:tcPr>
            <w:tcW w:w="33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1,200</w:t>
            </w:r>
          </w:p>
        </w:tc>
        <w:tc>
          <w:tcPr>
            <w:tcW w:w="42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87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1.0646</w:t>
            </w:r>
            <w:r>
              <w:rPr>
                <w:rFonts w:ascii="Times;serif" w:hAnsi="Times;serif"/>
                <w:color w:val="008000"/>
                <w:position w:val="7"/>
                <w:sz w:val="16"/>
                <w:sz w:val="20"/>
                <w:highlight w:val="white"/>
              </w:rPr>
              <w:t>(3)</w:t>
            </w:r>
            <w:r>
              <w:rPr/>
              <w:t xml:space="preserve"> </w:t>
            </w:r>
          </w:p>
        </w:tc>
        <w:tc>
          <w:tcPr>
            <w:tcW w:w="124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5,380,686</w:t>
            </w:r>
          </w:p>
        </w:tc>
        <w:tc>
          <w:tcPr>
            <w:tcW w:w="96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6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Footnote</w:t>
            </w:r>
            <w:r>
              <w:rPr>
                <w:rFonts w:ascii="Times;serif" w:hAnsi="Times;serif"/>
                <w:color w:val="008000"/>
                <w:position w:val="7"/>
                <w:sz w:val="16"/>
                <w:sz w:val="20"/>
                <w:highlight w:val="white"/>
              </w:rPr>
              <w:t>(1)</w:t>
            </w:r>
            <w:r>
              <w:rPr/>
              <w:t xml:space="preserve"> </w:t>
            </w:r>
          </w:p>
        </w:tc>
      </w:tr>
      <w:tr>
        <w:trPr/>
        <w:tc>
          <w:tcPr>
            <w:tcW w:w="2109"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 par value $0.01 per share</w:t>
            </w:r>
          </w:p>
        </w:tc>
        <w:tc>
          <w:tcPr>
            <w:tcW w:w="90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3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2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7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24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905,735</w:t>
            </w:r>
          </w:p>
        </w:tc>
        <w:tc>
          <w:tcPr>
            <w:tcW w:w="96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6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Footnote</w:t>
            </w:r>
            <w:r>
              <w:rPr>
                <w:rFonts w:ascii="Times;serif" w:hAnsi="Times;serif"/>
                <w:color w:val="008000"/>
                <w:position w:val="7"/>
                <w:sz w:val="16"/>
                <w:sz w:val="20"/>
                <w:highlight w:val="white"/>
              </w:rPr>
              <w:t>(4)</w:t>
            </w:r>
            <w:r>
              <w:rPr/>
              <w:t xml:space="preserve"> </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2000" w:type="pct"/>
        <w:jc w:val="left"/>
        <w:tblInd w:w="0" w:type="dxa"/>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5">
                    <w:r>
                      <w:rPr>
                        <w:rStyle w:val="InternetLink"/>
                      </w:rPr>
                      <w:t>Corre Partners Management,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12 EAST 49TH STREET 40TH FLOOR</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10017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6">
                    <w:r>
                      <w:rPr>
                        <w:rStyle w:val="InternetLink"/>
                      </w:rPr>
                      <w:t>Corre Partners Advisors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12 EAST 49TH STREET 40TH FLOOR</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10017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7">
                    <w:r>
                      <w:rPr>
                        <w:rStyle w:val="InternetLink"/>
                      </w:rPr>
                      <w:t>Corre Opportunities Qualified Master Fund,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12 EAST 49TH STREET 40TH FLOOR</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10017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8">
                    <w:r>
                      <w:rPr>
                        <w:rStyle w:val="InternetLink"/>
                      </w:rPr>
                      <w:t>Barrett John Frederick</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CORRE PARTNERS MANAGEMENT, LLC</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12 EAST 49TH STREET, 40TH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10017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9">
                    <w:r>
                      <w:rPr>
                        <w:rStyle w:val="InternetLink"/>
                      </w:rPr>
                      <w:t>Soderlund Eric Hjalmar</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12 EAST 49TH STREET 40TH FLOOR</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10017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reported securities are directly owned by Corre Opportunities Qualified Master Fund, LP (the "Qualified Master Fund"). The reported securities may be deemed beneficially owned by Corre Partners Management, LLC ("Corre"), the investment manager of the Qualified Master Fund, Corre Partners Advisors, LLC ("Corre GP"), the general partner of the Qualified Master Fund, and John Barrett and Eric Soderlund, the managing members of Corre and Corre GP, each a Reporting Person. Each Reporting Person disclaims beneficial ownership of the reported securities except to the extent of its pecuniary interest therein, and this report shall not be deemed to be an admission that any Reporting Person is the beneficial owner of the securities for purposes of Section 16 of the Securities Exchange Act of 1934, as amended, or for any other purpose.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price reported in Column 4 is a weighted average price. These shares were purchased in multiple transactions within the range of $1.05 to $1.08. The Reporting Persons undertake to provide to the Issuer, any security holder of the Issuer or the staff of the Securities and Exchange Commission, upon request, full information regarding the number of shares purchased at each separate price within the ranges set forth in this footnote.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price reported in Column 4 is a weighted average price. These shares were purchased in multiple transactions within the range of $1.055 to $1.07. The Reporting Persons undertake to provide to the Issuer, any security holder of the Issuer or the staff of the Securities and Exchange Commission, upon request, full information regarding the number of shares purchased at each separate price within the ranges set forth in this footnote.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The reported securities are directly owned by Corre Horizon Fund, LP (the "Partnership"). The reported securities may be deemed beneficially owned by Corre, the investment manager of the Partnership, Corre GP, the general partner of the Partnership, and John Barrett and Eric Soderlund, the managing members of Corre and Corre GP, each a Reporting Person. Each Reporting Person disclaims beneficial ownership of the reported securities except to the extent of its pecuniary interest therein, and this report shall not be deemed to be an admission that any Reporting Person is the beneficial owner of the securities for purposes of Section 16 of the Securities Exchange Act of 1934, as amended, or for any other purpose.</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Corre Partners Management, LLC, /s/ Eric Soderlund, Managing Member</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04/24/2023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Corre Partners Advisors, LLC, /s/ Eric Soderlund, Managing Member</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04/24/2023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Corre Opportunities Qualified Master Fund, LP, By: Corre Partners Advisors, LLC, its general partner, /s/ Eric Soderlund, Managing Member</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04/24/2023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John Barrett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04/24/2023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Eric Soderlund</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04/24/2023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537323" TargetMode="External"/><Relationship Id="rId4" Type="http://schemas.openxmlformats.org/officeDocument/2006/relationships/hyperlink" Target="http://www.sec.gov/cgi-bin/browse-edgar?action=getcompany&amp;CIK=0000918541" TargetMode="External"/><Relationship Id="rId5" Type="http://schemas.openxmlformats.org/officeDocument/2006/relationships/hyperlink" Target="http://www.sec.gov/cgi-bin/browse-edgar?action=getcompany&amp;CIK=0001537323" TargetMode="External"/><Relationship Id="rId6" Type="http://schemas.openxmlformats.org/officeDocument/2006/relationships/hyperlink" Target="http://www.sec.gov/cgi-bin/browse-edgar?action=getcompany&amp;CIK=0001884680" TargetMode="External"/><Relationship Id="rId7" Type="http://schemas.openxmlformats.org/officeDocument/2006/relationships/hyperlink" Target="http://www.sec.gov/cgi-bin/browse-edgar?action=getcompany&amp;CIK=0001601971" TargetMode="External"/><Relationship Id="rId8" Type="http://schemas.openxmlformats.org/officeDocument/2006/relationships/hyperlink" Target="http://www.sec.gov/cgi-bin/browse-edgar?action=getcompany&amp;CIK=0001858308" TargetMode="External"/><Relationship Id="rId9" Type="http://schemas.openxmlformats.org/officeDocument/2006/relationships/hyperlink" Target="http://www.sec.gov/cgi-bin/browse-edgar?action=getcompany&amp;CIK=0001885532"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1181</Words>
  <CharactersWithSpaces>7395</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