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 G RONALD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WATERS EDGE DR.</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02/14/2014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51" w:space="720"/>
            <w:col w:w="3263"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7"/>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ind w:left="860"/>
              <w:spacing w:after="0"/>
              <w:rPr>
                <w:sz w:val="20"/>
                <w:szCs w:val="20"/>
                <w:color w:val="auto"/>
              </w:rPr>
            </w:pPr>
            <w:r>
              <w:rPr>
                <w:rFonts w:ascii="Arial" w:cs="Arial" w:eastAsia="Arial" w:hAnsi="Arial"/>
                <w:sz w:val="17"/>
                <w:szCs w:val="17"/>
                <w:color w:val="0000FF"/>
              </w:rPr>
              <w:t>02/14/2014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40" w:type="dxa"/>
            <w:vAlign w:val="bottom"/>
          </w:tcPr>
          <w:p>
            <w:pPr>
              <w:ind w:left="220"/>
              <w:spacing w:after="0"/>
              <w:rPr>
                <w:sz w:val="20"/>
                <w:szCs w:val="20"/>
                <w:color w:val="auto"/>
              </w:rPr>
            </w:pPr>
            <w:r>
              <w:rPr>
                <w:rFonts w:ascii="Arial" w:cs="Arial" w:eastAsia="Arial" w:hAnsi="Arial"/>
                <w:sz w:val="17"/>
                <w:szCs w:val="17"/>
                <w:color w:val="0000FF"/>
                <w:w w:val="96"/>
              </w:rPr>
              <w:t>10,000</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12.62</w:t>
            </w:r>
          </w:p>
        </w:tc>
        <w:tc>
          <w:tcPr>
            <w:tcW w:w="12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66,600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02/14/2014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10,000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18.94</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56,600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02/14/2014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40"/>
              <w:spacing w:after="0"/>
              <w:rPr>
                <w:sz w:val="20"/>
                <w:szCs w:val="20"/>
                <w:color w:val="auto"/>
              </w:rPr>
            </w:pPr>
            <w:r>
              <w:rPr>
                <w:rFonts w:ascii="Arial" w:cs="Arial" w:eastAsia="Arial" w:hAnsi="Arial"/>
                <w:sz w:val="13"/>
                <w:szCs w:val="13"/>
                <w:color w:val="0000FF"/>
              </w:rPr>
              <w:t>03/01/2014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transactons at prices ranging from $18.70 to $19.28, inclusive. The reporting person undertakes to provide to NN, Inc., any security holder of NN, Inc., or the staff of the Securities and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three annual installments beginning on March 1, 2005, which was the first anniversary of the date on which the option was granted.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Wiliam C. Kelly, Jr., by</w:t>
            </w:r>
          </w:p>
        </w:tc>
        <w:tc>
          <w:tcPr>
            <w:tcW w:w="4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02/18/2014</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2019-12-17T06:01:35Z</dcterms:created>
  <dcterms:modified xsi:type="dcterms:W3CDTF">2019-12-17T06:01:35Z</dcterms:modified>
</cp:coreProperties>
</file>