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ind w:left="140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 of Report (Date of earliest event reported): September 13,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17145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left="4840"/>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5"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65" w:lineRule="exact"/>
        <w:rPr>
          <w:sz w:val="24"/>
          <w:szCs w:val="24"/>
          <w:color w:val="auto"/>
        </w:rPr>
      </w:pPr>
    </w:p>
    <w:tbl>
      <w:tblPr>
        <w:tblLayout w:type="fixed"/>
        <w:tblInd w:w="340" w:type="dxa"/>
        <w:tblCellMar>
          <w:top w:w="0" w:type="dxa"/>
          <w:left w:w="0" w:type="dxa"/>
          <w:bottom w:w="0" w:type="dxa"/>
          <w:right w:w="0" w:type="dxa"/>
        </w:tblCellMar>
      </w:tblPr>
      <w:tr>
        <w:trPr>
          <w:trHeight w:val="253"/>
        </w:trPr>
        <w:tc>
          <w:tcPr>
            <w:tcW w:w="3780" w:type="dxa"/>
            <w:vAlign w:val="bottom"/>
          </w:tcPr>
          <w:p>
            <w:pPr>
              <w:jc w:val="center"/>
              <w:ind w:right="566"/>
              <w:spacing w:after="0"/>
              <w:rPr>
                <w:sz w:val="20"/>
                <w:szCs w:val="20"/>
                <w:color w:val="auto"/>
              </w:rPr>
            </w:pPr>
            <w:r>
              <w:rPr>
                <w:rFonts w:ascii="Arial" w:cs="Arial" w:eastAsia="Arial" w:hAnsi="Arial"/>
                <w:sz w:val="22"/>
                <w:szCs w:val="22"/>
                <w:b w:val="1"/>
                <w:bCs w:val="1"/>
                <w:color w:val="auto"/>
                <w:w w:val="91"/>
              </w:rPr>
              <w:t>Delaware</w:t>
            </w:r>
          </w:p>
        </w:tc>
        <w:tc>
          <w:tcPr>
            <w:tcW w:w="3360" w:type="dxa"/>
            <w:vAlign w:val="bottom"/>
          </w:tcPr>
          <w:p>
            <w:pPr>
              <w:jc w:val="right"/>
              <w:ind w:right="1391"/>
              <w:spacing w:after="0"/>
              <w:rPr>
                <w:sz w:val="20"/>
                <w:szCs w:val="20"/>
                <w:color w:val="auto"/>
              </w:rPr>
            </w:pPr>
            <w:r>
              <w:rPr>
                <w:rFonts w:ascii="Arial" w:cs="Arial" w:eastAsia="Arial" w:hAnsi="Arial"/>
                <w:sz w:val="18"/>
                <w:szCs w:val="18"/>
                <w:b w:val="1"/>
                <w:bCs w:val="1"/>
                <w:color w:val="auto"/>
              </w:rPr>
              <w:t>0-23486</w:t>
            </w:r>
          </w:p>
        </w:tc>
        <w:tc>
          <w:tcPr>
            <w:tcW w:w="3280" w:type="dxa"/>
            <w:vAlign w:val="bottom"/>
          </w:tcPr>
          <w:p>
            <w:pPr>
              <w:jc w:val="right"/>
              <w:ind w:right="705"/>
              <w:spacing w:after="0"/>
              <w:rPr>
                <w:sz w:val="20"/>
                <w:szCs w:val="20"/>
                <w:color w:val="auto"/>
              </w:rPr>
            </w:pPr>
            <w:r>
              <w:rPr>
                <w:rFonts w:ascii="Arial" w:cs="Arial" w:eastAsia="Arial" w:hAnsi="Arial"/>
                <w:sz w:val="18"/>
                <w:szCs w:val="18"/>
                <w:b w:val="1"/>
                <w:bCs w:val="1"/>
                <w:color w:val="auto"/>
              </w:rPr>
              <w:t>62-1096725</w:t>
            </w:r>
          </w:p>
        </w:tc>
      </w:tr>
      <w:tr>
        <w:trPr>
          <w:trHeight w:val="275"/>
        </w:trPr>
        <w:tc>
          <w:tcPr>
            <w:tcW w:w="3780" w:type="dxa"/>
            <w:vAlign w:val="bottom"/>
          </w:tcPr>
          <w:p>
            <w:pPr>
              <w:jc w:val="center"/>
              <w:ind w:right="506"/>
              <w:spacing w:after="0"/>
              <w:rPr>
                <w:sz w:val="20"/>
                <w:szCs w:val="20"/>
                <w:color w:val="auto"/>
              </w:rPr>
            </w:pPr>
            <w:r>
              <w:rPr>
                <w:rFonts w:ascii="Arial" w:cs="Arial" w:eastAsia="Arial" w:hAnsi="Arial"/>
                <w:sz w:val="18"/>
                <w:szCs w:val="18"/>
                <w:color w:val="auto"/>
                <w:w w:val="93"/>
              </w:rPr>
              <w:t>(State or other jurisdiction of incorporation)</w:t>
            </w:r>
          </w:p>
        </w:tc>
        <w:tc>
          <w:tcPr>
            <w:tcW w:w="3360" w:type="dxa"/>
            <w:vAlign w:val="bottom"/>
          </w:tcPr>
          <w:p>
            <w:pPr>
              <w:jc w:val="center"/>
              <w:ind w:right="91"/>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tcPr>
          <w:p>
            <w:pPr>
              <w:jc w:val="center"/>
              <w:ind w:left="705"/>
              <w:spacing w:after="0"/>
              <w:rPr>
                <w:sz w:val="20"/>
                <w:szCs w:val="20"/>
                <w:color w:val="auto"/>
              </w:rPr>
            </w:pPr>
            <w:r>
              <w:rPr>
                <w:rFonts w:ascii="Arial" w:cs="Arial" w:eastAsia="Arial" w:hAnsi="Arial"/>
                <w:sz w:val="22"/>
                <w:szCs w:val="22"/>
                <w:color w:val="auto"/>
                <w:w w:val="94"/>
              </w:rPr>
              <w:t>(</w:t>
            </w:r>
            <w:r>
              <w:rPr>
                <w:rFonts w:ascii="Arial" w:cs="Arial" w:eastAsia="Arial" w:hAnsi="Arial"/>
                <w:sz w:val="18"/>
                <w:szCs w:val="18"/>
                <w:color w:val="auto"/>
                <w:w w:val="94"/>
              </w:rPr>
              <w:t>IRS Employer Identification No.)</w:t>
            </w:r>
          </w:p>
        </w:tc>
      </w:tr>
      <w:tr>
        <w:trPr>
          <w:trHeight w:val="404"/>
        </w:trPr>
        <w:tc>
          <w:tcPr>
            <w:tcW w:w="3780" w:type="dxa"/>
            <w:vAlign w:val="bottom"/>
          </w:tcPr>
          <w:p>
            <w:pPr>
              <w:jc w:val="center"/>
              <w:ind w:right="506"/>
              <w:spacing w:after="0"/>
              <w:rPr>
                <w:sz w:val="20"/>
                <w:szCs w:val="20"/>
                <w:color w:val="auto"/>
              </w:rPr>
            </w:pPr>
            <w:r>
              <w:rPr>
                <w:rFonts w:ascii="Arial" w:cs="Arial" w:eastAsia="Arial" w:hAnsi="Arial"/>
                <w:sz w:val="18"/>
                <w:szCs w:val="18"/>
                <w:b w:val="1"/>
                <w:bCs w:val="1"/>
                <w:color w:val="auto"/>
                <w:w w:val="91"/>
              </w:rPr>
              <w:t>2000 Waters Edge Drive</w:t>
            </w:r>
          </w:p>
        </w:tc>
        <w:tc>
          <w:tcPr>
            <w:tcW w:w="3360" w:type="dxa"/>
            <w:vAlign w:val="bottom"/>
          </w:tcPr>
          <w:p>
            <w:pPr>
              <w:spacing w:after="0"/>
              <w:rPr>
                <w:sz w:val="24"/>
                <w:szCs w:val="24"/>
                <w:color w:val="auto"/>
              </w:rPr>
            </w:pPr>
          </w:p>
        </w:tc>
        <w:tc>
          <w:tcPr>
            <w:tcW w:w="3280" w:type="dxa"/>
            <w:vAlign w:val="bottom"/>
          </w:tcPr>
          <w:p>
            <w:pPr>
              <w:jc w:val="right"/>
              <w:ind w:right="925"/>
              <w:spacing w:after="0"/>
              <w:rPr>
                <w:sz w:val="20"/>
                <w:szCs w:val="20"/>
                <w:color w:val="auto"/>
              </w:rPr>
            </w:pPr>
            <w:r>
              <w:rPr>
                <w:rFonts w:ascii="Arial" w:cs="Arial" w:eastAsia="Arial" w:hAnsi="Arial"/>
                <w:sz w:val="18"/>
                <w:szCs w:val="18"/>
                <w:b w:val="1"/>
                <w:bCs w:val="1"/>
                <w:color w:val="auto"/>
              </w:rPr>
              <w:t>37604</w:t>
            </w:r>
          </w:p>
        </w:tc>
      </w:tr>
      <w:tr>
        <w:trPr>
          <w:trHeight w:val="220"/>
        </w:trPr>
        <w:tc>
          <w:tcPr>
            <w:tcW w:w="3780" w:type="dxa"/>
            <w:vAlign w:val="bottom"/>
          </w:tcPr>
          <w:p>
            <w:pPr>
              <w:jc w:val="center"/>
              <w:ind w:right="546"/>
              <w:spacing w:after="0"/>
              <w:rPr>
                <w:sz w:val="20"/>
                <w:szCs w:val="20"/>
                <w:color w:val="auto"/>
              </w:rPr>
            </w:pPr>
            <w:r>
              <w:rPr>
                <w:rFonts w:ascii="Arial" w:cs="Arial" w:eastAsia="Arial" w:hAnsi="Arial"/>
                <w:sz w:val="18"/>
                <w:szCs w:val="18"/>
                <w:b w:val="1"/>
                <w:bCs w:val="1"/>
                <w:color w:val="auto"/>
                <w:w w:val="85"/>
              </w:rPr>
              <w:t>Johnson City, Tennessee</w:t>
            </w:r>
          </w:p>
        </w:tc>
        <w:tc>
          <w:tcPr>
            <w:tcW w:w="3360" w:type="dxa"/>
            <w:vAlign w:val="bottom"/>
          </w:tcPr>
          <w:p>
            <w:pPr>
              <w:spacing w:after="0"/>
              <w:rPr>
                <w:sz w:val="19"/>
                <w:szCs w:val="19"/>
                <w:color w:val="auto"/>
              </w:rPr>
            </w:pPr>
          </w:p>
        </w:tc>
        <w:tc>
          <w:tcPr>
            <w:tcW w:w="3280" w:type="dxa"/>
            <w:vAlign w:val="bottom"/>
          </w:tcPr>
          <w:p>
            <w:pPr>
              <w:jc w:val="center"/>
              <w:ind w:left="705"/>
              <w:spacing w:after="0"/>
              <w:rPr>
                <w:sz w:val="20"/>
                <w:szCs w:val="20"/>
                <w:color w:val="auto"/>
              </w:rPr>
            </w:pPr>
            <w:r>
              <w:rPr>
                <w:rFonts w:ascii="Arial" w:cs="Arial" w:eastAsia="Arial" w:hAnsi="Arial"/>
                <w:sz w:val="18"/>
                <w:szCs w:val="18"/>
                <w:color w:val="auto"/>
                <w:w w:val="94"/>
              </w:rPr>
              <w:t>(Zip Code)</w:t>
            </w:r>
          </w:p>
        </w:tc>
      </w:tr>
      <w:tr>
        <w:trPr>
          <w:trHeight w:val="230"/>
        </w:trPr>
        <w:tc>
          <w:tcPr>
            <w:tcW w:w="3780" w:type="dxa"/>
            <w:vAlign w:val="bottom"/>
          </w:tcPr>
          <w:p>
            <w:pPr>
              <w:jc w:val="center"/>
              <w:ind w:right="546"/>
              <w:spacing w:after="0"/>
              <w:rPr>
                <w:sz w:val="20"/>
                <w:szCs w:val="20"/>
                <w:color w:val="auto"/>
              </w:rPr>
            </w:pPr>
            <w:r>
              <w:rPr>
                <w:rFonts w:ascii="Arial" w:cs="Arial" w:eastAsia="Arial" w:hAnsi="Arial"/>
                <w:sz w:val="18"/>
                <w:szCs w:val="18"/>
                <w:color w:val="auto"/>
                <w:w w:val="92"/>
              </w:rPr>
              <w:t>(Address of principal executive offices)</w:t>
            </w:r>
          </w:p>
        </w:tc>
        <w:tc>
          <w:tcPr>
            <w:tcW w:w="3360" w:type="dxa"/>
            <w:vAlign w:val="bottom"/>
          </w:tcPr>
          <w:p>
            <w:pPr>
              <w:spacing w:after="0"/>
              <w:rPr>
                <w:sz w:val="20"/>
                <w:szCs w:val="20"/>
                <w:color w:val="auto"/>
              </w:rPr>
            </w:pPr>
          </w:p>
        </w:tc>
        <w:tc>
          <w:tcPr>
            <w:tcW w:w="3280" w:type="dxa"/>
            <w:vAlign w:val="bottom"/>
          </w:tcPr>
          <w:p>
            <w:pPr>
              <w:spacing w:after="0"/>
              <w:rPr>
                <w:sz w:val="20"/>
                <w:szCs w:val="20"/>
                <w:color w:val="auto"/>
              </w:rPr>
            </w:pPr>
          </w:p>
        </w:tc>
      </w:tr>
    </w:tbl>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Registrant's telephone number, including area code: (423) 743-9151</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202" w:lineRule="exact"/>
        <w:rPr>
          <w:sz w:val="24"/>
          <w:szCs w:val="24"/>
          <w:color w:val="auto"/>
        </w:rPr>
      </w:pPr>
    </w:p>
    <w:p>
      <w:pPr>
        <w:ind w:left="200" w:hanging="192"/>
        <w:spacing w:after="0"/>
        <w:tabs>
          <w:tab w:leader="none" w:pos="20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CFT 230.425)</w:t>
      </w:r>
    </w:p>
    <w:p>
      <w:pPr>
        <w:spacing w:after="0" w:line="233" w:lineRule="exact"/>
        <w:rPr>
          <w:rFonts w:ascii="Arial" w:cs="Arial" w:eastAsia="Arial" w:hAnsi="Arial"/>
          <w:sz w:val="22"/>
          <w:szCs w:val="22"/>
          <w:color w:val="auto"/>
        </w:rPr>
      </w:pPr>
    </w:p>
    <w:p>
      <w:pPr>
        <w:ind w:left="200" w:hanging="192"/>
        <w:spacing w:after="0"/>
        <w:tabs>
          <w:tab w:leader="none" w:pos="20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CFT 240.14a-12)</w:t>
      </w:r>
    </w:p>
    <w:p>
      <w:pPr>
        <w:spacing w:after="0" w:line="233" w:lineRule="exact"/>
        <w:rPr>
          <w:rFonts w:ascii="Arial" w:cs="Arial" w:eastAsia="Arial" w:hAnsi="Arial"/>
          <w:sz w:val="22"/>
          <w:szCs w:val="22"/>
          <w:color w:val="auto"/>
        </w:rPr>
      </w:pPr>
    </w:p>
    <w:p>
      <w:pPr>
        <w:ind w:left="160" w:hanging="152"/>
        <w:spacing w:after="0"/>
        <w:tabs>
          <w:tab w:leader="none" w:pos="1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CFT 240.14d-2(b))</w:t>
      </w:r>
    </w:p>
    <w:p>
      <w:pPr>
        <w:spacing w:after="0" w:line="231" w:lineRule="exact"/>
        <w:rPr>
          <w:rFonts w:ascii="Arial" w:cs="Arial" w:eastAsia="Arial" w:hAnsi="Arial"/>
          <w:sz w:val="22"/>
          <w:szCs w:val="22"/>
          <w:color w:val="auto"/>
        </w:rPr>
      </w:pPr>
    </w:p>
    <w:p>
      <w:pPr>
        <w:ind w:left="200" w:hanging="192"/>
        <w:spacing w:after="0"/>
        <w:tabs>
          <w:tab w:leader="none" w:pos="20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CFT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1002665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1328420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549"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announced a $25 million share repurchase program which became effective for one year beginning September 13, 2007.</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480" w:type="dxa"/>
            <w:vAlign w:val="bottom"/>
          </w:tcPr>
          <w:p>
            <w:pPr>
              <w:spacing w:after="0"/>
              <w:rPr>
                <w:sz w:val="19"/>
                <w:szCs w:val="19"/>
                <w:color w:val="auto"/>
              </w:rPr>
            </w:pPr>
          </w:p>
        </w:tc>
      </w:tr>
      <w:tr>
        <w:trPr>
          <w:trHeight w:val="184"/>
        </w:trPr>
        <w:tc>
          <w:tcPr>
            <w:tcW w:w="1260" w:type="dxa"/>
            <w:vAlign w:val="bottom"/>
            <w:gridSpan w:val="2"/>
          </w:tcPr>
          <w:p>
            <w:pPr>
              <w:spacing w:after="0" w:line="184" w:lineRule="exact"/>
              <w:rPr>
                <w:sz w:val="20"/>
                <w:szCs w:val="20"/>
                <w:color w:val="auto"/>
              </w:rPr>
            </w:pPr>
            <w:r>
              <w:rPr>
                <w:rFonts w:ascii="Arial" w:cs="Arial" w:eastAsia="Arial" w:hAnsi="Arial"/>
                <w:sz w:val="18"/>
                <w:szCs w:val="18"/>
                <w:color w:val="auto"/>
              </w:rPr>
              <w:t>Exhibit Number</w:t>
            </w:r>
          </w:p>
        </w:tc>
        <w:tc>
          <w:tcPr>
            <w:tcW w:w="10160" w:type="dxa"/>
            <w:vAlign w:val="bottom"/>
            <w:gridSpan w:val="3"/>
          </w:tcPr>
          <w:p>
            <w:pPr>
              <w:ind w:left="100"/>
              <w:spacing w:after="0" w:line="184" w:lineRule="exact"/>
              <w:rPr>
                <w:sz w:val="20"/>
                <w:szCs w:val="20"/>
                <w:color w:val="auto"/>
              </w:rPr>
            </w:pPr>
            <w:r>
              <w:rPr>
                <w:rFonts w:ascii="Arial" w:cs="Arial" w:eastAsia="Arial" w:hAnsi="Arial"/>
                <w:sz w:val="18"/>
                <w:szCs w:val="18"/>
                <w:color w:val="auto"/>
              </w:rPr>
              <w:t>Description of Exhibit</w:t>
            </w:r>
          </w:p>
        </w:tc>
      </w:tr>
      <w:tr>
        <w:trPr>
          <w:trHeight w:val="20"/>
        </w:trPr>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60" w:type="dxa"/>
            <w:vAlign w:val="bottom"/>
            <w:gridSpan w:val="2"/>
          </w:tcPr>
          <w:p>
            <w:pPr>
              <w:ind w:left="80"/>
              <w:spacing w:after="0"/>
              <w:rPr>
                <w:sz w:val="20"/>
                <w:szCs w:val="20"/>
                <w:color w:val="auto"/>
              </w:rPr>
            </w:pPr>
            <w:r>
              <w:rPr>
                <w:rFonts w:ascii="Arial" w:cs="Arial" w:eastAsia="Arial" w:hAnsi="Arial"/>
                <w:sz w:val="18"/>
                <w:szCs w:val="18"/>
                <w:color w:val="auto"/>
              </w:rPr>
              <w:t>Press Release of NN, Inc. dated September 13, 2007</w:t>
            </w:r>
          </w:p>
        </w:tc>
      </w:tr>
      <w:tr>
        <w:trPr>
          <w:trHeight w:val="4494"/>
        </w:trPr>
        <w:tc>
          <w:tcPr>
            <w:tcW w:w="1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8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September 13, 2007</w:t>
      </w:r>
      <w:r>
        <w:rPr>
          <w:sz w:val="20"/>
          <w:szCs w:val="20"/>
          <w:color w:val="auto"/>
        </w:rPr>
        <w:tab/>
      </w: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James H. Dorton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 - Corporate Development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940"/>
          </w:cols>
          <w:pgMar w:left="240" w:top="607" w:right="719" w:bottom="1440" w:gutter="0" w:footer="0" w:header="0"/>
        </w:sectPr>
      </w:pPr>
    </w:p>
    <w:bookmarkStart w:id="3" w:name="page4"/>
    <w:bookmarkEnd w:id="3"/>
    <w:p>
      <w:pPr>
        <w:ind w:left="10300"/>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ind w:left="9340"/>
        <w:spacing w:after="0"/>
        <w:rPr>
          <w:sz w:val="20"/>
          <w:szCs w:val="20"/>
          <w:color w:val="auto"/>
        </w:rPr>
      </w:pPr>
      <w:r>
        <w:rPr>
          <w:rFonts w:ascii="Arial" w:cs="Arial" w:eastAsia="Arial" w:hAnsi="Arial"/>
          <w:sz w:val="81"/>
          <w:szCs w:val="81"/>
          <w:color w:val="auto"/>
        </w:rPr>
        <w:t>news</w:t>
      </w:r>
    </w:p>
    <w:p>
      <w:pPr>
        <w:spacing w:after="0" w:line="5" w:lineRule="exact"/>
        <w:rPr>
          <w:sz w:val="20"/>
          <w:szCs w:val="20"/>
          <w:color w:val="auto"/>
        </w:rPr>
      </w:pPr>
    </w:p>
    <w:p>
      <w:pPr>
        <w:ind w:left="280" w:hanging="272"/>
        <w:spacing w:after="0"/>
        <w:tabs>
          <w:tab w:leader="none" w:pos="280" w:val="left"/>
        </w:tabs>
        <w:numPr>
          <w:ilvl w:val="0"/>
          <w:numId w:val="2"/>
        </w:numPr>
        <w:rPr>
          <w:rFonts w:ascii="Arial" w:cs="Arial" w:eastAsia="Arial" w:hAnsi="Arial"/>
          <w:sz w:val="25"/>
          <w:szCs w:val="25"/>
          <w:b w:val="1"/>
          <w:bCs w:val="1"/>
          <w:color w:val="auto"/>
        </w:rPr>
      </w:pPr>
      <w:r>
        <w:rPr>
          <w:rFonts w:ascii="Arial" w:cs="Arial" w:eastAsia="Arial" w:hAnsi="Arial"/>
          <w:sz w:val="25"/>
          <w:szCs w:val="25"/>
          <w:b w:val="1"/>
          <w:bCs w:val="1"/>
          <w:color w:val="auto"/>
        </w:rPr>
        <w:t>F I N A N C I A L</w:t>
      </w:r>
    </w:p>
    <w:p>
      <w:pPr>
        <w:spacing w:after="0" w:line="9" w:lineRule="exact"/>
        <w:rPr>
          <w:rFonts w:ascii="Arial" w:cs="Arial" w:eastAsia="Arial" w:hAnsi="Arial"/>
          <w:sz w:val="25"/>
          <w:szCs w:val="25"/>
          <w:b w:val="1"/>
          <w:bCs w:val="1"/>
          <w:color w:val="auto"/>
        </w:rPr>
      </w:pPr>
    </w:p>
    <w:p>
      <w:pPr>
        <w:ind w:left="280" w:hanging="272"/>
        <w:spacing w:after="0"/>
        <w:tabs>
          <w:tab w:leader="none" w:pos="280" w:val="left"/>
        </w:tabs>
        <w:numPr>
          <w:ilvl w:val="0"/>
          <w:numId w:val="2"/>
        </w:numPr>
        <w:rPr>
          <w:rFonts w:ascii="Arial" w:cs="Arial" w:eastAsia="Arial" w:hAnsi="Arial"/>
          <w:sz w:val="25"/>
          <w:szCs w:val="25"/>
          <w:b w:val="1"/>
          <w:bCs w:val="1"/>
          <w:color w:val="auto"/>
        </w:rPr>
      </w:pPr>
      <w:r>
        <w:rPr>
          <w:rFonts w:ascii="Arial" w:cs="Arial" w:eastAsia="Arial" w:hAnsi="Arial"/>
          <w:sz w:val="25"/>
          <w:szCs w:val="25"/>
          <w:b w:val="1"/>
          <w:bCs w:val="1"/>
          <w:color w:val="auto"/>
        </w:rPr>
        <w:t>RELATIONS BOARD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Value Added Communications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00" w:type="dxa"/>
            <w:vAlign w:val="bottom"/>
            <w:gridSpan w:val="2"/>
          </w:tcPr>
          <w:p>
            <w:pPr>
              <w:ind w:left="1140"/>
              <w:spacing w:after="0"/>
              <w:rPr>
                <w:sz w:val="20"/>
                <w:szCs w:val="20"/>
                <w:color w:val="auto"/>
              </w:rPr>
            </w:pPr>
            <w:r>
              <w:rPr>
                <w:rFonts w:ascii="Arial" w:cs="Arial" w:eastAsia="Arial" w:hAnsi="Arial"/>
                <w:sz w:val="18"/>
                <w:szCs w:val="18"/>
                <w:color w:val="auto"/>
              </w:rPr>
              <w:t>RE: NN, Inc.</w:t>
            </w:r>
          </w:p>
        </w:tc>
      </w:tr>
      <w:tr>
        <w:trPr>
          <w:trHeight w:val="216"/>
        </w:trPr>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2000 Waters Edge Drive</w:t>
            </w:r>
          </w:p>
        </w:tc>
      </w:tr>
      <w:tr>
        <w:trPr>
          <w:trHeight w:val="216"/>
        </w:trPr>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&amp;#</w:t>
            </w:r>
          </w:p>
        </w:tc>
      </w:t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160;</w:t>
            </w:r>
          </w:p>
        </w:tc>
        <w:tc>
          <w:tcPr>
            <w:tcW w:w="2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800" w:type="dxa"/>
            <w:vAlign w:val="bottom"/>
            <w:gridSpan w:val="3"/>
          </w:tcPr>
          <w:p>
            <w:pPr>
              <w:jc w:val="right"/>
              <w:ind w:right="2860"/>
              <w:spacing w:after="0"/>
              <w:rPr>
                <w:sz w:val="20"/>
                <w:szCs w:val="20"/>
                <w:color w:val="auto"/>
              </w:rPr>
            </w:pPr>
            <w:r>
              <w:rPr>
                <w:rFonts w:ascii="Arial" w:cs="Arial" w:eastAsia="Arial" w:hAnsi="Arial"/>
                <w:sz w:val="18"/>
                <w:szCs w:val="18"/>
                <w:color w:val="auto"/>
                <w:w w:val="99"/>
              </w:rPr>
              <w:t>Johnson City, TN 37604</w:t>
            </w:r>
          </w:p>
        </w:tc>
      </w:tr>
      <w:tr>
        <w:trPr>
          <w:trHeight w:val="702"/>
        </w:trPr>
        <w:tc>
          <w:tcPr>
            <w:tcW w:w="4640" w:type="dxa"/>
            <w:vAlign w:val="bottom"/>
            <w:gridSpan w:val="3"/>
          </w:tcPr>
          <w:p>
            <w:pPr>
              <w:spacing w:after="0"/>
              <w:rPr>
                <w:sz w:val="20"/>
                <w:szCs w:val="20"/>
                <w:color w:val="auto"/>
              </w:rPr>
            </w:pPr>
            <w:r>
              <w:rPr>
                <w:rFonts w:ascii="Arial" w:cs="Arial" w:eastAsia="Arial" w:hAnsi="Arial"/>
                <w:sz w:val="18"/>
                <w:szCs w:val="18"/>
                <w:color w:val="auto"/>
              </w:rPr>
              <w:t>FOR FURTHER INFORMATION:</w:t>
            </w:r>
          </w:p>
        </w:tc>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9"/>
        </w:trPr>
        <w:tc>
          <w:tcPr>
            <w:tcW w:w="6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AT THE COMPANY:</w:t>
            </w:r>
          </w:p>
        </w:tc>
        <w:tc>
          <w:tcPr>
            <w:tcW w:w="1980" w:type="dxa"/>
            <w:vAlign w:val="bottom"/>
          </w:tcPr>
          <w:p>
            <w:pPr>
              <w:spacing w:after="0"/>
              <w:rPr>
                <w:sz w:val="24"/>
                <w:szCs w:val="24"/>
                <w:color w:val="auto"/>
              </w:rPr>
            </w:pPr>
          </w:p>
        </w:tc>
        <w:tc>
          <w:tcPr>
            <w:tcW w:w="4800" w:type="dxa"/>
            <w:vAlign w:val="bottom"/>
            <w:gridSpan w:val="3"/>
          </w:tcPr>
          <w:p>
            <w:pPr>
              <w:jc w:val="right"/>
              <w:ind w:right="1720"/>
              <w:spacing w:after="0"/>
              <w:rPr>
                <w:sz w:val="20"/>
                <w:szCs w:val="20"/>
                <w:color w:val="auto"/>
              </w:rPr>
            </w:pPr>
            <w:r>
              <w:rPr>
                <w:rFonts w:ascii="Arial" w:cs="Arial" w:eastAsia="Arial" w:hAnsi="Arial"/>
                <w:sz w:val="18"/>
                <w:szCs w:val="18"/>
                <w:b w:val="1"/>
                <w:bCs w:val="1"/>
                <w:color w:val="auto"/>
                <w:w w:val="99"/>
              </w:rPr>
              <w:t>AT FINANCIAL RELATIONS BOARD</w:t>
            </w:r>
          </w:p>
        </w:tc>
      </w:tr>
      <w:tr>
        <w:trPr>
          <w:trHeight w:val="20"/>
        </w:trPr>
        <w:tc>
          <w:tcPr>
            <w:tcW w:w="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rPr>
              <w:t>Will Kelly</w:t>
            </w:r>
          </w:p>
        </w:tc>
        <w:tc>
          <w:tcPr>
            <w:tcW w:w="2920" w:type="dxa"/>
            <w:vAlign w:val="bottom"/>
          </w:tcPr>
          <w:p>
            <w:pPr>
              <w:spacing w:after="0"/>
              <w:rPr>
                <w:sz w:val="19"/>
                <w:szCs w:val="19"/>
                <w:color w:val="auto"/>
              </w:rPr>
            </w:pPr>
          </w:p>
        </w:tc>
        <w:tc>
          <w:tcPr>
            <w:tcW w:w="3080" w:type="dxa"/>
            <w:vAlign w:val="bottom"/>
            <w:gridSpan w:val="2"/>
          </w:tcPr>
          <w:p>
            <w:pPr>
              <w:ind w:left="1120"/>
              <w:spacing w:after="0"/>
              <w:rPr>
                <w:sz w:val="20"/>
                <w:szCs w:val="20"/>
                <w:color w:val="auto"/>
              </w:rPr>
            </w:pPr>
            <w:r>
              <w:rPr>
                <w:rFonts w:ascii="Arial" w:cs="Arial" w:eastAsia="Arial" w:hAnsi="Arial"/>
                <w:sz w:val="18"/>
                <w:szCs w:val="18"/>
                <w:color w:val="auto"/>
              </w:rPr>
              <w:t>Marilynn Meek</w:t>
            </w:r>
          </w:p>
        </w:tc>
        <w:tc>
          <w:tcPr>
            <w:tcW w:w="3700" w:type="dxa"/>
            <w:vAlign w:val="bottom"/>
            <w:gridSpan w:val="2"/>
          </w:tcPr>
          <w:p>
            <w:pPr>
              <w:ind w:left="820"/>
              <w:spacing w:after="0"/>
              <w:rPr>
                <w:sz w:val="20"/>
                <w:szCs w:val="20"/>
                <w:color w:val="auto"/>
              </w:rPr>
            </w:pPr>
            <w:r>
              <w:rPr>
                <w:rFonts w:ascii="Arial" w:cs="Arial" w:eastAsia="Arial" w:hAnsi="Arial"/>
                <w:sz w:val="18"/>
                <w:szCs w:val="18"/>
                <w:color w:val="auto"/>
              </w:rPr>
              <w:t>Susan Garland</w:t>
            </w:r>
          </w:p>
        </w:tc>
      </w:tr>
      <w:tr>
        <w:trPr>
          <w:trHeight w:val="216"/>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Vice President and Chief Administrative Officer</w:t>
            </w:r>
          </w:p>
        </w:tc>
        <w:tc>
          <w:tcPr>
            <w:tcW w:w="3080" w:type="dxa"/>
            <w:vAlign w:val="bottom"/>
            <w:gridSpan w:val="2"/>
          </w:tcPr>
          <w:p>
            <w:pPr>
              <w:ind w:left="1180"/>
              <w:spacing w:after="0"/>
              <w:rPr>
                <w:sz w:val="20"/>
                <w:szCs w:val="20"/>
                <w:color w:val="auto"/>
              </w:rPr>
            </w:pPr>
            <w:r>
              <w:rPr>
                <w:rFonts w:ascii="Arial" w:cs="Arial" w:eastAsia="Arial" w:hAnsi="Arial"/>
                <w:sz w:val="18"/>
                <w:szCs w:val="18"/>
                <w:color w:val="auto"/>
              </w:rPr>
              <w:t>(General info)</w:t>
            </w:r>
          </w:p>
        </w:tc>
        <w:tc>
          <w:tcPr>
            <w:tcW w:w="3700" w:type="dxa"/>
            <w:vAlign w:val="bottom"/>
            <w:gridSpan w:val="2"/>
          </w:tcPr>
          <w:p>
            <w:pPr>
              <w:ind w:left="820"/>
              <w:spacing w:after="0"/>
              <w:rPr>
                <w:sz w:val="20"/>
                <w:szCs w:val="20"/>
                <w:color w:val="auto"/>
              </w:rPr>
            </w:pPr>
            <w:r>
              <w:rPr>
                <w:rFonts w:ascii="Arial" w:cs="Arial" w:eastAsia="Arial" w:hAnsi="Arial"/>
                <w:sz w:val="18"/>
                <w:szCs w:val="18"/>
                <w:color w:val="auto"/>
              </w:rPr>
              <w:t>(Analyst info)</w:t>
            </w:r>
          </w:p>
        </w:tc>
      </w:tr>
      <w:tr>
        <w:trPr>
          <w:trHeight w:val="230"/>
        </w:trPr>
        <w:tc>
          <w:tcPr>
            <w:tcW w:w="1720" w:type="dxa"/>
            <w:vAlign w:val="bottom"/>
            <w:gridSpan w:val="2"/>
          </w:tcPr>
          <w:p>
            <w:pPr>
              <w:ind w:left="60"/>
              <w:spacing w:after="0"/>
              <w:rPr>
                <w:sz w:val="20"/>
                <w:szCs w:val="20"/>
                <w:color w:val="auto"/>
              </w:rPr>
            </w:pPr>
            <w:r>
              <w:rPr>
                <w:rFonts w:ascii="Arial" w:cs="Arial" w:eastAsia="Arial" w:hAnsi="Arial"/>
                <w:sz w:val="18"/>
                <w:szCs w:val="18"/>
                <w:color w:val="auto"/>
              </w:rPr>
              <w:t>(423) 743-9151</w:t>
            </w:r>
          </w:p>
        </w:tc>
        <w:tc>
          <w:tcPr>
            <w:tcW w:w="2920" w:type="dxa"/>
            <w:vAlign w:val="bottom"/>
          </w:tcPr>
          <w:p>
            <w:pPr>
              <w:spacing w:after="0"/>
              <w:rPr>
                <w:sz w:val="20"/>
                <w:szCs w:val="20"/>
                <w:color w:val="auto"/>
              </w:rPr>
            </w:pPr>
          </w:p>
        </w:tc>
        <w:tc>
          <w:tcPr>
            <w:tcW w:w="3080" w:type="dxa"/>
            <w:vAlign w:val="bottom"/>
            <w:gridSpan w:val="2"/>
          </w:tcPr>
          <w:p>
            <w:pPr>
              <w:ind w:left="1120"/>
              <w:spacing w:after="0"/>
              <w:rPr>
                <w:sz w:val="20"/>
                <w:szCs w:val="20"/>
                <w:color w:val="auto"/>
              </w:rPr>
            </w:pPr>
            <w:r>
              <w:rPr>
                <w:rFonts w:ascii="Arial" w:cs="Arial" w:eastAsia="Arial" w:hAnsi="Arial"/>
                <w:sz w:val="18"/>
                <w:szCs w:val="18"/>
                <w:color w:val="auto"/>
              </w:rPr>
              <w:t>212-827-3773</w:t>
            </w:r>
          </w:p>
        </w:tc>
        <w:tc>
          <w:tcPr>
            <w:tcW w:w="1980" w:type="dxa"/>
            <w:vAlign w:val="bottom"/>
          </w:tcPr>
          <w:p>
            <w:pPr>
              <w:ind w:left="820"/>
              <w:spacing w:after="0"/>
              <w:rPr>
                <w:sz w:val="20"/>
                <w:szCs w:val="20"/>
                <w:color w:val="auto"/>
              </w:rPr>
            </w:pPr>
            <w:r>
              <w:rPr>
                <w:rFonts w:ascii="Arial" w:cs="Arial" w:eastAsia="Arial" w:hAnsi="Arial"/>
                <w:sz w:val="18"/>
                <w:szCs w:val="18"/>
                <w:color w:val="auto"/>
              </w:rPr>
              <w:t>212-827-3775</w:t>
            </w:r>
          </w:p>
        </w:tc>
        <w:tc>
          <w:tcPr>
            <w:tcW w:w="172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2007</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ANNOUNCES NEW $25 MILLION SHARE REPURCHASE PROGRAM</w:t>
      </w:r>
    </w:p>
    <w:p>
      <w:pPr>
        <w:spacing w:after="0" w:line="200" w:lineRule="exact"/>
        <w:rPr>
          <w:sz w:val="20"/>
          <w:szCs w:val="20"/>
          <w:color w:val="auto"/>
        </w:rPr>
      </w:pPr>
    </w:p>
    <w:p>
      <w:pPr>
        <w:spacing w:after="0" w:line="268"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Johnson City, Tenn, September 13, 2007 </w:t>
      </w:r>
      <w:r>
        <w:rPr>
          <w:rFonts w:ascii="Arial" w:cs="Arial" w:eastAsia="Arial" w:hAnsi="Arial"/>
          <w:sz w:val="17"/>
          <w:szCs w:val="17"/>
          <w:color w:val="auto"/>
        </w:rPr>
        <w:t>– NN, Inc. (Nasdaq: NNBR) today announced that its Board of Directors has authorized a new share repurchase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The current $10 million share repurchase program was initiated in February 2006 and will expire this month. To date, the Company has purchased approximately $7 million worth of its common shares in open market transactions under the existing $10 million program.</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new share repurchase program will be in effect for a period of one year beginning on September 13, 2007, and the amount approved for purchase, from this date until the expiration of the program, will be $25 million worth of shares to be purchased in the open market from time to time in accordance with market regulations.</w:t>
      </w:r>
    </w:p>
    <w:p>
      <w:pPr>
        <w:spacing w:after="0" w:line="20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14 manufacturing plants in the United States, Europe and China. NN, Inc. had sales of US $330 million in 2006.</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2019-12-11T22:48:10Z</dcterms:created>
  <dcterms:modified xsi:type="dcterms:W3CDTF">2019-12-11T22:48:10Z</dcterms:modified>
</cp:coreProperties>
</file>