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97"/>
        <w:spacing w:after="0"/>
        <w:rPr>
          <w:sz w:val="20"/>
          <w:szCs w:val="20"/>
          <w:color w:val="auto"/>
        </w:rPr>
      </w:pPr>
      <w:r>
        <w:rPr>
          <w:rFonts w:ascii="Courier New" w:cs="Courier New" w:eastAsia="Courier New" w:hAnsi="Courier New"/>
          <w:sz w:val="16"/>
          <w:szCs w:val="16"/>
          <w:color w:val="auto"/>
        </w:rPr>
        <w:t>UNITED STATES</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WASHINGTON, D.C. 20549</w:t>
      </w:r>
    </w:p>
    <w:p>
      <w:pPr>
        <w:spacing w:after="0" w:line="200" w:lineRule="exact"/>
        <w:rPr>
          <w:sz w:val="24"/>
          <w:szCs w:val="24"/>
          <w:color w:val="auto"/>
        </w:rPr>
      </w:pPr>
    </w:p>
    <w:p>
      <w:pPr>
        <w:spacing w:after="0" w:line="352" w:lineRule="exact"/>
        <w:rPr>
          <w:sz w:val="24"/>
          <w:szCs w:val="24"/>
          <w:color w:val="auto"/>
        </w:rPr>
      </w:pPr>
    </w:p>
    <w:p>
      <w:pPr>
        <w:ind w:left="3342"/>
        <w:spacing w:after="0"/>
        <w:rPr>
          <w:sz w:val="20"/>
          <w:szCs w:val="20"/>
          <w:color w:val="auto"/>
        </w:rPr>
      </w:pPr>
      <w:r>
        <w:rPr>
          <w:rFonts w:ascii="Courier New" w:cs="Courier New" w:eastAsia="Courier New" w:hAnsi="Courier New"/>
          <w:sz w:val="16"/>
          <w:szCs w:val="16"/>
          <w:color w:val="auto"/>
        </w:rPr>
        <w:t>FORM 8-K/A</w:t>
      </w:r>
    </w:p>
    <w:p>
      <w:pPr>
        <w:spacing w:after="0" w:line="200" w:lineRule="exact"/>
        <w:rPr>
          <w:sz w:val="24"/>
          <w:szCs w:val="24"/>
          <w:color w:val="auto"/>
        </w:rPr>
      </w:pPr>
    </w:p>
    <w:p>
      <w:pPr>
        <w:spacing w:after="0" w:line="352" w:lineRule="exact"/>
        <w:rPr>
          <w:sz w:val="24"/>
          <w:szCs w:val="24"/>
          <w:color w:val="auto"/>
        </w:rPr>
      </w:pPr>
    </w:p>
    <w:p>
      <w:pPr>
        <w:jc w:val="center"/>
        <w:ind w:right="2497"/>
        <w:spacing w:after="0"/>
        <w:rPr>
          <w:sz w:val="20"/>
          <w:szCs w:val="20"/>
          <w:color w:val="auto"/>
        </w:rPr>
      </w:pPr>
      <w:r>
        <w:rPr>
          <w:rFonts w:ascii="Courier New" w:cs="Courier New" w:eastAsia="Courier New" w:hAnsi="Courier New"/>
          <w:sz w:val="16"/>
          <w:szCs w:val="16"/>
          <w:color w:val="auto"/>
        </w:rPr>
        <w:t>CURRENT REPORT FOR ISSUERS SUBJECT TO THE</w:t>
      </w:r>
    </w:p>
    <w:p>
      <w:pPr>
        <w:spacing w:after="0" w:line="2" w:lineRule="exact"/>
        <w:rPr>
          <w:sz w:val="24"/>
          <w:szCs w:val="24"/>
          <w:color w:val="auto"/>
        </w:rPr>
      </w:pPr>
    </w:p>
    <w:p>
      <w:pPr>
        <w:jc w:val="center"/>
        <w:ind w:right="2497"/>
        <w:spacing w:after="0"/>
        <w:rPr>
          <w:sz w:val="20"/>
          <w:szCs w:val="20"/>
          <w:color w:val="auto"/>
        </w:rPr>
      </w:pPr>
      <w:r>
        <w:rPr>
          <w:rFonts w:ascii="Courier New" w:cs="Courier New" w:eastAsia="Courier New" w:hAnsi="Courier New"/>
          <w:sz w:val="16"/>
          <w:szCs w:val="16"/>
          <w:color w:val="auto"/>
        </w:rPr>
        <w:t>1934 REPORTING REQUIREMENTS</w:t>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left="2002"/>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2" w:lineRule="exact"/>
        <w:rPr>
          <w:sz w:val="24"/>
          <w:szCs w:val="24"/>
          <w:color w:val="auto"/>
        </w:rPr>
      </w:pPr>
    </w:p>
    <w:p>
      <w:pPr>
        <w:ind w:left="2382"/>
        <w:spacing w:after="0"/>
        <w:rPr>
          <w:sz w:val="20"/>
          <w:szCs w:val="20"/>
          <w:color w:val="auto"/>
        </w:rPr>
      </w:pPr>
      <w:r>
        <w:rPr>
          <w:rFonts w:ascii="Courier New" w:cs="Courier New" w:eastAsia="Courier New" w:hAnsi="Courier New"/>
          <w:sz w:val="16"/>
          <w:szCs w:val="16"/>
          <w:color w:val="auto"/>
        </w:rPr>
        <w:t>Securities Exchange Act of 1934</w:t>
      </w:r>
    </w:p>
    <w:p>
      <w:pPr>
        <w:spacing w:after="0" w:line="200" w:lineRule="exact"/>
        <w:rPr>
          <w:sz w:val="24"/>
          <w:szCs w:val="24"/>
          <w:color w:val="auto"/>
        </w:rPr>
      </w:pPr>
    </w:p>
    <w:p>
      <w:pPr>
        <w:spacing w:after="0" w:line="352" w:lineRule="exact"/>
        <w:rPr>
          <w:sz w:val="24"/>
          <w:szCs w:val="24"/>
          <w:color w:val="auto"/>
        </w:rPr>
      </w:pPr>
    </w:p>
    <w:p>
      <w:pPr>
        <w:ind w:left="2"/>
        <w:spacing w:after="0"/>
        <w:tabs>
          <w:tab w:leader="none" w:pos="5982" w:val="left"/>
        </w:tabs>
        <w:rPr>
          <w:sz w:val="20"/>
          <w:szCs w:val="20"/>
          <w:color w:val="auto"/>
        </w:rPr>
      </w:pPr>
      <w:r>
        <w:rPr>
          <w:rFonts w:ascii="Courier New" w:cs="Courier New" w:eastAsia="Courier New" w:hAnsi="Courier New"/>
          <w:sz w:val="16"/>
          <w:szCs w:val="16"/>
          <w:color w:val="auto"/>
        </w:rPr>
        <w:t>Date of Report (Date of earliest event reported)</w:t>
      </w:r>
      <w:r>
        <w:rPr>
          <w:sz w:val="20"/>
          <w:szCs w:val="20"/>
          <w:color w:val="auto"/>
        </w:rPr>
        <w:tab/>
      </w:r>
      <w:r>
        <w:rPr>
          <w:rFonts w:ascii="Courier New" w:cs="Courier New" w:eastAsia="Courier New" w:hAnsi="Courier New"/>
          <w:sz w:val="16"/>
          <w:szCs w:val="16"/>
          <w:color w:val="auto"/>
        </w:rPr>
        <w:t>July 6, 1999</w:t>
      </w:r>
    </w:p>
    <w:p>
      <w:pPr>
        <w:spacing w:after="0" w:line="369"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NN BALL &amp; ROLLER, INC.</w:t>
      </w:r>
    </w:p>
    <w:p>
      <w:pPr>
        <w:spacing w:after="0" w:line="5" w:lineRule="exact"/>
        <w:rPr>
          <w:sz w:val="24"/>
          <w:szCs w:val="24"/>
          <w:color w:val="auto"/>
        </w:rPr>
      </w:pPr>
    </w:p>
    <w:p>
      <w:pPr>
        <w:ind w:left="182" w:hanging="182"/>
        <w:spacing w:after="0"/>
        <w:tabs>
          <w:tab w:leader="none" w:pos="1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(Exact name of registrant as specified in its charter)</w:t>
      </w:r>
    </w:p>
    <w:p>
      <w:pPr>
        <w:spacing w:after="0" w:line="369" w:lineRule="exact"/>
        <w:rPr>
          <w:sz w:val="24"/>
          <w:szCs w:val="24"/>
          <w:color w:val="auto"/>
        </w:rPr>
      </w:pPr>
    </w:p>
    <w:tbl>
      <w:tblPr>
        <w:tblLayout w:type="fixed"/>
        <w:tblInd w:w="2" w:type="dxa"/>
        <w:tblCellMar>
          <w:top w:w="0" w:type="dxa"/>
          <w:left w:w="0" w:type="dxa"/>
          <w:bottom w:w="0" w:type="dxa"/>
          <w:right w:w="0" w:type="dxa"/>
        </w:tblCellMar>
      </w:tblPr>
      <w:tr>
        <w:trPr>
          <w:trHeight w:val="181"/>
        </w:trPr>
        <w:tc>
          <w:tcPr>
            <w:tcW w:w="204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29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0-23485</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62-1096725</w:t>
            </w:r>
          </w:p>
        </w:tc>
      </w:tr>
    </w:tbl>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4"/>
          <w:szCs w:val="24"/>
          <w:color w:val="auto"/>
        </w:rPr>
      </w:pPr>
    </w:p>
    <w:p>
      <w:pPr>
        <w:ind w:left="2"/>
        <w:spacing w:after="0"/>
        <w:tabs>
          <w:tab w:leader="none" w:pos="3122" w:val="left"/>
          <w:tab w:leader="none" w:pos="5902" w:val="left"/>
        </w:tabs>
        <w:rPr>
          <w:sz w:val="20"/>
          <w:szCs w:val="20"/>
          <w:color w:val="auto"/>
        </w:rPr>
      </w:pPr>
      <w:r>
        <w:rPr>
          <w:rFonts w:ascii="Courier New" w:cs="Courier New" w:eastAsia="Courier New" w:hAnsi="Courier New"/>
          <w:sz w:val="16"/>
          <w:szCs w:val="16"/>
          <w:color w:val="auto"/>
        </w:rPr>
        <w:t>(State or Other Jurisdiction</w:t>
      </w:r>
      <w:r>
        <w:rPr>
          <w:sz w:val="20"/>
          <w:szCs w:val="20"/>
          <w:color w:val="auto"/>
        </w:rPr>
        <w:tab/>
      </w:r>
      <w:r>
        <w:rPr>
          <w:rFonts w:ascii="Courier New" w:cs="Courier New" w:eastAsia="Courier New" w:hAnsi="Courier New"/>
          <w:sz w:val="16"/>
          <w:szCs w:val="16"/>
          <w:color w:val="auto"/>
        </w:rPr>
        <w:t>(Commission</w:t>
      </w:r>
      <w:r>
        <w:rPr>
          <w:sz w:val="20"/>
          <w:szCs w:val="20"/>
          <w:color w:val="auto"/>
        </w:rPr>
        <w:tab/>
      </w:r>
      <w:r>
        <w:rPr>
          <w:rFonts w:ascii="Courier New" w:cs="Courier New" w:eastAsia="Courier New" w:hAnsi="Courier New"/>
          <w:sz w:val="15"/>
          <w:szCs w:val="15"/>
          <w:color w:val="auto"/>
        </w:rPr>
        <w:t>(IRS Employer</w:t>
      </w:r>
    </w:p>
    <w:p>
      <w:pPr>
        <w:spacing w:after="0" w:line="2" w:lineRule="exact"/>
        <w:rPr>
          <w:sz w:val="24"/>
          <w:szCs w:val="24"/>
          <w:color w:val="auto"/>
        </w:rPr>
      </w:pPr>
    </w:p>
    <w:p>
      <w:pPr>
        <w:ind w:left="582"/>
        <w:spacing w:after="0"/>
        <w:tabs>
          <w:tab w:leader="none" w:pos="3222" w:val="left"/>
          <w:tab w:leader="none" w:pos="5502" w:val="left"/>
        </w:tabs>
        <w:rPr>
          <w:sz w:val="20"/>
          <w:szCs w:val="20"/>
          <w:color w:val="auto"/>
        </w:rPr>
      </w:pPr>
      <w:r>
        <w:rPr>
          <w:rFonts w:ascii="Courier New" w:cs="Courier New" w:eastAsia="Courier New" w:hAnsi="Courier New"/>
          <w:sz w:val="16"/>
          <w:szCs w:val="16"/>
          <w:color w:val="auto"/>
        </w:rPr>
        <w:t>of Incorporation)</w:t>
      </w:r>
      <w:r>
        <w:rPr>
          <w:sz w:val="20"/>
          <w:szCs w:val="20"/>
          <w:color w:val="auto"/>
        </w:rPr>
        <w:tab/>
      </w:r>
      <w:r>
        <w:rPr>
          <w:rFonts w:ascii="Courier New" w:cs="Courier New" w:eastAsia="Courier New" w:hAnsi="Courier New"/>
          <w:sz w:val="16"/>
          <w:szCs w:val="16"/>
          <w:color w:val="auto"/>
        </w:rPr>
        <w:t>File Number)</w:t>
      </w:r>
      <w:r>
        <w:rPr>
          <w:sz w:val="20"/>
          <w:szCs w:val="20"/>
          <w:color w:val="auto"/>
        </w:rPr>
        <w:tab/>
      </w:r>
      <w:r>
        <w:rPr>
          <w:rFonts w:ascii="Courier New" w:cs="Courier New" w:eastAsia="Courier New" w:hAnsi="Courier New"/>
          <w:sz w:val="15"/>
          <w:szCs w:val="15"/>
          <w:color w:val="auto"/>
        </w:rPr>
        <w:t>Identification Number)</w:t>
      </w:r>
    </w:p>
    <w:p>
      <w:pPr>
        <w:spacing w:after="0" w:line="369" w:lineRule="exact"/>
        <w:rPr>
          <w:sz w:val="24"/>
          <w:szCs w:val="24"/>
          <w:color w:val="auto"/>
        </w:rPr>
      </w:pPr>
    </w:p>
    <w:p>
      <w:pPr>
        <w:ind w:left="2"/>
        <w:spacing w:after="0"/>
        <w:tabs>
          <w:tab w:leader="none" w:pos="6182" w:val="left"/>
        </w:tabs>
        <w:rPr>
          <w:sz w:val="20"/>
          <w:szCs w:val="20"/>
          <w:color w:val="auto"/>
        </w:rPr>
      </w:pPr>
      <w:r>
        <w:rPr>
          <w:rFonts w:ascii="Courier New" w:cs="Courier New" w:eastAsia="Courier New" w:hAnsi="Courier New"/>
          <w:sz w:val="16"/>
          <w:szCs w:val="16"/>
          <w:color w:val="auto"/>
        </w:rPr>
        <w:t>800 Tennessee Road, Erwin, Tennessee</w:t>
      </w:r>
      <w:r>
        <w:rPr>
          <w:sz w:val="20"/>
          <w:szCs w:val="20"/>
          <w:color w:val="auto"/>
        </w:rPr>
        <w:tab/>
      </w:r>
      <w:r>
        <w:rPr>
          <w:rFonts w:ascii="Courier New" w:cs="Courier New" w:eastAsia="Courier New" w:hAnsi="Courier New"/>
          <w:sz w:val="16"/>
          <w:szCs w:val="16"/>
          <w:color w:val="auto"/>
        </w:rPr>
        <w:t>37650</w:t>
      </w: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350" w:lineRule="exact"/>
        <w:rPr>
          <w:sz w:val="24"/>
          <w:szCs w:val="24"/>
          <w:color w:val="auto"/>
        </w:rPr>
      </w:pPr>
    </w:p>
    <w:p>
      <w:pPr>
        <w:ind w:left="2"/>
        <w:spacing w:after="0"/>
        <w:tabs>
          <w:tab w:leader="none" w:pos="5982"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ectPr>
          <w:pgSz w:w="11900" w:h="16838" w:orient="portrait"/>
          <w:cols w:equalWidth="0" w:num="1">
            <w:col w:w="10221"/>
          </w:cols>
          <w:pgMar w:left="238" w:top="603" w:right="1440" w:bottom="474" w:gutter="0" w:footer="0" w:header="0"/>
        </w:sectPr>
      </w:pPr>
    </w:p>
    <w:p>
      <w:pPr>
        <w:spacing w:after="0" w:line="372"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(423) 743-9151</w:t>
      </w:r>
    </w:p>
    <w:p>
      <w:pPr>
        <w:spacing w:after="0" w:line="200" w:lineRule="exact"/>
        <w:rPr>
          <w:sz w:val="24"/>
          <w:szCs w:val="24"/>
          <w:color w:val="auto"/>
        </w:rPr>
      </w:pPr>
    </w:p>
    <w:p>
      <w:pPr>
        <w:sectPr>
          <w:pgSz w:w="11900" w:h="16838" w:orient="portrait"/>
          <w:cols w:equalWidth="0" w:num="2">
            <w:col w:w="5482" w:space="720"/>
            <w:col w:w="4019"/>
          </w:cols>
          <w:pgMar w:left="238" w:top="603" w:right="1440" w:bottom="474" w:gutter="0" w:footer="0" w:header="0"/>
          <w:type w:val="continuous"/>
        </w:sectPr>
      </w:pPr>
    </w:p>
    <w:p>
      <w:pPr>
        <w:spacing w:after="0" w:line="177" w:lineRule="exact"/>
        <w:rPr>
          <w:sz w:val="24"/>
          <w:szCs w:val="24"/>
          <w:color w:val="auto"/>
        </w:rPr>
      </w:pPr>
    </w:p>
    <w:p>
      <w:pPr>
        <w:ind w:left="3622"/>
        <w:spacing w:after="0"/>
        <w:rPr>
          <w:sz w:val="20"/>
          <w:szCs w:val="20"/>
          <w:color w:val="auto"/>
        </w:rPr>
      </w:pPr>
      <w:r>
        <w:rPr>
          <w:rFonts w:ascii="Courier New" w:cs="Courier New" w:eastAsia="Courier New" w:hAnsi="Courier New"/>
          <w:sz w:val="16"/>
          <w:szCs w:val="16"/>
          <w:color w:val="auto"/>
        </w:rPr>
        <w:t>None</w:t>
      </w:r>
    </w:p>
    <w:p>
      <w:pPr>
        <w:spacing w:after="0" w:line="5" w:lineRule="exact"/>
        <w:rPr>
          <w:sz w:val="24"/>
          <w:szCs w:val="24"/>
          <w:color w:val="auto"/>
        </w:rPr>
      </w:pPr>
    </w:p>
    <w:p>
      <w:pPr>
        <w:ind w:left="182" w:hanging="182"/>
        <w:spacing w:after="0"/>
        <w:tabs>
          <w:tab w:leader="none" w:pos="1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tbl>
      <w:tblPr>
        <w:tblLayout w:type="fixed"/>
        <w:tblInd w:w="2" w:type="dxa"/>
        <w:tblCellMar>
          <w:top w:w="0" w:type="dxa"/>
          <w:left w:w="0" w:type="dxa"/>
          <w:bottom w:w="0" w:type="dxa"/>
          <w:right w:w="0" w:type="dxa"/>
        </w:tblCellMar>
      </w:tblPr>
      <w:tr>
        <w:trPr>
          <w:trHeight w:val="181"/>
        </w:trPr>
        <w:tc>
          <w:tcPr>
            <w:tcW w:w="7200" w:type="dxa"/>
            <w:vAlign w:val="bottom"/>
          </w:tcPr>
          <w:p>
            <w:pPr>
              <w:ind w:left="2100"/>
              <w:spacing w:after="0"/>
              <w:rPr>
                <w:sz w:val="20"/>
                <w:szCs w:val="20"/>
                <w:color w:val="auto"/>
              </w:rPr>
            </w:pPr>
            <w:r>
              <w:rPr>
                <w:rFonts w:ascii="Courier New" w:cs="Courier New" w:eastAsia="Courier New" w:hAnsi="Courier New"/>
                <w:sz w:val="16"/>
                <w:szCs w:val="16"/>
                <w:color w:val="auto"/>
              </w:rPr>
              <w:t>INFORMATION TO BE INCLUDED IN REPORT</w:t>
            </w:r>
          </w:p>
        </w:tc>
        <w:tc>
          <w:tcPr>
            <w:tcW w:w="420" w:type="dxa"/>
            <w:vAlign w:val="bottom"/>
          </w:tcPr>
          <w:p>
            <w:pPr>
              <w:spacing w:after="0"/>
              <w:rPr>
                <w:sz w:val="15"/>
                <w:szCs w:val="15"/>
                <w:color w:val="auto"/>
              </w:rPr>
            </w:pPr>
          </w:p>
        </w:tc>
      </w:tr>
      <w:tr>
        <w:trPr>
          <w:trHeight w:val="550"/>
        </w:trPr>
        <w:tc>
          <w:tcPr>
            <w:tcW w:w="7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3"/>
        </w:trPr>
        <w:tc>
          <w:tcPr>
            <w:tcW w:w="72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No.</w:t>
            </w:r>
          </w:p>
        </w:tc>
      </w:tr>
      <w:tr>
        <w:trPr>
          <w:trHeight w:val="183"/>
        </w:trPr>
        <w:tc>
          <w:tcPr>
            <w:tcW w:w="7200" w:type="dxa"/>
            <w:vAlign w:val="bottom"/>
          </w:tcPr>
          <w:p>
            <w:pPr>
              <w:spacing w:after="0"/>
              <w:rPr>
                <w:sz w:val="20"/>
                <w:szCs w:val="20"/>
                <w:color w:val="auto"/>
              </w:rPr>
            </w:pPr>
            <w:r>
              <w:rPr>
                <w:rFonts w:ascii="Courier New" w:cs="Courier New" w:eastAsia="Courier New" w:hAnsi="Courier New"/>
                <w:sz w:val="16"/>
                <w:szCs w:val="16"/>
                <w:color w:val="auto"/>
              </w:rPr>
              <w:t>Item 7.  Financial Statements</w:t>
            </w:r>
          </w:p>
        </w:tc>
        <w:tc>
          <w:tcPr>
            <w:tcW w:w="420" w:type="dxa"/>
            <w:vAlign w:val="bottom"/>
          </w:tcPr>
          <w:p>
            <w:pPr>
              <w:spacing w:after="0"/>
              <w:rPr>
                <w:sz w:val="15"/>
                <w:szCs w:val="15"/>
                <w:color w:val="auto"/>
              </w:rPr>
            </w:pPr>
          </w:p>
        </w:tc>
      </w:tr>
      <w:tr>
        <w:trPr>
          <w:trHeight w:val="367"/>
        </w:trPr>
        <w:tc>
          <w:tcPr>
            <w:tcW w:w="7200" w:type="dxa"/>
            <w:vAlign w:val="bottom"/>
          </w:tcPr>
          <w:p>
            <w:pPr>
              <w:spacing w:after="0"/>
              <w:rPr>
                <w:sz w:val="20"/>
                <w:szCs w:val="20"/>
                <w:color w:val="auto"/>
              </w:rPr>
            </w:pPr>
            <w:r>
              <w:rPr>
                <w:rFonts w:ascii="Courier New" w:cs="Courier New" w:eastAsia="Courier New" w:hAnsi="Courier New"/>
                <w:sz w:val="16"/>
                <w:szCs w:val="16"/>
                <w:color w:val="auto"/>
              </w:rPr>
              <w:t>(a) Historical Financial Statements of Industrial Molding Inc.</w:t>
            </w:r>
          </w:p>
        </w:tc>
        <w:tc>
          <w:tcPr>
            <w:tcW w:w="420" w:type="dxa"/>
            <w:vAlign w:val="bottom"/>
          </w:tcPr>
          <w:p>
            <w:pPr>
              <w:spacing w:after="0"/>
              <w:rPr>
                <w:sz w:val="24"/>
                <w:szCs w:val="24"/>
                <w:color w:val="auto"/>
              </w:rPr>
            </w:pPr>
          </w:p>
        </w:tc>
      </w:tr>
      <w:tr>
        <w:trPr>
          <w:trHeight w:val="183"/>
        </w:trPr>
        <w:tc>
          <w:tcPr>
            <w:tcW w:w="7200" w:type="dxa"/>
            <w:vAlign w:val="bottom"/>
          </w:tcPr>
          <w:p>
            <w:pPr>
              <w:ind w:left="760"/>
              <w:spacing w:after="0"/>
              <w:rPr>
                <w:sz w:val="20"/>
                <w:szCs w:val="20"/>
                <w:color w:val="auto"/>
              </w:rPr>
            </w:pPr>
            <w:r>
              <w:rPr>
                <w:rFonts w:ascii="Courier New" w:cs="Courier New" w:eastAsia="Courier New" w:hAnsi="Courier New"/>
                <w:sz w:val="16"/>
                <w:szCs w:val="16"/>
                <w:color w:val="auto"/>
              </w:rPr>
              <w:t>Independent Auditors' Report</w:t>
            </w:r>
          </w:p>
        </w:tc>
        <w:tc>
          <w:tcPr>
            <w:tcW w:w="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w:t>
            </w:r>
          </w:p>
        </w:tc>
      </w:tr>
      <w:tr>
        <w:trPr>
          <w:trHeight w:val="183"/>
        </w:trPr>
        <w:tc>
          <w:tcPr>
            <w:tcW w:w="7200" w:type="dxa"/>
            <w:vAlign w:val="bottom"/>
          </w:tcPr>
          <w:p>
            <w:pPr>
              <w:ind w:left="760"/>
              <w:spacing w:after="0"/>
              <w:rPr>
                <w:sz w:val="20"/>
                <w:szCs w:val="20"/>
                <w:color w:val="auto"/>
              </w:rPr>
            </w:pPr>
            <w:r>
              <w:rPr>
                <w:rFonts w:ascii="Courier New" w:cs="Courier New" w:eastAsia="Courier New" w:hAnsi="Courier New"/>
                <w:sz w:val="16"/>
                <w:szCs w:val="16"/>
                <w:color w:val="auto"/>
                <w:w w:val="99"/>
              </w:rPr>
              <w:t>Historical Financial Statements for the Years Ended January 2, 1999</w:t>
            </w:r>
          </w:p>
        </w:tc>
        <w:tc>
          <w:tcPr>
            <w:tcW w:w="420" w:type="dxa"/>
            <w:vAlign w:val="bottom"/>
          </w:tcPr>
          <w:p>
            <w:pPr>
              <w:spacing w:after="0"/>
              <w:rPr>
                <w:sz w:val="15"/>
                <w:szCs w:val="15"/>
                <w:color w:val="auto"/>
              </w:rPr>
            </w:pPr>
          </w:p>
        </w:tc>
      </w:tr>
      <w:tr>
        <w:trPr>
          <w:trHeight w:val="183"/>
        </w:trPr>
        <w:tc>
          <w:tcPr>
            <w:tcW w:w="7200" w:type="dxa"/>
            <w:vAlign w:val="bottom"/>
          </w:tcPr>
          <w:p>
            <w:pPr>
              <w:ind w:left="760"/>
              <w:spacing w:after="0"/>
              <w:rPr>
                <w:sz w:val="20"/>
                <w:szCs w:val="20"/>
                <w:color w:val="auto"/>
              </w:rPr>
            </w:pPr>
            <w:r>
              <w:rPr>
                <w:rFonts w:ascii="Courier New" w:cs="Courier New" w:eastAsia="Courier New" w:hAnsi="Courier New"/>
                <w:sz w:val="16"/>
                <w:szCs w:val="16"/>
                <w:color w:val="auto"/>
              </w:rPr>
              <w:t>and January 3, 1998</w:t>
            </w:r>
          </w:p>
        </w:tc>
        <w:tc>
          <w:tcPr>
            <w:tcW w:w="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w:t>
            </w:r>
          </w:p>
        </w:tc>
      </w:tr>
      <w:tr>
        <w:trPr>
          <w:trHeight w:val="367"/>
        </w:trPr>
        <w:tc>
          <w:tcPr>
            <w:tcW w:w="7200" w:type="dxa"/>
            <w:vAlign w:val="bottom"/>
          </w:tcPr>
          <w:p>
            <w:pPr>
              <w:spacing w:after="0"/>
              <w:rPr>
                <w:sz w:val="20"/>
                <w:szCs w:val="20"/>
                <w:color w:val="auto"/>
              </w:rPr>
            </w:pPr>
            <w:r>
              <w:rPr>
                <w:rFonts w:ascii="Courier New" w:cs="Courier New" w:eastAsia="Courier New" w:hAnsi="Courier New"/>
                <w:sz w:val="16"/>
                <w:szCs w:val="16"/>
                <w:color w:val="auto"/>
              </w:rPr>
              <w:t>(b) Unaudited Pro Forma Consolidated Financial Information</w:t>
            </w:r>
          </w:p>
        </w:tc>
        <w:tc>
          <w:tcPr>
            <w:tcW w:w="420" w:type="dxa"/>
            <w:vAlign w:val="bottom"/>
          </w:tcPr>
          <w:p>
            <w:pPr>
              <w:spacing w:after="0"/>
              <w:rPr>
                <w:sz w:val="24"/>
                <w:szCs w:val="24"/>
                <w:color w:val="auto"/>
              </w:rPr>
            </w:pPr>
          </w:p>
        </w:tc>
      </w:tr>
      <w:tr>
        <w:trPr>
          <w:trHeight w:val="367"/>
        </w:trPr>
        <w:tc>
          <w:tcPr>
            <w:tcW w:w="7200" w:type="dxa"/>
            <w:vAlign w:val="bottom"/>
          </w:tcPr>
          <w:p>
            <w:pPr>
              <w:ind w:left="760"/>
              <w:spacing w:after="0"/>
              <w:rPr>
                <w:sz w:val="20"/>
                <w:szCs w:val="20"/>
                <w:color w:val="auto"/>
              </w:rPr>
            </w:pPr>
            <w:r>
              <w:rPr>
                <w:rFonts w:ascii="Courier New" w:cs="Courier New" w:eastAsia="Courier New" w:hAnsi="Courier New"/>
                <w:sz w:val="16"/>
                <w:szCs w:val="16"/>
                <w:color w:val="auto"/>
              </w:rPr>
              <w:t>Unaudited Pro Forma Consolidated Financial Statements:</w:t>
            </w:r>
          </w:p>
        </w:tc>
        <w:tc>
          <w:tcPr>
            <w:tcW w:w="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w:t>
            </w:r>
          </w:p>
        </w:tc>
      </w:tr>
      <w:tr>
        <w:trPr>
          <w:trHeight w:val="367"/>
        </w:trPr>
        <w:tc>
          <w:tcPr>
            <w:tcW w:w="7200" w:type="dxa"/>
            <w:vAlign w:val="bottom"/>
          </w:tcPr>
          <w:p>
            <w:pPr>
              <w:ind w:left="760"/>
              <w:spacing w:after="0"/>
              <w:rPr>
                <w:sz w:val="20"/>
                <w:szCs w:val="20"/>
                <w:color w:val="auto"/>
              </w:rPr>
            </w:pPr>
            <w:r>
              <w:rPr>
                <w:rFonts w:ascii="Courier New" w:cs="Courier New" w:eastAsia="Courier New" w:hAnsi="Courier New"/>
                <w:sz w:val="16"/>
                <w:szCs w:val="16"/>
                <w:color w:val="auto"/>
              </w:rPr>
              <w:t>NN Ball &amp; Roller, Inc. Unaudited Pro Forma Consolidated Balance</w:t>
            </w:r>
          </w:p>
        </w:tc>
        <w:tc>
          <w:tcPr>
            <w:tcW w:w="420" w:type="dxa"/>
            <w:vAlign w:val="bottom"/>
          </w:tcPr>
          <w:p>
            <w:pPr>
              <w:spacing w:after="0"/>
              <w:rPr>
                <w:sz w:val="24"/>
                <w:szCs w:val="24"/>
                <w:color w:val="auto"/>
              </w:rPr>
            </w:pPr>
          </w:p>
        </w:tc>
      </w:tr>
      <w:tr>
        <w:trPr>
          <w:trHeight w:val="183"/>
        </w:trPr>
        <w:tc>
          <w:tcPr>
            <w:tcW w:w="7200" w:type="dxa"/>
            <w:vAlign w:val="bottom"/>
          </w:tcPr>
          <w:p>
            <w:pPr>
              <w:ind w:left="960"/>
              <w:spacing w:after="0"/>
              <w:rPr>
                <w:sz w:val="20"/>
                <w:szCs w:val="20"/>
                <w:color w:val="auto"/>
              </w:rPr>
            </w:pPr>
            <w:r>
              <w:rPr>
                <w:rFonts w:ascii="Courier New" w:cs="Courier New" w:eastAsia="Courier New" w:hAnsi="Courier New"/>
                <w:sz w:val="16"/>
                <w:szCs w:val="16"/>
                <w:color w:val="auto"/>
              </w:rPr>
              <w:t>Sheet as of June 30, 1999</w:t>
            </w:r>
          </w:p>
        </w:tc>
        <w:tc>
          <w:tcPr>
            <w:tcW w:w="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w:t>
            </w:r>
          </w:p>
        </w:tc>
      </w:tr>
      <w:tr>
        <w:trPr>
          <w:trHeight w:val="367"/>
        </w:trPr>
        <w:tc>
          <w:tcPr>
            <w:tcW w:w="7200" w:type="dxa"/>
            <w:vAlign w:val="bottom"/>
          </w:tcPr>
          <w:p>
            <w:pPr>
              <w:ind w:left="760"/>
              <w:spacing w:after="0"/>
              <w:rPr>
                <w:sz w:val="20"/>
                <w:szCs w:val="20"/>
                <w:color w:val="auto"/>
              </w:rPr>
            </w:pPr>
            <w:r>
              <w:rPr>
                <w:rFonts w:ascii="Courier New" w:cs="Courier New" w:eastAsia="Courier New" w:hAnsi="Courier New"/>
                <w:sz w:val="16"/>
                <w:szCs w:val="16"/>
                <w:color w:val="auto"/>
              </w:rPr>
              <w:t>Notes to Unaudited Pro Forma Consolidated Balance Sheet</w:t>
            </w:r>
          </w:p>
        </w:tc>
        <w:tc>
          <w:tcPr>
            <w:tcW w:w="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w:t>
            </w:r>
          </w:p>
        </w:tc>
      </w:tr>
      <w:tr>
        <w:trPr>
          <w:trHeight w:val="367"/>
        </w:trPr>
        <w:tc>
          <w:tcPr>
            <w:tcW w:w="7200" w:type="dxa"/>
            <w:vAlign w:val="bottom"/>
          </w:tcPr>
          <w:p>
            <w:pPr>
              <w:ind w:left="760"/>
              <w:spacing w:after="0"/>
              <w:rPr>
                <w:sz w:val="20"/>
                <w:szCs w:val="20"/>
                <w:color w:val="auto"/>
              </w:rPr>
            </w:pPr>
            <w:r>
              <w:rPr>
                <w:rFonts w:ascii="Courier New" w:cs="Courier New" w:eastAsia="Courier New" w:hAnsi="Courier New"/>
                <w:sz w:val="16"/>
                <w:szCs w:val="16"/>
                <w:color w:val="auto"/>
              </w:rPr>
              <w:t>NN Ball &amp; Roller, Inc. Pro Forma Consolidated Statement of</w:t>
            </w:r>
          </w:p>
        </w:tc>
        <w:tc>
          <w:tcPr>
            <w:tcW w:w="420" w:type="dxa"/>
            <w:vAlign w:val="bottom"/>
          </w:tcPr>
          <w:p>
            <w:pPr>
              <w:spacing w:after="0"/>
              <w:rPr>
                <w:sz w:val="24"/>
                <w:szCs w:val="24"/>
                <w:color w:val="auto"/>
              </w:rPr>
            </w:pPr>
          </w:p>
        </w:tc>
      </w:tr>
      <w:tr>
        <w:trPr>
          <w:trHeight w:val="183"/>
        </w:trPr>
        <w:tc>
          <w:tcPr>
            <w:tcW w:w="7200" w:type="dxa"/>
            <w:vAlign w:val="bottom"/>
          </w:tcPr>
          <w:p>
            <w:pPr>
              <w:ind w:left="960"/>
              <w:spacing w:after="0"/>
              <w:rPr>
                <w:sz w:val="20"/>
                <w:szCs w:val="20"/>
                <w:color w:val="auto"/>
              </w:rPr>
            </w:pPr>
            <w:r>
              <w:rPr>
                <w:rFonts w:ascii="Courier New" w:cs="Courier New" w:eastAsia="Courier New" w:hAnsi="Courier New"/>
                <w:sz w:val="16"/>
                <w:szCs w:val="16"/>
                <w:color w:val="auto"/>
              </w:rPr>
              <w:t>Operations for the Twelve Months Ended December 31, 1998</w:t>
            </w:r>
          </w:p>
        </w:tc>
        <w:tc>
          <w:tcPr>
            <w:tcW w:w="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w:t>
            </w:r>
          </w:p>
        </w:tc>
      </w:tr>
      <w:tr>
        <w:trPr>
          <w:trHeight w:val="367"/>
        </w:trPr>
        <w:tc>
          <w:tcPr>
            <w:tcW w:w="7200" w:type="dxa"/>
            <w:vAlign w:val="bottom"/>
          </w:tcPr>
          <w:p>
            <w:pPr>
              <w:ind w:left="760"/>
              <w:spacing w:after="0"/>
              <w:rPr>
                <w:sz w:val="20"/>
                <w:szCs w:val="20"/>
                <w:color w:val="auto"/>
              </w:rPr>
            </w:pPr>
            <w:r>
              <w:rPr>
                <w:rFonts w:ascii="Courier New" w:cs="Courier New" w:eastAsia="Courier New" w:hAnsi="Courier New"/>
                <w:sz w:val="16"/>
                <w:szCs w:val="16"/>
                <w:color w:val="auto"/>
              </w:rPr>
              <w:t>Notes to Unaudited Pro Forma Consolidated Statement of Operations</w:t>
            </w:r>
          </w:p>
        </w:tc>
        <w:tc>
          <w:tcPr>
            <w:tcW w:w="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w:t>
            </w:r>
          </w:p>
        </w:tc>
      </w:tr>
      <w:tr>
        <w:trPr>
          <w:trHeight w:val="367"/>
        </w:trPr>
        <w:tc>
          <w:tcPr>
            <w:tcW w:w="7200" w:type="dxa"/>
            <w:vAlign w:val="bottom"/>
          </w:tcPr>
          <w:p>
            <w:pPr>
              <w:ind w:left="760"/>
              <w:spacing w:after="0"/>
              <w:rPr>
                <w:sz w:val="20"/>
                <w:szCs w:val="20"/>
                <w:color w:val="auto"/>
              </w:rPr>
            </w:pPr>
            <w:r>
              <w:rPr>
                <w:rFonts w:ascii="Courier New" w:cs="Courier New" w:eastAsia="Courier New" w:hAnsi="Courier New"/>
                <w:sz w:val="16"/>
                <w:szCs w:val="16"/>
                <w:color w:val="auto"/>
              </w:rPr>
              <w:t>NN Ball &amp; Roller, Inc. Pro Forma Consolidated Statement of</w:t>
            </w:r>
          </w:p>
        </w:tc>
        <w:tc>
          <w:tcPr>
            <w:tcW w:w="420" w:type="dxa"/>
            <w:vAlign w:val="bottom"/>
          </w:tcPr>
          <w:p>
            <w:pPr>
              <w:spacing w:after="0"/>
              <w:rPr>
                <w:sz w:val="24"/>
                <w:szCs w:val="24"/>
                <w:color w:val="auto"/>
              </w:rPr>
            </w:pPr>
          </w:p>
        </w:tc>
      </w:tr>
      <w:tr>
        <w:trPr>
          <w:trHeight w:val="183"/>
        </w:trPr>
        <w:tc>
          <w:tcPr>
            <w:tcW w:w="7200" w:type="dxa"/>
            <w:vAlign w:val="bottom"/>
          </w:tcPr>
          <w:p>
            <w:pPr>
              <w:ind w:left="960"/>
              <w:spacing w:after="0"/>
              <w:rPr>
                <w:sz w:val="20"/>
                <w:szCs w:val="20"/>
                <w:color w:val="auto"/>
              </w:rPr>
            </w:pPr>
            <w:r>
              <w:rPr>
                <w:rFonts w:ascii="Courier New" w:cs="Courier New" w:eastAsia="Courier New" w:hAnsi="Courier New"/>
                <w:sz w:val="16"/>
                <w:szCs w:val="16"/>
                <w:color w:val="auto"/>
              </w:rPr>
              <w:t>Operations For the Six Months Ended June 30, 1999</w:t>
            </w:r>
          </w:p>
        </w:tc>
        <w:tc>
          <w:tcPr>
            <w:tcW w:w="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w:t>
            </w:r>
          </w:p>
        </w:tc>
      </w:tr>
      <w:tr>
        <w:trPr>
          <w:trHeight w:val="367"/>
        </w:trPr>
        <w:tc>
          <w:tcPr>
            <w:tcW w:w="7200" w:type="dxa"/>
            <w:vAlign w:val="bottom"/>
          </w:tcPr>
          <w:p>
            <w:pPr>
              <w:ind w:left="760"/>
              <w:spacing w:after="0"/>
              <w:rPr>
                <w:sz w:val="20"/>
                <w:szCs w:val="20"/>
                <w:color w:val="auto"/>
              </w:rPr>
            </w:pPr>
            <w:r>
              <w:rPr>
                <w:rFonts w:ascii="Courier New" w:cs="Courier New" w:eastAsia="Courier New" w:hAnsi="Courier New"/>
                <w:sz w:val="16"/>
                <w:szCs w:val="16"/>
                <w:color w:val="auto"/>
              </w:rPr>
              <w:t>Notes to Unuadited Pro Forma Consolidated Statement of Operations</w:t>
            </w:r>
          </w:p>
        </w:tc>
        <w:tc>
          <w:tcPr>
            <w:tcW w:w="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w:t>
            </w:r>
          </w:p>
        </w:tc>
      </w:tr>
      <w:tr>
        <w:trPr>
          <w:trHeight w:val="367"/>
        </w:trPr>
        <w:tc>
          <w:tcPr>
            <w:tcW w:w="7200" w:type="dxa"/>
            <w:vAlign w:val="bottom"/>
          </w:tcPr>
          <w:p>
            <w:pPr>
              <w:ind w:left="760"/>
              <w:spacing w:after="0"/>
              <w:rPr>
                <w:sz w:val="20"/>
                <w:szCs w:val="20"/>
                <w:color w:val="auto"/>
              </w:rPr>
            </w:pPr>
            <w:r>
              <w:rPr>
                <w:rFonts w:ascii="Courier New" w:cs="Courier New" w:eastAsia="Courier New" w:hAnsi="Courier New"/>
                <w:sz w:val="16"/>
                <w:szCs w:val="16"/>
                <w:color w:val="auto"/>
              </w:rPr>
              <w:t>Signatures</w:t>
            </w:r>
          </w:p>
        </w:tc>
        <w:tc>
          <w:tcPr>
            <w:tcW w:w="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w:t>
            </w:r>
          </w:p>
        </w:tc>
      </w:tr>
    </w:tbl>
    <w:p>
      <w:pPr>
        <w:sectPr>
          <w:pgSz w:w="11900" w:h="16838" w:orient="portrait"/>
          <w:cols w:equalWidth="0" w:num="1">
            <w:col w:w="10221"/>
          </w:cols>
          <w:pgMar w:left="238" w:top="603" w:right="1440" w:bottom="474" w:gutter="0" w:footer="0" w:header="0"/>
          <w:type w:val="continuous"/>
        </w:sectPr>
      </w:pPr>
    </w:p>
    <w:bookmarkStart w:id="1" w:name="page2"/>
    <w:bookmarkEnd w:id="1"/>
    <w:p>
      <w:pPr>
        <w:jc w:val="center"/>
        <w:ind w:right="3799"/>
        <w:spacing w:after="0"/>
        <w:rPr>
          <w:sz w:val="20"/>
          <w:szCs w:val="20"/>
          <w:color w:val="auto"/>
        </w:rPr>
      </w:pPr>
      <w:r>
        <w:rPr>
          <w:rFonts w:ascii="Courier New" w:cs="Courier New" w:eastAsia="Courier New" w:hAnsi="Courier New"/>
          <w:sz w:val="16"/>
          <w:szCs w:val="16"/>
          <w:color w:val="auto"/>
        </w:rPr>
        <w:t>INDUSTRIAL MOLDING</w:t>
      </w:r>
    </w:p>
    <w:p>
      <w:pPr>
        <w:spacing w:after="0" w:line="5" w:lineRule="exact"/>
        <w:rPr>
          <w:sz w:val="20"/>
          <w:szCs w:val="20"/>
          <w:color w:val="auto"/>
        </w:rPr>
      </w:pPr>
    </w:p>
    <w:p>
      <w:pPr>
        <w:jc w:val="center"/>
        <w:ind w:right="3799"/>
        <w:spacing w:after="0"/>
        <w:rPr>
          <w:sz w:val="20"/>
          <w:szCs w:val="20"/>
          <w:color w:val="auto"/>
        </w:rPr>
      </w:pPr>
      <w:r>
        <w:rPr>
          <w:rFonts w:ascii="Courier New" w:cs="Courier New" w:eastAsia="Courier New" w:hAnsi="Courier New"/>
          <w:sz w:val="15"/>
          <w:szCs w:val="15"/>
          <w:color w:val="auto"/>
        </w:rPr>
        <w:t>(a division of Industrial Molding Corporation)</w:t>
      </w:r>
    </w:p>
    <w:p>
      <w:pPr>
        <w:spacing w:after="0" w:line="194"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Financial Statements</w:t>
      </w:r>
    </w:p>
    <w:p>
      <w:pPr>
        <w:spacing w:after="0" w:line="186"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6"/>
          <w:szCs w:val="16"/>
          <w:color w:val="auto"/>
        </w:rPr>
        <w:t>January 2, 1999 and January 3, 1998</w:t>
      </w:r>
    </w:p>
    <w:p>
      <w:pPr>
        <w:spacing w:after="0" w:line="186"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(With Independent Auditors' Report Thereon)</w:t>
      </w:r>
    </w:p>
    <w:p>
      <w:pPr>
        <w:sectPr>
          <w:pgSz w:w="11900" w:h="16838" w:orient="portrait"/>
          <w:cols w:equalWidth="0" w:num="1">
            <w:col w:w="9019"/>
          </w:cols>
          <w:pgMar w:left="1440" w:top="665" w:right="1440" w:bottom="1440" w:gutter="0" w:footer="0" w:header="0"/>
        </w:sectPr>
      </w:pPr>
    </w:p>
    <w:bookmarkStart w:id="2" w:name="page3"/>
    <w:bookmarkEnd w:id="2"/>
    <w:p>
      <w:pPr>
        <w:ind w:left="2482"/>
        <w:spacing w:after="0"/>
        <w:rPr>
          <w:sz w:val="20"/>
          <w:szCs w:val="20"/>
          <w:color w:val="auto"/>
        </w:rPr>
      </w:pPr>
      <w:r>
        <w:rPr>
          <w:rFonts w:ascii="Courier New" w:cs="Courier New" w:eastAsia="Courier New" w:hAnsi="Courier New"/>
          <w:sz w:val="16"/>
          <w:szCs w:val="16"/>
          <w:color w:val="auto"/>
        </w:rPr>
        <w:t>Independent Auditors' Report</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 Boards of Directors</w:t>
      </w:r>
    </w:p>
    <w:p>
      <w:pPr>
        <w:spacing w:after="0" w:line="5" w:lineRule="exact"/>
        <w:rPr>
          <w:sz w:val="20"/>
          <w:szCs w:val="20"/>
          <w:color w:val="auto"/>
        </w:rPr>
      </w:pPr>
    </w:p>
    <w:p>
      <w:pPr>
        <w:ind w:left="2" w:right="7259" w:hanging="2"/>
        <w:spacing w:after="0" w:line="271" w:lineRule="auto"/>
        <w:tabs>
          <w:tab w:leader="none" w:pos="2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Ball &amp; Roller, Inc., and Industrial Molding Corporation:</w:t>
      </w:r>
    </w:p>
    <w:p>
      <w:pPr>
        <w:spacing w:after="0" w:line="350" w:lineRule="exact"/>
        <w:rPr>
          <w:sz w:val="20"/>
          <w:szCs w:val="20"/>
          <w:color w:val="auto"/>
        </w:rPr>
      </w:pPr>
    </w:p>
    <w:p>
      <w:pPr>
        <w:jc w:val="both"/>
        <w:ind w:left="2" w:right="2599"/>
        <w:spacing w:after="0" w:line="242" w:lineRule="auto"/>
        <w:rPr>
          <w:sz w:val="20"/>
          <w:szCs w:val="20"/>
          <w:color w:val="auto"/>
        </w:rPr>
      </w:pPr>
      <w:r>
        <w:rPr>
          <w:rFonts w:ascii="Courier New" w:cs="Courier New" w:eastAsia="Courier New" w:hAnsi="Courier New"/>
          <w:sz w:val="16"/>
          <w:szCs w:val="16"/>
          <w:color w:val="auto"/>
        </w:rPr>
        <w:t>We have audited the accompanying balance sheets of Industrial Molding (a division of Industrial Molding Corporation) as of January 2, 1999 and January 3, 1998, and the related statements of operations, divisional equity and cash flows for the years then ended. These financial statements are the responsibility of the management of Industrial Molding. Our responsibility is to express an opinion on these financial statements based on our audits.</w:t>
      </w:r>
    </w:p>
    <w:p>
      <w:pPr>
        <w:spacing w:after="0" w:line="187" w:lineRule="exact"/>
        <w:rPr>
          <w:sz w:val="20"/>
          <w:szCs w:val="20"/>
          <w:color w:val="auto"/>
        </w:rPr>
      </w:pPr>
    </w:p>
    <w:p>
      <w:pPr>
        <w:jc w:val="both"/>
        <w:ind w:left="2" w:right="2599"/>
        <w:spacing w:after="0" w:line="260"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jc w:val="both"/>
        <w:ind w:left="2" w:right="2599"/>
        <w:spacing w:after="0" w:line="241"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financial position of Industrial Molding (a division of Industrial Molding Corporation) as of January 2, 1999 and January 3, 1998, and the results of its operations and its cash flows for the years then ended in conformity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September 3, 1999</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1"/>
          </w:cols>
          <w:pgMar w:left="238" w:top="48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1"/>
        </w:trPr>
        <w:tc>
          <w:tcPr>
            <w:tcW w:w="6760" w:type="dxa"/>
            <w:vAlign w:val="bottom"/>
          </w:tcPr>
          <w:p>
            <w:pPr>
              <w:jc w:val="center"/>
              <w:ind w:left="801"/>
              <w:spacing w:after="0"/>
              <w:rPr>
                <w:sz w:val="20"/>
                <w:szCs w:val="20"/>
                <w:color w:val="auto"/>
              </w:rPr>
            </w:pPr>
            <w:r>
              <w:rPr>
                <w:rFonts w:ascii="Courier New" w:cs="Courier New" w:eastAsia="Courier New" w:hAnsi="Courier New"/>
                <w:sz w:val="16"/>
                <w:szCs w:val="16"/>
                <w:color w:val="auto"/>
                <w:w w:val="99"/>
              </w:rPr>
              <w:t>INDUSTRIAL MOLDING</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6760" w:type="dxa"/>
            <w:vAlign w:val="bottom"/>
          </w:tcPr>
          <w:p>
            <w:pPr>
              <w:jc w:val="center"/>
              <w:ind w:left="781"/>
              <w:spacing w:after="0"/>
              <w:rPr>
                <w:sz w:val="20"/>
                <w:szCs w:val="20"/>
                <w:color w:val="auto"/>
              </w:rPr>
            </w:pPr>
            <w:r>
              <w:rPr>
                <w:rFonts w:ascii="Courier New" w:cs="Courier New" w:eastAsia="Courier New" w:hAnsi="Courier New"/>
                <w:sz w:val="16"/>
                <w:szCs w:val="16"/>
                <w:color w:val="auto"/>
                <w:w w:val="99"/>
              </w:rPr>
              <w:t>(a division of Industrial Molding Corporation)</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6760" w:type="dxa"/>
            <w:vAlign w:val="bottom"/>
          </w:tcPr>
          <w:p>
            <w:pPr>
              <w:jc w:val="center"/>
              <w:ind w:left="781"/>
              <w:spacing w:after="0"/>
              <w:rPr>
                <w:sz w:val="20"/>
                <w:szCs w:val="20"/>
                <w:color w:val="auto"/>
              </w:rPr>
            </w:pPr>
            <w:r>
              <w:rPr>
                <w:rFonts w:ascii="Courier New" w:cs="Courier New" w:eastAsia="Courier New" w:hAnsi="Courier New"/>
                <w:sz w:val="16"/>
                <w:szCs w:val="16"/>
                <w:color w:val="auto"/>
                <w:w w:val="99"/>
              </w:rPr>
              <w:t>Balance Sheets</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6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January 2,</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January 3,</w:t>
            </w:r>
          </w:p>
        </w:tc>
      </w:tr>
      <w:tr>
        <w:trPr>
          <w:trHeight w:val="183"/>
        </w:trPr>
        <w:tc>
          <w:tcPr>
            <w:tcW w:w="67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960" w:type="dxa"/>
            <w:vAlign w:val="bottom"/>
          </w:tcPr>
          <w:p>
            <w:pPr>
              <w:spacing w:after="0"/>
              <w:rPr>
                <w:sz w:val="15"/>
                <w:szCs w:val="15"/>
                <w:color w:val="auto"/>
              </w:rPr>
            </w:pPr>
          </w:p>
        </w:tc>
        <w:tc>
          <w:tcPr>
            <w:tcW w:w="1580" w:type="dxa"/>
            <w:vAlign w:val="bottom"/>
          </w:tcPr>
          <w:p>
            <w:pPr>
              <w:ind w:left="480"/>
              <w:spacing w:after="0"/>
              <w:rPr>
                <w:sz w:val="20"/>
                <w:szCs w:val="20"/>
                <w:color w:val="auto"/>
              </w:rPr>
            </w:pPr>
            <w:r>
              <w:rPr>
                <w:rFonts w:ascii="Courier New" w:cs="Courier New" w:eastAsia="Courier New" w:hAnsi="Courier New"/>
                <w:sz w:val="16"/>
                <w:szCs w:val="16"/>
                <w:color w:val="auto"/>
              </w:rPr>
              <w:t>1999</w:t>
            </w:r>
          </w:p>
        </w:tc>
        <w:tc>
          <w:tcPr>
            <w:tcW w:w="1480" w:type="dxa"/>
            <w:vAlign w:val="bottom"/>
          </w:tcPr>
          <w:p>
            <w:pPr>
              <w:ind w:left="720"/>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67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960" w:type="dxa"/>
            <w:vAlign w:val="bottom"/>
          </w:tcPr>
          <w:p>
            <w:pPr>
              <w:spacing w:after="0"/>
              <w:rPr>
                <w:sz w:val="15"/>
                <w:szCs w:val="15"/>
                <w:color w:val="auto"/>
              </w:rPr>
            </w:pP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550"/>
        </w:trPr>
        <w:tc>
          <w:tcPr>
            <w:tcW w:w="67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3"/>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Cash</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ind w:left="480"/>
              <w:spacing w:after="0"/>
              <w:rPr>
                <w:sz w:val="20"/>
                <w:szCs w:val="20"/>
                <w:color w:val="auto"/>
              </w:rPr>
            </w:pPr>
            <w:r>
              <w:rPr>
                <w:rFonts w:ascii="Courier New" w:cs="Courier New" w:eastAsia="Courier New" w:hAnsi="Courier New"/>
                <w:sz w:val="16"/>
                <w:szCs w:val="16"/>
                <w:color w:val="auto"/>
              </w:rPr>
              <w:t>2,100</w:t>
            </w:r>
          </w:p>
        </w:tc>
        <w:tc>
          <w:tcPr>
            <w:tcW w:w="1480" w:type="dxa"/>
            <w:vAlign w:val="bottom"/>
          </w:tcPr>
          <w:p>
            <w:pPr>
              <w:ind w:left="720"/>
              <w:spacing w:after="0"/>
              <w:rPr>
                <w:sz w:val="20"/>
                <w:szCs w:val="20"/>
                <w:color w:val="auto"/>
              </w:rPr>
            </w:pPr>
            <w:r>
              <w:rPr>
                <w:rFonts w:ascii="Courier New" w:cs="Courier New" w:eastAsia="Courier New" w:hAnsi="Courier New"/>
                <w:sz w:val="16"/>
                <w:szCs w:val="16"/>
                <w:color w:val="auto"/>
              </w:rPr>
              <w:t>2,100</w:t>
            </w:r>
          </w:p>
        </w:tc>
      </w:tr>
      <w:tr>
        <w:trPr>
          <w:trHeight w:val="183"/>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Trade accounts receivable, less allowance for doubtful</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6760" w:type="dxa"/>
            <w:vAlign w:val="bottom"/>
          </w:tcPr>
          <w:p>
            <w:pPr>
              <w:ind w:left="660"/>
              <w:spacing w:after="0"/>
              <w:rPr>
                <w:sz w:val="20"/>
                <w:szCs w:val="20"/>
                <w:color w:val="auto"/>
              </w:rPr>
            </w:pPr>
            <w:r>
              <w:rPr>
                <w:rFonts w:ascii="Courier New" w:cs="Courier New" w:eastAsia="Courier New" w:hAnsi="Courier New"/>
                <w:sz w:val="16"/>
                <w:szCs w:val="16"/>
                <w:color w:val="auto"/>
              </w:rPr>
              <w:t>accounts and returns of $160,461 in 1998 and</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6760" w:type="dxa"/>
            <w:vAlign w:val="bottom"/>
          </w:tcPr>
          <w:p>
            <w:pPr>
              <w:ind w:left="660"/>
              <w:spacing w:after="0"/>
              <w:rPr>
                <w:sz w:val="20"/>
                <w:szCs w:val="20"/>
                <w:color w:val="auto"/>
              </w:rPr>
            </w:pPr>
            <w:r>
              <w:rPr>
                <w:rFonts w:ascii="Courier New" w:cs="Courier New" w:eastAsia="Courier New" w:hAnsi="Courier New"/>
                <w:sz w:val="16"/>
                <w:szCs w:val="16"/>
                <w:color w:val="auto"/>
              </w:rPr>
              <w:t>$29,088 in 1997</w:t>
            </w:r>
          </w:p>
        </w:tc>
        <w:tc>
          <w:tcPr>
            <w:tcW w:w="960" w:type="dxa"/>
            <w:vAlign w:val="bottom"/>
          </w:tcPr>
          <w:p>
            <w:pPr>
              <w:spacing w:after="0"/>
              <w:rPr>
                <w:sz w:val="15"/>
                <w:szCs w:val="15"/>
                <w:color w:val="auto"/>
              </w:rPr>
            </w:pP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4,340,285</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4,379,034</w:t>
            </w:r>
          </w:p>
        </w:tc>
      </w:tr>
      <w:tr>
        <w:trPr>
          <w:trHeight w:val="183"/>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Inventories</w:t>
            </w:r>
          </w:p>
        </w:tc>
        <w:tc>
          <w:tcPr>
            <w:tcW w:w="960" w:type="dxa"/>
            <w:vAlign w:val="bottom"/>
          </w:tcPr>
          <w:p>
            <w:pPr>
              <w:spacing w:after="0"/>
              <w:rPr>
                <w:sz w:val="15"/>
                <w:szCs w:val="15"/>
                <w:color w:val="auto"/>
              </w:rPr>
            </w:pP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2,823,088</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2,491,233</w:t>
            </w:r>
          </w:p>
        </w:tc>
      </w:tr>
      <w:tr>
        <w:trPr>
          <w:trHeight w:val="183"/>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Prepaid expenses</w:t>
            </w:r>
          </w:p>
        </w:tc>
        <w:tc>
          <w:tcPr>
            <w:tcW w:w="960" w:type="dxa"/>
            <w:vAlign w:val="bottom"/>
          </w:tcPr>
          <w:p>
            <w:pPr>
              <w:spacing w:after="0"/>
              <w:rPr>
                <w:sz w:val="15"/>
                <w:szCs w:val="15"/>
                <w:color w:val="auto"/>
              </w:rPr>
            </w:pP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77,431</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39,744</w:t>
            </w:r>
          </w:p>
        </w:tc>
      </w:tr>
      <w:tr>
        <w:trPr>
          <w:trHeight w:val="183"/>
        </w:trPr>
        <w:tc>
          <w:tcPr>
            <w:tcW w:w="6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6760" w:type="dxa"/>
            <w:vAlign w:val="bottom"/>
          </w:tcPr>
          <w:p>
            <w:pPr>
              <w:ind w:left="1800"/>
              <w:spacing w:after="0"/>
              <w:rPr>
                <w:sz w:val="20"/>
                <w:szCs w:val="20"/>
                <w:color w:val="auto"/>
              </w:rPr>
            </w:pPr>
            <w:r>
              <w:rPr>
                <w:rFonts w:ascii="Courier New" w:cs="Courier New" w:eastAsia="Courier New" w:hAnsi="Courier New"/>
                <w:sz w:val="16"/>
                <w:szCs w:val="16"/>
                <w:color w:val="auto"/>
              </w:rPr>
              <w:t>Total current assets</w:t>
            </w:r>
          </w:p>
        </w:tc>
        <w:tc>
          <w:tcPr>
            <w:tcW w:w="960" w:type="dxa"/>
            <w:vAlign w:val="bottom"/>
          </w:tcPr>
          <w:p>
            <w:pPr>
              <w:spacing w:after="0"/>
              <w:rPr>
                <w:sz w:val="24"/>
                <w:szCs w:val="24"/>
                <w:color w:val="auto"/>
              </w:rPr>
            </w:pP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7,248,904</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6,912,111</w:t>
            </w:r>
          </w:p>
        </w:tc>
      </w:tr>
      <w:tr>
        <w:trPr>
          <w:trHeight w:val="367"/>
        </w:trPr>
        <w:tc>
          <w:tcPr>
            <w:tcW w:w="676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960" w:type="dxa"/>
            <w:vAlign w:val="bottom"/>
          </w:tcPr>
          <w:p>
            <w:pPr>
              <w:spacing w:after="0"/>
              <w:rPr>
                <w:sz w:val="24"/>
                <w:szCs w:val="24"/>
                <w:color w:val="auto"/>
              </w:rPr>
            </w:pP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8,559,761</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8,729,169</w:t>
            </w:r>
          </w:p>
        </w:tc>
      </w:tr>
      <w:tr>
        <w:trPr>
          <w:trHeight w:val="183"/>
        </w:trPr>
        <w:tc>
          <w:tcPr>
            <w:tcW w:w="6760" w:type="dxa"/>
            <w:vAlign w:val="bottom"/>
          </w:tcPr>
          <w:p>
            <w:pPr>
              <w:spacing w:after="0"/>
              <w:rPr>
                <w:sz w:val="20"/>
                <w:szCs w:val="20"/>
                <w:color w:val="auto"/>
              </w:rPr>
            </w:pPr>
            <w:r>
              <w:rPr>
                <w:rFonts w:ascii="Courier New" w:cs="Courier New" w:eastAsia="Courier New" w:hAnsi="Courier New"/>
                <w:sz w:val="16"/>
                <w:szCs w:val="16"/>
                <w:color w:val="auto"/>
              </w:rPr>
              <w:t>Note receivable less current portion</w:t>
            </w:r>
          </w:p>
        </w:tc>
        <w:tc>
          <w:tcPr>
            <w:tcW w:w="960" w:type="dxa"/>
            <w:vAlign w:val="bottom"/>
          </w:tcPr>
          <w:p>
            <w:pPr>
              <w:spacing w:after="0"/>
              <w:rPr>
                <w:sz w:val="15"/>
                <w:szCs w:val="15"/>
                <w:color w:val="auto"/>
              </w:rPr>
            </w:pPr>
          </w:p>
        </w:tc>
        <w:tc>
          <w:tcPr>
            <w:tcW w:w="158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684,953</w:t>
            </w:r>
          </w:p>
        </w:tc>
      </w:tr>
      <w:tr>
        <w:trPr>
          <w:trHeight w:val="183"/>
        </w:trPr>
        <w:tc>
          <w:tcPr>
            <w:tcW w:w="6760" w:type="dxa"/>
            <w:vAlign w:val="bottom"/>
          </w:tcPr>
          <w:p>
            <w:pPr>
              <w:spacing w:after="0"/>
              <w:rPr>
                <w:sz w:val="20"/>
                <w:szCs w:val="20"/>
                <w:color w:val="auto"/>
              </w:rPr>
            </w:pPr>
            <w:r>
              <w:rPr>
                <w:rFonts w:ascii="Courier New" w:cs="Courier New" w:eastAsia="Courier New" w:hAnsi="Courier New"/>
                <w:sz w:val="16"/>
                <w:szCs w:val="16"/>
                <w:color w:val="auto"/>
              </w:rPr>
              <w:t>Other assets, net</w:t>
            </w:r>
          </w:p>
        </w:tc>
        <w:tc>
          <w:tcPr>
            <w:tcW w:w="960" w:type="dxa"/>
            <w:vAlign w:val="bottom"/>
          </w:tcPr>
          <w:p>
            <w:pPr>
              <w:spacing w:after="0"/>
              <w:rPr>
                <w:sz w:val="15"/>
                <w:szCs w:val="15"/>
                <w:color w:val="auto"/>
              </w:rPr>
            </w:pP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791,492</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797,843</w:t>
            </w:r>
          </w:p>
        </w:tc>
      </w:tr>
      <w:tr>
        <w:trPr>
          <w:trHeight w:val="183"/>
        </w:trPr>
        <w:tc>
          <w:tcPr>
            <w:tcW w:w="6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676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16,600,157</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17,124,076</w:t>
            </w:r>
          </w:p>
        </w:tc>
      </w:tr>
      <w:tr>
        <w:trPr>
          <w:trHeight w:val="183"/>
        </w:trPr>
        <w:tc>
          <w:tcPr>
            <w:tcW w:w="6760" w:type="dxa"/>
            <w:vAlign w:val="bottom"/>
          </w:tcPr>
          <w:p>
            <w:pPr>
              <w:spacing w:after="0"/>
              <w:rPr>
                <w:sz w:val="15"/>
                <w:szCs w:val="15"/>
                <w:color w:val="auto"/>
              </w:rPr>
            </w:pPr>
          </w:p>
        </w:tc>
        <w:tc>
          <w:tcPr>
            <w:tcW w:w="25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6760" w:type="dxa"/>
            <w:vAlign w:val="bottom"/>
          </w:tcPr>
          <w:p>
            <w:pPr>
              <w:ind w:left="2100"/>
              <w:spacing w:after="0"/>
              <w:rPr>
                <w:sz w:val="20"/>
                <w:szCs w:val="20"/>
                <w:color w:val="auto"/>
              </w:rPr>
            </w:pPr>
            <w:r>
              <w:rPr>
                <w:rFonts w:ascii="Courier New" w:cs="Courier New" w:eastAsia="Courier New" w:hAnsi="Courier New"/>
                <w:sz w:val="16"/>
                <w:szCs w:val="16"/>
                <w:color w:val="auto"/>
              </w:rPr>
              <w:t>Liabilities and Divisional Equity</w:t>
            </w:r>
          </w:p>
        </w:tc>
        <w:tc>
          <w:tcPr>
            <w:tcW w:w="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3"/>
        </w:trPr>
        <w:tc>
          <w:tcPr>
            <w:tcW w:w="67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Note payable</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759,384</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799,789</w:t>
            </w:r>
          </w:p>
        </w:tc>
      </w:tr>
      <w:tr>
        <w:trPr>
          <w:trHeight w:val="183"/>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Current maturities of long-term debt</w:t>
            </w:r>
          </w:p>
        </w:tc>
        <w:tc>
          <w:tcPr>
            <w:tcW w:w="960" w:type="dxa"/>
            <w:vAlign w:val="bottom"/>
          </w:tcPr>
          <w:p>
            <w:pPr>
              <w:spacing w:after="0"/>
              <w:rPr>
                <w:sz w:val="15"/>
                <w:szCs w:val="15"/>
                <w:color w:val="auto"/>
              </w:rPr>
            </w:pP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1,197,425</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1,900,841</w:t>
            </w:r>
          </w:p>
        </w:tc>
      </w:tr>
      <w:tr>
        <w:trPr>
          <w:trHeight w:val="183"/>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Due to affiliate</w:t>
            </w:r>
          </w:p>
        </w:tc>
        <w:tc>
          <w:tcPr>
            <w:tcW w:w="960" w:type="dxa"/>
            <w:vAlign w:val="bottom"/>
          </w:tcPr>
          <w:p>
            <w:pPr>
              <w:spacing w:after="0"/>
              <w:rPr>
                <w:sz w:val="15"/>
                <w:szCs w:val="15"/>
                <w:color w:val="auto"/>
              </w:rPr>
            </w:pP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2,268,668</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Accounts payable</w:t>
            </w:r>
          </w:p>
        </w:tc>
        <w:tc>
          <w:tcPr>
            <w:tcW w:w="960" w:type="dxa"/>
            <w:vAlign w:val="bottom"/>
          </w:tcPr>
          <w:p>
            <w:pPr>
              <w:spacing w:after="0"/>
              <w:rPr>
                <w:sz w:val="15"/>
                <w:szCs w:val="15"/>
                <w:color w:val="auto"/>
              </w:rPr>
            </w:pP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858,188</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623,873</w:t>
            </w:r>
          </w:p>
        </w:tc>
      </w:tr>
      <w:tr>
        <w:trPr>
          <w:trHeight w:val="183"/>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Accrued expenses</w:t>
            </w:r>
          </w:p>
        </w:tc>
        <w:tc>
          <w:tcPr>
            <w:tcW w:w="960" w:type="dxa"/>
            <w:vAlign w:val="bottom"/>
          </w:tcPr>
          <w:p>
            <w:pPr>
              <w:spacing w:after="0"/>
              <w:rPr>
                <w:sz w:val="15"/>
                <w:szCs w:val="15"/>
                <w:color w:val="auto"/>
              </w:rPr>
            </w:pP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1,412,122</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1,778,438</w:t>
            </w:r>
          </w:p>
        </w:tc>
      </w:tr>
      <w:tr>
        <w:trPr>
          <w:trHeight w:val="183"/>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Deferred revenue</w:t>
            </w:r>
          </w:p>
        </w:tc>
        <w:tc>
          <w:tcPr>
            <w:tcW w:w="960" w:type="dxa"/>
            <w:vAlign w:val="bottom"/>
          </w:tcPr>
          <w:p>
            <w:pPr>
              <w:spacing w:after="0"/>
              <w:rPr>
                <w:sz w:val="15"/>
                <w:szCs w:val="15"/>
                <w:color w:val="auto"/>
              </w:rPr>
            </w:pP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144,100</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196,168</w:t>
            </w:r>
          </w:p>
        </w:tc>
      </w:tr>
      <w:tr>
        <w:trPr>
          <w:trHeight w:val="183"/>
        </w:trPr>
        <w:tc>
          <w:tcPr>
            <w:tcW w:w="6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6760" w:type="dxa"/>
            <w:vAlign w:val="bottom"/>
          </w:tcPr>
          <w:p>
            <w:pPr>
              <w:ind w:left="1800"/>
              <w:spacing w:after="0"/>
              <w:rPr>
                <w:sz w:val="20"/>
                <w:szCs w:val="20"/>
                <w:color w:val="auto"/>
              </w:rPr>
            </w:pPr>
            <w:r>
              <w:rPr>
                <w:rFonts w:ascii="Courier New" w:cs="Courier New" w:eastAsia="Courier New" w:hAnsi="Courier New"/>
                <w:sz w:val="16"/>
                <w:szCs w:val="16"/>
                <w:color w:val="auto"/>
              </w:rPr>
              <w:t>Total current liabilities</w:t>
            </w:r>
          </w:p>
        </w:tc>
        <w:tc>
          <w:tcPr>
            <w:tcW w:w="960" w:type="dxa"/>
            <w:vAlign w:val="bottom"/>
          </w:tcPr>
          <w:p>
            <w:pPr>
              <w:spacing w:after="0"/>
              <w:rPr>
                <w:sz w:val="15"/>
                <w:szCs w:val="15"/>
                <w:color w:val="auto"/>
              </w:rPr>
            </w:pP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6,639,887</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5,299,109</w:t>
            </w:r>
          </w:p>
        </w:tc>
      </w:tr>
      <w:tr>
        <w:trPr>
          <w:trHeight w:val="367"/>
        </w:trPr>
        <w:tc>
          <w:tcPr>
            <w:tcW w:w="6760" w:type="dxa"/>
            <w:vAlign w:val="bottom"/>
          </w:tcPr>
          <w:p>
            <w:pPr>
              <w:spacing w:after="0"/>
              <w:rPr>
                <w:sz w:val="20"/>
                <w:szCs w:val="20"/>
                <w:color w:val="auto"/>
              </w:rPr>
            </w:pPr>
            <w:r>
              <w:rPr>
                <w:rFonts w:ascii="Courier New" w:cs="Courier New" w:eastAsia="Courier New" w:hAnsi="Courier New"/>
                <w:sz w:val="16"/>
                <w:szCs w:val="16"/>
                <w:color w:val="auto"/>
              </w:rPr>
              <w:t>Long-term debt, less current maturities</w:t>
            </w:r>
          </w:p>
        </w:tc>
        <w:tc>
          <w:tcPr>
            <w:tcW w:w="960" w:type="dxa"/>
            <w:vAlign w:val="bottom"/>
          </w:tcPr>
          <w:p>
            <w:pPr>
              <w:spacing w:after="0"/>
              <w:rPr>
                <w:sz w:val="24"/>
                <w:szCs w:val="24"/>
                <w:color w:val="auto"/>
              </w:rPr>
            </w:pP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3,249,010</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5,983,195</w:t>
            </w:r>
          </w:p>
        </w:tc>
      </w:tr>
      <w:tr>
        <w:trPr>
          <w:trHeight w:val="183"/>
        </w:trPr>
        <w:tc>
          <w:tcPr>
            <w:tcW w:w="6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6760" w:type="dxa"/>
            <w:vAlign w:val="bottom"/>
          </w:tcPr>
          <w:p>
            <w:pPr>
              <w:ind w:left="1800"/>
              <w:spacing w:after="0"/>
              <w:rPr>
                <w:sz w:val="20"/>
                <w:szCs w:val="20"/>
                <w:color w:val="auto"/>
              </w:rPr>
            </w:pPr>
            <w:r>
              <w:rPr>
                <w:rFonts w:ascii="Courier New" w:cs="Courier New" w:eastAsia="Courier New" w:hAnsi="Courier New"/>
                <w:sz w:val="16"/>
                <w:szCs w:val="16"/>
                <w:color w:val="auto"/>
              </w:rPr>
              <w:t>Total liabilities</w:t>
            </w:r>
          </w:p>
        </w:tc>
        <w:tc>
          <w:tcPr>
            <w:tcW w:w="960" w:type="dxa"/>
            <w:vAlign w:val="bottom"/>
          </w:tcPr>
          <w:p>
            <w:pPr>
              <w:spacing w:after="0"/>
              <w:rPr>
                <w:sz w:val="15"/>
                <w:szCs w:val="15"/>
                <w:color w:val="auto"/>
              </w:rPr>
            </w:pP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9,888,897</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11,282,304</w:t>
            </w:r>
          </w:p>
        </w:tc>
      </w:tr>
      <w:tr>
        <w:trPr>
          <w:trHeight w:val="183"/>
        </w:trPr>
        <w:tc>
          <w:tcPr>
            <w:tcW w:w="6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6760" w:type="dxa"/>
            <w:vAlign w:val="bottom"/>
          </w:tcPr>
          <w:p>
            <w:pPr>
              <w:spacing w:after="0"/>
              <w:rPr>
                <w:sz w:val="20"/>
                <w:szCs w:val="20"/>
                <w:color w:val="auto"/>
              </w:rPr>
            </w:pPr>
            <w:r>
              <w:rPr>
                <w:rFonts w:ascii="Courier New" w:cs="Courier New" w:eastAsia="Courier New" w:hAnsi="Courier New"/>
                <w:sz w:val="16"/>
                <w:szCs w:val="16"/>
                <w:color w:val="auto"/>
              </w:rPr>
              <w:t>Divisional equity</w:t>
            </w:r>
          </w:p>
        </w:tc>
        <w:tc>
          <w:tcPr>
            <w:tcW w:w="960" w:type="dxa"/>
            <w:vAlign w:val="bottom"/>
          </w:tcPr>
          <w:p>
            <w:pPr>
              <w:spacing w:after="0"/>
              <w:rPr>
                <w:sz w:val="15"/>
                <w:szCs w:val="15"/>
                <w:color w:val="auto"/>
              </w:rPr>
            </w:pP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6,711,260</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5,841,772</w:t>
            </w:r>
          </w:p>
        </w:tc>
      </w:tr>
      <w:tr>
        <w:trPr>
          <w:trHeight w:val="367"/>
        </w:trPr>
        <w:tc>
          <w:tcPr>
            <w:tcW w:w="676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67"/>
        </w:trPr>
        <w:tc>
          <w:tcPr>
            <w:tcW w:w="676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16,600,157</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17,124,076</w:t>
            </w:r>
          </w:p>
        </w:tc>
      </w:tr>
      <w:tr>
        <w:trPr>
          <w:trHeight w:val="183"/>
        </w:trPr>
        <w:tc>
          <w:tcPr>
            <w:tcW w:w="6760" w:type="dxa"/>
            <w:vAlign w:val="bottom"/>
          </w:tcPr>
          <w:p>
            <w:pPr>
              <w:spacing w:after="0"/>
              <w:rPr>
                <w:sz w:val="15"/>
                <w:szCs w:val="15"/>
                <w:color w:val="auto"/>
              </w:rPr>
            </w:pPr>
          </w:p>
        </w:tc>
        <w:tc>
          <w:tcPr>
            <w:tcW w:w="25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financial statements.</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780"/>
          </w:cols>
          <w:pgMar w:left="240" w:top="1398" w:right="879" w:bottom="1440" w:gutter="0" w:footer="0" w:header="0"/>
        </w:sectPr>
      </w:pPr>
    </w:p>
    <w:bookmarkStart w:id="4" w:name="page5"/>
    <w:bookmarkEnd w:id="4"/>
    <w:p>
      <w:pPr>
        <w:jc w:val="center"/>
        <w:ind w:right="3440"/>
        <w:spacing w:after="0"/>
        <w:rPr>
          <w:sz w:val="20"/>
          <w:szCs w:val="20"/>
          <w:color w:val="auto"/>
        </w:rPr>
      </w:pPr>
      <w:r>
        <w:rPr>
          <w:rFonts w:ascii="Courier New" w:cs="Courier New" w:eastAsia="Courier New" w:hAnsi="Courier New"/>
          <w:sz w:val="16"/>
          <w:szCs w:val="16"/>
          <w:color w:val="auto"/>
        </w:rPr>
        <w:t>INDUSTRIAL MOLDING</w:t>
      </w:r>
    </w:p>
    <w:p>
      <w:pPr>
        <w:spacing w:after="0" w:line="2"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6"/>
          <w:szCs w:val="16"/>
          <w:color w:val="auto"/>
        </w:rPr>
        <w:t>(a division of Industrial Molding Corporation)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820" w:type="dxa"/>
            <w:vAlign w:val="bottom"/>
          </w:tcPr>
          <w:p>
            <w:pPr>
              <w:ind w:left="2660"/>
              <w:spacing w:after="0"/>
              <w:rPr>
                <w:sz w:val="20"/>
                <w:szCs w:val="20"/>
                <w:color w:val="auto"/>
              </w:rPr>
            </w:pPr>
            <w:r>
              <w:rPr>
                <w:rFonts w:ascii="Courier New" w:cs="Courier New" w:eastAsia="Courier New" w:hAnsi="Courier New"/>
                <w:sz w:val="16"/>
                <w:szCs w:val="16"/>
                <w:color w:val="auto"/>
              </w:rPr>
              <w:t>Statements of Operations</w:t>
            </w:r>
          </w:p>
        </w:tc>
        <w:tc>
          <w:tcPr>
            <w:tcW w:w="9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67"/>
        </w:trPr>
        <w:tc>
          <w:tcPr>
            <w:tcW w:w="6820" w:type="dxa"/>
            <w:vAlign w:val="bottom"/>
          </w:tcPr>
          <w:p>
            <w:pPr>
              <w:ind w:left="1620"/>
              <w:spacing w:after="0"/>
              <w:rPr>
                <w:sz w:val="20"/>
                <w:szCs w:val="20"/>
                <w:color w:val="auto"/>
              </w:rPr>
            </w:pPr>
            <w:r>
              <w:rPr>
                <w:rFonts w:ascii="Courier New" w:cs="Courier New" w:eastAsia="Courier New" w:hAnsi="Courier New"/>
                <w:sz w:val="16"/>
                <w:szCs w:val="16"/>
                <w:color w:val="auto"/>
              </w:rPr>
              <w:t>Years ended January 2, 1999 and January 3, 1998</w:t>
            </w:r>
          </w:p>
        </w:tc>
        <w:tc>
          <w:tcPr>
            <w:tcW w:w="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67"/>
        </w:trPr>
        <w:tc>
          <w:tcPr>
            <w:tcW w:w="6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January 2,</w:t>
            </w:r>
          </w:p>
        </w:tc>
        <w:tc>
          <w:tcPr>
            <w:tcW w:w="1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January 3,</w:t>
            </w:r>
          </w:p>
        </w:tc>
      </w:tr>
      <w:tr>
        <w:trPr>
          <w:trHeight w:val="183"/>
        </w:trPr>
        <w:tc>
          <w:tcPr>
            <w:tcW w:w="6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6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1999</w:t>
            </w:r>
          </w:p>
        </w:tc>
        <w:tc>
          <w:tcPr>
            <w:tcW w:w="15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6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0"/>
        </w:trPr>
        <w:tc>
          <w:tcPr>
            <w:tcW w:w="68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28,005,418</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26,777,147</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900" w:type="dxa"/>
            <w:vAlign w:val="bottom"/>
          </w:tcPr>
          <w:p>
            <w:pPr>
              <w:spacing w:after="0"/>
              <w:rPr>
                <w:sz w:val="15"/>
                <w:szCs w:val="15"/>
                <w:color w:val="auto"/>
              </w:rPr>
            </w:pP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22,858,626</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21,999,511</w:t>
            </w:r>
          </w:p>
        </w:tc>
      </w:tr>
      <w:tr>
        <w:trPr>
          <w:trHeight w:val="183"/>
        </w:trPr>
        <w:tc>
          <w:tcPr>
            <w:tcW w:w="6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820" w:type="dxa"/>
            <w:vAlign w:val="bottom"/>
          </w:tcPr>
          <w:p>
            <w:pPr>
              <w:ind w:left="1800"/>
              <w:spacing w:after="0"/>
              <w:rPr>
                <w:sz w:val="20"/>
                <w:szCs w:val="20"/>
                <w:color w:val="auto"/>
              </w:rPr>
            </w:pPr>
            <w:r>
              <w:rPr>
                <w:rFonts w:ascii="Courier New" w:cs="Courier New" w:eastAsia="Courier New" w:hAnsi="Courier New"/>
                <w:sz w:val="16"/>
                <w:szCs w:val="16"/>
                <w:color w:val="auto"/>
              </w:rPr>
              <w:t>Gross profit</w:t>
            </w:r>
          </w:p>
        </w:tc>
        <w:tc>
          <w:tcPr>
            <w:tcW w:w="900" w:type="dxa"/>
            <w:vAlign w:val="bottom"/>
          </w:tcPr>
          <w:p>
            <w:pPr>
              <w:spacing w:after="0"/>
              <w:rPr>
                <w:sz w:val="15"/>
                <w:szCs w:val="15"/>
                <w:color w:val="auto"/>
              </w:rPr>
            </w:pP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5,146,792</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4,777,636</w:t>
            </w:r>
          </w:p>
        </w:tc>
      </w:tr>
      <w:tr>
        <w:trPr>
          <w:trHeight w:val="183"/>
        </w:trPr>
        <w:tc>
          <w:tcPr>
            <w:tcW w:w="6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82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3"/>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rPr>
              <w:t>Selling expenses</w:t>
            </w:r>
          </w:p>
        </w:tc>
        <w:tc>
          <w:tcPr>
            <w:tcW w:w="900" w:type="dxa"/>
            <w:vAlign w:val="bottom"/>
          </w:tcPr>
          <w:p>
            <w:pPr>
              <w:spacing w:after="0"/>
              <w:rPr>
                <w:sz w:val="15"/>
                <w:szCs w:val="15"/>
                <w:color w:val="auto"/>
              </w:rPr>
            </w:pP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961,238</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858,232</w:t>
            </w:r>
          </w:p>
        </w:tc>
      </w:tr>
      <w:tr>
        <w:trPr>
          <w:trHeight w:val="183"/>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rPr>
              <w:t>General and administrative expenses</w:t>
            </w:r>
          </w:p>
        </w:tc>
        <w:tc>
          <w:tcPr>
            <w:tcW w:w="900" w:type="dxa"/>
            <w:vAlign w:val="bottom"/>
          </w:tcPr>
          <w:p>
            <w:pPr>
              <w:spacing w:after="0"/>
              <w:rPr>
                <w:sz w:val="15"/>
                <w:szCs w:val="15"/>
                <w:color w:val="auto"/>
              </w:rPr>
            </w:pP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3,325,997</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2,401,721</w:t>
            </w:r>
          </w:p>
        </w:tc>
      </w:tr>
      <w:tr>
        <w:trPr>
          <w:trHeight w:val="183"/>
        </w:trPr>
        <w:tc>
          <w:tcPr>
            <w:tcW w:w="6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4,287,235</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3,259,953</w:t>
            </w:r>
          </w:p>
        </w:tc>
      </w:tr>
      <w:tr>
        <w:trPr>
          <w:trHeight w:val="183"/>
        </w:trPr>
        <w:tc>
          <w:tcPr>
            <w:tcW w:w="6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820" w:type="dxa"/>
            <w:vAlign w:val="bottom"/>
          </w:tcPr>
          <w:p>
            <w:pPr>
              <w:ind w:left="1800"/>
              <w:spacing w:after="0"/>
              <w:rPr>
                <w:sz w:val="20"/>
                <w:szCs w:val="20"/>
                <w:color w:val="auto"/>
              </w:rPr>
            </w:pPr>
            <w:r>
              <w:rPr>
                <w:rFonts w:ascii="Courier New" w:cs="Courier New" w:eastAsia="Courier New" w:hAnsi="Courier New"/>
                <w:sz w:val="16"/>
                <w:szCs w:val="16"/>
                <w:color w:val="auto"/>
              </w:rPr>
              <w:t>Operating income</w:t>
            </w:r>
          </w:p>
        </w:tc>
        <w:tc>
          <w:tcPr>
            <w:tcW w:w="900" w:type="dxa"/>
            <w:vAlign w:val="bottom"/>
          </w:tcPr>
          <w:p>
            <w:pPr>
              <w:spacing w:after="0"/>
              <w:rPr>
                <w:sz w:val="15"/>
                <w:szCs w:val="15"/>
                <w:color w:val="auto"/>
              </w:rPr>
            </w:pP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859,557</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1,517,683</w:t>
            </w:r>
          </w:p>
        </w:tc>
      </w:tr>
      <w:tr>
        <w:trPr>
          <w:trHeight w:val="183"/>
        </w:trPr>
        <w:tc>
          <w:tcPr>
            <w:tcW w:w="6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8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3"/>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rPr>
              <w:t>Interest expense</w:t>
            </w:r>
          </w:p>
        </w:tc>
        <w:tc>
          <w:tcPr>
            <w:tcW w:w="900" w:type="dxa"/>
            <w:vAlign w:val="bottom"/>
          </w:tcPr>
          <w:p>
            <w:pPr>
              <w:spacing w:after="0"/>
              <w:rPr>
                <w:sz w:val="15"/>
                <w:szCs w:val="15"/>
                <w:color w:val="auto"/>
              </w:rPr>
            </w:pP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(531,135)</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(816,448)</w:t>
            </w:r>
          </w:p>
        </w:tc>
      </w:tr>
      <w:tr>
        <w:trPr>
          <w:trHeight w:val="183"/>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rPr>
              <w:t>Interest income</w:t>
            </w:r>
          </w:p>
        </w:tc>
        <w:tc>
          <w:tcPr>
            <w:tcW w:w="900" w:type="dxa"/>
            <w:vAlign w:val="bottom"/>
          </w:tcPr>
          <w:p>
            <w:pPr>
              <w:spacing w:after="0"/>
              <w:rPr>
                <w:sz w:val="15"/>
                <w:szCs w:val="15"/>
                <w:color w:val="auto"/>
              </w:rPr>
            </w:pP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27,421</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37,975</w:t>
            </w:r>
          </w:p>
        </w:tc>
      </w:tr>
      <w:tr>
        <w:trPr>
          <w:trHeight w:val="183"/>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rPr>
              <w:t>Other, net</w:t>
            </w:r>
          </w:p>
        </w:tc>
        <w:tc>
          <w:tcPr>
            <w:tcW w:w="900" w:type="dxa"/>
            <w:vAlign w:val="bottom"/>
          </w:tcPr>
          <w:p>
            <w:pPr>
              <w:spacing w:after="0"/>
              <w:rPr>
                <w:sz w:val="15"/>
                <w:szCs w:val="15"/>
                <w:color w:val="auto"/>
              </w:rPr>
            </w:pP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186,437</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198,469</w:t>
            </w:r>
          </w:p>
        </w:tc>
      </w:tr>
      <w:tr>
        <w:trPr>
          <w:trHeight w:val="183"/>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rPr>
              <w:t>Litigation settlements, net</w:t>
            </w:r>
          </w:p>
        </w:tc>
        <w:tc>
          <w:tcPr>
            <w:tcW w:w="900" w:type="dxa"/>
            <w:vAlign w:val="bottom"/>
          </w:tcPr>
          <w:p>
            <w:pPr>
              <w:spacing w:after="0"/>
              <w:rPr>
                <w:sz w:val="15"/>
                <w:szCs w:val="15"/>
                <w:color w:val="auto"/>
              </w:rPr>
            </w:pP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977,928</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(511,601)</w:t>
            </w:r>
          </w:p>
        </w:tc>
      </w:tr>
      <w:tr>
        <w:trPr>
          <w:trHeight w:val="183"/>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rPr>
              <w:t>Gain (loss) on disposal of property, plant and equipment</w:t>
            </w:r>
          </w:p>
        </w:tc>
        <w:tc>
          <w:tcPr>
            <w:tcW w:w="900" w:type="dxa"/>
            <w:vAlign w:val="bottom"/>
          </w:tcPr>
          <w:p>
            <w:pPr>
              <w:spacing w:after="0"/>
              <w:rPr>
                <w:sz w:val="15"/>
                <w:szCs w:val="15"/>
                <w:color w:val="auto"/>
              </w:rPr>
            </w:pP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(186,925)</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97,698</w:t>
            </w:r>
          </w:p>
        </w:tc>
      </w:tr>
      <w:tr>
        <w:trPr>
          <w:trHeight w:val="183"/>
        </w:trPr>
        <w:tc>
          <w:tcPr>
            <w:tcW w:w="6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473,726</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(993,907)</w:t>
            </w:r>
          </w:p>
        </w:tc>
      </w:tr>
      <w:tr>
        <w:trPr>
          <w:trHeight w:val="183"/>
        </w:trPr>
        <w:tc>
          <w:tcPr>
            <w:tcW w:w="6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820" w:type="dxa"/>
            <w:vAlign w:val="bottom"/>
          </w:tcPr>
          <w:p>
            <w:pPr>
              <w:ind w:left="1800"/>
              <w:spacing w:after="0"/>
              <w:rPr>
                <w:sz w:val="20"/>
                <w:szCs w:val="20"/>
                <w:color w:val="auto"/>
              </w:rPr>
            </w:pPr>
            <w:r>
              <w:rPr>
                <w:rFonts w:ascii="Courier New" w:cs="Courier New" w:eastAsia="Courier New" w:hAnsi="Courier New"/>
                <w:sz w:val="16"/>
                <w:szCs w:val="16"/>
                <w:color w:val="auto"/>
              </w:rPr>
              <w:t>Net income</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1,333,283</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523,776</w:t>
            </w:r>
          </w:p>
        </w:tc>
      </w:tr>
      <w:tr>
        <w:trPr>
          <w:trHeight w:val="183"/>
        </w:trPr>
        <w:tc>
          <w:tcPr>
            <w:tcW w:w="6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060"/>
          </w:cols>
          <w:pgMar w:left="240" w:top="1398" w:right="5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1"/>
        </w:trPr>
        <w:tc>
          <w:tcPr>
            <w:tcW w:w="5340" w:type="dxa"/>
            <w:vAlign w:val="bottom"/>
          </w:tcPr>
          <w:p>
            <w:pPr>
              <w:ind w:left="2860"/>
              <w:spacing w:after="0"/>
              <w:rPr>
                <w:sz w:val="20"/>
                <w:szCs w:val="20"/>
                <w:color w:val="auto"/>
              </w:rPr>
            </w:pPr>
            <w:r>
              <w:rPr>
                <w:rFonts w:ascii="Courier New" w:cs="Courier New" w:eastAsia="Courier New" w:hAnsi="Courier New"/>
                <w:sz w:val="16"/>
                <w:szCs w:val="16"/>
                <w:color w:val="auto"/>
              </w:rPr>
              <w:t>INDUSTRIAL MOLDING</w:t>
            </w: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10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(a division of Industrial Molding Corporation)</w:t>
            </w:r>
          </w:p>
        </w:tc>
        <w:tc>
          <w:tcPr>
            <w:tcW w:w="960" w:type="dxa"/>
            <w:vAlign w:val="bottom"/>
          </w:tcPr>
          <w:p>
            <w:pPr>
              <w:spacing w:after="0"/>
              <w:rPr>
                <w:sz w:val="15"/>
                <w:szCs w:val="15"/>
                <w:color w:val="auto"/>
              </w:rPr>
            </w:pPr>
          </w:p>
        </w:tc>
      </w:tr>
      <w:tr>
        <w:trPr>
          <w:trHeight w:val="183"/>
        </w:trPr>
        <w:tc>
          <w:tcPr>
            <w:tcW w:w="5340" w:type="dxa"/>
            <w:vAlign w:val="bottom"/>
          </w:tcPr>
          <w:p>
            <w:pPr>
              <w:ind w:left="2380"/>
              <w:spacing w:after="0"/>
              <w:rPr>
                <w:sz w:val="20"/>
                <w:szCs w:val="20"/>
                <w:color w:val="auto"/>
              </w:rPr>
            </w:pPr>
            <w:r>
              <w:rPr>
                <w:rFonts w:ascii="Courier New" w:cs="Courier New" w:eastAsia="Courier New" w:hAnsi="Courier New"/>
                <w:sz w:val="16"/>
                <w:szCs w:val="16"/>
                <w:color w:val="auto"/>
                <w:w w:val="98"/>
              </w:rPr>
              <w:t>Statements of Divisional Equity</w:t>
            </w: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100" w:type="dxa"/>
            <w:vAlign w:val="bottom"/>
            <w:gridSpan w:val="2"/>
          </w:tcPr>
          <w:p>
            <w:pPr>
              <w:ind w:left="1620"/>
              <w:spacing w:after="0"/>
              <w:rPr>
                <w:sz w:val="20"/>
                <w:szCs w:val="20"/>
                <w:color w:val="auto"/>
              </w:rPr>
            </w:pPr>
            <w:r>
              <w:rPr>
                <w:rFonts w:ascii="Courier New" w:cs="Courier New" w:eastAsia="Courier New" w:hAnsi="Courier New"/>
                <w:sz w:val="16"/>
                <w:szCs w:val="16"/>
                <w:color w:val="auto"/>
                <w:w w:val="98"/>
              </w:rPr>
              <w:t>Years ended January 2, 1999 and January 3, 1998</w:t>
            </w:r>
          </w:p>
        </w:tc>
        <w:tc>
          <w:tcPr>
            <w:tcW w:w="960" w:type="dxa"/>
            <w:vAlign w:val="bottom"/>
          </w:tcPr>
          <w:p>
            <w:pPr>
              <w:spacing w:after="0"/>
              <w:rPr>
                <w:sz w:val="15"/>
                <w:szCs w:val="15"/>
                <w:color w:val="auto"/>
              </w:rPr>
            </w:pPr>
          </w:p>
        </w:tc>
      </w:tr>
      <w:tr>
        <w:trPr>
          <w:trHeight w:val="550"/>
        </w:trPr>
        <w:tc>
          <w:tcPr>
            <w:tcW w:w="5340" w:type="dxa"/>
            <w:vAlign w:val="bottom"/>
          </w:tcPr>
          <w:p>
            <w:pPr>
              <w:spacing w:after="0"/>
              <w:rPr>
                <w:sz w:val="20"/>
                <w:szCs w:val="20"/>
                <w:color w:val="auto"/>
              </w:rPr>
            </w:pPr>
            <w:r>
              <w:rPr>
                <w:rFonts w:ascii="Courier New" w:cs="Courier New" w:eastAsia="Courier New" w:hAnsi="Courier New"/>
                <w:sz w:val="16"/>
                <w:szCs w:val="16"/>
                <w:color w:val="auto"/>
              </w:rPr>
              <w:t>Balance at</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5340" w:type="dxa"/>
            <w:vAlign w:val="bottom"/>
          </w:tcPr>
          <w:p>
            <w:pPr>
              <w:ind w:left="380"/>
              <w:spacing w:after="0"/>
              <w:rPr>
                <w:sz w:val="20"/>
                <w:szCs w:val="20"/>
                <w:color w:val="auto"/>
              </w:rPr>
            </w:pPr>
            <w:r>
              <w:rPr>
                <w:rFonts w:ascii="Courier New" w:cs="Courier New" w:eastAsia="Courier New" w:hAnsi="Courier New"/>
                <w:sz w:val="16"/>
                <w:szCs w:val="16"/>
                <w:color w:val="auto"/>
              </w:rPr>
              <w:t>December 28, 1996</w:t>
            </w:r>
          </w:p>
        </w:tc>
        <w:tc>
          <w:tcPr>
            <w:tcW w:w="76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6,279,380</w:t>
            </w:r>
          </w:p>
        </w:tc>
      </w:tr>
      <w:tr>
        <w:trPr>
          <w:trHeight w:val="367"/>
        </w:trPr>
        <w:tc>
          <w:tcPr>
            <w:tcW w:w="53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7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523,776</w:t>
            </w:r>
          </w:p>
        </w:tc>
      </w:tr>
      <w:tr>
        <w:trPr>
          <w:trHeight w:val="367"/>
        </w:trPr>
        <w:tc>
          <w:tcPr>
            <w:tcW w:w="5340" w:type="dxa"/>
            <w:vAlign w:val="bottom"/>
          </w:tcPr>
          <w:p>
            <w:pPr>
              <w:spacing w:after="0"/>
              <w:rPr>
                <w:sz w:val="20"/>
                <w:szCs w:val="20"/>
                <w:color w:val="auto"/>
              </w:rPr>
            </w:pPr>
            <w:r>
              <w:rPr>
                <w:rFonts w:ascii="Courier New" w:cs="Courier New" w:eastAsia="Courier New" w:hAnsi="Courier New"/>
                <w:sz w:val="16"/>
                <w:szCs w:val="16"/>
                <w:color w:val="auto"/>
              </w:rPr>
              <w:t>Distributions to parent and affiliates, net</w:t>
            </w:r>
          </w:p>
        </w:tc>
        <w:tc>
          <w:tcPr>
            <w:tcW w:w="7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(961,384)</w:t>
            </w:r>
          </w:p>
        </w:tc>
      </w:tr>
      <w:tr>
        <w:trPr>
          <w:trHeight w:val="183"/>
        </w:trPr>
        <w:tc>
          <w:tcPr>
            <w:tcW w:w="5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340" w:type="dxa"/>
            <w:vAlign w:val="bottom"/>
          </w:tcPr>
          <w:p>
            <w:pPr>
              <w:spacing w:after="0"/>
              <w:rPr>
                <w:sz w:val="20"/>
                <w:szCs w:val="20"/>
                <w:color w:val="auto"/>
              </w:rPr>
            </w:pPr>
            <w:r>
              <w:rPr>
                <w:rFonts w:ascii="Courier New" w:cs="Courier New" w:eastAsia="Courier New" w:hAnsi="Courier New"/>
                <w:sz w:val="16"/>
                <w:szCs w:val="16"/>
                <w:color w:val="auto"/>
              </w:rPr>
              <w:t>Balance at</w:t>
            </w: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5340" w:type="dxa"/>
            <w:vAlign w:val="bottom"/>
          </w:tcPr>
          <w:p>
            <w:pPr>
              <w:ind w:left="380"/>
              <w:spacing w:after="0"/>
              <w:rPr>
                <w:sz w:val="20"/>
                <w:szCs w:val="20"/>
                <w:color w:val="auto"/>
              </w:rPr>
            </w:pPr>
            <w:r>
              <w:rPr>
                <w:rFonts w:ascii="Courier New" w:cs="Courier New" w:eastAsia="Courier New" w:hAnsi="Courier New"/>
                <w:sz w:val="16"/>
                <w:szCs w:val="16"/>
                <w:color w:val="auto"/>
              </w:rPr>
              <w:t>January 3, 1998</w:t>
            </w:r>
          </w:p>
        </w:tc>
        <w:tc>
          <w:tcPr>
            <w:tcW w:w="7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5,841,772</w:t>
            </w:r>
          </w:p>
        </w:tc>
      </w:tr>
      <w:tr>
        <w:trPr>
          <w:trHeight w:val="367"/>
        </w:trPr>
        <w:tc>
          <w:tcPr>
            <w:tcW w:w="53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7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1,333,283</w:t>
            </w:r>
          </w:p>
        </w:tc>
      </w:tr>
      <w:tr>
        <w:trPr>
          <w:trHeight w:val="367"/>
        </w:trPr>
        <w:tc>
          <w:tcPr>
            <w:tcW w:w="5340" w:type="dxa"/>
            <w:vAlign w:val="bottom"/>
          </w:tcPr>
          <w:p>
            <w:pPr>
              <w:spacing w:after="0"/>
              <w:rPr>
                <w:sz w:val="20"/>
                <w:szCs w:val="20"/>
                <w:color w:val="auto"/>
              </w:rPr>
            </w:pPr>
            <w:r>
              <w:rPr>
                <w:rFonts w:ascii="Courier New" w:cs="Courier New" w:eastAsia="Courier New" w:hAnsi="Courier New"/>
                <w:sz w:val="16"/>
                <w:szCs w:val="16"/>
                <w:color w:val="auto"/>
              </w:rPr>
              <w:t>Distributions to parent, net</w:t>
            </w:r>
          </w:p>
        </w:tc>
        <w:tc>
          <w:tcPr>
            <w:tcW w:w="7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(463,795)</w:t>
            </w:r>
          </w:p>
        </w:tc>
      </w:tr>
      <w:tr>
        <w:trPr>
          <w:trHeight w:val="183"/>
        </w:trPr>
        <w:tc>
          <w:tcPr>
            <w:tcW w:w="5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340" w:type="dxa"/>
            <w:vAlign w:val="bottom"/>
          </w:tcPr>
          <w:p>
            <w:pPr>
              <w:spacing w:after="0"/>
              <w:rPr>
                <w:sz w:val="20"/>
                <w:szCs w:val="20"/>
                <w:color w:val="auto"/>
              </w:rPr>
            </w:pPr>
            <w:r>
              <w:rPr>
                <w:rFonts w:ascii="Courier New" w:cs="Courier New" w:eastAsia="Courier New" w:hAnsi="Courier New"/>
                <w:sz w:val="16"/>
                <w:szCs w:val="16"/>
                <w:color w:val="auto"/>
              </w:rPr>
              <w:t>Balance at</w:t>
            </w: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5340" w:type="dxa"/>
            <w:vAlign w:val="bottom"/>
          </w:tcPr>
          <w:p>
            <w:pPr>
              <w:ind w:left="380"/>
              <w:spacing w:after="0"/>
              <w:rPr>
                <w:sz w:val="20"/>
                <w:szCs w:val="20"/>
                <w:color w:val="auto"/>
              </w:rPr>
            </w:pPr>
            <w:r>
              <w:rPr>
                <w:rFonts w:ascii="Courier New" w:cs="Courier New" w:eastAsia="Courier New" w:hAnsi="Courier New"/>
                <w:sz w:val="16"/>
                <w:szCs w:val="16"/>
                <w:color w:val="auto"/>
              </w:rPr>
              <w:t>January 2, 1999</w:t>
            </w:r>
          </w:p>
        </w:tc>
        <w:tc>
          <w:tcPr>
            <w:tcW w:w="76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6,711,260</w:t>
            </w:r>
          </w:p>
        </w:tc>
      </w:tr>
      <w:tr>
        <w:trPr>
          <w:trHeight w:val="183"/>
        </w:trPr>
        <w:tc>
          <w:tcPr>
            <w:tcW w:w="5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031" w:right="1440" w:bottom="1440" w:gutter="0" w:footer="0" w:header="0"/>
        </w:sectPr>
      </w:pPr>
    </w:p>
    <w:bookmarkStart w:id="6" w:name="page7"/>
    <w:bookmarkEnd w:id="6"/>
    <w:p>
      <w:pPr>
        <w:jc w:val="center"/>
        <w:ind w:right="3160"/>
        <w:spacing w:after="0"/>
        <w:rPr>
          <w:sz w:val="20"/>
          <w:szCs w:val="20"/>
          <w:color w:val="auto"/>
        </w:rPr>
      </w:pPr>
      <w:r>
        <w:rPr>
          <w:rFonts w:ascii="Courier New" w:cs="Courier New" w:eastAsia="Courier New" w:hAnsi="Courier New"/>
          <w:sz w:val="16"/>
          <w:szCs w:val="16"/>
          <w:color w:val="auto"/>
        </w:rPr>
        <w:t>INDUSTRIAL MOLDING</w:t>
      </w:r>
    </w:p>
    <w:p>
      <w:pPr>
        <w:spacing w:after="0" w:line="2"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6"/>
          <w:szCs w:val="16"/>
          <w:color w:val="auto"/>
        </w:rPr>
        <w:t>(a division of Industrial Molding Corporation)</w:t>
      </w:r>
    </w:p>
    <w:p>
      <w:pPr>
        <w:spacing w:after="0" w:line="2"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6"/>
          <w:szCs w:val="16"/>
          <w:color w:val="auto"/>
        </w:rPr>
        <w:t>Statements of Cash Flows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80" w:type="dxa"/>
            <w:vAlign w:val="bottom"/>
          </w:tcPr>
          <w:p>
            <w:pPr>
              <w:spacing w:after="0"/>
              <w:rPr>
                <w:sz w:val="15"/>
                <w:szCs w:val="15"/>
                <w:color w:val="auto"/>
              </w:rPr>
            </w:pPr>
          </w:p>
        </w:tc>
        <w:tc>
          <w:tcPr>
            <w:tcW w:w="5440" w:type="dxa"/>
            <w:vAlign w:val="bottom"/>
          </w:tcPr>
          <w:p>
            <w:pPr>
              <w:ind w:left="140"/>
              <w:spacing w:after="0"/>
              <w:rPr>
                <w:sz w:val="20"/>
                <w:szCs w:val="20"/>
                <w:color w:val="auto"/>
              </w:rPr>
            </w:pPr>
            <w:r>
              <w:rPr>
                <w:rFonts w:ascii="Courier New" w:cs="Courier New" w:eastAsia="Courier New" w:hAnsi="Courier New"/>
                <w:sz w:val="16"/>
                <w:szCs w:val="16"/>
                <w:color w:val="auto"/>
              </w:rPr>
              <w:t>Years ended January 2, 1999 and January 3, 1998</w:t>
            </w:r>
          </w:p>
        </w:tc>
        <w:tc>
          <w:tcPr>
            <w:tcW w:w="8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734"/>
        </w:trPr>
        <w:tc>
          <w:tcPr>
            <w:tcW w:w="14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January 2,</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January 3,</w:t>
            </w:r>
          </w:p>
        </w:tc>
      </w:tr>
      <w:tr>
        <w:trPr>
          <w:trHeight w:val="183"/>
        </w:trPr>
        <w:tc>
          <w:tcPr>
            <w:tcW w:w="14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1999</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14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3"/>
        </w:trPr>
        <w:tc>
          <w:tcPr>
            <w:tcW w:w="1480" w:type="dxa"/>
            <w:vAlign w:val="bottom"/>
          </w:tcPr>
          <w:p>
            <w:pPr>
              <w:spacing w:after="0"/>
              <w:rPr>
                <w:sz w:val="20"/>
                <w:szCs w:val="20"/>
                <w:color w:val="auto"/>
              </w:rPr>
            </w:pPr>
            <w:r>
              <w:rPr>
                <w:rFonts w:ascii="Courier New" w:cs="Courier New" w:eastAsia="Courier New" w:hAnsi="Courier New"/>
                <w:sz w:val="16"/>
                <w:szCs w:val="16"/>
                <w:color w:val="auto"/>
              </w:rPr>
              <w:t>Cash flows from</w:t>
            </w:r>
          </w:p>
        </w:tc>
        <w:tc>
          <w:tcPr>
            <w:tcW w:w="5440" w:type="dxa"/>
            <w:vAlign w:val="bottom"/>
          </w:tcPr>
          <w:p>
            <w:pPr>
              <w:ind w:left="40"/>
              <w:spacing w:after="0"/>
              <w:rPr>
                <w:sz w:val="20"/>
                <w:szCs w:val="20"/>
                <w:color w:val="auto"/>
              </w:rPr>
            </w:pPr>
            <w:r>
              <w:rPr>
                <w:rFonts w:ascii="Courier New" w:cs="Courier New" w:eastAsia="Courier New" w:hAnsi="Courier New"/>
                <w:sz w:val="16"/>
                <w:szCs w:val="16"/>
                <w:color w:val="auto"/>
              </w:rPr>
              <w:t>operating activities:</w:t>
            </w:r>
          </w:p>
        </w:tc>
        <w:tc>
          <w:tcPr>
            <w:tcW w:w="8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1480" w:type="dxa"/>
            <w:vAlign w:val="bottom"/>
          </w:tcPr>
          <w:p>
            <w:pPr>
              <w:ind w:left="380"/>
              <w:spacing w:after="0"/>
              <w:rPr>
                <w:sz w:val="20"/>
                <w:szCs w:val="20"/>
                <w:color w:val="auto"/>
              </w:rPr>
            </w:pPr>
            <w:r>
              <w:rPr>
                <w:rFonts w:ascii="Courier New" w:cs="Courier New" w:eastAsia="Courier New" w:hAnsi="Courier New"/>
                <w:sz w:val="16"/>
                <w:szCs w:val="16"/>
                <w:color w:val="auto"/>
              </w:rPr>
              <w:t>Net income</w:t>
            </w:r>
          </w:p>
        </w:tc>
        <w:tc>
          <w:tcPr>
            <w:tcW w:w="54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1,333,283</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523,776</w:t>
            </w:r>
          </w:p>
        </w:tc>
      </w:tr>
      <w:tr>
        <w:trPr>
          <w:trHeight w:val="367"/>
        </w:trPr>
        <w:tc>
          <w:tcPr>
            <w:tcW w:w="1480" w:type="dxa"/>
            <w:vAlign w:val="bottom"/>
          </w:tcPr>
          <w:p>
            <w:pPr>
              <w:ind w:left="380"/>
              <w:spacing w:after="0"/>
              <w:rPr>
                <w:sz w:val="20"/>
                <w:szCs w:val="20"/>
                <w:color w:val="auto"/>
              </w:rPr>
            </w:pPr>
            <w:r>
              <w:rPr>
                <w:rFonts w:ascii="Courier New" w:cs="Courier New" w:eastAsia="Courier New" w:hAnsi="Courier New"/>
                <w:sz w:val="16"/>
                <w:szCs w:val="16"/>
                <w:color w:val="auto"/>
              </w:rPr>
              <w:t>Adjustments</w:t>
            </w:r>
          </w:p>
        </w:tc>
        <w:tc>
          <w:tcPr>
            <w:tcW w:w="5440" w:type="dxa"/>
            <w:vAlign w:val="bottom"/>
          </w:tcPr>
          <w:p>
            <w:pPr>
              <w:ind w:left="40"/>
              <w:spacing w:after="0"/>
              <w:rPr>
                <w:sz w:val="20"/>
                <w:szCs w:val="20"/>
                <w:color w:val="auto"/>
              </w:rPr>
            </w:pPr>
            <w:r>
              <w:rPr>
                <w:rFonts w:ascii="Courier New" w:cs="Courier New" w:eastAsia="Courier New" w:hAnsi="Courier New"/>
                <w:sz w:val="16"/>
                <w:szCs w:val="16"/>
                <w:color w:val="auto"/>
              </w:rPr>
              <w:t>to reconcile net income to</w:t>
            </w: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3"/>
        </w:trPr>
        <w:tc>
          <w:tcPr>
            <w:tcW w:w="1480" w:type="dxa"/>
            <w:vAlign w:val="bottom"/>
          </w:tcPr>
          <w:p>
            <w:pPr>
              <w:ind w:left="660"/>
              <w:spacing w:after="0"/>
              <w:rPr>
                <w:sz w:val="20"/>
                <w:szCs w:val="20"/>
                <w:color w:val="auto"/>
              </w:rPr>
            </w:pPr>
            <w:r>
              <w:rPr>
                <w:rFonts w:ascii="Courier New" w:cs="Courier New" w:eastAsia="Courier New" w:hAnsi="Courier New"/>
                <w:sz w:val="16"/>
                <w:szCs w:val="16"/>
                <w:color w:val="auto"/>
              </w:rPr>
              <w:t>net cash</w:t>
            </w:r>
          </w:p>
        </w:tc>
        <w:tc>
          <w:tcPr>
            <w:tcW w:w="5440" w:type="dxa"/>
            <w:vAlign w:val="bottom"/>
          </w:tcPr>
          <w:p>
            <w:pPr>
              <w:ind w:left="40"/>
              <w:spacing w:after="0"/>
              <w:rPr>
                <w:sz w:val="20"/>
                <w:szCs w:val="20"/>
                <w:color w:val="auto"/>
              </w:rPr>
            </w:pPr>
            <w:r>
              <w:rPr>
                <w:rFonts w:ascii="Courier New" w:cs="Courier New" w:eastAsia="Courier New" w:hAnsi="Courier New"/>
                <w:sz w:val="16"/>
                <w:szCs w:val="16"/>
                <w:color w:val="auto"/>
              </w:rPr>
              <w:t>provided by operating activities:</w:t>
            </w:r>
          </w:p>
        </w:tc>
        <w:tc>
          <w:tcPr>
            <w:tcW w:w="8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92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Depreciation and amortization</w:t>
            </w:r>
          </w:p>
        </w:tc>
        <w:tc>
          <w:tcPr>
            <w:tcW w:w="800" w:type="dxa"/>
            <w:vAlign w:val="bottom"/>
          </w:tcPr>
          <w:p>
            <w:pPr>
              <w:spacing w:after="0"/>
              <w:rPr>
                <w:sz w:val="15"/>
                <w:szCs w:val="15"/>
                <w:color w:val="auto"/>
              </w:rPr>
            </w:pP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1,599,822</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1,466,457</w:t>
            </w:r>
          </w:p>
        </w:tc>
      </w:tr>
      <w:tr>
        <w:trPr>
          <w:trHeight w:val="183"/>
        </w:trPr>
        <w:tc>
          <w:tcPr>
            <w:tcW w:w="692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Bad debt expense</w:t>
            </w:r>
          </w:p>
        </w:tc>
        <w:tc>
          <w:tcPr>
            <w:tcW w:w="800" w:type="dxa"/>
            <w:vAlign w:val="bottom"/>
          </w:tcPr>
          <w:p>
            <w:pPr>
              <w:spacing w:after="0"/>
              <w:rPr>
                <w:sz w:val="15"/>
                <w:szCs w:val="15"/>
                <w:color w:val="auto"/>
              </w:rPr>
            </w:pP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677,160</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(Gain) loss on disposal of property, plant and equipment</w:t>
            </w:r>
          </w:p>
        </w:tc>
        <w:tc>
          <w:tcPr>
            <w:tcW w:w="800" w:type="dxa"/>
            <w:vAlign w:val="bottom"/>
          </w:tcPr>
          <w:p>
            <w:pPr>
              <w:spacing w:after="0"/>
              <w:rPr>
                <w:sz w:val="15"/>
                <w:szCs w:val="15"/>
                <w:color w:val="auto"/>
              </w:rPr>
            </w:pP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186,925</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(97,698)</w:t>
            </w:r>
          </w:p>
        </w:tc>
      </w:tr>
      <w:tr>
        <w:trPr>
          <w:trHeight w:val="183"/>
        </w:trPr>
        <w:tc>
          <w:tcPr>
            <w:tcW w:w="692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8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1480" w:type="dxa"/>
            <w:vAlign w:val="bottom"/>
          </w:tcPr>
          <w:p>
            <w:pPr>
              <w:spacing w:after="0"/>
              <w:rPr>
                <w:sz w:val="15"/>
                <w:szCs w:val="15"/>
                <w:color w:val="auto"/>
              </w:rPr>
            </w:pPr>
          </w:p>
        </w:tc>
        <w:tc>
          <w:tcPr>
            <w:tcW w:w="5440" w:type="dxa"/>
            <w:vAlign w:val="bottom"/>
          </w:tcPr>
          <w:p>
            <w:pPr>
              <w:ind w:left="40"/>
              <w:spacing w:after="0"/>
              <w:rPr>
                <w:sz w:val="20"/>
                <w:szCs w:val="20"/>
                <w:color w:val="auto"/>
              </w:rPr>
            </w:pPr>
            <w:r>
              <w:rPr>
                <w:rFonts w:ascii="Courier New" w:cs="Courier New" w:eastAsia="Courier New" w:hAnsi="Courier New"/>
                <w:sz w:val="16"/>
                <w:szCs w:val="16"/>
                <w:color w:val="auto"/>
              </w:rPr>
              <w:t>Increase in trade accounts receivable</w:t>
            </w:r>
          </w:p>
        </w:tc>
        <w:tc>
          <w:tcPr>
            <w:tcW w:w="800" w:type="dxa"/>
            <w:vAlign w:val="bottom"/>
          </w:tcPr>
          <w:p>
            <w:pPr>
              <w:spacing w:after="0"/>
              <w:rPr>
                <w:sz w:val="15"/>
                <w:szCs w:val="15"/>
                <w:color w:val="auto"/>
              </w:rPr>
            </w:pP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(13,411)</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(979,743)</w:t>
            </w:r>
          </w:p>
        </w:tc>
      </w:tr>
      <w:tr>
        <w:trPr>
          <w:trHeight w:val="183"/>
        </w:trPr>
        <w:tc>
          <w:tcPr>
            <w:tcW w:w="1480" w:type="dxa"/>
            <w:vAlign w:val="bottom"/>
          </w:tcPr>
          <w:p>
            <w:pPr>
              <w:spacing w:after="0"/>
              <w:rPr>
                <w:sz w:val="15"/>
                <w:szCs w:val="15"/>
                <w:color w:val="auto"/>
              </w:rPr>
            </w:pPr>
          </w:p>
        </w:tc>
        <w:tc>
          <w:tcPr>
            <w:tcW w:w="5440" w:type="dxa"/>
            <w:vAlign w:val="bottom"/>
          </w:tcPr>
          <w:p>
            <w:pPr>
              <w:ind w:left="40"/>
              <w:spacing w:after="0"/>
              <w:rPr>
                <w:sz w:val="20"/>
                <w:szCs w:val="20"/>
                <w:color w:val="auto"/>
              </w:rPr>
            </w:pPr>
            <w:r>
              <w:rPr>
                <w:rFonts w:ascii="Courier New" w:cs="Courier New" w:eastAsia="Courier New" w:hAnsi="Courier New"/>
                <w:sz w:val="16"/>
                <w:szCs w:val="16"/>
                <w:color w:val="auto"/>
              </w:rPr>
              <w:t>Increase in note receivable</w:t>
            </w:r>
          </w:p>
        </w:tc>
        <w:tc>
          <w:tcPr>
            <w:tcW w:w="800" w:type="dxa"/>
            <w:vAlign w:val="bottom"/>
          </w:tcPr>
          <w:p>
            <w:pPr>
              <w:spacing w:after="0"/>
              <w:rPr>
                <w:sz w:val="15"/>
                <w:szCs w:val="15"/>
                <w:color w:val="auto"/>
              </w:rPr>
            </w:pP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(65,047)</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(148,813)</w:t>
            </w:r>
          </w:p>
        </w:tc>
      </w:tr>
      <w:tr>
        <w:trPr>
          <w:trHeight w:val="183"/>
        </w:trPr>
        <w:tc>
          <w:tcPr>
            <w:tcW w:w="1480" w:type="dxa"/>
            <w:vAlign w:val="bottom"/>
          </w:tcPr>
          <w:p>
            <w:pPr>
              <w:spacing w:after="0"/>
              <w:rPr>
                <w:sz w:val="15"/>
                <w:szCs w:val="15"/>
                <w:color w:val="auto"/>
              </w:rPr>
            </w:pPr>
          </w:p>
        </w:tc>
        <w:tc>
          <w:tcPr>
            <w:tcW w:w="5440" w:type="dxa"/>
            <w:vAlign w:val="bottom"/>
          </w:tcPr>
          <w:p>
            <w:pPr>
              <w:ind w:left="40"/>
              <w:spacing w:after="0"/>
              <w:rPr>
                <w:sz w:val="20"/>
                <w:szCs w:val="20"/>
                <w:color w:val="auto"/>
              </w:rPr>
            </w:pPr>
            <w:r>
              <w:rPr>
                <w:rFonts w:ascii="Courier New" w:cs="Courier New" w:eastAsia="Courier New" w:hAnsi="Courier New"/>
                <w:sz w:val="16"/>
                <w:szCs w:val="16"/>
                <w:color w:val="auto"/>
              </w:rPr>
              <w:t>Increase in inventories</w:t>
            </w:r>
          </w:p>
        </w:tc>
        <w:tc>
          <w:tcPr>
            <w:tcW w:w="800" w:type="dxa"/>
            <w:vAlign w:val="bottom"/>
          </w:tcPr>
          <w:p>
            <w:pPr>
              <w:spacing w:after="0"/>
              <w:rPr>
                <w:sz w:val="15"/>
                <w:szCs w:val="15"/>
                <w:color w:val="auto"/>
              </w:rPr>
            </w:pP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(337,855)</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(120,167)</w:t>
            </w:r>
          </w:p>
        </w:tc>
      </w:tr>
      <w:tr>
        <w:trPr>
          <w:trHeight w:val="183"/>
        </w:trPr>
        <w:tc>
          <w:tcPr>
            <w:tcW w:w="1480" w:type="dxa"/>
            <w:vAlign w:val="bottom"/>
          </w:tcPr>
          <w:p>
            <w:pPr>
              <w:spacing w:after="0"/>
              <w:rPr>
                <w:sz w:val="15"/>
                <w:szCs w:val="15"/>
                <w:color w:val="auto"/>
              </w:rPr>
            </w:pPr>
          </w:p>
        </w:tc>
        <w:tc>
          <w:tcPr>
            <w:tcW w:w="5440" w:type="dxa"/>
            <w:vAlign w:val="bottom"/>
          </w:tcPr>
          <w:p>
            <w:pPr>
              <w:ind w:left="40"/>
              <w:spacing w:after="0"/>
              <w:rPr>
                <w:sz w:val="20"/>
                <w:szCs w:val="20"/>
                <w:color w:val="auto"/>
              </w:rPr>
            </w:pPr>
            <w:r>
              <w:rPr>
                <w:rFonts w:ascii="Courier New" w:cs="Courier New" w:eastAsia="Courier New" w:hAnsi="Courier New"/>
                <w:sz w:val="16"/>
                <w:szCs w:val="16"/>
                <w:color w:val="auto"/>
              </w:rPr>
              <w:t>Increase in prepaid expenses</w:t>
            </w:r>
          </w:p>
        </w:tc>
        <w:tc>
          <w:tcPr>
            <w:tcW w:w="800" w:type="dxa"/>
            <w:vAlign w:val="bottom"/>
          </w:tcPr>
          <w:p>
            <w:pPr>
              <w:spacing w:after="0"/>
              <w:rPr>
                <w:sz w:val="15"/>
                <w:szCs w:val="15"/>
                <w:color w:val="auto"/>
              </w:rPr>
            </w:pP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(37,687)</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55,497</w:t>
            </w:r>
          </w:p>
        </w:tc>
      </w:tr>
      <w:tr>
        <w:trPr>
          <w:trHeight w:val="183"/>
        </w:trPr>
        <w:tc>
          <w:tcPr>
            <w:tcW w:w="1480" w:type="dxa"/>
            <w:vAlign w:val="bottom"/>
          </w:tcPr>
          <w:p>
            <w:pPr>
              <w:spacing w:after="0"/>
              <w:rPr>
                <w:sz w:val="15"/>
                <w:szCs w:val="15"/>
                <w:color w:val="auto"/>
              </w:rPr>
            </w:pPr>
          </w:p>
        </w:tc>
        <w:tc>
          <w:tcPr>
            <w:tcW w:w="5440" w:type="dxa"/>
            <w:vAlign w:val="bottom"/>
          </w:tcPr>
          <w:p>
            <w:pPr>
              <w:ind w:left="40"/>
              <w:spacing w:after="0"/>
              <w:rPr>
                <w:sz w:val="20"/>
                <w:szCs w:val="20"/>
                <w:color w:val="auto"/>
              </w:rPr>
            </w:pPr>
            <w:r>
              <w:rPr>
                <w:rFonts w:ascii="Courier New" w:cs="Courier New" w:eastAsia="Courier New" w:hAnsi="Courier New"/>
                <w:sz w:val="16"/>
                <w:szCs w:val="16"/>
                <w:color w:val="auto"/>
              </w:rPr>
              <w:t>Decrease in other assets</w:t>
            </w:r>
          </w:p>
        </w:tc>
        <w:tc>
          <w:tcPr>
            <w:tcW w:w="800" w:type="dxa"/>
            <w:vAlign w:val="bottom"/>
          </w:tcPr>
          <w:p>
            <w:pPr>
              <w:spacing w:after="0"/>
              <w:rPr>
                <w:sz w:val="15"/>
                <w:szCs w:val="15"/>
                <w:color w:val="auto"/>
              </w:rPr>
            </w:pP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131,351</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3"/>
        </w:trPr>
        <w:tc>
          <w:tcPr>
            <w:tcW w:w="1480" w:type="dxa"/>
            <w:vAlign w:val="bottom"/>
          </w:tcPr>
          <w:p>
            <w:pPr>
              <w:spacing w:after="0"/>
              <w:rPr>
                <w:sz w:val="15"/>
                <w:szCs w:val="15"/>
                <w:color w:val="auto"/>
              </w:rPr>
            </w:pPr>
          </w:p>
        </w:tc>
        <w:tc>
          <w:tcPr>
            <w:tcW w:w="5440" w:type="dxa"/>
            <w:vAlign w:val="bottom"/>
          </w:tcPr>
          <w:p>
            <w:pPr>
              <w:ind w:left="40"/>
              <w:spacing w:after="0"/>
              <w:rPr>
                <w:sz w:val="20"/>
                <w:szCs w:val="20"/>
                <w:color w:val="auto"/>
              </w:rPr>
            </w:pPr>
            <w:r>
              <w:rPr>
                <w:rFonts w:ascii="Courier New" w:cs="Courier New" w:eastAsia="Courier New" w:hAnsi="Courier New"/>
                <w:sz w:val="16"/>
                <w:szCs w:val="16"/>
                <w:color w:val="auto"/>
              </w:rPr>
              <w:t>Increase (decrease) in accounts payable</w:t>
            </w:r>
          </w:p>
        </w:tc>
        <w:tc>
          <w:tcPr>
            <w:tcW w:w="800" w:type="dxa"/>
            <w:vAlign w:val="bottom"/>
          </w:tcPr>
          <w:p>
            <w:pPr>
              <w:spacing w:after="0"/>
              <w:rPr>
                <w:sz w:val="15"/>
                <w:szCs w:val="15"/>
                <w:color w:val="auto"/>
              </w:rPr>
            </w:pP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234,315</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(58,354)</w:t>
            </w:r>
          </w:p>
        </w:tc>
      </w:tr>
      <w:tr>
        <w:trPr>
          <w:trHeight w:val="183"/>
        </w:trPr>
        <w:tc>
          <w:tcPr>
            <w:tcW w:w="1480" w:type="dxa"/>
            <w:vAlign w:val="bottom"/>
          </w:tcPr>
          <w:p>
            <w:pPr>
              <w:spacing w:after="0"/>
              <w:rPr>
                <w:sz w:val="15"/>
                <w:szCs w:val="15"/>
                <w:color w:val="auto"/>
              </w:rPr>
            </w:pPr>
          </w:p>
        </w:tc>
        <w:tc>
          <w:tcPr>
            <w:tcW w:w="5440" w:type="dxa"/>
            <w:vAlign w:val="bottom"/>
          </w:tcPr>
          <w:p>
            <w:pPr>
              <w:ind w:left="40"/>
              <w:spacing w:after="0"/>
              <w:rPr>
                <w:sz w:val="20"/>
                <w:szCs w:val="20"/>
                <w:color w:val="auto"/>
              </w:rPr>
            </w:pPr>
            <w:r>
              <w:rPr>
                <w:rFonts w:ascii="Courier New" w:cs="Courier New" w:eastAsia="Courier New" w:hAnsi="Courier New"/>
                <w:sz w:val="16"/>
                <w:szCs w:val="16"/>
                <w:color w:val="auto"/>
              </w:rPr>
              <w:t>(Decrease) increase in accrued expenses</w:t>
            </w:r>
          </w:p>
        </w:tc>
        <w:tc>
          <w:tcPr>
            <w:tcW w:w="800" w:type="dxa"/>
            <w:vAlign w:val="bottom"/>
          </w:tcPr>
          <w:p>
            <w:pPr>
              <w:spacing w:after="0"/>
              <w:rPr>
                <w:sz w:val="15"/>
                <w:szCs w:val="15"/>
                <w:color w:val="auto"/>
              </w:rPr>
            </w:pP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(366,316)</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674,315</w:t>
            </w:r>
          </w:p>
        </w:tc>
      </w:tr>
      <w:tr>
        <w:trPr>
          <w:trHeight w:val="183"/>
        </w:trPr>
        <w:tc>
          <w:tcPr>
            <w:tcW w:w="1480" w:type="dxa"/>
            <w:vAlign w:val="bottom"/>
          </w:tcPr>
          <w:p>
            <w:pPr>
              <w:spacing w:after="0"/>
              <w:rPr>
                <w:sz w:val="15"/>
                <w:szCs w:val="15"/>
                <w:color w:val="auto"/>
              </w:rPr>
            </w:pPr>
          </w:p>
        </w:tc>
        <w:tc>
          <w:tcPr>
            <w:tcW w:w="5440" w:type="dxa"/>
            <w:vAlign w:val="bottom"/>
          </w:tcPr>
          <w:p>
            <w:pPr>
              <w:ind w:left="40"/>
              <w:spacing w:after="0"/>
              <w:rPr>
                <w:sz w:val="20"/>
                <w:szCs w:val="20"/>
                <w:color w:val="auto"/>
              </w:rPr>
            </w:pPr>
            <w:r>
              <w:rPr>
                <w:rFonts w:ascii="Courier New" w:cs="Courier New" w:eastAsia="Courier New" w:hAnsi="Courier New"/>
                <w:sz w:val="16"/>
                <w:szCs w:val="16"/>
                <w:color w:val="auto"/>
              </w:rPr>
              <w:t>Decrease in deferred revenue</w:t>
            </w:r>
          </w:p>
        </w:tc>
        <w:tc>
          <w:tcPr>
            <w:tcW w:w="800" w:type="dxa"/>
            <w:vAlign w:val="bottom"/>
          </w:tcPr>
          <w:p>
            <w:pPr>
              <w:spacing w:after="0"/>
              <w:rPr>
                <w:sz w:val="15"/>
                <w:szCs w:val="15"/>
                <w:color w:val="auto"/>
              </w:rPr>
            </w:pP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(52,068)</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(92,640)</w:t>
            </w:r>
          </w:p>
        </w:tc>
      </w:tr>
      <w:tr>
        <w:trPr>
          <w:trHeight w:val="183"/>
        </w:trPr>
        <w:tc>
          <w:tcPr>
            <w:tcW w:w="14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1480" w:type="dxa"/>
            <w:vAlign w:val="bottom"/>
          </w:tcPr>
          <w:p>
            <w:pPr>
              <w:spacing w:after="0"/>
              <w:rPr>
                <w:sz w:val="24"/>
                <w:szCs w:val="24"/>
                <w:color w:val="auto"/>
              </w:rPr>
            </w:pPr>
          </w:p>
        </w:tc>
        <w:tc>
          <w:tcPr>
            <w:tcW w:w="5440" w:type="dxa"/>
            <w:vAlign w:val="bottom"/>
          </w:tcPr>
          <w:p>
            <w:pPr>
              <w:ind w:left="32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800" w:type="dxa"/>
            <w:vAlign w:val="bottom"/>
          </w:tcPr>
          <w:p>
            <w:pPr>
              <w:spacing w:after="0"/>
              <w:rPr>
                <w:sz w:val="24"/>
                <w:szCs w:val="24"/>
                <w:color w:val="auto"/>
              </w:rPr>
            </w:pP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3,290,472</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1,222,630</w:t>
            </w:r>
          </w:p>
        </w:tc>
      </w:tr>
      <w:tr>
        <w:trPr>
          <w:trHeight w:val="183"/>
        </w:trPr>
        <w:tc>
          <w:tcPr>
            <w:tcW w:w="14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1480" w:type="dxa"/>
            <w:vAlign w:val="bottom"/>
          </w:tcPr>
          <w:p>
            <w:pPr>
              <w:spacing w:after="0"/>
              <w:rPr>
                <w:sz w:val="20"/>
                <w:szCs w:val="20"/>
                <w:color w:val="auto"/>
              </w:rPr>
            </w:pPr>
            <w:r>
              <w:rPr>
                <w:rFonts w:ascii="Courier New" w:cs="Courier New" w:eastAsia="Courier New" w:hAnsi="Courier New"/>
                <w:sz w:val="16"/>
                <w:szCs w:val="16"/>
                <w:color w:val="auto"/>
              </w:rPr>
              <w:t>Cash flows from</w:t>
            </w:r>
          </w:p>
        </w:tc>
        <w:tc>
          <w:tcPr>
            <w:tcW w:w="5440" w:type="dxa"/>
            <w:vAlign w:val="bottom"/>
          </w:tcPr>
          <w:p>
            <w:pPr>
              <w:ind w:left="40"/>
              <w:spacing w:after="0"/>
              <w:rPr>
                <w:sz w:val="20"/>
                <w:szCs w:val="20"/>
                <w:color w:val="auto"/>
              </w:rPr>
            </w:pPr>
            <w:r>
              <w:rPr>
                <w:rFonts w:ascii="Courier New" w:cs="Courier New" w:eastAsia="Courier New" w:hAnsi="Courier New"/>
                <w:sz w:val="16"/>
                <w:szCs w:val="16"/>
                <w:color w:val="auto"/>
              </w:rPr>
              <w:t>investing activities:</w:t>
            </w:r>
          </w:p>
        </w:tc>
        <w:tc>
          <w:tcPr>
            <w:tcW w:w="8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1480" w:type="dxa"/>
            <w:vAlign w:val="bottom"/>
          </w:tcPr>
          <w:p>
            <w:pPr>
              <w:ind w:left="380"/>
              <w:spacing w:after="0"/>
              <w:rPr>
                <w:sz w:val="20"/>
                <w:szCs w:val="20"/>
                <w:color w:val="auto"/>
              </w:rPr>
            </w:pPr>
            <w:r>
              <w:rPr>
                <w:rFonts w:ascii="Courier New" w:cs="Courier New" w:eastAsia="Courier New" w:hAnsi="Courier New"/>
                <w:sz w:val="16"/>
                <w:szCs w:val="16"/>
                <w:color w:val="auto"/>
              </w:rPr>
              <w:t>Acquisition</w:t>
            </w:r>
          </w:p>
        </w:tc>
        <w:tc>
          <w:tcPr>
            <w:tcW w:w="5440" w:type="dxa"/>
            <w:vAlign w:val="bottom"/>
          </w:tcPr>
          <w:p>
            <w:pPr>
              <w:ind w:left="40"/>
              <w:spacing w:after="0"/>
              <w:rPr>
                <w:sz w:val="20"/>
                <w:szCs w:val="20"/>
                <w:color w:val="auto"/>
              </w:rPr>
            </w:pPr>
            <w:r>
              <w:rPr>
                <w:rFonts w:ascii="Courier New" w:cs="Courier New" w:eastAsia="Courier New" w:hAnsi="Courier New"/>
                <w:sz w:val="16"/>
                <w:szCs w:val="16"/>
                <w:color w:val="auto"/>
              </w:rPr>
              <w:t>of property, plant and equipment</w:t>
            </w:r>
          </w:p>
        </w:tc>
        <w:tc>
          <w:tcPr>
            <w:tcW w:w="800" w:type="dxa"/>
            <w:vAlign w:val="bottom"/>
          </w:tcPr>
          <w:p>
            <w:pPr>
              <w:spacing w:after="0"/>
              <w:rPr>
                <w:sz w:val="15"/>
                <w:szCs w:val="15"/>
                <w:color w:val="auto"/>
              </w:rPr>
            </w:pP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(1,752,839)</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(964,256)</w:t>
            </w:r>
          </w:p>
        </w:tc>
      </w:tr>
      <w:tr>
        <w:trPr>
          <w:trHeight w:val="183"/>
        </w:trPr>
        <w:tc>
          <w:tcPr>
            <w:tcW w:w="69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Proceeds from sales of property, plant and equipment</w:t>
            </w:r>
          </w:p>
        </w:tc>
        <w:tc>
          <w:tcPr>
            <w:tcW w:w="800" w:type="dxa"/>
            <w:vAlign w:val="bottom"/>
          </w:tcPr>
          <w:p>
            <w:pPr>
              <w:spacing w:after="0"/>
              <w:rPr>
                <w:sz w:val="15"/>
                <w:szCs w:val="15"/>
                <w:color w:val="auto"/>
              </w:rPr>
            </w:pP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135,500</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354,500</w:t>
            </w:r>
          </w:p>
        </w:tc>
      </w:tr>
      <w:tr>
        <w:trPr>
          <w:trHeight w:val="183"/>
        </w:trPr>
        <w:tc>
          <w:tcPr>
            <w:tcW w:w="14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1480" w:type="dxa"/>
            <w:vAlign w:val="bottom"/>
          </w:tcPr>
          <w:p>
            <w:pPr>
              <w:spacing w:after="0"/>
              <w:rPr>
                <w:sz w:val="15"/>
                <w:szCs w:val="15"/>
                <w:color w:val="auto"/>
              </w:rPr>
            </w:pPr>
          </w:p>
        </w:tc>
        <w:tc>
          <w:tcPr>
            <w:tcW w:w="5440" w:type="dxa"/>
            <w:vAlign w:val="bottom"/>
          </w:tcPr>
          <w:p>
            <w:pPr>
              <w:ind w:left="320"/>
              <w:spacing w:after="0"/>
              <w:rPr>
                <w:sz w:val="20"/>
                <w:szCs w:val="20"/>
                <w:color w:val="auto"/>
              </w:rPr>
            </w:pPr>
            <w:r>
              <w:rPr>
                <w:rFonts w:ascii="Courier New" w:cs="Courier New" w:eastAsia="Courier New" w:hAnsi="Courier New"/>
                <w:sz w:val="16"/>
                <w:szCs w:val="16"/>
                <w:color w:val="auto"/>
              </w:rPr>
              <w:t>Net cash used in investing activities</w:t>
            </w:r>
          </w:p>
        </w:tc>
        <w:tc>
          <w:tcPr>
            <w:tcW w:w="800" w:type="dxa"/>
            <w:vAlign w:val="bottom"/>
          </w:tcPr>
          <w:p>
            <w:pPr>
              <w:spacing w:after="0"/>
              <w:rPr>
                <w:sz w:val="15"/>
                <w:szCs w:val="15"/>
                <w:color w:val="auto"/>
              </w:rPr>
            </w:pP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(1,617,339)</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(609,756)</w:t>
            </w:r>
          </w:p>
        </w:tc>
      </w:tr>
      <w:tr>
        <w:trPr>
          <w:trHeight w:val="183"/>
        </w:trPr>
        <w:tc>
          <w:tcPr>
            <w:tcW w:w="14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1480" w:type="dxa"/>
            <w:vAlign w:val="bottom"/>
          </w:tcPr>
          <w:p>
            <w:pPr>
              <w:spacing w:after="0"/>
              <w:rPr>
                <w:sz w:val="20"/>
                <w:szCs w:val="20"/>
                <w:color w:val="auto"/>
              </w:rPr>
            </w:pPr>
            <w:r>
              <w:rPr>
                <w:rFonts w:ascii="Courier New" w:cs="Courier New" w:eastAsia="Courier New" w:hAnsi="Courier New"/>
                <w:sz w:val="16"/>
                <w:szCs w:val="16"/>
                <w:color w:val="auto"/>
              </w:rPr>
              <w:t>Cash flows from</w:t>
            </w:r>
          </w:p>
        </w:tc>
        <w:tc>
          <w:tcPr>
            <w:tcW w:w="5440" w:type="dxa"/>
            <w:vAlign w:val="bottom"/>
          </w:tcPr>
          <w:p>
            <w:pPr>
              <w:ind w:left="40"/>
              <w:spacing w:after="0"/>
              <w:rPr>
                <w:sz w:val="20"/>
                <w:szCs w:val="20"/>
                <w:color w:val="auto"/>
              </w:rPr>
            </w:pPr>
            <w:r>
              <w:rPr>
                <w:rFonts w:ascii="Courier New" w:cs="Courier New" w:eastAsia="Courier New" w:hAnsi="Courier New"/>
                <w:sz w:val="16"/>
                <w:szCs w:val="16"/>
                <w:color w:val="auto"/>
              </w:rPr>
              <w:t>financing activities:</w:t>
            </w:r>
          </w:p>
        </w:tc>
        <w:tc>
          <w:tcPr>
            <w:tcW w:w="8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9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(Repayments) proceeds from long-term debt, net</w:t>
            </w:r>
          </w:p>
        </w:tc>
        <w:tc>
          <w:tcPr>
            <w:tcW w:w="800" w:type="dxa"/>
            <w:vAlign w:val="bottom"/>
          </w:tcPr>
          <w:p>
            <w:pPr>
              <w:spacing w:after="0"/>
              <w:rPr>
                <w:sz w:val="15"/>
                <w:szCs w:val="15"/>
                <w:color w:val="auto"/>
              </w:rPr>
            </w:pP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(3,437,601)</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107,542</w:t>
            </w:r>
          </w:p>
        </w:tc>
      </w:tr>
      <w:tr>
        <w:trPr>
          <w:trHeight w:val="183"/>
        </w:trPr>
        <w:tc>
          <w:tcPr>
            <w:tcW w:w="1480" w:type="dxa"/>
            <w:vAlign w:val="bottom"/>
          </w:tcPr>
          <w:p>
            <w:pPr>
              <w:ind w:left="380"/>
              <w:spacing w:after="0"/>
              <w:rPr>
                <w:sz w:val="20"/>
                <w:szCs w:val="20"/>
                <w:color w:val="auto"/>
              </w:rPr>
            </w:pPr>
            <w:r>
              <w:rPr>
                <w:rFonts w:ascii="Courier New" w:cs="Courier New" w:eastAsia="Courier New" w:hAnsi="Courier New"/>
                <w:sz w:val="16"/>
                <w:szCs w:val="16"/>
                <w:color w:val="auto"/>
              </w:rPr>
              <w:t>Payments on</w:t>
            </w:r>
          </w:p>
        </w:tc>
        <w:tc>
          <w:tcPr>
            <w:tcW w:w="5440" w:type="dxa"/>
            <w:vAlign w:val="bottom"/>
          </w:tcPr>
          <w:p>
            <w:pPr>
              <w:ind w:left="40"/>
              <w:spacing w:after="0"/>
              <w:rPr>
                <w:sz w:val="20"/>
                <w:szCs w:val="20"/>
                <w:color w:val="auto"/>
              </w:rPr>
            </w:pPr>
            <w:r>
              <w:rPr>
                <w:rFonts w:ascii="Courier New" w:cs="Courier New" w:eastAsia="Courier New" w:hAnsi="Courier New"/>
                <w:sz w:val="16"/>
                <w:szCs w:val="16"/>
                <w:color w:val="auto"/>
              </w:rPr>
              <w:t>note payable</w:t>
            </w:r>
          </w:p>
        </w:tc>
        <w:tc>
          <w:tcPr>
            <w:tcW w:w="800" w:type="dxa"/>
            <w:vAlign w:val="bottom"/>
          </w:tcPr>
          <w:p>
            <w:pPr>
              <w:spacing w:after="0"/>
              <w:rPr>
                <w:sz w:val="15"/>
                <w:szCs w:val="15"/>
                <w:color w:val="auto"/>
              </w:rPr>
            </w:pP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(40,405)</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Additions from affiliate, net</w:t>
            </w:r>
          </w:p>
        </w:tc>
        <w:tc>
          <w:tcPr>
            <w:tcW w:w="800" w:type="dxa"/>
            <w:vAlign w:val="bottom"/>
          </w:tcPr>
          <w:p>
            <w:pPr>
              <w:spacing w:after="0"/>
              <w:rPr>
                <w:sz w:val="15"/>
                <w:szCs w:val="15"/>
                <w:color w:val="auto"/>
              </w:rPr>
            </w:pP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2,268,668</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Distributions to Parent, net</w:t>
            </w:r>
          </w:p>
        </w:tc>
        <w:tc>
          <w:tcPr>
            <w:tcW w:w="800" w:type="dxa"/>
            <w:vAlign w:val="bottom"/>
          </w:tcPr>
          <w:p>
            <w:pPr>
              <w:spacing w:after="0"/>
              <w:rPr>
                <w:sz w:val="15"/>
                <w:szCs w:val="15"/>
                <w:color w:val="auto"/>
              </w:rPr>
            </w:pP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(463,795)</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(961,384)</w:t>
            </w:r>
          </w:p>
        </w:tc>
      </w:tr>
      <w:tr>
        <w:trPr>
          <w:trHeight w:val="183"/>
        </w:trPr>
        <w:tc>
          <w:tcPr>
            <w:tcW w:w="14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1480" w:type="dxa"/>
            <w:vAlign w:val="bottom"/>
          </w:tcPr>
          <w:p>
            <w:pPr>
              <w:spacing w:after="0"/>
              <w:rPr>
                <w:sz w:val="24"/>
                <w:szCs w:val="24"/>
                <w:color w:val="auto"/>
              </w:rPr>
            </w:pPr>
          </w:p>
        </w:tc>
        <w:tc>
          <w:tcPr>
            <w:tcW w:w="5440" w:type="dxa"/>
            <w:vAlign w:val="bottom"/>
          </w:tcPr>
          <w:p>
            <w:pPr>
              <w:ind w:left="320"/>
              <w:spacing w:after="0"/>
              <w:rPr>
                <w:sz w:val="20"/>
                <w:szCs w:val="20"/>
                <w:color w:val="auto"/>
              </w:rPr>
            </w:pPr>
            <w:r>
              <w:rPr>
                <w:rFonts w:ascii="Courier New" w:cs="Courier New" w:eastAsia="Courier New" w:hAnsi="Courier New"/>
                <w:sz w:val="16"/>
                <w:szCs w:val="16"/>
                <w:color w:val="auto"/>
              </w:rPr>
              <w:t>Net cash used in financing activities</w:t>
            </w:r>
          </w:p>
        </w:tc>
        <w:tc>
          <w:tcPr>
            <w:tcW w:w="800" w:type="dxa"/>
            <w:vAlign w:val="bottom"/>
          </w:tcPr>
          <w:p>
            <w:pPr>
              <w:spacing w:after="0"/>
              <w:rPr>
                <w:sz w:val="24"/>
                <w:szCs w:val="24"/>
                <w:color w:val="auto"/>
              </w:rPr>
            </w:pP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(1,673,133)</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(853,842)</w:t>
            </w:r>
          </w:p>
        </w:tc>
      </w:tr>
      <w:tr>
        <w:trPr>
          <w:trHeight w:val="183"/>
        </w:trPr>
        <w:tc>
          <w:tcPr>
            <w:tcW w:w="14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1480" w:type="dxa"/>
            <w:vAlign w:val="bottom"/>
          </w:tcPr>
          <w:p>
            <w:pPr>
              <w:spacing w:after="0"/>
              <w:rPr>
                <w:sz w:val="20"/>
                <w:szCs w:val="20"/>
                <w:color w:val="auto"/>
              </w:rPr>
            </w:pPr>
            <w:r>
              <w:rPr>
                <w:rFonts w:ascii="Courier New" w:cs="Courier New" w:eastAsia="Courier New" w:hAnsi="Courier New"/>
                <w:sz w:val="16"/>
                <w:szCs w:val="16"/>
                <w:color w:val="auto"/>
              </w:rPr>
              <w:t>Net decrease in</w:t>
            </w:r>
          </w:p>
        </w:tc>
        <w:tc>
          <w:tcPr>
            <w:tcW w:w="5440" w:type="dxa"/>
            <w:vAlign w:val="bottom"/>
          </w:tcPr>
          <w:p>
            <w:pPr>
              <w:ind w:left="40"/>
              <w:spacing w:after="0"/>
              <w:rPr>
                <w:sz w:val="20"/>
                <w:szCs w:val="20"/>
                <w:color w:val="auto"/>
              </w:rPr>
            </w:pPr>
            <w:r>
              <w:rPr>
                <w:rFonts w:ascii="Courier New" w:cs="Courier New" w:eastAsia="Courier New" w:hAnsi="Courier New"/>
                <w:sz w:val="16"/>
                <w:szCs w:val="16"/>
                <w:color w:val="auto"/>
              </w:rPr>
              <w:t>cash</w:t>
            </w:r>
          </w:p>
        </w:tc>
        <w:tc>
          <w:tcPr>
            <w:tcW w:w="800" w:type="dxa"/>
            <w:vAlign w:val="bottom"/>
          </w:tcPr>
          <w:p>
            <w:pPr>
              <w:spacing w:after="0"/>
              <w:rPr>
                <w:sz w:val="24"/>
                <w:szCs w:val="24"/>
                <w:color w:val="auto"/>
              </w:rPr>
            </w:pPr>
          </w:p>
        </w:tc>
        <w:tc>
          <w:tcPr>
            <w:tcW w:w="172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(240,968)</w:t>
            </w:r>
          </w:p>
        </w:tc>
      </w:tr>
      <w:tr>
        <w:trPr>
          <w:trHeight w:val="367"/>
        </w:trPr>
        <w:tc>
          <w:tcPr>
            <w:tcW w:w="6920" w:type="dxa"/>
            <w:vAlign w:val="bottom"/>
            <w:gridSpan w:val="2"/>
          </w:tcPr>
          <w:p>
            <w:pPr>
              <w:spacing w:after="0"/>
              <w:rPr>
                <w:sz w:val="20"/>
                <w:szCs w:val="20"/>
                <w:color w:val="auto"/>
              </w:rPr>
            </w:pPr>
            <w:r>
              <w:rPr>
                <w:rFonts w:ascii="Courier New" w:cs="Courier New" w:eastAsia="Courier New" w:hAnsi="Courier New"/>
                <w:sz w:val="16"/>
                <w:szCs w:val="16"/>
                <w:color w:val="auto"/>
              </w:rPr>
              <w:t>Cash at beginning of year</w:t>
            </w:r>
          </w:p>
        </w:tc>
        <w:tc>
          <w:tcPr>
            <w:tcW w:w="800" w:type="dxa"/>
            <w:vAlign w:val="bottom"/>
          </w:tcPr>
          <w:p>
            <w:pPr>
              <w:spacing w:after="0"/>
              <w:rPr>
                <w:sz w:val="24"/>
                <w:szCs w:val="24"/>
                <w:color w:val="auto"/>
              </w:rPr>
            </w:pPr>
          </w:p>
        </w:tc>
        <w:tc>
          <w:tcPr>
            <w:tcW w:w="17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2,100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243,068</w:t>
            </w:r>
          </w:p>
        </w:tc>
      </w:tr>
      <w:tr>
        <w:trPr>
          <w:trHeight w:val="183"/>
        </w:trPr>
        <w:tc>
          <w:tcPr>
            <w:tcW w:w="14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gridSpan w:val="2"/>
          </w:tcPr>
          <w:p>
            <w:pPr>
              <w:spacing w:after="0"/>
              <w:rPr>
                <w:sz w:val="20"/>
                <w:szCs w:val="20"/>
                <w:color w:val="auto"/>
              </w:rPr>
            </w:pPr>
            <w:r>
              <w:rPr>
                <w:rFonts w:ascii="Courier New" w:cs="Courier New" w:eastAsia="Courier New" w:hAnsi="Courier New"/>
                <w:sz w:val="16"/>
                <w:szCs w:val="16"/>
                <w:color w:val="auto"/>
              </w:rPr>
              <w:t>Cash at end of year</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2,100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2,100</w:t>
            </w:r>
          </w:p>
        </w:tc>
      </w:tr>
      <w:tr>
        <w:trPr>
          <w:trHeight w:val="183"/>
        </w:trPr>
        <w:tc>
          <w:tcPr>
            <w:tcW w:w="14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5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gridSpan w:val="2"/>
          </w:tcPr>
          <w:p>
            <w:pPr>
              <w:spacing w:after="0"/>
              <w:rPr>
                <w:sz w:val="20"/>
                <w:szCs w:val="20"/>
                <w:color w:val="auto"/>
              </w:rPr>
            </w:pPr>
            <w:r>
              <w:rPr>
                <w:rFonts w:ascii="Courier New" w:cs="Courier New" w:eastAsia="Courier New" w:hAnsi="Courier New"/>
                <w:sz w:val="16"/>
                <w:szCs w:val="16"/>
                <w:color w:val="auto"/>
              </w:rPr>
              <w:t>Supplemental Disclosure of Cash Flow Information:</w:t>
            </w:r>
          </w:p>
        </w:tc>
        <w:tc>
          <w:tcPr>
            <w:tcW w:w="8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9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Interest paid during the year</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537,432</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903,116</w:t>
            </w:r>
          </w:p>
        </w:tc>
      </w:tr>
      <w:tr>
        <w:trPr>
          <w:trHeight w:val="183"/>
        </w:trPr>
        <w:tc>
          <w:tcPr>
            <w:tcW w:w="14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5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780"/>
          </w:cols>
          <w:pgMar w:left="240" w:top="1031" w:right="879" w:bottom="1440" w:gutter="0" w:footer="0" w:header="0"/>
        </w:sectPr>
      </w:pPr>
    </w:p>
    <w:bookmarkStart w:id="7" w:name="page8"/>
    <w:bookmarkEnd w:id="7"/>
    <w:p>
      <w:pPr>
        <w:jc w:val="center"/>
        <w:ind w:right="2597"/>
        <w:spacing w:after="0"/>
        <w:rPr>
          <w:sz w:val="20"/>
          <w:szCs w:val="20"/>
          <w:color w:val="auto"/>
        </w:rPr>
      </w:pPr>
      <w:r>
        <w:rPr>
          <w:rFonts w:ascii="Courier New" w:cs="Courier New" w:eastAsia="Courier New" w:hAnsi="Courier New"/>
          <w:sz w:val="16"/>
          <w:szCs w:val="16"/>
          <w:color w:val="auto"/>
        </w:rPr>
        <w:t>INDUSTRIAL MOLDING</w:t>
      </w:r>
    </w:p>
    <w:p>
      <w:pPr>
        <w:spacing w:after="0" w:line="2" w:lineRule="exact"/>
        <w:rPr>
          <w:sz w:val="20"/>
          <w:szCs w:val="20"/>
          <w:color w:val="auto"/>
        </w:rPr>
      </w:pPr>
    </w:p>
    <w:p>
      <w:pPr>
        <w:ind w:left="1622"/>
        <w:spacing w:after="0"/>
        <w:rPr>
          <w:sz w:val="20"/>
          <w:szCs w:val="20"/>
          <w:color w:val="auto"/>
        </w:rPr>
      </w:pPr>
      <w:r>
        <w:rPr>
          <w:rFonts w:ascii="Courier New" w:cs="Courier New" w:eastAsia="Courier New" w:hAnsi="Courier New"/>
          <w:sz w:val="16"/>
          <w:szCs w:val="16"/>
          <w:color w:val="auto"/>
        </w:rPr>
        <w:t>(a division of Industrial Molding Corporation)</w:t>
      </w:r>
    </w:p>
    <w:p>
      <w:pPr>
        <w:spacing w:after="0" w:line="2" w:lineRule="exact"/>
        <w:rPr>
          <w:sz w:val="20"/>
          <w:szCs w:val="20"/>
          <w:color w:val="auto"/>
        </w:rPr>
      </w:pPr>
    </w:p>
    <w:p>
      <w:pPr>
        <w:ind w:left="2482"/>
        <w:spacing w:after="0"/>
        <w:rPr>
          <w:sz w:val="20"/>
          <w:szCs w:val="20"/>
          <w:color w:val="auto"/>
        </w:rPr>
      </w:pPr>
      <w:r>
        <w:rPr>
          <w:rFonts w:ascii="Courier New" w:cs="Courier New" w:eastAsia="Courier New" w:hAnsi="Courier New"/>
          <w:sz w:val="16"/>
          <w:szCs w:val="16"/>
          <w:color w:val="auto"/>
        </w:rPr>
        <w:t>Notes to Financial Statements</w:t>
      </w:r>
    </w:p>
    <w:p>
      <w:pPr>
        <w:spacing w:after="0" w:line="2" w:lineRule="exact"/>
        <w:rPr>
          <w:sz w:val="20"/>
          <w:szCs w:val="20"/>
          <w:color w:val="auto"/>
        </w:rPr>
      </w:pPr>
    </w:p>
    <w:p>
      <w:pPr>
        <w:ind w:left="2202"/>
        <w:spacing w:after="0"/>
        <w:rPr>
          <w:sz w:val="20"/>
          <w:szCs w:val="20"/>
          <w:color w:val="auto"/>
        </w:rPr>
      </w:pPr>
      <w:r>
        <w:rPr>
          <w:rFonts w:ascii="Courier New" w:cs="Courier New" w:eastAsia="Courier New" w:hAnsi="Courier New"/>
          <w:sz w:val="16"/>
          <w:szCs w:val="16"/>
          <w:color w:val="auto"/>
        </w:rPr>
        <w:t>January 2, 1999 and January 3, 1998</w:t>
      </w:r>
    </w:p>
    <w:p>
      <w:pPr>
        <w:spacing w:after="0" w:line="186" w:lineRule="exact"/>
        <w:rPr>
          <w:sz w:val="20"/>
          <w:szCs w:val="20"/>
          <w:color w:val="auto"/>
        </w:rPr>
      </w:pPr>
    </w:p>
    <w:p>
      <w:pPr>
        <w:ind w:left="662" w:hanging="662"/>
        <w:spacing w:after="0"/>
        <w:tabs>
          <w:tab w:leader="none" w:pos="66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85" w:lineRule="exact"/>
        <w:rPr>
          <w:rFonts w:ascii="Courier New" w:cs="Courier New" w:eastAsia="Courier New" w:hAnsi="Courier New"/>
          <w:sz w:val="16"/>
          <w:szCs w:val="16"/>
          <w:color w:val="auto"/>
        </w:rPr>
      </w:pPr>
    </w:p>
    <w:p>
      <w:pPr>
        <w:ind w:left="1342" w:hanging="675"/>
        <w:spacing w:after="0"/>
        <w:tabs>
          <w:tab w:leader="none" w:pos="134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and Nature of Business</w:t>
      </w:r>
    </w:p>
    <w:p>
      <w:pPr>
        <w:spacing w:after="0" w:line="188" w:lineRule="exact"/>
        <w:rPr>
          <w:rFonts w:ascii="Courier New" w:cs="Courier New" w:eastAsia="Courier New" w:hAnsi="Courier New"/>
          <w:sz w:val="16"/>
          <w:szCs w:val="16"/>
          <w:color w:val="auto"/>
        </w:rPr>
      </w:pPr>
    </w:p>
    <w:p>
      <w:pPr>
        <w:jc w:val="both"/>
        <w:ind w:left="1342" w:right="259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Industrial Molding (a division of Industrial Molding Corporation) ("Division") operates as a division of Industrial Molding Corporation ("IM") and has no separate legal status or existence.</w:t>
      </w:r>
    </w:p>
    <w:p>
      <w:pPr>
        <w:spacing w:after="0" w:line="6" w:lineRule="exact"/>
        <w:rPr>
          <w:rFonts w:ascii="Courier New" w:cs="Courier New" w:eastAsia="Courier New" w:hAnsi="Courier New"/>
          <w:sz w:val="16"/>
          <w:szCs w:val="16"/>
          <w:color w:val="auto"/>
        </w:rPr>
      </w:pPr>
    </w:p>
    <w:p>
      <w:pPr>
        <w:jc w:val="both"/>
        <w:ind w:left="134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Division is engaged in the manufacturing and sale of custom injection molded products primarily for the automotive, industrial, and consumer products industries. The Division's raw materials are readily available and the Division is not dependent on a single or small group of suppliers.</w:t>
      </w:r>
    </w:p>
    <w:p>
      <w:pPr>
        <w:spacing w:after="0" w:line="187" w:lineRule="exact"/>
        <w:rPr>
          <w:rFonts w:ascii="Courier New" w:cs="Courier New" w:eastAsia="Courier New" w:hAnsi="Courier New"/>
          <w:sz w:val="16"/>
          <w:szCs w:val="16"/>
          <w:color w:val="auto"/>
        </w:rPr>
      </w:pPr>
    </w:p>
    <w:p>
      <w:pPr>
        <w:ind w:left="1342" w:hanging="675"/>
        <w:spacing w:after="0"/>
        <w:tabs>
          <w:tab w:leader="none" w:pos="134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188" w:lineRule="exact"/>
        <w:rPr>
          <w:rFonts w:ascii="Courier New" w:cs="Courier New" w:eastAsia="Courier New" w:hAnsi="Courier New"/>
          <w:sz w:val="16"/>
          <w:szCs w:val="16"/>
          <w:color w:val="auto"/>
        </w:rPr>
      </w:pPr>
    </w:p>
    <w:p>
      <w:pPr>
        <w:jc w:val="both"/>
        <w:ind w:left="134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accompanying financial statements have been prepared utilizing the accounting records of IM, segregating accounts attributable to the Division. Certain allocations of debt and related interest expense are discussed in note 7 and allocation of general and administrative expenses which are discussed below.</w:t>
      </w:r>
    </w:p>
    <w:p>
      <w:pPr>
        <w:spacing w:after="0" w:line="190" w:lineRule="exact"/>
        <w:rPr>
          <w:rFonts w:ascii="Courier New" w:cs="Courier New" w:eastAsia="Courier New" w:hAnsi="Courier New"/>
          <w:sz w:val="16"/>
          <w:szCs w:val="16"/>
          <w:color w:val="auto"/>
        </w:rPr>
      </w:pPr>
    </w:p>
    <w:p>
      <w:pPr>
        <w:jc w:val="both"/>
        <w:ind w:left="1342" w:right="259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During 1998, an allocation of general and administrative expenses was not necessary as the affiliate performed their own corporate and administrative services.</w:t>
      </w:r>
    </w:p>
    <w:p>
      <w:pPr>
        <w:spacing w:after="0" w:line="189" w:lineRule="exact"/>
        <w:rPr>
          <w:rFonts w:ascii="Courier New" w:cs="Courier New" w:eastAsia="Courier New" w:hAnsi="Courier New"/>
          <w:sz w:val="16"/>
          <w:szCs w:val="16"/>
          <w:color w:val="auto"/>
        </w:rPr>
      </w:pPr>
    </w:p>
    <w:p>
      <w:pPr>
        <w:jc w:val="both"/>
        <w:ind w:left="134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1997, the Division provided certain corporate and administrative services to an affiliate owned by IM. Costs of approximately $345,000 relating to certain employees that provided services to the affiliate are, therefore, not included in general and administrative expenses. Management of the Division determined the allocation by estimating the amount of time devoted by these employees to the affiliate.</w:t>
      </w:r>
    </w:p>
    <w:p>
      <w:pPr>
        <w:spacing w:after="0" w:line="185" w:lineRule="exact"/>
        <w:rPr>
          <w:rFonts w:ascii="Courier New" w:cs="Courier New" w:eastAsia="Courier New" w:hAnsi="Courier New"/>
          <w:sz w:val="16"/>
          <w:szCs w:val="16"/>
          <w:color w:val="auto"/>
        </w:rPr>
      </w:pPr>
    </w:p>
    <w:p>
      <w:pPr>
        <w:ind w:left="1342" w:hanging="675"/>
        <w:spacing w:after="0"/>
        <w:tabs>
          <w:tab w:leader="none" w:pos="134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188" w:lineRule="exact"/>
        <w:rPr>
          <w:rFonts w:ascii="Courier New" w:cs="Courier New" w:eastAsia="Courier New" w:hAnsi="Courier New"/>
          <w:sz w:val="16"/>
          <w:szCs w:val="16"/>
          <w:color w:val="auto"/>
        </w:rPr>
      </w:pPr>
    </w:p>
    <w:p>
      <w:pPr>
        <w:ind w:left="1342" w:right="259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are stated at the lower of cost (first-in, first-out method) or market value.</w:t>
      </w:r>
    </w:p>
    <w:p>
      <w:pPr>
        <w:spacing w:after="0" w:line="186" w:lineRule="exact"/>
        <w:rPr>
          <w:rFonts w:ascii="Courier New" w:cs="Courier New" w:eastAsia="Courier New" w:hAnsi="Courier New"/>
          <w:sz w:val="16"/>
          <w:szCs w:val="16"/>
          <w:color w:val="auto"/>
        </w:rPr>
      </w:pPr>
    </w:p>
    <w:p>
      <w:pPr>
        <w:ind w:left="1342" w:hanging="675"/>
        <w:spacing w:after="0"/>
        <w:tabs>
          <w:tab w:leader="none" w:pos="134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Plant and Equipment</w:t>
      </w:r>
    </w:p>
    <w:p>
      <w:pPr>
        <w:spacing w:after="0" w:line="188" w:lineRule="exact"/>
        <w:rPr>
          <w:rFonts w:ascii="Courier New" w:cs="Courier New" w:eastAsia="Courier New" w:hAnsi="Courier New"/>
          <w:sz w:val="16"/>
          <w:szCs w:val="16"/>
          <w:color w:val="auto"/>
        </w:rPr>
      </w:pPr>
    </w:p>
    <w:p>
      <w:pPr>
        <w:jc w:val="both"/>
        <w:ind w:left="134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plant and equipment are stated at cost and depreciated over the estimated useful lives of the respective assets on a straight-line basis. Upon sale or retirement, the related cost and accumulated depreciation are eliminated from the accounts and gains and losses are recognized in income. Repairs and maintenance which do not extend the lives or improve the respective assets are charged to expense as incurred.</w:t>
      </w:r>
    </w:p>
    <w:p>
      <w:pPr>
        <w:spacing w:after="0" w:line="185" w:lineRule="exact"/>
        <w:rPr>
          <w:rFonts w:ascii="Courier New" w:cs="Courier New" w:eastAsia="Courier New" w:hAnsi="Courier New"/>
          <w:sz w:val="16"/>
          <w:szCs w:val="16"/>
          <w:color w:val="auto"/>
        </w:rPr>
      </w:pPr>
    </w:p>
    <w:p>
      <w:pPr>
        <w:ind w:left="1342" w:hanging="675"/>
        <w:spacing w:after="0"/>
        <w:tabs>
          <w:tab w:leader="none" w:pos="134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Intangible Assets</w:t>
      </w:r>
    </w:p>
    <w:p>
      <w:pPr>
        <w:spacing w:after="0" w:line="188" w:lineRule="exact"/>
        <w:rPr>
          <w:rFonts w:ascii="Courier New" w:cs="Courier New" w:eastAsia="Courier New" w:hAnsi="Courier New"/>
          <w:sz w:val="16"/>
          <w:szCs w:val="16"/>
          <w:color w:val="auto"/>
        </w:rPr>
      </w:pPr>
    </w:p>
    <w:p>
      <w:pPr>
        <w:jc w:val="both"/>
        <w:ind w:left="134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cost of intangible assets (primarily non-compete agreement) is being amortized on a straight-line basis over the estimated useful lives of such assets. The cost of such assets, net of the related accumulated amortization, is included in other assets in the accompanying financial statements.</w:t>
      </w:r>
    </w:p>
    <w:p>
      <w:pPr>
        <w:spacing w:after="0" w:line="188"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(Continued)</w:t>
      </w:r>
    </w:p>
    <w:p>
      <w:pPr>
        <w:spacing w:after="0" w:line="18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8" w:top="665" w:right="1440" w:bottom="1440" w:gutter="0" w:footer="0" w:header="0"/>
        </w:sectPr>
      </w:pPr>
    </w:p>
    <w:bookmarkStart w:id="8" w:name="page9"/>
    <w:bookmarkEnd w:id="8"/>
    <w:p>
      <w:pPr>
        <w:jc w:val="center"/>
        <w:ind w:right="3259"/>
        <w:spacing w:after="0"/>
        <w:rPr>
          <w:sz w:val="20"/>
          <w:szCs w:val="20"/>
          <w:color w:val="auto"/>
        </w:rPr>
      </w:pPr>
      <w:r>
        <w:rPr>
          <w:rFonts w:ascii="Courier New" w:cs="Courier New" w:eastAsia="Courier New" w:hAnsi="Courier New"/>
          <w:sz w:val="16"/>
          <w:szCs w:val="16"/>
          <w:color w:val="auto"/>
        </w:rPr>
        <w:t>INDUSTRIAL MOLDING</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 division of Industrial Molding Corporation)</w:t>
      </w:r>
    </w:p>
    <w:p>
      <w:pPr>
        <w:spacing w:after="0" w:line="2"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Notes to Financial Statements</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Years ended January 2, 1999 and January 3, 1998</w:t>
      </w:r>
    </w:p>
    <w:p>
      <w:pPr>
        <w:spacing w:after="0" w:line="186" w:lineRule="exact"/>
        <w:rPr>
          <w:sz w:val="20"/>
          <w:szCs w:val="20"/>
          <w:color w:val="auto"/>
        </w:rPr>
      </w:pPr>
    </w:p>
    <w:p>
      <w:pPr>
        <w:ind w:left="680" w:hanging="675"/>
        <w:spacing w:after="0"/>
        <w:tabs>
          <w:tab w:leader="none" w:pos="6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Federal Income Taxes</w:t>
      </w:r>
    </w:p>
    <w:p>
      <w:pPr>
        <w:spacing w:after="0" w:line="188" w:lineRule="exact"/>
        <w:rPr>
          <w:rFonts w:ascii="Courier New" w:cs="Courier New" w:eastAsia="Courier New" w:hAnsi="Courier New"/>
          <w:sz w:val="16"/>
          <w:szCs w:val="16"/>
          <w:color w:val="auto"/>
        </w:rPr>
      </w:pPr>
    </w:p>
    <w:p>
      <w:pPr>
        <w:jc w:val="both"/>
        <w:ind w:left="680"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Division is included in the federal income tax return of IMC. IMC has elected by unanimous consent of its stockholders to be taxed under the provisions of Subchapter S of the Internal Revenue Code. Under those provisions, IMC is not taxed on its net income. Instead, the stockholders include their respective portions of IMC's net income in their federal income tax returns. Consequently, no provision for Federal income taxes has been made in the Division's financial statements.</w:t>
      </w:r>
    </w:p>
    <w:p>
      <w:pPr>
        <w:spacing w:after="0" w:line="185" w:lineRule="exact"/>
        <w:rPr>
          <w:rFonts w:ascii="Courier New" w:cs="Courier New" w:eastAsia="Courier New" w:hAnsi="Courier New"/>
          <w:sz w:val="16"/>
          <w:szCs w:val="16"/>
          <w:color w:val="auto"/>
        </w:rPr>
      </w:pPr>
    </w:p>
    <w:p>
      <w:pPr>
        <w:ind w:left="680" w:hanging="675"/>
        <w:spacing w:after="0"/>
        <w:tabs>
          <w:tab w:leader="none" w:pos="6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 Recognition</w:t>
      </w:r>
    </w:p>
    <w:p>
      <w:pPr>
        <w:spacing w:after="0" w:line="188" w:lineRule="exact"/>
        <w:rPr>
          <w:rFonts w:ascii="Courier New" w:cs="Courier New" w:eastAsia="Courier New" w:hAnsi="Courier New"/>
          <w:sz w:val="16"/>
          <w:szCs w:val="16"/>
          <w:color w:val="auto"/>
        </w:rPr>
      </w:pPr>
    </w:p>
    <w:p>
      <w:pPr>
        <w:jc w:val="both"/>
        <w:ind w:left="680"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Division recognizes revenue from product sales as they are shipped. The Division occasionally receives advance payments from its customers prior to the time that the product is completed. These amounts are reflected as deferred revenue in the accompanying balance sheet.</w:t>
      </w:r>
    </w:p>
    <w:p>
      <w:pPr>
        <w:spacing w:after="0" w:line="187" w:lineRule="exact"/>
        <w:rPr>
          <w:rFonts w:ascii="Courier New" w:cs="Courier New" w:eastAsia="Courier New" w:hAnsi="Courier New"/>
          <w:sz w:val="16"/>
          <w:szCs w:val="16"/>
          <w:color w:val="auto"/>
        </w:rPr>
      </w:pPr>
    </w:p>
    <w:p>
      <w:pPr>
        <w:ind w:left="680" w:hanging="675"/>
        <w:spacing w:after="0"/>
        <w:tabs>
          <w:tab w:leader="none" w:pos="6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Fiscal Year End</w:t>
      </w:r>
    </w:p>
    <w:p>
      <w:pPr>
        <w:spacing w:after="0" w:line="188" w:lineRule="exact"/>
        <w:rPr>
          <w:rFonts w:ascii="Courier New" w:cs="Courier New" w:eastAsia="Courier New" w:hAnsi="Courier New"/>
          <w:sz w:val="16"/>
          <w:szCs w:val="16"/>
          <w:color w:val="auto"/>
        </w:rPr>
      </w:pPr>
    </w:p>
    <w:p>
      <w:pPr>
        <w:jc w:val="both"/>
        <w:ind w:left="680"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Division prepares its financial statements and reports its results of operations on the basis of a fiscal year which ends on the Saturday nearest December 31. Accordingly, the fiscal years ended January 2, 1999 and January 3, 1998, consisted of 52 weeks and 53 weeks, respectively.</w:t>
      </w:r>
    </w:p>
    <w:p>
      <w:pPr>
        <w:spacing w:after="0" w:line="190" w:lineRule="exact"/>
        <w:rPr>
          <w:rFonts w:ascii="Courier New" w:cs="Courier New" w:eastAsia="Courier New" w:hAnsi="Courier New"/>
          <w:sz w:val="16"/>
          <w:szCs w:val="16"/>
          <w:color w:val="auto"/>
        </w:rPr>
      </w:pPr>
    </w:p>
    <w:p>
      <w:pPr>
        <w:jc w:val="both"/>
        <w:ind w:left="680" w:right="2679" w:hanging="675"/>
        <w:spacing w:after="0" w:line="242" w:lineRule="auto"/>
        <w:tabs>
          <w:tab w:leader="none" w:pos="6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Impairment of Long-Lived Assets and Long-Lived Assets to be Disposed of The Division reviews long-lived assets and certain identifiable intangibles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188" w:lineRule="exact"/>
        <w:rPr>
          <w:rFonts w:ascii="Courier New" w:cs="Courier New" w:eastAsia="Courier New" w:hAnsi="Courier New"/>
          <w:sz w:val="16"/>
          <w:szCs w:val="16"/>
          <w:color w:val="auto"/>
        </w:rPr>
      </w:pPr>
    </w:p>
    <w:p>
      <w:pPr>
        <w:ind w:left="680" w:hanging="675"/>
        <w:spacing w:after="0"/>
        <w:tabs>
          <w:tab w:leader="none" w:pos="6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of Estimates</w:t>
      </w:r>
    </w:p>
    <w:p>
      <w:pPr>
        <w:spacing w:after="0" w:line="188" w:lineRule="exact"/>
        <w:rPr>
          <w:sz w:val="20"/>
          <w:szCs w:val="20"/>
          <w:color w:val="auto"/>
        </w:rPr>
      </w:pPr>
    </w:p>
    <w:p>
      <w:pPr>
        <w:jc w:val="both"/>
        <w:ind w:left="680" w:right="2599"/>
        <w:spacing w:after="0" w:line="242" w:lineRule="auto"/>
        <w:rPr>
          <w:sz w:val="20"/>
          <w:szCs w:val="20"/>
          <w:color w:val="auto"/>
        </w:rPr>
      </w:pPr>
      <w:r>
        <w:rPr>
          <w:rFonts w:ascii="Courier New" w:cs="Courier New" w:eastAsia="Courier New" w:hAnsi="Courier New"/>
          <w:sz w:val="16"/>
          <w:szCs w:val="16"/>
          <w:color w:val="auto"/>
        </w:rPr>
        <w:t>Management of the Division has made a number of estimates and assumptions relating to the reporting of assets and liabilities and operations and the disclosure of contingent assets and liabilities to prepare these financial statements in conformity with generally accepted accounting principles. Actual results could differ from those estimates.</w:t>
      </w:r>
    </w:p>
    <w:p>
      <w:pPr>
        <w:spacing w:after="0" w:line="18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559"/>
          </w:cols>
          <w:pgMar w:left="900" w:top="481" w:right="1440" w:bottom="1440" w:gutter="0" w:footer="0" w:header="0"/>
        </w:sectPr>
      </w:pPr>
    </w:p>
    <w:bookmarkStart w:id="9" w:name="page10"/>
    <w:bookmarkEnd w:id="9"/>
    <w:p>
      <w:pPr>
        <w:jc w:val="center"/>
        <w:ind w:right="2597"/>
        <w:spacing w:after="0"/>
        <w:rPr>
          <w:sz w:val="20"/>
          <w:szCs w:val="20"/>
          <w:color w:val="auto"/>
        </w:rPr>
      </w:pPr>
      <w:r>
        <w:rPr>
          <w:rFonts w:ascii="Courier New" w:cs="Courier New" w:eastAsia="Courier New" w:hAnsi="Courier New"/>
          <w:sz w:val="16"/>
          <w:szCs w:val="16"/>
          <w:color w:val="auto"/>
        </w:rPr>
        <w:t>INDUSTRIAL MOLDING</w:t>
      </w:r>
    </w:p>
    <w:p>
      <w:pPr>
        <w:spacing w:after="0" w:line="2" w:lineRule="exact"/>
        <w:rPr>
          <w:sz w:val="20"/>
          <w:szCs w:val="20"/>
          <w:color w:val="auto"/>
        </w:rPr>
      </w:pPr>
    </w:p>
    <w:p>
      <w:pPr>
        <w:ind w:left="1622"/>
        <w:spacing w:after="0"/>
        <w:rPr>
          <w:sz w:val="20"/>
          <w:szCs w:val="20"/>
          <w:color w:val="auto"/>
        </w:rPr>
      </w:pPr>
      <w:r>
        <w:rPr>
          <w:rFonts w:ascii="Courier New" w:cs="Courier New" w:eastAsia="Courier New" w:hAnsi="Courier New"/>
          <w:sz w:val="16"/>
          <w:szCs w:val="16"/>
          <w:color w:val="auto"/>
        </w:rPr>
        <w:t>(a division of Industrial Molding Corporation)</w:t>
      </w:r>
    </w:p>
    <w:p>
      <w:pPr>
        <w:spacing w:after="0" w:line="2" w:lineRule="exact"/>
        <w:rPr>
          <w:sz w:val="20"/>
          <w:szCs w:val="20"/>
          <w:color w:val="auto"/>
        </w:rPr>
      </w:pPr>
    </w:p>
    <w:p>
      <w:pPr>
        <w:ind w:left="2382"/>
        <w:spacing w:after="0"/>
        <w:rPr>
          <w:sz w:val="20"/>
          <w:szCs w:val="20"/>
          <w:color w:val="auto"/>
        </w:rPr>
      </w:pPr>
      <w:r>
        <w:rPr>
          <w:rFonts w:ascii="Courier New" w:cs="Courier New" w:eastAsia="Courier New" w:hAnsi="Courier New"/>
          <w:sz w:val="16"/>
          <w:szCs w:val="16"/>
          <w:color w:val="auto"/>
        </w:rPr>
        <w:t>Notes to Financial Statements</w:t>
      </w:r>
    </w:p>
    <w:p>
      <w:pPr>
        <w:spacing w:after="0" w:line="2" w:lineRule="exact"/>
        <w:rPr>
          <w:sz w:val="20"/>
          <w:szCs w:val="20"/>
          <w:color w:val="auto"/>
        </w:rPr>
      </w:pPr>
    </w:p>
    <w:p>
      <w:pPr>
        <w:ind w:left="1622"/>
        <w:spacing w:after="0"/>
        <w:rPr>
          <w:sz w:val="20"/>
          <w:szCs w:val="20"/>
          <w:color w:val="auto"/>
        </w:rPr>
      </w:pPr>
      <w:r>
        <w:rPr>
          <w:rFonts w:ascii="Courier New" w:cs="Courier New" w:eastAsia="Courier New" w:hAnsi="Courier New"/>
          <w:sz w:val="16"/>
          <w:szCs w:val="16"/>
          <w:color w:val="auto"/>
        </w:rPr>
        <w:t>Years ended January 2, 1999 and January 3, 1998</w:t>
      </w:r>
    </w:p>
    <w:p>
      <w:pPr>
        <w:spacing w:after="0" w:line="186" w:lineRule="exact"/>
        <w:rPr>
          <w:sz w:val="20"/>
          <w:szCs w:val="20"/>
          <w:color w:val="auto"/>
        </w:rPr>
      </w:pPr>
    </w:p>
    <w:p>
      <w:pPr>
        <w:ind w:left="662" w:hanging="662"/>
        <w:spacing w:after="0"/>
        <w:tabs>
          <w:tab w:leader="none" w:pos="66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2" w:lineRule="exact"/>
        <w:rPr>
          <w:rFonts w:ascii="Courier New" w:cs="Courier New" w:eastAsia="Courier New" w:hAnsi="Courier New"/>
          <w:sz w:val="16"/>
          <w:szCs w:val="16"/>
          <w:color w:val="auto"/>
        </w:rPr>
      </w:pPr>
    </w:p>
    <w:p>
      <w:pPr>
        <w:ind w:left="6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962" w:right="2599"/>
        <w:spacing w:after="0" w:line="239" w:lineRule="auto"/>
        <w:rPr>
          <w:sz w:val="20"/>
          <w:szCs w:val="20"/>
          <w:color w:val="auto"/>
        </w:rPr>
      </w:pPr>
      <w:r>
        <w:rPr>
          <w:rFonts w:ascii="Courier New" w:cs="Courier New" w:eastAsia="Courier New" w:hAnsi="Courier New"/>
          <w:sz w:val="16"/>
          <w:szCs w:val="16"/>
          <w:color w:val="auto"/>
        </w:rPr>
        <w:t>Inventories consist of the following at January 2, 1999 and January 3, 1998:</w:t>
      </w:r>
    </w:p>
    <w:p>
      <w:pPr>
        <w:spacing w:after="0" w:line="3" w:lineRule="exact"/>
        <w:rPr>
          <w:sz w:val="20"/>
          <w:szCs w:val="20"/>
          <w:color w:val="auto"/>
        </w:rPr>
      </w:pPr>
    </w:p>
    <w:tbl>
      <w:tblPr>
        <w:tblLayout w:type="fixed"/>
        <w:tblInd w:w="1042" w:type="dxa"/>
        <w:tblCellMar>
          <w:top w:w="0" w:type="dxa"/>
          <w:left w:w="0" w:type="dxa"/>
          <w:bottom w:w="0" w:type="dxa"/>
          <w:right w:w="0" w:type="dxa"/>
        </w:tblCellMar>
      </w:tblPr>
      <w:tr>
        <w:trPr>
          <w:trHeight w:val="181"/>
        </w:trPr>
        <w:tc>
          <w:tcPr>
            <w:tcW w:w="1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1998</w:t>
            </w:r>
          </w:p>
        </w:tc>
        <w:tc>
          <w:tcPr>
            <w:tcW w:w="16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1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67"/>
        </w:trPr>
        <w:tc>
          <w:tcPr>
            <w:tcW w:w="1860" w:type="dxa"/>
            <w:vAlign w:val="bottom"/>
          </w:tcPr>
          <w:p>
            <w:pPr>
              <w:spacing w:after="0"/>
              <w:rPr>
                <w:sz w:val="20"/>
                <w:szCs w:val="20"/>
                <w:color w:val="auto"/>
              </w:rPr>
            </w:pPr>
            <w:r>
              <w:rPr>
                <w:rFonts w:ascii="Courier New" w:cs="Courier New" w:eastAsia="Courier New" w:hAnsi="Courier New"/>
                <w:sz w:val="16"/>
                <w:szCs w:val="16"/>
                <w:color w:val="auto"/>
              </w:rPr>
              <w:t>Raw materials</w:t>
            </w:r>
          </w:p>
        </w:tc>
        <w:tc>
          <w:tcPr>
            <w:tcW w:w="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1,013,566</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910,192</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Work in progress</w:t>
            </w:r>
          </w:p>
        </w:tc>
        <w:tc>
          <w:tcPr>
            <w:tcW w:w="540" w:type="dxa"/>
            <w:vAlign w:val="bottom"/>
          </w:tcPr>
          <w:p>
            <w:pPr>
              <w:spacing w:after="0"/>
              <w:rPr>
                <w:sz w:val="15"/>
                <w:szCs w:val="15"/>
                <w:color w:val="auto"/>
              </w:rPr>
            </w:pPr>
          </w:p>
        </w:tc>
        <w:tc>
          <w:tcPr>
            <w:tcW w:w="1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245,160</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151,526</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540" w:type="dxa"/>
            <w:vAlign w:val="bottom"/>
          </w:tcPr>
          <w:p>
            <w:pPr>
              <w:spacing w:after="0"/>
              <w:rPr>
                <w:sz w:val="15"/>
                <w:szCs w:val="15"/>
                <w:color w:val="auto"/>
              </w:rPr>
            </w:pPr>
          </w:p>
        </w:tc>
        <w:tc>
          <w:tcPr>
            <w:tcW w:w="1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1,570,362</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1,429,515</w:t>
            </w:r>
          </w:p>
        </w:tc>
      </w:tr>
      <w:tr>
        <w:trPr>
          <w:trHeight w:val="183"/>
        </w:trPr>
        <w:tc>
          <w:tcPr>
            <w:tcW w:w="1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3"/>
        </w:trPr>
        <w:tc>
          <w:tcPr>
            <w:tcW w:w="1860" w:type="dxa"/>
            <w:vAlign w:val="bottom"/>
          </w:tcPr>
          <w:p>
            <w:pPr>
              <w:spacing w:after="0"/>
              <w:rPr>
                <w:sz w:val="15"/>
                <w:szCs w:val="15"/>
                <w:color w:val="auto"/>
              </w:rPr>
            </w:pPr>
          </w:p>
        </w:tc>
        <w:tc>
          <w:tcPr>
            <w:tcW w:w="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2,829,088</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2,491,233</w:t>
            </w:r>
          </w:p>
        </w:tc>
      </w:tr>
      <w:tr>
        <w:trPr>
          <w:trHeight w:val="183"/>
        </w:trPr>
        <w:tc>
          <w:tcPr>
            <w:tcW w:w="1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186" w:lineRule="exact"/>
        <w:rPr>
          <w:sz w:val="20"/>
          <w:szCs w:val="20"/>
          <w:color w:val="auto"/>
        </w:rPr>
      </w:pPr>
    </w:p>
    <w:p>
      <w:pPr>
        <w:ind w:left="662" w:hanging="662"/>
        <w:spacing w:after="0"/>
        <w:tabs>
          <w:tab w:leader="none" w:pos="66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Plant and Equipment</w:t>
      </w:r>
    </w:p>
    <w:p>
      <w:pPr>
        <w:spacing w:after="0" w:line="2" w:lineRule="exact"/>
        <w:rPr>
          <w:rFonts w:ascii="Courier New" w:cs="Courier New" w:eastAsia="Courier New" w:hAnsi="Courier New"/>
          <w:sz w:val="16"/>
          <w:szCs w:val="16"/>
          <w:color w:val="auto"/>
        </w:rPr>
      </w:pPr>
    </w:p>
    <w:p>
      <w:pPr>
        <w:ind w:left="6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662" w:right="259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plant and equipment consist of the following at January 2, 1999 and January 3, 1998:</w:t>
      </w:r>
    </w:p>
    <w:p>
      <w:pPr>
        <w:spacing w:after="0" w:line="186" w:lineRule="exact"/>
        <w:rPr>
          <w:sz w:val="20"/>
          <w:szCs w:val="20"/>
          <w:color w:val="auto"/>
        </w:rPr>
      </w:pPr>
    </w:p>
    <w:tbl>
      <w:tblPr>
        <w:tblLayout w:type="fixed"/>
        <w:tblInd w:w="1042" w:type="dxa"/>
        <w:tblCellMar>
          <w:top w:w="0" w:type="dxa"/>
          <w:left w:w="0" w:type="dxa"/>
          <w:bottom w:w="0" w:type="dxa"/>
          <w:right w:w="0" w:type="dxa"/>
        </w:tblCellMar>
      </w:tblPr>
      <w:tr>
        <w:trPr>
          <w:trHeight w:val="181"/>
        </w:trPr>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1998</w:t>
            </w:r>
          </w:p>
        </w:tc>
        <w:tc>
          <w:tcPr>
            <w:tcW w:w="16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 ------------------</w:t>
            </w:r>
          </w:p>
        </w:tc>
      </w:tr>
      <w:tr>
        <w:trPr>
          <w:trHeight w:val="183"/>
        </w:trPr>
        <w:tc>
          <w:tcPr>
            <w:tcW w:w="3020" w:type="dxa"/>
            <w:vAlign w:val="bottom"/>
          </w:tcPr>
          <w:p>
            <w:pPr>
              <w:spacing w:after="0"/>
              <w:rPr>
                <w:sz w:val="20"/>
                <w:szCs w:val="20"/>
                <w:color w:val="auto"/>
              </w:rPr>
            </w:pPr>
            <w:r>
              <w:rPr>
                <w:rFonts w:ascii="Courier New" w:cs="Courier New" w:eastAsia="Courier New" w:hAnsi="Courier New"/>
                <w:sz w:val="16"/>
                <w:szCs w:val="16"/>
                <w:color w:val="auto"/>
              </w:rPr>
              <w:t>Land</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481,940</w:t>
            </w:r>
          </w:p>
        </w:tc>
        <w:tc>
          <w:tcPr>
            <w:tcW w:w="16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481,940</w:t>
            </w:r>
          </w:p>
        </w:tc>
      </w:tr>
      <w:tr>
        <w:trPr>
          <w:trHeight w:val="183"/>
        </w:trPr>
        <w:tc>
          <w:tcPr>
            <w:tcW w:w="3020" w:type="dxa"/>
            <w:vAlign w:val="bottom"/>
          </w:tcPr>
          <w:p>
            <w:pPr>
              <w:spacing w:after="0"/>
              <w:rPr>
                <w:sz w:val="20"/>
                <w:szCs w:val="20"/>
                <w:color w:val="auto"/>
              </w:rPr>
            </w:pPr>
            <w:r>
              <w:rPr>
                <w:rFonts w:ascii="Courier New" w:cs="Courier New" w:eastAsia="Courier New" w:hAnsi="Courier New"/>
                <w:sz w:val="16"/>
                <w:szCs w:val="16"/>
                <w:color w:val="auto"/>
              </w:rPr>
              <w:t>Buildings</w:t>
            </w:r>
          </w:p>
        </w:tc>
        <w:tc>
          <w:tcPr>
            <w:tcW w:w="220" w:type="dxa"/>
            <w:vAlign w:val="bottom"/>
          </w:tcPr>
          <w:p>
            <w:pPr>
              <w:spacing w:after="0"/>
              <w:rPr>
                <w:sz w:val="15"/>
                <w:szCs w:val="15"/>
                <w:color w:val="auto"/>
              </w:rPr>
            </w:pPr>
          </w:p>
        </w:tc>
        <w:tc>
          <w:tcPr>
            <w:tcW w:w="15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5,164,371</w:t>
            </w:r>
          </w:p>
        </w:tc>
        <w:tc>
          <w:tcPr>
            <w:tcW w:w="16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5,077,122</w:t>
            </w:r>
          </w:p>
        </w:tc>
      </w:tr>
      <w:tr>
        <w:trPr>
          <w:trHeight w:val="183"/>
        </w:trPr>
        <w:tc>
          <w:tcPr>
            <w:tcW w:w="3020" w:type="dxa"/>
            <w:vAlign w:val="bottom"/>
          </w:tcPr>
          <w:p>
            <w:pPr>
              <w:spacing w:after="0"/>
              <w:rPr>
                <w:sz w:val="20"/>
                <w:szCs w:val="20"/>
                <w:color w:val="auto"/>
              </w:rPr>
            </w:pPr>
            <w:r>
              <w:rPr>
                <w:rFonts w:ascii="Courier New" w:cs="Courier New" w:eastAsia="Courier New" w:hAnsi="Courier New"/>
                <w:sz w:val="16"/>
                <w:szCs w:val="16"/>
                <w:color w:val="auto"/>
              </w:rPr>
              <w:t>Machinery and equipment</w:t>
            </w:r>
          </w:p>
        </w:tc>
        <w:tc>
          <w:tcPr>
            <w:tcW w:w="220" w:type="dxa"/>
            <w:vAlign w:val="bottom"/>
          </w:tcPr>
          <w:p>
            <w:pPr>
              <w:spacing w:after="0"/>
              <w:rPr>
                <w:sz w:val="15"/>
                <w:szCs w:val="15"/>
                <w:color w:val="auto"/>
              </w:rPr>
            </w:pPr>
          </w:p>
        </w:tc>
        <w:tc>
          <w:tcPr>
            <w:tcW w:w="15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13,994,404</w:t>
            </w:r>
          </w:p>
        </w:tc>
        <w:tc>
          <w:tcPr>
            <w:tcW w:w="16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12,972,679</w:t>
            </w:r>
          </w:p>
        </w:tc>
      </w:tr>
      <w:tr>
        <w:trPr>
          <w:trHeight w:val="183"/>
        </w:trPr>
        <w:tc>
          <w:tcPr>
            <w:tcW w:w="3020" w:type="dxa"/>
            <w:vAlign w:val="bottom"/>
          </w:tcPr>
          <w:p>
            <w:pPr>
              <w:spacing w:after="0"/>
              <w:rPr>
                <w:sz w:val="20"/>
                <w:szCs w:val="20"/>
                <w:color w:val="auto"/>
              </w:rPr>
            </w:pPr>
            <w:r>
              <w:rPr>
                <w:rFonts w:ascii="Courier New" w:cs="Courier New" w:eastAsia="Courier New" w:hAnsi="Courier New"/>
                <w:sz w:val="16"/>
                <w:szCs w:val="16"/>
                <w:color w:val="auto"/>
              </w:rPr>
              <w:t>Office furniture and equipment</w:t>
            </w:r>
          </w:p>
        </w:tc>
        <w:tc>
          <w:tcPr>
            <w:tcW w:w="220" w:type="dxa"/>
            <w:vAlign w:val="bottom"/>
          </w:tcPr>
          <w:p>
            <w:pPr>
              <w:spacing w:after="0"/>
              <w:rPr>
                <w:sz w:val="15"/>
                <w:szCs w:val="15"/>
                <w:color w:val="auto"/>
              </w:rPr>
            </w:pPr>
          </w:p>
        </w:tc>
        <w:tc>
          <w:tcPr>
            <w:tcW w:w="15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1,906,106</w:t>
            </w:r>
          </w:p>
        </w:tc>
        <w:tc>
          <w:tcPr>
            <w:tcW w:w="16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1,647,242</w:t>
            </w:r>
          </w:p>
        </w:tc>
      </w:tr>
      <w:tr>
        <w:trPr>
          <w:trHeight w:val="183"/>
        </w:trPr>
        <w:tc>
          <w:tcPr>
            <w:tcW w:w="3020" w:type="dxa"/>
            <w:vAlign w:val="bottom"/>
          </w:tcPr>
          <w:p>
            <w:pPr>
              <w:spacing w:after="0"/>
              <w:rPr>
                <w:sz w:val="20"/>
                <w:szCs w:val="20"/>
                <w:color w:val="auto"/>
              </w:rPr>
            </w:pPr>
            <w:r>
              <w:rPr>
                <w:rFonts w:ascii="Courier New" w:cs="Courier New" w:eastAsia="Courier New" w:hAnsi="Courier New"/>
                <w:sz w:val="16"/>
                <w:szCs w:val="16"/>
                <w:color w:val="auto"/>
              </w:rPr>
              <w:t>Construction in progress</w:t>
            </w:r>
          </w:p>
        </w:tc>
        <w:tc>
          <w:tcPr>
            <w:tcW w:w="220" w:type="dxa"/>
            <w:vAlign w:val="bottom"/>
          </w:tcPr>
          <w:p>
            <w:pPr>
              <w:spacing w:after="0"/>
              <w:rPr>
                <w:sz w:val="15"/>
                <w:szCs w:val="15"/>
                <w:color w:val="auto"/>
              </w:rPr>
            </w:pPr>
          </w:p>
        </w:tc>
        <w:tc>
          <w:tcPr>
            <w:tcW w:w="15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127,823</w:t>
            </w:r>
          </w:p>
        </w:tc>
        <w:tc>
          <w:tcPr>
            <w:tcW w:w="16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270,074</w:t>
            </w:r>
          </w:p>
        </w:tc>
      </w:tr>
      <w:tr>
        <w:trPr>
          <w:trHeight w:val="183"/>
        </w:trPr>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 ------------------</w:t>
            </w:r>
          </w:p>
        </w:tc>
      </w:tr>
      <w:tr>
        <w:trPr>
          <w:trHeight w:val="183"/>
        </w:trPr>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21,674,644</w:t>
            </w:r>
          </w:p>
        </w:tc>
        <w:tc>
          <w:tcPr>
            <w:tcW w:w="16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20,449,057</w:t>
            </w:r>
          </w:p>
        </w:tc>
      </w:tr>
      <w:tr>
        <w:trPr>
          <w:trHeight w:val="183"/>
        </w:trPr>
        <w:tc>
          <w:tcPr>
            <w:tcW w:w="3020" w:type="dxa"/>
            <w:vAlign w:val="bottom"/>
          </w:tcPr>
          <w:p>
            <w:pPr>
              <w:spacing w:after="0"/>
              <w:rPr>
                <w:sz w:val="20"/>
                <w:szCs w:val="20"/>
                <w:color w:val="auto"/>
              </w:rPr>
            </w:pPr>
            <w:r>
              <w:rPr>
                <w:rFonts w:ascii="Courier New" w:cs="Courier New" w:eastAsia="Courier New" w:hAnsi="Courier New"/>
                <w:sz w:val="16"/>
                <w:szCs w:val="16"/>
                <w:color w:val="auto"/>
              </w:rPr>
              <w:t>Accumulated depreciation</w:t>
            </w: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3"/>
        </w:trPr>
        <w:tc>
          <w:tcPr>
            <w:tcW w:w="3020" w:type="dxa"/>
            <w:vAlign w:val="bottom"/>
          </w:tcPr>
          <w:p>
            <w:pPr>
              <w:ind w:left="380"/>
              <w:spacing w:after="0"/>
              <w:rPr>
                <w:sz w:val="20"/>
                <w:szCs w:val="20"/>
                <w:color w:val="auto"/>
              </w:rPr>
            </w:pPr>
            <w:r>
              <w:rPr>
                <w:rFonts w:ascii="Courier New" w:cs="Courier New" w:eastAsia="Courier New" w:hAnsi="Courier New"/>
                <w:sz w:val="16"/>
                <w:szCs w:val="16"/>
                <w:color w:val="auto"/>
              </w:rPr>
              <w:t>and amortization</w:t>
            </w:r>
          </w:p>
        </w:tc>
        <w:tc>
          <w:tcPr>
            <w:tcW w:w="220" w:type="dxa"/>
            <w:vAlign w:val="bottom"/>
          </w:tcPr>
          <w:p>
            <w:pPr>
              <w:spacing w:after="0"/>
              <w:rPr>
                <w:sz w:val="15"/>
                <w:szCs w:val="15"/>
                <w:color w:val="auto"/>
              </w:rPr>
            </w:pPr>
          </w:p>
        </w:tc>
        <w:tc>
          <w:tcPr>
            <w:tcW w:w="15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(13,114,883)</w:t>
            </w:r>
          </w:p>
        </w:tc>
        <w:tc>
          <w:tcPr>
            <w:tcW w:w="1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(11,719,888)</w:t>
            </w:r>
          </w:p>
        </w:tc>
      </w:tr>
      <w:tr>
        <w:trPr>
          <w:trHeight w:val="183"/>
        </w:trPr>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 ------------------</w:t>
            </w:r>
          </w:p>
        </w:tc>
      </w:tr>
      <w:tr>
        <w:trPr>
          <w:trHeight w:val="183"/>
        </w:trPr>
        <w:tc>
          <w:tcPr>
            <w:tcW w:w="30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8,559,761</w:t>
            </w:r>
          </w:p>
        </w:tc>
        <w:tc>
          <w:tcPr>
            <w:tcW w:w="16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8,729,169</w:t>
            </w:r>
          </w:p>
        </w:tc>
      </w:tr>
      <w:tr>
        <w:trPr>
          <w:trHeight w:val="183"/>
        </w:trPr>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 ==================</w:t>
            </w:r>
          </w:p>
        </w:tc>
      </w:tr>
    </w:tbl>
    <w:p>
      <w:pPr>
        <w:spacing w:after="0" w:line="2" w:lineRule="exact"/>
        <w:rPr>
          <w:sz w:val="20"/>
          <w:szCs w:val="20"/>
          <w:color w:val="auto"/>
        </w:rPr>
      </w:pPr>
    </w:p>
    <w:p>
      <w:pPr>
        <w:ind w:left="662" w:hanging="662"/>
        <w:spacing w:after="0"/>
        <w:tabs>
          <w:tab w:leader="none" w:pos="66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Assets</w:t>
      </w:r>
    </w:p>
    <w:p>
      <w:pPr>
        <w:spacing w:after="0" w:line="2" w:lineRule="exact"/>
        <w:rPr>
          <w:rFonts w:ascii="Courier New" w:cs="Courier New" w:eastAsia="Courier New" w:hAnsi="Courier New"/>
          <w:sz w:val="16"/>
          <w:szCs w:val="16"/>
          <w:color w:val="auto"/>
        </w:rPr>
      </w:pPr>
    </w:p>
    <w:p>
      <w:pPr>
        <w:ind w:left="6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662" w:right="259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Other assets consist of the following at January 2, 1999 and January 3, 1998:</w:t>
      </w:r>
    </w:p>
    <w:p>
      <w:pPr>
        <w:spacing w:after="0" w:line="186" w:lineRule="exact"/>
        <w:rPr>
          <w:sz w:val="20"/>
          <w:szCs w:val="20"/>
          <w:color w:val="auto"/>
        </w:rPr>
      </w:pPr>
    </w:p>
    <w:tbl>
      <w:tblPr>
        <w:tblLayout w:type="fixed"/>
        <w:tblInd w:w="1042" w:type="dxa"/>
        <w:tblCellMar>
          <w:top w:w="0" w:type="dxa"/>
          <w:left w:w="0" w:type="dxa"/>
          <w:bottom w:w="0" w:type="dxa"/>
          <w:right w:w="0" w:type="dxa"/>
        </w:tblCellMar>
      </w:tblPr>
      <w:tr>
        <w:trPr>
          <w:trHeight w:val="181"/>
        </w:trPr>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jc w:val="right"/>
              <w:ind w:right="841"/>
              <w:spacing w:after="0"/>
              <w:rPr>
                <w:sz w:val="20"/>
                <w:szCs w:val="20"/>
                <w:color w:val="auto"/>
              </w:rPr>
            </w:pPr>
            <w:r>
              <w:rPr>
                <w:rFonts w:ascii="Courier New" w:cs="Courier New" w:eastAsia="Courier New" w:hAnsi="Courier New"/>
                <w:sz w:val="16"/>
                <w:szCs w:val="16"/>
                <w:color w:val="auto"/>
              </w:rPr>
              <w:t>1998</w:t>
            </w:r>
          </w:p>
        </w:tc>
        <w:tc>
          <w:tcPr>
            <w:tcW w:w="15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3020" w:type="dxa"/>
            <w:vAlign w:val="bottom"/>
          </w:tcPr>
          <w:p>
            <w:pPr>
              <w:spacing w:after="0"/>
              <w:rPr>
                <w:sz w:val="15"/>
                <w:szCs w:val="15"/>
                <w:color w:val="auto"/>
              </w:rPr>
            </w:pPr>
          </w:p>
        </w:tc>
        <w:tc>
          <w:tcPr>
            <w:tcW w:w="356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8"/>
              </w:rPr>
              <w:t>----------------- ------------------</w:t>
            </w:r>
          </w:p>
        </w:tc>
      </w:tr>
      <w:tr>
        <w:trPr>
          <w:trHeight w:val="183"/>
        </w:trPr>
        <w:tc>
          <w:tcPr>
            <w:tcW w:w="3020" w:type="dxa"/>
            <w:vAlign w:val="bottom"/>
          </w:tcPr>
          <w:p>
            <w:pPr>
              <w:spacing w:after="0"/>
              <w:rPr>
                <w:sz w:val="20"/>
                <w:szCs w:val="20"/>
                <w:color w:val="auto"/>
              </w:rPr>
            </w:pPr>
            <w:r>
              <w:rPr>
                <w:rFonts w:ascii="Courier New" w:cs="Courier New" w:eastAsia="Courier New" w:hAnsi="Courier New"/>
                <w:sz w:val="16"/>
                <w:szCs w:val="16"/>
                <w:color w:val="auto"/>
              </w:rPr>
              <w:t>Non-compete agreement (note 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7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799,789</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799,789</w:t>
            </w:r>
          </w:p>
        </w:tc>
      </w:tr>
      <w:tr>
        <w:trPr>
          <w:trHeight w:val="183"/>
        </w:trPr>
        <w:tc>
          <w:tcPr>
            <w:tcW w:w="30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220" w:type="dxa"/>
            <w:vAlign w:val="bottom"/>
          </w:tcPr>
          <w:p>
            <w:pPr>
              <w:spacing w:after="0"/>
              <w:rPr>
                <w:sz w:val="15"/>
                <w:szCs w:val="15"/>
                <w:color w:val="auto"/>
              </w:rPr>
            </w:pPr>
          </w:p>
        </w:tc>
        <w:tc>
          <w:tcPr>
            <w:tcW w:w="17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125,000</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17,097</w:t>
            </w:r>
          </w:p>
        </w:tc>
      </w:tr>
      <w:tr>
        <w:trPr>
          <w:trHeight w:val="183"/>
        </w:trPr>
        <w:tc>
          <w:tcPr>
            <w:tcW w:w="3020" w:type="dxa"/>
            <w:vAlign w:val="bottom"/>
          </w:tcPr>
          <w:p>
            <w:pPr>
              <w:spacing w:after="0"/>
              <w:rPr>
                <w:sz w:val="15"/>
                <w:szCs w:val="15"/>
                <w:color w:val="auto"/>
              </w:rPr>
            </w:pPr>
          </w:p>
        </w:tc>
        <w:tc>
          <w:tcPr>
            <w:tcW w:w="356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8"/>
              </w:rPr>
              <w:t>----------------- ------------------</w:t>
            </w:r>
          </w:p>
        </w:tc>
      </w:tr>
      <w:tr>
        <w:trPr>
          <w:trHeight w:val="183"/>
        </w:trPr>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924,789</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816,886</w:t>
            </w:r>
          </w:p>
        </w:tc>
      </w:tr>
      <w:tr>
        <w:trPr>
          <w:trHeight w:val="183"/>
        </w:trPr>
        <w:tc>
          <w:tcPr>
            <w:tcW w:w="3020" w:type="dxa"/>
            <w:vAlign w:val="bottom"/>
          </w:tcPr>
          <w:p>
            <w:pPr>
              <w:spacing w:after="0"/>
              <w:rPr>
                <w:sz w:val="20"/>
                <w:szCs w:val="20"/>
                <w:color w:val="auto"/>
              </w:rPr>
            </w:pPr>
            <w:r>
              <w:rPr>
                <w:rFonts w:ascii="Courier New" w:cs="Courier New" w:eastAsia="Courier New" w:hAnsi="Courier New"/>
                <w:sz w:val="16"/>
                <w:szCs w:val="16"/>
                <w:color w:val="auto"/>
              </w:rPr>
              <w:t>Accumulated amortization</w:t>
            </w:r>
          </w:p>
        </w:tc>
        <w:tc>
          <w:tcPr>
            <w:tcW w:w="220" w:type="dxa"/>
            <w:vAlign w:val="bottom"/>
          </w:tcPr>
          <w:p>
            <w:pPr>
              <w:spacing w:after="0"/>
              <w:rPr>
                <w:sz w:val="15"/>
                <w:szCs w:val="15"/>
                <w:color w:val="auto"/>
              </w:rPr>
            </w:pPr>
          </w:p>
        </w:tc>
        <w:tc>
          <w:tcPr>
            <w:tcW w:w="17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(133,297)</w:t>
            </w:r>
          </w:p>
        </w:tc>
        <w:tc>
          <w:tcPr>
            <w:tcW w:w="1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(19,043)</w:t>
            </w:r>
          </w:p>
        </w:tc>
      </w:tr>
      <w:tr>
        <w:trPr>
          <w:trHeight w:val="183"/>
        </w:trPr>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 ------------------</w:t>
            </w:r>
          </w:p>
        </w:tc>
      </w:tr>
      <w:tr>
        <w:trPr>
          <w:trHeight w:val="183"/>
        </w:trPr>
        <w:tc>
          <w:tcPr>
            <w:tcW w:w="3020" w:type="dxa"/>
            <w:vAlign w:val="bottom"/>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7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810,535</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816,886</w:t>
            </w:r>
          </w:p>
        </w:tc>
      </w:tr>
      <w:tr>
        <w:trPr>
          <w:trHeight w:val="183"/>
        </w:trPr>
        <w:tc>
          <w:tcPr>
            <w:tcW w:w="3020" w:type="dxa"/>
            <w:vAlign w:val="bottom"/>
          </w:tcPr>
          <w:p>
            <w:pPr>
              <w:spacing w:after="0"/>
              <w:rPr>
                <w:sz w:val="15"/>
                <w:szCs w:val="15"/>
                <w:color w:val="auto"/>
              </w:rPr>
            </w:pPr>
          </w:p>
        </w:tc>
        <w:tc>
          <w:tcPr>
            <w:tcW w:w="356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8"/>
              </w:rPr>
              <w:t>================= ==================</w:t>
            </w:r>
          </w:p>
        </w:tc>
      </w:tr>
    </w:tbl>
    <w:p>
      <w:pPr>
        <w:spacing w:after="0" w:line="188" w:lineRule="exact"/>
        <w:rPr>
          <w:sz w:val="20"/>
          <w:szCs w:val="20"/>
          <w:color w:val="auto"/>
        </w:rPr>
      </w:pPr>
    </w:p>
    <w:p>
      <w:pPr>
        <w:jc w:val="both"/>
        <w:ind w:left="662" w:right="2599"/>
        <w:spacing w:after="0" w:line="241" w:lineRule="auto"/>
        <w:rPr>
          <w:sz w:val="20"/>
          <w:szCs w:val="20"/>
          <w:color w:val="auto"/>
        </w:rPr>
      </w:pPr>
      <w:r>
        <w:rPr>
          <w:rFonts w:ascii="Courier New" w:cs="Courier New" w:eastAsia="Courier New" w:hAnsi="Courier New"/>
          <w:sz w:val="16"/>
          <w:szCs w:val="16"/>
          <w:color w:val="auto"/>
        </w:rPr>
        <w:t>During 1998, the Division exchanged a $750,000 note receivable for a $125,000 investment in a private company. The transaction resulted in bad debt expense of $625,000, which is included in general and administrative expenses in the accompanying statements of operations.</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(Continued)</w:t>
      </w:r>
    </w:p>
    <w:p>
      <w:pPr>
        <w:spacing w:after="0" w:line="2"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1"/>
          </w:cols>
          <w:pgMar w:left="238" w:top="481" w:right="1440" w:bottom="1440" w:gutter="0" w:footer="0" w:header="0"/>
        </w:sectPr>
      </w:pPr>
    </w:p>
    <w:bookmarkStart w:id="10" w:name="page11"/>
    <w:bookmarkEnd w:id="10"/>
    <w:p>
      <w:pPr>
        <w:jc w:val="center"/>
        <w:ind w:right="2597"/>
        <w:spacing w:after="0"/>
        <w:rPr>
          <w:sz w:val="20"/>
          <w:szCs w:val="20"/>
          <w:color w:val="auto"/>
        </w:rPr>
      </w:pPr>
      <w:r>
        <w:rPr>
          <w:rFonts w:ascii="Courier New" w:cs="Courier New" w:eastAsia="Courier New" w:hAnsi="Courier New"/>
          <w:sz w:val="16"/>
          <w:szCs w:val="16"/>
          <w:color w:val="auto"/>
        </w:rPr>
        <w:t>INDUSTRIAL MOLDING</w:t>
      </w:r>
    </w:p>
    <w:p>
      <w:pPr>
        <w:spacing w:after="0" w:line="2" w:lineRule="exact"/>
        <w:rPr>
          <w:sz w:val="20"/>
          <w:szCs w:val="20"/>
          <w:color w:val="auto"/>
        </w:rPr>
      </w:pPr>
    </w:p>
    <w:p>
      <w:pPr>
        <w:ind w:left="1622"/>
        <w:spacing w:after="0"/>
        <w:rPr>
          <w:sz w:val="20"/>
          <w:szCs w:val="20"/>
          <w:color w:val="auto"/>
        </w:rPr>
      </w:pPr>
      <w:r>
        <w:rPr>
          <w:rFonts w:ascii="Courier New" w:cs="Courier New" w:eastAsia="Courier New" w:hAnsi="Courier New"/>
          <w:sz w:val="16"/>
          <w:szCs w:val="16"/>
          <w:color w:val="auto"/>
        </w:rPr>
        <w:t>(a division of Industrial Molding Corporation)</w:t>
      </w:r>
    </w:p>
    <w:p>
      <w:pPr>
        <w:spacing w:after="0" w:line="2" w:lineRule="exact"/>
        <w:rPr>
          <w:sz w:val="20"/>
          <w:szCs w:val="20"/>
          <w:color w:val="auto"/>
        </w:rPr>
      </w:pPr>
    </w:p>
    <w:p>
      <w:pPr>
        <w:ind w:left="2382"/>
        <w:spacing w:after="0"/>
        <w:rPr>
          <w:sz w:val="20"/>
          <w:szCs w:val="20"/>
          <w:color w:val="auto"/>
        </w:rPr>
      </w:pPr>
      <w:r>
        <w:rPr>
          <w:rFonts w:ascii="Courier New" w:cs="Courier New" w:eastAsia="Courier New" w:hAnsi="Courier New"/>
          <w:sz w:val="16"/>
          <w:szCs w:val="16"/>
          <w:color w:val="auto"/>
        </w:rPr>
        <w:t>Notes to Financial Statements</w:t>
      </w:r>
    </w:p>
    <w:p>
      <w:pPr>
        <w:spacing w:after="0" w:line="2" w:lineRule="exact"/>
        <w:rPr>
          <w:sz w:val="20"/>
          <w:szCs w:val="20"/>
          <w:color w:val="auto"/>
        </w:rPr>
      </w:pPr>
    </w:p>
    <w:p>
      <w:pPr>
        <w:ind w:left="1622"/>
        <w:spacing w:after="0"/>
        <w:rPr>
          <w:sz w:val="20"/>
          <w:szCs w:val="20"/>
          <w:color w:val="auto"/>
        </w:rPr>
      </w:pPr>
      <w:r>
        <w:rPr>
          <w:rFonts w:ascii="Courier New" w:cs="Courier New" w:eastAsia="Courier New" w:hAnsi="Courier New"/>
          <w:sz w:val="16"/>
          <w:szCs w:val="16"/>
          <w:color w:val="auto"/>
        </w:rPr>
        <w:t>Years ended January 2, 1999 and January 3, 1998</w:t>
      </w:r>
    </w:p>
    <w:p>
      <w:pPr>
        <w:spacing w:after="0" w:line="369" w:lineRule="exact"/>
        <w:rPr>
          <w:sz w:val="20"/>
          <w:szCs w:val="20"/>
          <w:color w:val="auto"/>
        </w:rPr>
      </w:pPr>
    </w:p>
    <w:p>
      <w:pPr>
        <w:ind w:left="662" w:hanging="662"/>
        <w:spacing w:after="0"/>
        <w:tabs>
          <w:tab w:leader="none" w:pos="66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Note Payable and Non Compete Agreement</w:t>
      </w:r>
    </w:p>
    <w:p>
      <w:pPr>
        <w:spacing w:after="0" w:line="2" w:lineRule="exact"/>
        <w:rPr>
          <w:rFonts w:ascii="Courier New" w:cs="Courier New" w:eastAsia="Courier New" w:hAnsi="Courier New"/>
          <w:sz w:val="16"/>
          <w:szCs w:val="16"/>
          <w:color w:val="auto"/>
        </w:rPr>
      </w:pPr>
    </w:p>
    <w:p>
      <w:pPr>
        <w:ind w:left="6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jc w:val="both"/>
        <w:ind w:left="66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1997, the Division issued a $799,789 unsecured note payable to a former officer in exchange for a seven year non-compete agreement (note 4), which was considered a noncash investing activity. The note is payable upon demand or if no demand, in semi-monthly installments at the annual rate of $50,000 including interest at the Division's average borrowing rate (8.23% at January 2, 1999). At January 2, 1999 and January 3, 1998, the Division owed the former officer $759,384 and $799,789, respectively. During 1998, the Company made payments of approximately $108,000 of which interest represented approximately $68,000. The Division made no payments in 1997.</w:t>
      </w:r>
    </w:p>
    <w:p>
      <w:pPr>
        <w:spacing w:after="0" w:line="187" w:lineRule="exact"/>
        <w:rPr>
          <w:rFonts w:ascii="Courier New" w:cs="Courier New" w:eastAsia="Courier New" w:hAnsi="Courier New"/>
          <w:sz w:val="16"/>
          <w:szCs w:val="16"/>
          <w:color w:val="auto"/>
        </w:rPr>
      </w:pPr>
    </w:p>
    <w:p>
      <w:pPr>
        <w:ind w:left="662" w:hanging="662"/>
        <w:spacing w:after="0"/>
        <w:tabs>
          <w:tab w:leader="none" w:pos="66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Accrued Expenses</w:t>
      </w:r>
    </w:p>
    <w:p>
      <w:pPr>
        <w:spacing w:after="0" w:line="2" w:lineRule="exact"/>
        <w:rPr>
          <w:rFonts w:ascii="Courier New" w:cs="Courier New" w:eastAsia="Courier New" w:hAnsi="Courier New"/>
          <w:sz w:val="16"/>
          <w:szCs w:val="16"/>
          <w:color w:val="auto"/>
        </w:rPr>
      </w:pPr>
    </w:p>
    <w:p>
      <w:pPr>
        <w:ind w:left="6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662" w:right="2599"/>
        <w:spacing w:after="0" w:line="239" w:lineRule="auto"/>
        <w:rPr>
          <w:sz w:val="20"/>
          <w:szCs w:val="20"/>
          <w:color w:val="auto"/>
        </w:rPr>
      </w:pPr>
      <w:r>
        <w:rPr>
          <w:rFonts w:ascii="Courier New" w:cs="Courier New" w:eastAsia="Courier New" w:hAnsi="Courier New"/>
          <w:sz w:val="16"/>
          <w:szCs w:val="16"/>
          <w:color w:val="auto"/>
        </w:rPr>
        <w:t>Accrued expenses consist of the following at January 2, 1999 and January 3, 1998:</w:t>
      </w:r>
    </w:p>
    <w:p>
      <w:pPr>
        <w:spacing w:after="0" w:line="186" w:lineRule="exact"/>
        <w:rPr>
          <w:sz w:val="20"/>
          <w:szCs w:val="20"/>
          <w:color w:val="auto"/>
        </w:rPr>
      </w:pPr>
    </w:p>
    <w:tbl>
      <w:tblPr>
        <w:tblLayout w:type="fixed"/>
        <w:tblInd w:w="962" w:type="dxa"/>
        <w:tblCellMar>
          <w:top w:w="0" w:type="dxa"/>
          <w:left w:w="0" w:type="dxa"/>
          <w:bottom w:w="0" w:type="dxa"/>
          <w:right w:w="0" w:type="dxa"/>
        </w:tblCellMar>
      </w:tblPr>
      <w:tr>
        <w:trPr>
          <w:trHeight w:val="181"/>
        </w:trPr>
        <w:tc>
          <w:tcPr>
            <w:tcW w:w="1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1998</w:t>
            </w:r>
          </w:p>
        </w:tc>
        <w:tc>
          <w:tcPr>
            <w:tcW w:w="16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1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3"/>
        </w:trPr>
        <w:tc>
          <w:tcPr>
            <w:tcW w:w="1460" w:type="dxa"/>
            <w:vAlign w:val="bottom"/>
          </w:tcPr>
          <w:p>
            <w:pPr>
              <w:spacing w:after="0"/>
              <w:rPr>
                <w:sz w:val="20"/>
                <w:szCs w:val="20"/>
                <w:color w:val="auto"/>
              </w:rPr>
            </w:pPr>
            <w:r>
              <w:rPr>
                <w:rFonts w:ascii="Courier New" w:cs="Courier New" w:eastAsia="Courier New" w:hAnsi="Courier New"/>
                <w:sz w:val="16"/>
                <w:szCs w:val="16"/>
                <w:color w:val="auto"/>
              </w:rPr>
              <w:t>Litigation</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412,560</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864,456</w:t>
            </w:r>
          </w:p>
        </w:tc>
      </w:tr>
      <w:tr>
        <w:trPr>
          <w:trHeight w:val="183"/>
        </w:trPr>
        <w:tc>
          <w:tcPr>
            <w:tcW w:w="14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720" w:type="dxa"/>
            <w:vAlign w:val="bottom"/>
          </w:tcPr>
          <w:p>
            <w:pPr>
              <w:spacing w:after="0"/>
              <w:rPr>
                <w:sz w:val="15"/>
                <w:szCs w:val="15"/>
                <w:color w:val="auto"/>
              </w:rPr>
            </w:pP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999,562</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913,982</w:t>
            </w:r>
          </w:p>
        </w:tc>
      </w:tr>
      <w:tr>
        <w:trPr>
          <w:trHeight w:val="183"/>
        </w:trPr>
        <w:tc>
          <w:tcPr>
            <w:tcW w:w="1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3"/>
        </w:trPr>
        <w:tc>
          <w:tcPr>
            <w:tcW w:w="146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1,412,122</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1,778,438</w:t>
            </w:r>
          </w:p>
        </w:tc>
      </w:tr>
      <w:tr>
        <w:trPr>
          <w:trHeight w:val="183"/>
        </w:trPr>
        <w:tc>
          <w:tcPr>
            <w:tcW w:w="1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(Continued)</w:t>
      </w:r>
    </w:p>
    <w:p>
      <w:pPr>
        <w:spacing w:after="0" w:line="2"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1"/>
          </w:cols>
          <w:pgMar w:left="238" w:top="481" w:right="1440" w:bottom="1440" w:gutter="0" w:footer="0" w:header="0"/>
        </w:sectPr>
      </w:pPr>
    </w:p>
    <w:bookmarkStart w:id="11" w:name="page12"/>
    <w:bookmarkEnd w:id="11"/>
    <w:p>
      <w:pPr>
        <w:jc w:val="center"/>
        <w:ind w:right="3160"/>
        <w:spacing w:after="0"/>
        <w:rPr>
          <w:sz w:val="20"/>
          <w:szCs w:val="20"/>
          <w:color w:val="auto"/>
        </w:rPr>
      </w:pPr>
      <w:r>
        <w:rPr>
          <w:rFonts w:ascii="Courier New" w:cs="Courier New" w:eastAsia="Courier New" w:hAnsi="Courier New"/>
          <w:sz w:val="16"/>
          <w:szCs w:val="16"/>
          <w:color w:val="auto"/>
        </w:rPr>
        <w:t>INDUSTRIAL MOLDING</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(a division of Industrial Molding Corporation)</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Notes to Financial Statements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0" w:type="dxa"/>
            <w:vAlign w:val="bottom"/>
          </w:tcPr>
          <w:p>
            <w:pPr>
              <w:spacing w:after="0"/>
              <w:rPr>
                <w:sz w:val="15"/>
                <w:szCs w:val="15"/>
                <w:color w:val="auto"/>
              </w:rPr>
            </w:pPr>
          </w:p>
        </w:tc>
        <w:tc>
          <w:tcPr>
            <w:tcW w:w="562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Years ended January 2, 1999 and January 3, 1998</w:t>
            </w:r>
          </w:p>
        </w:tc>
        <w:tc>
          <w:tcPr>
            <w:tcW w:w="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367"/>
        </w:trPr>
        <w:tc>
          <w:tcPr>
            <w:tcW w:w="4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0"/>
              </w:rPr>
              <w:t>(7)</w:t>
            </w:r>
          </w:p>
        </w:tc>
        <w:tc>
          <w:tcPr>
            <w:tcW w:w="1560" w:type="dxa"/>
            <w:vAlign w:val="bottom"/>
          </w:tcPr>
          <w:p>
            <w:pPr>
              <w:ind w:left="180"/>
              <w:spacing w:after="0"/>
              <w:rPr>
                <w:sz w:val="20"/>
                <w:szCs w:val="20"/>
                <w:color w:val="auto"/>
              </w:rPr>
            </w:pPr>
            <w:r>
              <w:rPr>
                <w:rFonts w:ascii="Courier New" w:cs="Courier New" w:eastAsia="Courier New" w:hAnsi="Courier New"/>
                <w:sz w:val="16"/>
                <w:szCs w:val="16"/>
                <w:color w:val="auto"/>
              </w:rPr>
              <w:t>Long-term Debt</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83"/>
        </w:trPr>
        <w:tc>
          <w:tcPr>
            <w:tcW w:w="480" w:type="dxa"/>
            <w:vAlign w:val="bottom"/>
          </w:tcPr>
          <w:p>
            <w:pPr>
              <w:spacing w:after="0"/>
              <w:rPr>
                <w:sz w:val="15"/>
                <w:szCs w:val="15"/>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367"/>
        </w:trPr>
        <w:tc>
          <w:tcPr>
            <w:tcW w:w="480" w:type="dxa"/>
            <w:vAlign w:val="bottom"/>
          </w:tcPr>
          <w:p>
            <w:pPr>
              <w:spacing w:after="0"/>
              <w:rPr>
                <w:sz w:val="24"/>
                <w:szCs w:val="24"/>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6"/>
                <w:szCs w:val="16"/>
                <w:color w:val="auto"/>
              </w:rPr>
              <w:t>The  long-term</w:t>
            </w:r>
          </w:p>
        </w:tc>
        <w:tc>
          <w:tcPr>
            <w:tcW w:w="2920" w:type="dxa"/>
            <w:vAlign w:val="bottom"/>
            <w:gridSpan w:val="5"/>
          </w:tcPr>
          <w:p>
            <w:pPr>
              <w:jc w:val="right"/>
              <w:ind w:right="121"/>
              <w:spacing w:after="0"/>
              <w:rPr>
                <w:sz w:val="20"/>
                <w:szCs w:val="20"/>
                <w:color w:val="auto"/>
              </w:rPr>
            </w:pPr>
            <w:r>
              <w:rPr>
                <w:rFonts w:ascii="Courier New" w:cs="Courier New" w:eastAsia="Courier New" w:hAnsi="Courier New"/>
                <w:sz w:val="16"/>
                <w:szCs w:val="16"/>
                <w:color w:val="auto"/>
              </w:rPr>
              <w:t>debt of IMC consists of the</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following at</w:t>
            </w:r>
          </w:p>
        </w:tc>
        <w:tc>
          <w:tcPr>
            <w:tcW w:w="2680" w:type="dxa"/>
            <w:vAlign w:val="bottom"/>
            <w:gridSpan w:val="2"/>
          </w:tcPr>
          <w:p>
            <w:pPr>
              <w:jc w:val="right"/>
              <w:ind w:right="1081"/>
              <w:spacing w:after="0"/>
              <w:rPr>
                <w:sz w:val="20"/>
                <w:szCs w:val="20"/>
                <w:color w:val="auto"/>
              </w:rPr>
            </w:pPr>
            <w:r>
              <w:rPr>
                <w:rFonts w:ascii="Courier New" w:cs="Courier New" w:eastAsia="Courier New" w:hAnsi="Courier New"/>
                <w:sz w:val="16"/>
                <w:szCs w:val="16"/>
                <w:color w:val="auto"/>
              </w:rPr>
              <w:t>January 2, 1999</w:t>
            </w:r>
          </w:p>
        </w:tc>
        <w:tc>
          <w:tcPr>
            <w:tcW w:w="2000" w:type="dxa"/>
            <w:vAlign w:val="bottom"/>
          </w:tcPr>
          <w:p>
            <w:pPr>
              <w:spacing w:after="0"/>
              <w:rPr>
                <w:sz w:val="24"/>
                <w:szCs w:val="24"/>
                <w:color w:val="auto"/>
              </w:rPr>
            </w:pPr>
          </w:p>
        </w:tc>
      </w:tr>
      <w:tr>
        <w:trPr>
          <w:trHeight w:val="183"/>
        </w:trPr>
        <w:tc>
          <w:tcPr>
            <w:tcW w:w="480" w:type="dxa"/>
            <w:vAlign w:val="bottom"/>
          </w:tcPr>
          <w:p>
            <w:pPr>
              <w:spacing w:after="0"/>
              <w:rPr>
                <w:sz w:val="15"/>
                <w:szCs w:val="15"/>
                <w:color w:val="auto"/>
              </w:rPr>
            </w:pPr>
          </w:p>
        </w:tc>
        <w:tc>
          <w:tcPr>
            <w:tcW w:w="290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and January 3, 1998:</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917"/>
        </w:trPr>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1998</w:t>
            </w:r>
          </w:p>
        </w:tc>
        <w:tc>
          <w:tcPr>
            <w:tcW w:w="200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3"/>
        </w:trPr>
        <w:tc>
          <w:tcPr>
            <w:tcW w:w="480" w:type="dxa"/>
            <w:vAlign w:val="bottom"/>
          </w:tcPr>
          <w:p>
            <w:pPr>
              <w:spacing w:after="0"/>
              <w:rPr>
                <w:sz w:val="15"/>
                <w:szCs w:val="15"/>
                <w:color w:val="auto"/>
              </w:rPr>
            </w:pPr>
          </w:p>
        </w:tc>
        <w:tc>
          <w:tcPr>
            <w:tcW w:w="4480" w:type="dxa"/>
            <w:vAlign w:val="bottom"/>
            <w:gridSpan w:val="6"/>
          </w:tcPr>
          <w:p>
            <w:pPr>
              <w:ind w:left="380"/>
              <w:spacing w:after="0"/>
              <w:rPr>
                <w:sz w:val="20"/>
                <w:szCs w:val="20"/>
                <w:color w:val="auto"/>
              </w:rPr>
            </w:pPr>
            <w:r>
              <w:rPr>
                <w:rFonts w:ascii="Courier New" w:cs="Courier New" w:eastAsia="Courier New" w:hAnsi="Courier New"/>
                <w:sz w:val="16"/>
                <w:szCs w:val="16"/>
                <w:color w:val="auto"/>
              </w:rPr>
              <w:t>Revolving  line  of  credit  with a  bank</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secured</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by</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accounts</w:t>
            </w:r>
          </w:p>
        </w:tc>
        <w:tc>
          <w:tcPr>
            <w:tcW w:w="17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$ 600,000</w:t>
            </w:r>
          </w:p>
        </w:tc>
        <w:tc>
          <w:tcPr>
            <w:tcW w:w="2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1,302,000</w:t>
            </w:r>
          </w:p>
        </w:tc>
      </w:tr>
      <w:tr>
        <w:trPr>
          <w:trHeight w:val="183"/>
        </w:trPr>
        <w:tc>
          <w:tcPr>
            <w:tcW w:w="480" w:type="dxa"/>
            <w:vAlign w:val="bottom"/>
          </w:tcPr>
          <w:p>
            <w:pPr>
              <w:spacing w:after="0"/>
              <w:rPr>
                <w:sz w:val="15"/>
                <w:szCs w:val="15"/>
                <w:color w:val="auto"/>
              </w:rPr>
            </w:pPr>
          </w:p>
        </w:tc>
        <w:tc>
          <w:tcPr>
            <w:tcW w:w="6580" w:type="dxa"/>
            <w:vAlign w:val="bottom"/>
            <w:gridSpan w:val="9"/>
          </w:tcPr>
          <w:p>
            <w:pPr>
              <w:ind w:left="480"/>
              <w:spacing w:after="0"/>
              <w:rPr>
                <w:sz w:val="20"/>
                <w:szCs w:val="20"/>
                <w:color w:val="auto"/>
              </w:rPr>
            </w:pPr>
            <w:r>
              <w:rPr>
                <w:rFonts w:ascii="Courier New" w:cs="Courier New" w:eastAsia="Courier New" w:hAnsi="Courier New"/>
                <w:sz w:val="16"/>
                <w:szCs w:val="16"/>
                <w:color w:val="auto"/>
              </w:rPr>
              <w:t>receivable,  inventory  and  property,  plant and  equipment</w:t>
            </w: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3800" w:type="dxa"/>
            <w:vAlign w:val="bottom"/>
            <w:gridSpan w:val="5"/>
          </w:tcPr>
          <w:p>
            <w:pPr>
              <w:ind w:left="480"/>
              <w:spacing w:after="0"/>
              <w:rPr>
                <w:sz w:val="20"/>
                <w:szCs w:val="20"/>
                <w:color w:val="auto"/>
              </w:rPr>
            </w:pPr>
            <w:r>
              <w:rPr>
                <w:rFonts w:ascii="Courier New" w:cs="Courier New" w:eastAsia="Courier New" w:hAnsi="Courier New"/>
                <w:sz w:val="16"/>
                <w:szCs w:val="16"/>
                <w:color w:val="auto"/>
              </w:rPr>
              <w:t>(maximum  limit of  $12,000,000),</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due on December</w:t>
            </w:r>
          </w:p>
        </w:tc>
        <w:tc>
          <w:tcPr>
            <w:tcW w:w="13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31, 1999</w:t>
            </w: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8300" w:type="dxa"/>
            <w:vAlign w:val="bottom"/>
            <w:gridSpan w:val="10"/>
          </w:tcPr>
          <w:p>
            <w:pPr>
              <w:ind w:left="480"/>
              <w:spacing w:after="0"/>
              <w:rPr>
                <w:sz w:val="20"/>
                <w:szCs w:val="20"/>
                <w:color w:val="auto"/>
              </w:rPr>
            </w:pPr>
            <w:r>
              <w:rPr>
                <w:rFonts w:ascii="Courier New" w:cs="Courier New" w:eastAsia="Courier New" w:hAnsi="Courier New"/>
                <w:sz w:val="16"/>
                <w:szCs w:val="16"/>
                <w:color w:val="auto"/>
              </w:rPr>
              <w:t>with interest payable monthly at prime (7.75% as of January 2, 1999)</w:t>
            </w:r>
          </w:p>
        </w:tc>
        <w:tc>
          <w:tcPr>
            <w:tcW w:w="2000" w:type="dxa"/>
            <w:vAlign w:val="bottom"/>
          </w:tcPr>
          <w:p>
            <w:pPr>
              <w:spacing w:after="0"/>
              <w:rPr>
                <w:sz w:val="15"/>
                <w:szCs w:val="15"/>
                <w:color w:val="auto"/>
              </w:rPr>
            </w:pPr>
          </w:p>
        </w:tc>
      </w:tr>
      <w:tr>
        <w:trPr>
          <w:trHeight w:val="367"/>
        </w:trPr>
        <w:tc>
          <w:tcPr>
            <w:tcW w:w="480" w:type="dxa"/>
            <w:vAlign w:val="bottom"/>
          </w:tcPr>
          <w:p>
            <w:pPr>
              <w:spacing w:after="0"/>
              <w:rPr>
                <w:sz w:val="24"/>
                <w:szCs w:val="24"/>
                <w:color w:val="auto"/>
              </w:rPr>
            </w:pPr>
          </w:p>
        </w:tc>
        <w:tc>
          <w:tcPr>
            <w:tcW w:w="4480" w:type="dxa"/>
            <w:vAlign w:val="bottom"/>
            <w:gridSpan w:val="6"/>
          </w:tcPr>
          <w:p>
            <w:pPr>
              <w:ind w:left="380"/>
              <w:spacing w:after="0"/>
              <w:rPr>
                <w:sz w:val="20"/>
                <w:szCs w:val="20"/>
                <w:color w:val="auto"/>
              </w:rPr>
            </w:pPr>
            <w:r>
              <w:rPr>
                <w:rFonts w:ascii="Courier New" w:cs="Courier New" w:eastAsia="Courier New" w:hAnsi="Courier New"/>
                <w:sz w:val="16"/>
                <w:szCs w:val="16"/>
                <w:color w:val="auto"/>
                <w:w w:val="98"/>
              </w:rPr>
              <w:t>Notes payable to a bank secured by accounts</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4,901,565</w:t>
            </w:r>
          </w:p>
        </w:tc>
        <w:tc>
          <w:tcPr>
            <w:tcW w:w="2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6,522,006</w:t>
            </w:r>
          </w:p>
        </w:tc>
      </w:tr>
      <w:tr>
        <w:trPr>
          <w:trHeight w:val="183"/>
        </w:trPr>
        <w:tc>
          <w:tcPr>
            <w:tcW w:w="480" w:type="dxa"/>
            <w:vAlign w:val="bottom"/>
          </w:tcPr>
          <w:p>
            <w:pPr>
              <w:spacing w:after="0"/>
              <w:rPr>
                <w:sz w:val="15"/>
                <w:szCs w:val="15"/>
                <w:color w:val="auto"/>
              </w:rPr>
            </w:pPr>
          </w:p>
        </w:tc>
        <w:tc>
          <w:tcPr>
            <w:tcW w:w="194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receivable,</w:t>
            </w:r>
          </w:p>
        </w:tc>
        <w:tc>
          <w:tcPr>
            <w:tcW w:w="960" w:type="dxa"/>
            <w:vAlign w:val="bottom"/>
          </w:tcPr>
          <w:p>
            <w:pPr>
              <w:ind w:left="60"/>
              <w:spacing w:after="0"/>
              <w:rPr>
                <w:sz w:val="20"/>
                <w:szCs w:val="20"/>
                <w:color w:val="auto"/>
              </w:rPr>
            </w:pPr>
            <w:r>
              <w:rPr>
                <w:rFonts w:ascii="Courier New" w:cs="Courier New" w:eastAsia="Courier New" w:hAnsi="Courier New"/>
                <w:sz w:val="16"/>
                <w:szCs w:val="16"/>
                <w:color w:val="auto"/>
              </w:rPr>
              <w:t>inventory</w:t>
            </w:r>
          </w:p>
        </w:tc>
        <w:tc>
          <w:tcPr>
            <w:tcW w:w="1580" w:type="dxa"/>
            <w:vAlign w:val="bottom"/>
            <w:gridSpan w:val="3"/>
          </w:tcPr>
          <w:p>
            <w:pPr>
              <w:jc w:val="right"/>
              <w:ind w:right="121"/>
              <w:spacing w:after="0"/>
              <w:rPr>
                <w:sz w:val="20"/>
                <w:szCs w:val="20"/>
                <w:color w:val="auto"/>
              </w:rPr>
            </w:pPr>
            <w:r>
              <w:rPr>
                <w:rFonts w:ascii="Courier New" w:cs="Courier New" w:eastAsia="Courier New" w:hAnsi="Courier New"/>
                <w:sz w:val="16"/>
                <w:szCs w:val="16"/>
                <w:color w:val="auto"/>
              </w:rPr>
              <w:t>and equipment,</w:t>
            </w: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payable in</w:t>
            </w:r>
          </w:p>
        </w:tc>
        <w:tc>
          <w:tcPr>
            <w:tcW w:w="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1560" w:type="dxa"/>
            <w:vAlign w:val="bottom"/>
          </w:tcPr>
          <w:p>
            <w:pPr>
              <w:ind w:left="760"/>
              <w:spacing w:after="0"/>
              <w:rPr>
                <w:sz w:val="20"/>
                <w:szCs w:val="20"/>
                <w:color w:val="auto"/>
              </w:rPr>
            </w:pPr>
            <w:r>
              <w:rPr>
                <w:rFonts w:ascii="Courier New" w:cs="Courier New" w:eastAsia="Courier New" w:hAnsi="Courier New"/>
                <w:sz w:val="16"/>
                <w:szCs w:val="16"/>
                <w:color w:val="auto"/>
              </w:rPr>
              <w:t>monthly</w:t>
            </w:r>
          </w:p>
        </w:tc>
        <w:tc>
          <w:tcPr>
            <w:tcW w:w="13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installments</w:t>
            </w:r>
          </w:p>
        </w:tc>
        <w:tc>
          <w:tcPr>
            <w:tcW w:w="9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4"/>
              </w:rPr>
              <w:t>including</w:t>
            </w:r>
          </w:p>
        </w:tc>
        <w:tc>
          <w:tcPr>
            <w:tcW w:w="18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interest at prime</w:t>
            </w:r>
          </w:p>
        </w:tc>
        <w:tc>
          <w:tcPr>
            <w:tcW w:w="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4480" w:type="dxa"/>
            <w:vAlign w:val="bottom"/>
            <w:gridSpan w:val="6"/>
          </w:tcPr>
          <w:p>
            <w:pPr>
              <w:ind w:left="760"/>
              <w:spacing w:after="0"/>
              <w:rPr>
                <w:sz w:val="20"/>
                <w:szCs w:val="20"/>
                <w:color w:val="auto"/>
              </w:rPr>
            </w:pPr>
            <w:r>
              <w:rPr>
                <w:rFonts w:ascii="Courier New" w:cs="Courier New" w:eastAsia="Courier New" w:hAnsi="Courier New"/>
                <w:sz w:val="16"/>
                <w:szCs w:val="16"/>
                <w:color w:val="auto"/>
              </w:rPr>
              <w:t>plus .5% (8.25% as of January 2, 1999)</w:t>
            </w: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2900" w:type="dxa"/>
            <w:vAlign w:val="bottom"/>
            <w:gridSpan w:val="3"/>
          </w:tcPr>
          <w:p>
            <w:pPr>
              <w:ind w:left="760"/>
              <w:spacing w:after="0"/>
              <w:rPr>
                <w:sz w:val="20"/>
                <w:szCs w:val="20"/>
                <w:color w:val="auto"/>
              </w:rPr>
            </w:pPr>
            <w:r>
              <w:rPr>
                <w:rFonts w:ascii="Courier New" w:cs="Courier New" w:eastAsia="Courier New" w:hAnsi="Courier New"/>
                <w:sz w:val="16"/>
                <w:szCs w:val="16"/>
                <w:color w:val="auto"/>
              </w:rPr>
              <w:t>through July 31, 2001</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367"/>
        </w:trPr>
        <w:tc>
          <w:tcPr>
            <w:tcW w:w="480" w:type="dxa"/>
            <w:vAlign w:val="bottom"/>
          </w:tcPr>
          <w:p>
            <w:pPr>
              <w:spacing w:after="0"/>
              <w:rPr>
                <w:sz w:val="24"/>
                <w:szCs w:val="24"/>
                <w:color w:val="auto"/>
              </w:rPr>
            </w:pPr>
          </w:p>
        </w:tc>
        <w:tc>
          <w:tcPr>
            <w:tcW w:w="5280" w:type="dxa"/>
            <w:vAlign w:val="bottom"/>
            <w:gridSpan w:val="7"/>
          </w:tcPr>
          <w:p>
            <w:pPr>
              <w:ind w:left="380"/>
              <w:spacing w:after="0"/>
              <w:rPr>
                <w:sz w:val="20"/>
                <w:szCs w:val="20"/>
                <w:color w:val="auto"/>
              </w:rPr>
            </w:pPr>
            <w:r>
              <w:rPr>
                <w:rFonts w:ascii="Courier New" w:cs="Courier New" w:eastAsia="Courier New" w:hAnsi="Courier New"/>
                <w:sz w:val="16"/>
                <w:szCs w:val="16"/>
                <w:color w:val="auto"/>
              </w:rPr>
              <w:t>Notes payable to a bank secured by certain real</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4,321,415</w:t>
            </w:r>
          </w:p>
        </w:tc>
        <w:tc>
          <w:tcPr>
            <w:tcW w:w="2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4,499,418</w:t>
            </w:r>
          </w:p>
        </w:tc>
      </w:tr>
      <w:tr>
        <w:trPr>
          <w:trHeight w:val="183"/>
        </w:trPr>
        <w:tc>
          <w:tcPr>
            <w:tcW w:w="480" w:type="dxa"/>
            <w:vAlign w:val="bottom"/>
          </w:tcPr>
          <w:p>
            <w:pPr>
              <w:spacing w:after="0"/>
              <w:rPr>
                <w:sz w:val="15"/>
                <w:szCs w:val="15"/>
                <w:color w:val="auto"/>
              </w:rPr>
            </w:pPr>
          </w:p>
        </w:tc>
        <w:tc>
          <w:tcPr>
            <w:tcW w:w="5280" w:type="dxa"/>
            <w:vAlign w:val="bottom"/>
            <w:gridSpan w:val="7"/>
          </w:tcPr>
          <w:p>
            <w:pPr>
              <w:ind w:left="760"/>
              <w:spacing w:after="0"/>
              <w:rPr>
                <w:sz w:val="20"/>
                <w:szCs w:val="20"/>
                <w:color w:val="auto"/>
              </w:rPr>
            </w:pPr>
            <w:r>
              <w:rPr>
                <w:rFonts w:ascii="Courier New" w:cs="Courier New" w:eastAsia="Courier New" w:hAnsi="Courier New"/>
                <w:sz w:val="16"/>
                <w:szCs w:val="16"/>
                <w:color w:val="auto"/>
              </w:rPr>
              <w:t>estate, due in monthly installments including</w:t>
            </w: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4480" w:type="dxa"/>
            <w:vAlign w:val="bottom"/>
            <w:gridSpan w:val="6"/>
          </w:tcPr>
          <w:p>
            <w:pPr>
              <w:ind w:left="760"/>
              <w:spacing w:after="0"/>
              <w:rPr>
                <w:sz w:val="20"/>
                <w:szCs w:val="20"/>
                <w:color w:val="auto"/>
              </w:rPr>
            </w:pPr>
            <w:r>
              <w:rPr>
                <w:rFonts w:ascii="Courier New" w:cs="Courier New" w:eastAsia="Courier New" w:hAnsi="Courier New"/>
                <w:sz w:val="16"/>
                <w:szCs w:val="16"/>
                <w:color w:val="auto"/>
                <w:w w:val="98"/>
              </w:rPr>
              <w:t>interest at prime plus .5% (8.25% as of</w:t>
            </w: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5280" w:type="dxa"/>
            <w:vAlign w:val="bottom"/>
            <w:gridSpan w:val="7"/>
          </w:tcPr>
          <w:p>
            <w:pPr>
              <w:ind w:left="760"/>
              <w:spacing w:after="0"/>
              <w:rPr>
                <w:sz w:val="20"/>
                <w:szCs w:val="20"/>
                <w:color w:val="auto"/>
              </w:rPr>
            </w:pPr>
            <w:r>
              <w:rPr>
                <w:rFonts w:ascii="Courier New" w:cs="Courier New" w:eastAsia="Courier New" w:hAnsi="Courier New"/>
                <w:sz w:val="16"/>
                <w:szCs w:val="16"/>
                <w:color w:val="auto"/>
              </w:rPr>
              <w:t>January 2, 1999) through September 20, 2011</w:t>
            </w: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367"/>
        </w:trPr>
        <w:tc>
          <w:tcPr>
            <w:tcW w:w="480" w:type="dxa"/>
            <w:vAlign w:val="bottom"/>
          </w:tcPr>
          <w:p>
            <w:pPr>
              <w:spacing w:after="0"/>
              <w:rPr>
                <w:sz w:val="24"/>
                <w:szCs w:val="24"/>
                <w:color w:val="auto"/>
              </w:rPr>
            </w:pPr>
          </w:p>
        </w:tc>
        <w:tc>
          <w:tcPr>
            <w:tcW w:w="338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Notes payable to a bank secured</w:t>
            </w:r>
          </w:p>
        </w:tc>
        <w:tc>
          <w:tcPr>
            <w:tcW w:w="11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by accounts</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1,087,206</w:t>
            </w:r>
          </w:p>
        </w:tc>
        <w:tc>
          <w:tcPr>
            <w:tcW w:w="2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1,390,612</w:t>
            </w:r>
          </w:p>
        </w:tc>
      </w:tr>
      <w:tr>
        <w:trPr>
          <w:trHeight w:val="183"/>
        </w:trPr>
        <w:tc>
          <w:tcPr>
            <w:tcW w:w="480" w:type="dxa"/>
            <w:vAlign w:val="bottom"/>
          </w:tcPr>
          <w:p>
            <w:pPr>
              <w:spacing w:after="0"/>
              <w:rPr>
                <w:sz w:val="15"/>
                <w:szCs w:val="15"/>
                <w:color w:val="auto"/>
              </w:rPr>
            </w:pPr>
          </w:p>
        </w:tc>
        <w:tc>
          <w:tcPr>
            <w:tcW w:w="194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receivable,</w:t>
            </w:r>
          </w:p>
        </w:tc>
        <w:tc>
          <w:tcPr>
            <w:tcW w:w="14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inventory and</w:t>
            </w:r>
          </w:p>
        </w:tc>
        <w:tc>
          <w:tcPr>
            <w:tcW w:w="1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equipment,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due in</w:t>
            </w: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1940" w:type="dxa"/>
            <w:vAlign w:val="bottom"/>
            <w:gridSpan w:val="2"/>
          </w:tcPr>
          <w:p>
            <w:pPr>
              <w:ind w:left="940"/>
              <w:spacing w:after="0"/>
              <w:rPr>
                <w:sz w:val="20"/>
                <w:szCs w:val="20"/>
                <w:color w:val="auto"/>
              </w:rPr>
            </w:pPr>
            <w:r>
              <w:rPr>
                <w:rFonts w:ascii="Courier New" w:cs="Courier New" w:eastAsia="Courier New" w:hAnsi="Courier New"/>
                <w:sz w:val="16"/>
                <w:szCs w:val="16"/>
                <w:color w:val="auto"/>
              </w:rPr>
              <w:t>60 monthly</w:t>
            </w:r>
          </w:p>
        </w:tc>
        <w:tc>
          <w:tcPr>
            <w:tcW w:w="14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installments</w:t>
            </w:r>
          </w:p>
        </w:tc>
        <w:tc>
          <w:tcPr>
            <w:tcW w:w="320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through July 31, 2002 including</w:t>
            </w: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4480" w:type="dxa"/>
            <w:vAlign w:val="bottom"/>
            <w:gridSpan w:val="6"/>
          </w:tcPr>
          <w:p>
            <w:pPr>
              <w:ind w:left="760"/>
              <w:spacing w:after="0"/>
              <w:rPr>
                <w:sz w:val="20"/>
                <w:szCs w:val="20"/>
                <w:color w:val="auto"/>
              </w:rPr>
            </w:pPr>
            <w:r>
              <w:rPr>
                <w:rFonts w:ascii="Courier New" w:cs="Courier New" w:eastAsia="Courier New" w:hAnsi="Courier New"/>
                <w:sz w:val="16"/>
                <w:szCs w:val="16"/>
                <w:color w:val="auto"/>
              </w:rPr>
              <w:t>interest at prime plus .5% (8.25% as</w:t>
            </w: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2900" w:type="dxa"/>
            <w:vAlign w:val="bottom"/>
            <w:gridSpan w:val="3"/>
          </w:tcPr>
          <w:p>
            <w:pPr>
              <w:ind w:left="760"/>
              <w:spacing w:after="0"/>
              <w:rPr>
                <w:sz w:val="20"/>
                <w:szCs w:val="20"/>
                <w:color w:val="auto"/>
              </w:rPr>
            </w:pPr>
            <w:r>
              <w:rPr>
                <w:rFonts w:ascii="Courier New" w:cs="Courier New" w:eastAsia="Courier New" w:hAnsi="Courier New"/>
                <w:sz w:val="16"/>
                <w:szCs w:val="16"/>
                <w:color w:val="auto"/>
              </w:rPr>
              <w:t>of January 2, 1999)</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367"/>
        </w:trPr>
        <w:tc>
          <w:tcPr>
            <w:tcW w:w="480" w:type="dxa"/>
            <w:vAlign w:val="bottom"/>
          </w:tcPr>
          <w:p>
            <w:pPr>
              <w:spacing w:after="0"/>
              <w:rPr>
                <w:sz w:val="24"/>
                <w:szCs w:val="24"/>
                <w:color w:val="auto"/>
              </w:rPr>
            </w:pPr>
          </w:p>
        </w:tc>
        <w:tc>
          <w:tcPr>
            <w:tcW w:w="338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Notes payable to a bank secured</w:t>
            </w:r>
          </w:p>
        </w:tc>
        <w:tc>
          <w:tcPr>
            <w:tcW w:w="11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by accounts</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83"/>
        </w:trPr>
        <w:tc>
          <w:tcPr>
            <w:tcW w:w="480" w:type="dxa"/>
            <w:vAlign w:val="bottom"/>
          </w:tcPr>
          <w:p>
            <w:pPr>
              <w:spacing w:after="0"/>
              <w:rPr>
                <w:sz w:val="15"/>
                <w:szCs w:val="15"/>
                <w:color w:val="auto"/>
              </w:rPr>
            </w:pPr>
          </w:p>
        </w:tc>
        <w:tc>
          <w:tcPr>
            <w:tcW w:w="194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receivable,</w:t>
            </w:r>
          </w:p>
        </w:tc>
        <w:tc>
          <w:tcPr>
            <w:tcW w:w="14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inventory and</w:t>
            </w:r>
          </w:p>
        </w:tc>
        <w:tc>
          <w:tcPr>
            <w:tcW w:w="1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equipment,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due in</w:t>
            </w: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1940" w:type="dxa"/>
            <w:vAlign w:val="bottom"/>
            <w:gridSpan w:val="2"/>
          </w:tcPr>
          <w:p>
            <w:pPr>
              <w:ind w:left="940"/>
              <w:spacing w:after="0"/>
              <w:rPr>
                <w:sz w:val="20"/>
                <w:szCs w:val="20"/>
                <w:color w:val="auto"/>
              </w:rPr>
            </w:pPr>
            <w:r>
              <w:rPr>
                <w:rFonts w:ascii="Courier New" w:cs="Courier New" w:eastAsia="Courier New" w:hAnsi="Courier New"/>
                <w:sz w:val="16"/>
                <w:szCs w:val="16"/>
                <w:color w:val="auto"/>
              </w:rPr>
              <w:t>60 monthly</w:t>
            </w:r>
          </w:p>
        </w:tc>
        <w:tc>
          <w:tcPr>
            <w:tcW w:w="14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installments</w:t>
            </w:r>
          </w:p>
        </w:tc>
        <w:tc>
          <w:tcPr>
            <w:tcW w:w="224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through July 31, 2003</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including</w:t>
            </w: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6580" w:type="dxa"/>
            <w:vAlign w:val="bottom"/>
            <w:gridSpan w:val="9"/>
          </w:tcPr>
          <w:p>
            <w:pPr>
              <w:ind w:left="760"/>
              <w:spacing w:after="0"/>
              <w:rPr>
                <w:sz w:val="20"/>
                <w:szCs w:val="20"/>
                <w:color w:val="auto"/>
              </w:rPr>
            </w:pPr>
            <w:r>
              <w:rPr>
                <w:rFonts w:ascii="Courier New" w:cs="Courier New" w:eastAsia="Courier New" w:hAnsi="Courier New"/>
                <w:sz w:val="16"/>
                <w:szCs w:val="16"/>
                <w:color w:val="auto"/>
              </w:rPr>
              <w:t>interest at prime plus .5% (8.25% at January 2, 1999)</w:t>
            </w:r>
          </w:p>
        </w:tc>
        <w:tc>
          <w:tcPr>
            <w:tcW w:w="17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1,718,351</w:t>
            </w:r>
          </w:p>
        </w:tc>
        <w:tc>
          <w:tcPr>
            <w:tcW w:w="2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495,000</w:t>
            </w:r>
          </w:p>
        </w:tc>
      </w:tr>
      <w:tr>
        <w:trPr>
          <w:trHeight w:val="183"/>
        </w:trPr>
        <w:tc>
          <w:tcPr>
            <w:tcW w:w="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12,628,537</w:t>
            </w:r>
          </w:p>
        </w:tc>
        <w:tc>
          <w:tcPr>
            <w:tcW w:w="2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14,209,036</w:t>
            </w:r>
          </w:p>
        </w:tc>
      </w:tr>
      <w:tr>
        <w:trPr>
          <w:trHeight w:val="183"/>
        </w:trPr>
        <w:tc>
          <w:tcPr>
            <w:tcW w:w="480" w:type="dxa"/>
            <w:vAlign w:val="bottom"/>
          </w:tcPr>
          <w:p>
            <w:pPr>
              <w:spacing w:after="0"/>
              <w:rPr>
                <w:sz w:val="15"/>
                <w:szCs w:val="15"/>
                <w:color w:val="auto"/>
              </w:rPr>
            </w:pPr>
          </w:p>
        </w:tc>
        <w:tc>
          <w:tcPr>
            <w:tcW w:w="4480" w:type="dxa"/>
            <w:vAlign w:val="bottom"/>
            <w:gridSpan w:val="6"/>
          </w:tcPr>
          <w:p>
            <w:pPr>
              <w:ind w:left="940"/>
              <w:spacing w:after="0"/>
              <w:rPr>
                <w:sz w:val="20"/>
                <w:szCs w:val="20"/>
                <w:color w:val="auto"/>
              </w:rPr>
            </w:pPr>
            <w:r>
              <w:rPr>
                <w:rFonts w:ascii="Courier New" w:cs="Courier New" w:eastAsia="Courier New" w:hAnsi="Courier New"/>
                <w:sz w:val="16"/>
                <w:szCs w:val="16"/>
                <w:color w:val="auto"/>
              </w:rPr>
              <w:t>Less portion allocated to affiliate</w:t>
            </w: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(8,182,102)</w:t>
            </w:r>
          </w:p>
        </w:tc>
        <w:tc>
          <w:tcPr>
            <w:tcW w:w="2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(6,325,000)</w:t>
            </w:r>
          </w:p>
        </w:tc>
      </w:tr>
      <w:tr>
        <w:trPr>
          <w:trHeight w:val="183"/>
        </w:trPr>
        <w:tc>
          <w:tcPr>
            <w:tcW w:w="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w:t>
            </w:r>
          </w:p>
        </w:tc>
      </w:tr>
      <w:tr>
        <w:trPr>
          <w:trHeight w:val="183"/>
        </w:trPr>
        <w:tc>
          <w:tcPr>
            <w:tcW w:w="480" w:type="dxa"/>
            <w:vAlign w:val="bottom"/>
          </w:tcPr>
          <w:p>
            <w:pPr>
              <w:spacing w:after="0"/>
              <w:rPr>
                <w:sz w:val="15"/>
                <w:szCs w:val="15"/>
                <w:color w:val="auto"/>
              </w:rPr>
            </w:pPr>
          </w:p>
        </w:tc>
        <w:tc>
          <w:tcPr>
            <w:tcW w:w="4480" w:type="dxa"/>
            <w:vAlign w:val="bottom"/>
            <w:gridSpan w:val="6"/>
          </w:tcPr>
          <w:p>
            <w:pPr>
              <w:ind w:left="940"/>
              <w:spacing w:after="0"/>
              <w:rPr>
                <w:sz w:val="20"/>
                <w:szCs w:val="20"/>
                <w:color w:val="auto"/>
              </w:rPr>
            </w:pPr>
            <w:r>
              <w:rPr>
                <w:rFonts w:ascii="Courier New" w:cs="Courier New" w:eastAsia="Courier New" w:hAnsi="Courier New"/>
                <w:sz w:val="16"/>
                <w:szCs w:val="16"/>
                <w:color w:val="auto"/>
              </w:rPr>
              <w:t>Long-term debt allocated to Division</w:t>
            </w: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4,446,435</w:t>
            </w:r>
          </w:p>
        </w:tc>
        <w:tc>
          <w:tcPr>
            <w:tcW w:w="2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7,884,036</w:t>
            </w:r>
          </w:p>
        </w:tc>
      </w:tr>
      <w:tr>
        <w:trPr>
          <w:trHeight w:val="183"/>
        </w:trPr>
        <w:tc>
          <w:tcPr>
            <w:tcW w:w="480" w:type="dxa"/>
            <w:vAlign w:val="bottom"/>
          </w:tcPr>
          <w:p>
            <w:pPr>
              <w:spacing w:after="0"/>
              <w:rPr>
                <w:sz w:val="15"/>
                <w:szCs w:val="15"/>
                <w:color w:val="auto"/>
              </w:rPr>
            </w:pPr>
          </w:p>
        </w:tc>
        <w:tc>
          <w:tcPr>
            <w:tcW w:w="2900" w:type="dxa"/>
            <w:vAlign w:val="bottom"/>
            <w:gridSpan w:val="3"/>
          </w:tcPr>
          <w:p>
            <w:pPr>
              <w:ind w:left="940"/>
              <w:spacing w:after="0"/>
              <w:rPr>
                <w:sz w:val="20"/>
                <w:szCs w:val="20"/>
                <w:color w:val="auto"/>
              </w:rPr>
            </w:pPr>
            <w:r>
              <w:rPr>
                <w:rFonts w:ascii="Courier New" w:cs="Courier New" w:eastAsia="Courier New" w:hAnsi="Courier New"/>
                <w:sz w:val="16"/>
                <w:szCs w:val="16"/>
                <w:color w:val="auto"/>
              </w:rPr>
              <w:t>Less current portion</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(1,197,425)</w:t>
            </w:r>
          </w:p>
        </w:tc>
        <w:tc>
          <w:tcPr>
            <w:tcW w:w="2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(1,900,841)</w:t>
            </w:r>
          </w:p>
        </w:tc>
      </w:tr>
    </w:tbl>
    <w:p>
      <w:pPr>
        <w:spacing w:after="0" w:line="5" w:lineRule="exact"/>
        <w:rPr>
          <w:sz w:val="20"/>
          <w:szCs w:val="20"/>
          <w:color w:val="auto"/>
        </w:rPr>
      </w:pPr>
    </w:p>
    <w:p>
      <w:pPr>
        <w:sectPr>
          <w:pgSz w:w="11900" w:h="16838" w:orient="portrait"/>
          <w:cols w:equalWidth="0" w:num="1">
            <w:col w:w="10780"/>
          </w:cols>
          <w:pgMar w:left="240" w:top="481" w:right="879" w:bottom="1440" w:gutter="0" w:footer="0" w:header="0"/>
        </w:sectPr>
      </w:pPr>
    </w:p>
    <w:p>
      <w:pPr>
        <w:ind w:left="7240"/>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6960"/>
        <w:spacing w:after="0"/>
        <w:tabs>
          <w:tab w:leader="none" w:pos="7600" w:val="left"/>
          <w:tab w:leader="none" w:pos="94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3,249,010</w:t>
      </w:r>
      <w:r>
        <w:rPr>
          <w:sz w:val="20"/>
          <w:szCs w:val="20"/>
          <w:color w:val="auto"/>
        </w:rPr>
        <w:tab/>
      </w:r>
      <w:r>
        <w:rPr>
          <w:rFonts w:ascii="Courier New" w:cs="Courier New" w:eastAsia="Courier New" w:hAnsi="Courier New"/>
          <w:sz w:val="15"/>
          <w:szCs w:val="15"/>
          <w:color w:val="auto"/>
        </w:rPr>
        <w:t>5,983,195</w:t>
      </w:r>
    </w:p>
    <w:p>
      <w:pPr>
        <w:spacing w:after="0" w:line="5" w:lineRule="exact"/>
        <w:rPr>
          <w:sz w:val="20"/>
          <w:szCs w:val="20"/>
          <w:color w:val="auto"/>
        </w:rPr>
      </w:pPr>
    </w:p>
    <w:p>
      <w:pPr>
        <w:ind w:left="7240"/>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780"/>
          </w:cols>
          <w:pgMar w:left="240" w:top="481" w:right="879" w:bottom="1440" w:gutter="0" w:footer="0" w:header="0"/>
          <w:type w:val="continuous"/>
        </w:sectPr>
      </w:pPr>
    </w:p>
    <w:p>
      <w:pPr>
        <w:spacing w:after="0" w:line="380" w:lineRule="exact"/>
        <w:rPr>
          <w:sz w:val="20"/>
          <w:szCs w:val="20"/>
          <w:color w:val="auto"/>
        </w:rPr>
      </w:pPr>
    </w:p>
    <w:p>
      <w:pPr>
        <w:jc w:val="both"/>
        <w:ind w:left="660" w:right="3160"/>
        <w:spacing w:after="0" w:line="242" w:lineRule="auto"/>
        <w:rPr>
          <w:sz w:val="20"/>
          <w:szCs w:val="20"/>
          <w:color w:val="auto"/>
        </w:rPr>
      </w:pPr>
      <w:r>
        <w:rPr>
          <w:rFonts w:ascii="Courier New" w:cs="Courier New" w:eastAsia="Courier New" w:hAnsi="Courier New"/>
          <w:sz w:val="16"/>
          <w:szCs w:val="16"/>
          <w:color w:val="auto"/>
        </w:rPr>
        <w:t>All debt is incurred by IMC and allocated to the two divisions. The debt allocated to the Division at January 2, 1999, is based on the January 3, 1998 balance adjusted for the actual 1998 borrowings and payments made by the Division. Management of IMC allocated the January 3, 1998 debt to the Division based on reviewing the debt and the related collateral. The December 28, 1996 debt balance was allocated based on the percentages used for the January 3, 1998 allocation.</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780"/>
          </w:cols>
          <w:pgMar w:left="240" w:top="481" w:right="879" w:bottom="1440" w:gutter="0" w:footer="0" w:header="0"/>
          <w:type w:val="continuous"/>
        </w:sectPr>
      </w:pPr>
    </w:p>
    <w:bookmarkStart w:id="12" w:name="page13"/>
    <w:bookmarkEnd w:id="12"/>
    <w:p>
      <w:pPr>
        <w:ind w:left="2962"/>
        <w:spacing w:after="0"/>
        <w:rPr>
          <w:sz w:val="20"/>
          <w:szCs w:val="20"/>
          <w:color w:val="auto"/>
        </w:rPr>
      </w:pPr>
      <w:r>
        <w:rPr>
          <w:rFonts w:ascii="Courier New" w:cs="Courier New" w:eastAsia="Courier New" w:hAnsi="Courier New"/>
          <w:sz w:val="16"/>
          <w:szCs w:val="16"/>
          <w:color w:val="auto"/>
        </w:rPr>
        <w:t>INDUSTRIAL MOLDING</w:t>
      </w:r>
    </w:p>
    <w:p>
      <w:pPr>
        <w:spacing w:after="0" w:line="2" w:lineRule="exact"/>
        <w:rPr>
          <w:sz w:val="20"/>
          <w:szCs w:val="20"/>
          <w:color w:val="auto"/>
        </w:rPr>
      </w:pPr>
    </w:p>
    <w:p>
      <w:pPr>
        <w:ind w:left="2382"/>
        <w:spacing w:after="0"/>
        <w:rPr>
          <w:sz w:val="20"/>
          <w:szCs w:val="20"/>
          <w:color w:val="auto"/>
        </w:rPr>
      </w:pPr>
      <w:r>
        <w:rPr>
          <w:rFonts w:ascii="Courier New" w:cs="Courier New" w:eastAsia="Courier New" w:hAnsi="Courier New"/>
          <w:sz w:val="16"/>
          <w:szCs w:val="16"/>
          <w:color w:val="auto"/>
        </w:rPr>
        <w:t>Notes to Financial Statements</w:t>
      </w:r>
    </w:p>
    <w:p>
      <w:pPr>
        <w:spacing w:after="0" w:line="2" w:lineRule="exact"/>
        <w:rPr>
          <w:sz w:val="20"/>
          <w:szCs w:val="20"/>
          <w:color w:val="auto"/>
        </w:rPr>
      </w:pPr>
    </w:p>
    <w:p>
      <w:pPr>
        <w:ind w:left="2662"/>
        <w:spacing w:after="0"/>
        <w:rPr>
          <w:sz w:val="20"/>
          <w:szCs w:val="20"/>
          <w:color w:val="auto"/>
        </w:rPr>
      </w:pPr>
      <w:r>
        <w:rPr>
          <w:rFonts w:ascii="Courier New" w:cs="Courier New" w:eastAsia="Courier New" w:hAnsi="Courier New"/>
          <w:sz w:val="16"/>
          <w:szCs w:val="16"/>
          <w:color w:val="auto"/>
        </w:rPr>
        <w:t>Statements of Cash Flows</w:t>
      </w:r>
    </w:p>
    <w:p>
      <w:pPr>
        <w:spacing w:after="0" w:line="2" w:lineRule="exact"/>
        <w:rPr>
          <w:sz w:val="20"/>
          <w:szCs w:val="20"/>
          <w:color w:val="auto"/>
        </w:rPr>
      </w:pPr>
    </w:p>
    <w:p>
      <w:pPr>
        <w:ind w:left="1622"/>
        <w:spacing w:after="0"/>
        <w:rPr>
          <w:sz w:val="20"/>
          <w:szCs w:val="20"/>
          <w:color w:val="auto"/>
        </w:rPr>
      </w:pPr>
      <w:r>
        <w:rPr>
          <w:rFonts w:ascii="Courier New" w:cs="Courier New" w:eastAsia="Courier New" w:hAnsi="Courier New"/>
          <w:sz w:val="16"/>
          <w:szCs w:val="16"/>
          <w:color w:val="auto"/>
        </w:rPr>
        <w:t>Years ended January 2, 1999 and January 3, 1998</w:t>
      </w:r>
    </w:p>
    <w:p>
      <w:pPr>
        <w:spacing w:after="0" w:line="372" w:lineRule="exact"/>
        <w:rPr>
          <w:sz w:val="20"/>
          <w:szCs w:val="20"/>
          <w:color w:val="auto"/>
        </w:rPr>
      </w:pPr>
    </w:p>
    <w:p>
      <w:pPr>
        <w:jc w:val="both"/>
        <w:ind w:left="662" w:right="2599"/>
        <w:spacing w:after="0" w:line="242" w:lineRule="auto"/>
        <w:rPr>
          <w:sz w:val="20"/>
          <w:szCs w:val="20"/>
          <w:color w:val="auto"/>
        </w:rPr>
      </w:pPr>
      <w:r>
        <w:rPr>
          <w:rFonts w:ascii="Courier New" w:cs="Courier New" w:eastAsia="Courier New" w:hAnsi="Courier New"/>
          <w:sz w:val="16"/>
          <w:szCs w:val="16"/>
          <w:color w:val="auto"/>
        </w:rPr>
        <w:t>During 1998, interest expense was allocated based on allocated balances. The 1997 interest expense was allocated using the weighted average allocated debt balances at January 3, 1998 and December 28, 1996. The total interest expense for 1998 and 1997 was $1,466,797 and $1,593,737, respectively, of which $531,135 and $816,448, respectively, was allocated to the Division.</w:t>
      </w:r>
    </w:p>
    <w:p>
      <w:pPr>
        <w:spacing w:after="0" w:line="187" w:lineRule="exact"/>
        <w:rPr>
          <w:sz w:val="20"/>
          <w:szCs w:val="20"/>
          <w:color w:val="auto"/>
        </w:rPr>
      </w:pPr>
    </w:p>
    <w:p>
      <w:pPr>
        <w:jc w:val="both"/>
        <w:ind w:left="662" w:right="2599"/>
        <w:spacing w:after="0" w:line="242" w:lineRule="auto"/>
        <w:rPr>
          <w:sz w:val="20"/>
          <w:szCs w:val="20"/>
          <w:color w:val="auto"/>
        </w:rPr>
      </w:pPr>
      <w:r>
        <w:rPr>
          <w:rFonts w:ascii="Courier New" w:cs="Courier New" w:eastAsia="Courier New" w:hAnsi="Courier New"/>
          <w:sz w:val="16"/>
          <w:szCs w:val="16"/>
          <w:color w:val="auto"/>
        </w:rPr>
        <w:t>The line of credit and notes payable to a bank are guaranteed by IMC stockholders and include various affirmative and negative covenants relating primarily to certain financial ratios, net worth levels and incurrence of additional debt. IMC was in compliance with all covenants at January 2, 1999, except for tangible net worth for which they received a waiver from the bank.</w:t>
      </w:r>
    </w:p>
    <w:p>
      <w:pPr>
        <w:spacing w:after="0" w:line="187" w:lineRule="exact"/>
        <w:rPr>
          <w:sz w:val="20"/>
          <w:szCs w:val="20"/>
          <w:color w:val="auto"/>
        </w:rPr>
      </w:pPr>
    </w:p>
    <w:p>
      <w:pPr>
        <w:jc w:val="both"/>
        <w:ind w:left="662" w:right="2599"/>
        <w:spacing w:after="0" w:line="239" w:lineRule="auto"/>
        <w:rPr>
          <w:sz w:val="20"/>
          <w:szCs w:val="20"/>
          <w:color w:val="auto"/>
        </w:rPr>
      </w:pPr>
      <w:r>
        <w:rPr>
          <w:rFonts w:ascii="Courier New" w:cs="Courier New" w:eastAsia="Courier New" w:hAnsi="Courier New"/>
          <w:sz w:val="16"/>
          <w:szCs w:val="16"/>
          <w:color w:val="auto"/>
        </w:rPr>
        <w:t>In July 1999, the revolving line of credit and all the bank notes payable for the Division, were paid in full (note 13).</w:t>
      </w:r>
    </w:p>
    <w:p>
      <w:pPr>
        <w:spacing w:after="0" w:line="186" w:lineRule="exact"/>
        <w:rPr>
          <w:sz w:val="20"/>
          <w:szCs w:val="20"/>
          <w:color w:val="auto"/>
        </w:rPr>
      </w:pPr>
    </w:p>
    <w:p>
      <w:pPr>
        <w:ind w:left="662" w:hanging="662"/>
        <w:spacing w:after="0"/>
        <w:tabs>
          <w:tab w:leader="none" w:pos="66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Profit Sharing Plan</w:t>
      </w:r>
    </w:p>
    <w:p>
      <w:pPr>
        <w:spacing w:after="0" w:line="2" w:lineRule="exact"/>
        <w:rPr>
          <w:rFonts w:ascii="Courier New" w:cs="Courier New" w:eastAsia="Courier New" w:hAnsi="Courier New"/>
          <w:sz w:val="16"/>
          <w:szCs w:val="16"/>
          <w:color w:val="auto"/>
        </w:rPr>
      </w:pPr>
    </w:p>
    <w:p>
      <w:pPr>
        <w:ind w:left="6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jc w:val="both"/>
        <w:ind w:left="66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IMC has established an employee defined contribution profit sharing plan covering substantially all employees. In September 1998, the plan was restated and amended to change the completed employment eligibility requirement from one year to six months and the IMC began making a matching contribution equal to 25% of employee contributions up to 6% of their eligible earnings. In addition to the matching contribution, IMC may make a discretionary contribution each plan year. Contributions by the IMC for the years ended January 2, 1999 and January 3, 1998, totaled $35,740 and $0, respectively, and plan expenses paid by IMC during the period were approximately $12,000 and $0, respectively. The Division's allocated portion during 1998 for the contributions and plan expenses were $29,837 and $12,000, respectively.</w:t>
      </w:r>
    </w:p>
    <w:p>
      <w:pPr>
        <w:spacing w:after="0" w:line="188" w:lineRule="exact"/>
        <w:rPr>
          <w:rFonts w:ascii="Courier New" w:cs="Courier New" w:eastAsia="Courier New" w:hAnsi="Courier New"/>
          <w:sz w:val="16"/>
          <w:szCs w:val="16"/>
          <w:color w:val="auto"/>
        </w:rPr>
      </w:pPr>
    </w:p>
    <w:p>
      <w:pPr>
        <w:ind w:left="662" w:hanging="662"/>
        <w:spacing w:after="0"/>
        <w:tabs>
          <w:tab w:leader="none" w:pos="66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2" w:lineRule="exact"/>
        <w:rPr>
          <w:rFonts w:ascii="Courier New" w:cs="Courier New" w:eastAsia="Courier New" w:hAnsi="Courier New"/>
          <w:sz w:val="16"/>
          <w:szCs w:val="16"/>
          <w:color w:val="auto"/>
        </w:rPr>
      </w:pPr>
    </w:p>
    <w:p>
      <w:pPr>
        <w:ind w:left="6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5" w:lineRule="exact"/>
        <w:rPr>
          <w:rFonts w:ascii="Courier New" w:cs="Courier New" w:eastAsia="Courier New" w:hAnsi="Courier New"/>
          <w:sz w:val="16"/>
          <w:szCs w:val="16"/>
          <w:color w:val="auto"/>
        </w:rPr>
      </w:pPr>
    </w:p>
    <w:p>
      <w:pPr>
        <w:ind w:left="1342" w:hanging="675"/>
        <w:spacing w:after="0"/>
        <w:tabs>
          <w:tab w:leader="none" w:pos="1342"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w:t>
      </w:r>
    </w:p>
    <w:p>
      <w:pPr>
        <w:spacing w:after="0" w:line="188" w:lineRule="exact"/>
        <w:rPr>
          <w:rFonts w:ascii="Courier New" w:cs="Courier New" w:eastAsia="Courier New" w:hAnsi="Courier New"/>
          <w:sz w:val="16"/>
          <w:szCs w:val="16"/>
          <w:color w:val="auto"/>
        </w:rPr>
      </w:pPr>
    </w:p>
    <w:p>
      <w:pPr>
        <w:jc w:val="both"/>
        <w:ind w:left="134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1997, the Division received a favorable settlement in the amount of approximately $353,000, and the Division received two unfavorable judgements aggregating approximately $865,000. The Division appealed both unfavorable judgements and in 1998 both lawsuits were settled aggregating approximately $413,000. In addition, the Division received approximately $525,000 in connection with two favorable settlements during 1998.</w:t>
      </w:r>
    </w:p>
    <w:p>
      <w:pPr>
        <w:spacing w:after="0" w:line="185" w:lineRule="exact"/>
        <w:rPr>
          <w:rFonts w:ascii="Courier New" w:cs="Courier New" w:eastAsia="Courier New" w:hAnsi="Courier New"/>
          <w:sz w:val="16"/>
          <w:szCs w:val="16"/>
          <w:color w:val="auto"/>
        </w:rPr>
      </w:pPr>
    </w:p>
    <w:p>
      <w:pPr>
        <w:ind w:left="1342" w:hanging="675"/>
        <w:spacing w:after="0"/>
        <w:tabs>
          <w:tab w:leader="none" w:pos="1342"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Self-Insurance</w:t>
      </w:r>
    </w:p>
    <w:p>
      <w:pPr>
        <w:spacing w:after="0" w:line="188" w:lineRule="exact"/>
        <w:rPr>
          <w:sz w:val="20"/>
          <w:szCs w:val="20"/>
          <w:color w:val="auto"/>
        </w:rPr>
      </w:pPr>
    </w:p>
    <w:p>
      <w:pPr>
        <w:jc w:val="both"/>
        <w:ind w:left="1342" w:right="2599"/>
        <w:spacing w:after="0" w:line="262" w:lineRule="auto"/>
        <w:rPr>
          <w:sz w:val="20"/>
          <w:szCs w:val="20"/>
          <w:color w:val="auto"/>
        </w:rPr>
      </w:pPr>
      <w:r>
        <w:rPr>
          <w:rFonts w:ascii="Courier New" w:cs="Courier New" w:eastAsia="Courier New" w:hAnsi="Courier New"/>
          <w:sz w:val="15"/>
          <w:szCs w:val="15"/>
          <w:color w:val="auto"/>
        </w:rPr>
        <w:t>IMC is self-insured for medical and dental benefits for its employees and their covered dependents. Medical claims exceeding $25,000 per covered individual are covered through a private insurance carrier. In addition, the private insurance carrier also provides for amounts over an aggregate as defined by the policies.</w:t>
      </w:r>
    </w:p>
    <w:p>
      <w:pPr>
        <w:spacing w:after="0" w:line="17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1"/>
          </w:cols>
          <w:pgMar w:left="238" w:top="481" w:right="1440" w:bottom="1440" w:gutter="0" w:footer="0" w:header="0"/>
        </w:sectPr>
      </w:pPr>
    </w:p>
    <w:bookmarkStart w:id="13" w:name="page14"/>
    <w:bookmarkEnd w:id="13"/>
    <w:p>
      <w:pPr>
        <w:jc w:val="center"/>
        <w:ind w:right="2597"/>
        <w:spacing w:after="0"/>
        <w:rPr>
          <w:sz w:val="20"/>
          <w:szCs w:val="20"/>
          <w:color w:val="auto"/>
        </w:rPr>
      </w:pPr>
      <w:r>
        <w:rPr>
          <w:rFonts w:ascii="Courier New" w:cs="Courier New" w:eastAsia="Courier New" w:hAnsi="Courier New"/>
          <w:sz w:val="16"/>
          <w:szCs w:val="16"/>
          <w:color w:val="auto"/>
        </w:rPr>
        <w:t>INDUSTRIAL MOLDING</w:t>
      </w:r>
    </w:p>
    <w:p>
      <w:pPr>
        <w:spacing w:after="0" w:line="2" w:lineRule="exact"/>
        <w:rPr>
          <w:sz w:val="20"/>
          <w:szCs w:val="20"/>
          <w:color w:val="auto"/>
        </w:rPr>
      </w:pPr>
    </w:p>
    <w:p>
      <w:pPr>
        <w:ind w:left="1622"/>
        <w:spacing w:after="0"/>
        <w:rPr>
          <w:sz w:val="20"/>
          <w:szCs w:val="20"/>
          <w:color w:val="auto"/>
        </w:rPr>
      </w:pPr>
      <w:r>
        <w:rPr>
          <w:rFonts w:ascii="Courier New" w:cs="Courier New" w:eastAsia="Courier New" w:hAnsi="Courier New"/>
          <w:sz w:val="16"/>
          <w:szCs w:val="16"/>
          <w:color w:val="auto"/>
        </w:rPr>
        <w:t>(a division of Industrial Molding Corporation)</w:t>
      </w:r>
    </w:p>
    <w:p>
      <w:pPr>
        <w:spacing w:after="0" w:line="2" w:lineRule="exact"/>
        <w:rPr>
          <w:sz w:val="20"/>
          <w:szCs w:val="20"/>
          <w:color w:val="auto"/>
        </w:rPr>
      </w:pPr>
    </w:p>
    <w:p>
      <w:pPr>
        <w:ind w:left="2382"/>
        <w:spacing w:after="0"/>
        <w:rPr>
          <w:sz w:val="20"/>
          <w:szCs w:val="20"/>
          <w:color w:val="auto"/>
        </w:rPr>
      </w:pPr>
      <w:r>
        <w:rPr>
          <w:rFonts w:ascii="Courier New" w:cs="Courier New" w:eastAsia="Courier New" w:hAnsi="Courier New"/>
          <w:sz w:val="16"/>
          <w:szCs w:val="16"/>
          <w:color w:val="auto"/>
        </w:rPr>
        <w:t>Notes to Financial Statements</w:t>
      </w:r>
    </w:p>
    <w:p>
      <w:pPr>
        <w:spacing w:after="0" w:line="2" w:lineRule="exact"/>
        <w:rPr>
          <w:sz w:val="20"/>
          <w:szCs w:val="20"/>
          <w:color w:val="auto"/>
        </w:rPr>
      </w:pPr>
    </w:p>
    <w:p>
      <w:pPr>
        <w:ind w:left="1622"/>
        <w:spacing w:after="0"/>
        <w:rPr>
          <w:sz w:val="20"/>
          <w:szCs w:val="20"/>
          <w:color w:val="auto"/>
        </w:rPr>
      </w:pPr>
      <w:r>
        <w:rPr>
          <w:rFonts w:ascii="Courier New" w:cs="Courier New" w:eastAsia="Courier New" w:hAnsi="Courier New"/>
          <w:sz w:val="16"/>
          <w:szCs w:val="16"/>
          <w:color w:val="auto"/>
        </w:rPr>
        <w:t>Years ended January 2, 1999 and January 3, 1998</w:t>
      </w:r>
    </w:p>
    <w:p>
      <w:pPr>
        <w:spacing w:after="0" w:line="372" w:lineRule="exact"/>
        <w:rPr>
          <w:sz w:val="20"/>
          <w:szCs w:val="20"/>
          <w:color w:val="auto"/>
        </w:rPr>
      </w:pPr>
    </w:p>
    <w:p>
      <w:pPr>
        <w:jc w:val="both"/>
        <w:ind w:left="1342" w:right="2599"/>
        <w:spacing w:after="0" w:line="241" w:lineRule="auto"/>
        <w:rPr>
          <w:sz w:val="20"/>
          <w:szCs w:val="20"/>
          <w:color w:val="auto"/>
        </w:rPr>
      </w:pPr>
      <w:r>
        <w:rPr>
          <w:rFonts w:ascii="Courier New" w:cs="Courier New" w:eastAsia="Courier New" w:hAnsi="Courier New"/>
          <w:sz w:val="16"/>
          <w:szCs w:val="16"/>
          <w:color w:val="auto"/>
        </w:rPr>
        <w:t>The Division's portion of unpaid claims filed and an estimate of its incurred but not reported claims for medical and dental expenses existing at January 2, 1999 and January 3, 1998 have been recorded as accrued expenses in the accompanying financial statements in the amount of $100,928 and $120,219, respectively.</w:t>
      </w:r>
    </w:p>
    <w:p>
      <w:pPr>
        <w:spacing w:after="0" w:line="188" w:lineRule="exact"/>
        <w:rPr>
          <w:sz w:val="20"/>
          <w:szCs w:val="20"/>
          <w:color w:val="auto"/>
        </w:rPr>
      </w:pPr>
    </w:p>
    <w:p>
      <w:pPr>
        <w:ind w:left="662" w:hanging="662"/>
        <w:spacing w:after="0"/>
        <w:tabs>
          <w:tab w:leader="none" w:pos="66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Lease</w:t>
      </w:r>
    </w:p>
    <w:p>
      <w:pPr>
        <w:spacing w:after="0" w:line="188" w:lineRule="exact"/>
        <w:rPr>
          <w:sz w:val="20"/>
          <w:szCs w:val="20"/>
          <w:color w:val="auto"/>
        </w:rPr>
      </w:pPr>
    </w:p>
    <w:p>
      <w:pPr>
        <w:jc w:val="both"/>
        <w:ind w:left="662" w:right="2599"/>
        <w:spacing w:after="0" w:line="242" w:lineRule="auto"/>
        <w:rPr>
          <w:sz w:val="20"/>
          <w:szCs w:val="20"/>
          <w:color w:val="auto"/>
        </w:rPr>
      </w:pPr>
      <w:r>
        <w:rPr>
          <w:rFonts w:ascii="Courier New" w:cs="Courier New" w:eastAsia="Courier New" w:hAnsi="Courier New"/>
          <w:sz w:val="16"/>
          <w:szCs w:val="16"/>
          <w:color w:val="auto"/>
        </w:rPr>
        <w:t>The Division has several noncancelable operating leases primarily for buildings and equipment. Rent expense for 1998 and 1997 was approximately $76,000 and $66,000, respectively, related to these leases. Future minimum lease payments under noncancelable operating leases (with initial or remaining lease terms in excess of one year) as of January 2, 1999 are:</w:t>
      </w:r>
    </w:p>
    <w:p>
      <w:pPr>
        <w:spacing w:after="0" w:line="184" w:lineRule="exact"/>
        <w:rPr>
          <w:sz w:val="20"/>
          <w:szCs w:val="20"/>
          <w:color w:val="auto"/>
        </w:rPr>
      </w:pPr>
    </w:p>
    <w:tbl>
      <w:tblPr>
        <w:tblLayout w:type="fixed"/>
        <w:tblInd w:w="3442" w:type="dxa"/>
        <w:tblCellMar>
          <w:top w:w="0" w:type="dxa"/>
          <w:left w:w="0" w:type="dxa"/>
          <w:bottom w:w="0" w:type="dxa"/>
          <w:right w:w="0" w:type="dxa"/>
        </w:tblCellMar>
      </w:tblPr>
      <w:tr>
        <w:trPr>
          <w:trHeight w:val="181"/>
        </w:trPr>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1999</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48,840</w:t>
            </w:r>
          </w:p>
        </w:tc>
      </w:tr>
      <w:tr>
        <w:trPr>
          <w:trHeight w:val="183"/>
        </w:trPr>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2000</w:t>
            </w:r>
          </w:p>
        </w:tc>
        <w:tc>
          <w:tcPr>
            <w:tcW w:w="720" w:type="dxa"/>
            <w:vAlign w:val="bottom"/>
          </w:tcPr>
          <w:p>
            <w:pPr>
              <w:spacing w:after="0"/>
              <w:rPr>
                <w:sz w:val="15"/>
                <w:szCs w:val="15"/>
                <w:color w:val="auto"/>
              </w:rPr>
            </w:pPr>
          </w:p>
        </w:tc>
        <w:tc>
          <w:tcPr>
            <w:tcW w:w="1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18,435</w:t>
            </w:r>
          </w:p>
        </w:tc>
      </w:tr>
      <w:tr>
        <w:trPr>
          <w:trHeight w:val="183"/>
        </w:trPr>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2001</w:t>
            </w:r>
          </w:p>
        </w:tc>
        <w:tc>
          <w:tcPr>
            <w:tcW w:w="720" w:type="dxa"/>
            <w:vAlign w:val="bottom"/>
          </w:tcPr>
          <w:p>
            <w:pPr>
              <w:spacing w:after="0"/>
              <w:rPr>
                <w:sz w:val="15"/>
                <w:szCs w:val="15"/>
                <w:color w:val="auto"/>
              </w:rPr>
            </w:pPr>
          </w:p>
        </w:tc>
        <w:tc>
          <w:tcPr>
            <w:tcW w:w="1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4,500</w:t>
            </w:r>
          </w:p>
        </w:tc>
      </w:tr>
      <w:tr>
        <w:trPr>
          <w:trHeight w:val="183"/>
        </w:trPr>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90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71,775</w:t>
            </w:r>
          </w:p>
        </w:tc>
      </w:tr>
      <w:tr>
        <w:trPr>
          <w:trHeight w:val="183"/>
        </w:trPr>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ind w:left="662" w:hanging="662"/>
        <w:spacing w:after="0"/>
        <w:tabs>
          <w:tab w:leader="none" w:pos="66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 Party Transactions</w:t>
      </w:r>
    </w:p>
    <w:p>
      <w:pPr>
        <w:spacing w:after="0" w:line="188" w:lineRule="exact"/>
        <w:rPr>
          <w:rFonts w:ascii="Courier New" w:cs="Courier New" w:eastAsia="Courier New" w:hAnsi="Courier New"/>
          <w:sz w:val="16"/>
          <w:szCs w:val="16"/>
          <w:color w:val="auto"/>
        </w:rPr>
      </w:pPr>
    </w:p>
    <w:p>
      <w:pPr>
        <w:jc w:val="both"/>
        <w:ind w:left="66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1998 and 1997, net sales includes sales to an affiliate owned by IMC. Sales to the affiliate during 1997 were at the Division's cost. On January 4, 1998, the Division entered into a long-term supply agreement with the affiliate to provide products at negotiated prices that include mark-ups.</w:t>
      </w:r>
    </w:p>
    <w:p>
      <w:pPr>
        <w:spacing w:after="0" w:line="190" w:lineRule="exact"/>
        <w:rPr>
          <w:rFonts w:ascii="Courier New" w:cs="Courier New" w:eastAsia="Courier New" w:hAnsi="Courier New"/>
          <w:sz w:val="16"/>
          <w:szCs w:val="16"/>
          <w:color w:val="auto"/>
        </w:rPr>
      </w:pPr>
    </w:p>
    <w:p>
      <w:pPr>
        <w:jc w:val="both"/>
        <w:ind w:left="66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Net sales to the affiliate and related cost of goods sold for the years ended January 2, 1999 and January 3, 1998, and the related accounts receivable at January 2, 1999 and January 3, 1998 from this affiliate were as follows: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862" w:type="dxa"/>
        <w:tblCellMar>
          <w:top w:w="0" w:type="dxa"/>
          <w:left w:w="0" w:type="dxa"/>
          <w:bottom w:w="0" w:type="dxa"/>
          <w:right w:w="0" w:type="dxa"/>
        </w:tblCellMar>
      </w:tblPr>
      <w:tr>
        <w:trPr>
          <w:trHeight w:val="181"/>
        </w:trPr>
        <w:tc>
          <w:tcPr>
            <w:tcW w:w="3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1998</w:t>
            </w:r>
          </w:p>
        </w:tc>
        <w:tc>
          <w:tcPr>
            <w:tcW w:w="16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3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67"/>
        </w:trPr>
        <w:tc>
          <w:tcPr>
            <w:tcW w:w="33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6,266,073</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4,343,942</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280" w:type="dxa"/>
            <w:vAlign w:val="bottom"/>
          </w:tcPr>
          <w:p>
            <w:pPr>
              <w:spacing w:after="0"/>
              <w:rPr>
                <w:sz w:val="15"/>
                <w:szCs w:val="15"/>
                <w:color w:val="auto"/>
              </w:rPr>
            </w:pPr>
          </w:p>
        </w:tc>
        <w:tc>
          <w:tcPr>
            <w:tcW w:w="19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3,284,729</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4,343,942</w:t>
            </w:r>
          </w:p>
        </w:tc>
      </w:tr>
      <w:tr>
        <w:trPr>
          <w:trHeight w:val="183"/>
        </w:trPr>
        <w:tc>
          <w:tcPr>
            <w:tcW w:w="3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67"/>
        </w:trPr>
        <w:tc>
          <w:tcPr>
            <w:tcW w:w="3340" w:type="dxa"/>
            <w:vAlign w:val="bottom"/>
          </w:tcPr>
          <w:p>
            <w:pPr>
              <w:ind w:left="1340"/>
              <w:spacing w:after="0"/>
              <w:rPr>
                <w:sz w:val="20"/>
                <w:szCs w:val="20"/>
                <w:color w:val="auto"/>
              </w:rPr>
            </w:pPr>
            <w:r>
              <w:rPr>
                <w:rFonts w:ascii="Courier New" w:cs="Courier New" w:eastAsia="Courier New" w:hAnsi="Courier New"/>
                <w:sz w:val="16"/>
                <w:szCs w:val="16"/>
                <w:color w:val="auto"/>
              </w:rPr>
              <w:t>Gross profit</w:t>
            </w: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2,981,344</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3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67"/>
        </w:trPr>
        <w:tc>
          <w:tcPr>
            <w:tcW w:w="3340" w:type="dxa"/>
            <w:vAlign w:val="bottom"/>
          </w:tcPr>
          <w:p>
            <w:pPr>
              <w:spacing w:after="0"/>
              <w:rPr>
                <w:sz w:val="20"/>
                <w:szCs w:val="20"/>
                <w:color w:val="auto"/>
              </w:rPr>
            </w:pPr>
            <w:r>
              <w:rPr>
                <w:rFonts w:ascii="Courier New" w:cs="Courier New" w:eastAsia="Courier New" w:hAnsi="Courier New"/>
                <w:sz w:val="16"/>
                <w:szCs w:val="16"/>
                <w:color w:val="auto"/>
              </w:rPr>
              <w:t>Accounts receivable from affiliate</w:t>
            </w: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1,063,919</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3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186"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In 1998, the affiliate advanced $2,268,668 to the Division.</w:t>
      </w:r>
    </w:p>
    <w:p>
      <w:pPr>
        <w:spacing w:after="0" w:line="200" w:lineRule="exact"/>
        <w:rPr>
          <w:sz w:val="20"/>
          <w:szCs w:val="20"/>
          <w:color w:val="auto"/>
        </w:rPr>
      </w:pPr>
    </w:p>
    <w:p>
      <w:pPr>
        <w:spacing w:after="0" w:line="352" w:lineRule="exact"/>
        <w:rPr>
          <w:sz w:val="20"/>
          <w:szCs w:val="20"/>
          <w:color w:val="auto"/>
        </w:rPr>
      </w:pPr>
    </w:p>
    <w:p>
      <w:pPr>
        <w:ind w:left="662" w:hanging="662"/>
        <w:spacing w:after="0"/>
        <w:tabs>
          <w:tab w:leader="none" w:pos="66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Major Customer</w:t>
      </w:r>
    </w:p>
    <w:p>
      <w:pPr>
        <w:spacing w:after="0" w:line="2" w:lineRule="exact"/>
        <w:rPr>
          <w:rFonts w:ascii="Courier New" w:cs="Courier New" w:eastAsia="Courier New" w:hAnsi="Courier New"/>
          <w:sz w:val="16"/>
          <w:szCs w:val="16"/>
          <w:color w:val="auto"/>
        </w:rPr>
      </w:pPr>
    </w:p>
    <w:p>
      <w:pPr>
        <w:ind w:left="6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jc w:val="both"/>
        <w:ind w:left="66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Sales to an unrelated customer aggregated approximately 12% and 14% of net sales during 1998 and 1997, respectively. Accounts receivable from this customer was approximately $427,000 and $1,074,000 at January 2, 1999 and January 3, 1998, respectively.</w:t>
      </w:r>
    </w:p>
    <w:p>
      <w:pPr>
        <w:spacing w:after="0" w:line="370"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(Continued)</w:t>
      </w:r>
    </w:p>
    <w:p>
      <w:pPr>
        <w:spacing w:after="0" w:line="2"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1"/>
          </w:cols>
          <w:pgMar w:left="238" w:top="481" w:right="1440" w:bottom="1440" w:gutter="0" w:footer="0" w:header="0"/>
        </w:sectPr>
      </w:pPr>
    </w:p>
    <w:bookmarkStart w:id="14" w:name="page15"/>
    <w:bookmarkEnd w:id="14"/>
    <w:p>
      <w:pPr>
        <w:jc w:val="center"/>
        <w:ind w:right="2597"/>
        <w:spacing w:after="0"/>
        <w:rPr>
          <w:sz w:val="20"/>
          <w:szCs w:val="20"/>
          <w:color w:val="auto"/>
        </w:rPr>
      </w:pPr>
      <w:r>
        <w:rPr>
          <w:rFonts w:ascii="Courier New" w:cs="Courier New" w:eastAsia="Courier New" w:hAnsi="Courier New"/>
          <w:sz w:val="16"/>
          <w:szCs w:val="16"/>
          <w:color w:val="auto"/>
        </w:rPr>
        <w:t>INDUSTRIAL MOLDING</w:t>
      </w:r>
    </w:p>
    <w:p>
      <w:pPr>
        <w:spacing w:after="0" w:line="2" w:lineRule="exact"/>
        <w:rPr>
          <w:sz w:val="20"/>
          <w:szCs w:val="20"/>
          <w:color w:val="auto"/>
        </w:rPr>
      </w:pPr>
    </w:p>
    <w:p>
      <w:pPr>
        <w:ind w:left="1622"/>
        <w:spacing w:after="0"/>
        <w:rPr>
          <w:sz w:val="20"/>
          <w:szCs w:val="20"/>
          <w:color w:val="auto"/>
        </w:rPr>
      </w:pPr>
      <w:r>
        <w:rPr>
          <w:rFonts w:ascii="Courier New" w:cs="Courier New" w:eastAsia="Courier New" w:hAnsi="Courier New"/>
          <w:sz w:val="16"/>
          <w:szCs w:val="16"/>
          <w:color w:val="auto"/>
        </w:rPr>
        <w:t>(a division of Industrial Molding Corporation)</w:t>
      </w:r>
    </w:p>
    <w:p>
      <w:pPr>
        <w:spacing w:after="0" w:line="2" w:lineRule="exact"/>
        <w:rPr>
          <w:sz w:val="20"/>
          <w:szCs w:val="20"/>
          <w:color w:val="auto"/>
        </w:rPr>
      </w:pPr>
    </w:p>
    <w:p>
      <w:pPr>
        <w:ind w:left="2382"/>
        <w:spacing w:after="0"/>
        <w:rPr>
          <w:sz w:val="20"/>
          <w:szCs w:val="20"/>
          <w:color w:val="auto"/>
        </w:rPr>
      </w:pPr>
      <w:r>
        <w:rPr>
          <w:rFonts w:ascii="Courier New" w:cs="Courier New" w:eastAsia="Courier New" w:hAnsi="Courier New"/>
          <w:sz w:val="16"/>
          <w:szCs w:val="16"/>
          <w:color w:val="auto"/>
        </w:rPr>
        <w:t>Notes to Financial Statements</w:t>
      </w:r>
    </w:p>
    <w:p>
      <w:pPr>
        <w:spacing w:after="0" w:line="2" w:lineRule="exact"/>
        <w:rPr>
          <w:sz w:val="20"/>
          <w:szCs w:val="20"/>
          <w:color w:val="auto"/>
        </w:rPr>
      </w:pPr>
    </w:p>
    <w:p>
      <w:pPr>
        <w:ind w:left="1622"/>
        <w:spacing w:after="0"/>
        <w:rPr>
          <w:sz w:val="20"/>
          <w:szCs w:val="20"/>
          <w:color w:val="auto"/>
        </w:rPr>
      </w:pPr>
      <w:r>
        <w:rPr>
          <w:rFonts w:ascii="Courier New" w:cs="Courier New" w:eastAsia="Courier New" w:hAnsi="Courier New"/>
          <w:sz w:val="16"/>
          <w:szCs w:val="16"/>
          <w:color w:val="auto"/>
        </w:rPr>
        <w:t>Years ended January 2, 1999 and January 3, 1998</w:t>
      </w:r>
    </w:p>
    <w:p>
      <w:pPr>
        <w:spacing w:after="0" w:line="369" w:lineRule="exact"/>
        <w:rPr>
          <w:sz w:val="20"/>
          <w:szCs w:val="20"/>
          <w:color w:val="auto"/>
        </w:rPr>
      </w:pPr>
    </w:p>
    <w:p>
      <w:pPr>
        <w:ind w:left="662" w:hanging="662"/>
        <w:spacing w:after="0"/>
        <w:tabs>
          <w:tab w:leader="none" w:pos="66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Event</w:t>
      </w:r>
    </w:p>
    <w:p>
      <w:pPr>
        <w:spacing w:after="0" w:line="2" w:lineRule="exact"/>
        <w:rPr>
          <w:rFonts w:ascii="Courier New" w:cs="Courier New" w:eastAsia="Courier New" w:hAnsi="Courier New"/>
          <w:sz w:val="16"/>
          <w:szCs w:val="16"/>
          <w:color w:val="auto"/>
        </w:rPr>
      </w:pPr>
    </w:p>
    <w:p>
      <w:pPr>
        <w:ind w:left="6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jc w:val="both"/>
        <w:ind w:left="66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July 4, 1999, according to the terms of a asset purchase agreement, IMC sold all the assets of the Division to NN Ball &amp; Roller, Inc. In addition, NN Ball &amp; Roller, Inc. also assumed certain Division trade payables and accrued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8" w:top="481" w:right="1440" w:bottom="1440" w:gutter="0" w:footer="0" w:header="0"/>
        </w:sectPr>
      </w:pPr>
    </w:p>
    <w:bookmarkStart w:id="15" w:name="page16"/>
    <w:bookmarkEnd w:id="15"/>
    <w:p>
      <w:pPr>
        <w:jc w:val="center"/>
        <w:ind w:right="2597"/>
        <w:spacing w:after="0"/>
        <w:rPr>
          <w:sz w:val="20"/>
          <w:szCs w:val="20"/>
          <w:color w:val="auto"/>
        </w:rPr>
      </w:pPr>
      <w:r>
        <w:rPr>
          <w:rFonts w:ascii="Courier New" w:cs="Courier New" w:eastAsia="Courier New" w:hAnsi="Courier New"/>
          <w:sz w:val="16"/>
          <w:szCs w:val="16"/>
          <w:color w:val="auto"/>
        </w:rPr>
        <w:t>NN Ball &amp; Roller, Inc.</w:t>
      </w:r>
    </w:p>
    <w:p>
      <w:pPr>
        <w:spacing w:after="0" w:line="2" w:lineRule="exact"/>
        <w:rPr>
          <w:sz w:val="20"/>
          <w:szCs w:val="20"/>
          <w:color w:val="auto"/>
        </w:rPr>
      </w:pPr>
    </w:p>
    <w:p>
      <w:pPr>
        <w:jc w:val="center"/>
        <w:ind w:right="2497"/>
        <w:spacing w:after="0"/>
        <w:rPr>
          <w:sz w:val="20"/>
          <w:szCs w:val="20"/>
          <w:color w:val="auto"/>
        </w:rPr>
      </w:pPr>
      <w:r>
        <w:rPr>
          <w:rFonts w:ascii="Courier New" w:cs="Courier New" w:eastAsia="Courier New" w:hAnsi="Courier New"/>
          <w:sz w:val="16"/>
          <w:szCs w:val="16"/>
          <w:color w:val="auto"/>
        </w:rPr>
        <w:t>Unaudited Pro Forma Consolidated Financial Statements</w:t>
      </w:r>
    </w:p>
    <w:p>
      <w:pPr>
        <w:spacing w:after="0" w:line="369" w:lineRule="exact"/>
        <w:rPr>
          <w:sz w:val="20"/>
          <w:szCs w:val="20"/>
          <w:color w:val="auto"/>
        </w:rPr>
      </w:pPr>
    </w:p>
    <w:p>
      <w:pPr>
        <w:ind w:left="2"/>
        <w:spacing w:after="0"/>
        <w:tabs>
          <w:tab w:leader="none" w:pos="4562" w:val="left"/>
        </w:tabs>
        <w:rPr>
          <w:sz w:val="20"/>
          <w:szCs w:val="20"/>
          <w:color w:val="auto"/>
        </w:rPr>
      </w:pPr>
      <w:r>
        <w:rPr>
          <w:rFonts w:ascii="Courier New" w:cs="Courier New" w:eastAsia="Courier New" w:hAnsi="Courier New"/>
          <w:sz w:val="16"/>
          <w:szCs w:val="16"/>
          <w:color w:val="auto"/>
        </w:rPr>
        <w:t>The following unaudited pro forma consolidated</w:t>
      </w:r>
      <w:r>
        <w:rPr>
          <w:sz w:val="20"/>
          <w:szCs w:val="20"/>
          <w:color w:val="auto"/>
        </w:rPr>
        <w:tab/>
      </w:r>
      <w:r>
        <w:rPr>
          <w:rFonts w:ascii="Courier New" w:cs="Courier New" w:eastAsia="Courier New" w:hAnsi="Courier New"/>
          <w:sz w:val="15"/>
          <w:szCs w:val="15"/>
          <w:color w:val="auto"/>
        </w:rPr>
        <w:t>financial information of NN Ball</w:t>
      </w:r>
    </w:p>
    <w:p>
      <w:pPr>
        <w:spacing w:after="0" w:line="5" w:lineRule="exact"/>
        <w:rPr>
          <w:sz w:val="20"/>
          <w:szCs w:val="20"/>
          <w:color w:val="auto"/>
        </w:rPr>
      </w:pPr>
    </w:p>
    <w:p>
      <w:pPr>
        <w:jc w:val="both"/>
        <w:ind w:left="2" w:right="2599" w:hanging="2"/>
        <w:spacing w:after="0" w:line="239" w:lineRule="auto"/>
        <w:tabs>
          <w:tab w:leader="none" w:pos="19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Roller, Inc. (the "Company") is based on the historical financial statements of the Company, adjusted to give pro forma effect to the acquisition of certain</w:t>
      </w:r>
    </w:p>
    <w:p>
      <w:pPr>
        <w:spacing w:after="0" w:line="6" w:lineRule="exact"/>
        <w:rPr>
          <w:sz w:val="20"/>
          <w:szCs w:val="20"/>
          <w:color w:val="auto"/>
        </w:rPr>
      </w:pPr>
    </w:p>
    <w:p>
      <w:pPr>
        <w:jc w:val="both"/>
        <w:ind w:left="2" w:right="2599"/>
        <w:spacing w:after="0" w:line="239" w:lineRule="auto"/>
        <w:rPr>
          <w:sz w:val="20"/>
          <w:szCs w:val="20"/>
          <w:color w:val="auto"/>
        </w:rPr>
      </w:pPr>
      <w:r>
        <w:rPr>
          <w:rFonts w:ascii="Courier New" w:cs="Courier New" w:eastAsia="Courier New" w:hAnsi="Courier New"/>
          <w:sz w:val="16"/>
          <w:szCs w:val="16"/>
          <w:color w:val="auto"/>
        </w:rPr>
        <w:t>assets of Industrial Molding, a division of Industrial Molding Corporation ("IM").</w:t>
      </w:r>
    </w:p>
    <w:p>
      <w:pPr>
        <w:spacing w:after="0" w:line="189" w:lineRule="exact"/>
        <w:rPr>
          <w:sz w:val="20"/>
          <w:szCs w:val="20"/>
          <w:color w:val="auto"/>
        </w:rPr>
      </w:pPr>
    </w:p>
    <w:p>
      <w:pPr>
        <w:jc w:val="both"/>
        <w:ind w:left="2" w:right="2599"/>
        <w:spacing w:after="0" w:line="242" w:lineRule="auto"/>
        <w:rPr>
          <w:sz w:val="20"/>
          <w:szCs w:val="20"/>
          <w:color w:val="auto"/>
        </w:rPr>
      </w:pPr>
      <w:r>
        <w:rPr>
          <w:rFonts w:ascii="Courier New" w:cs="Courier New" w:eastAsia="Courier New" w:hAnsi="Courier New"/>
          <w:sz w:val="16"/>
          <w:szCs w:val="16"/>
          <w:color w:val="auto"/>
        </w:rPr>
        <w:t>The unaudited pro forma consolidated balance sheet as of June 30, 1999 gives effect to the IM acquisition as if it occurred June 30, 1999. The unaudited pro forma consolidated statements of Income and Comprehensive Income for the year ended December 31, 1998 and the six months ended June 30, 1999 give effect to the acquisition as if it had occcurred on January 1, 1998. The unaudited pro forma adjustments are based upon available information and certain assumptions that the Company believes are reasonable under the circumstances. The unaudited pro forma consolidated financial statements do not purport to represent what the Company's results of operations or financial condition would actually have been had the acquisition in fact had occurred on such dates, nor do they purport to project the Company's results of operations or financial condition for any future period or date. The information set forth below should be read in conjunction with the historical financial statements of IMC for the years ended January 2, 1999 and January 3, 1998 (contained herein), Company's unaudited consolidated financial statements and notes thereto as of and for the six months ended June 30, 1999 (which are contained in the Company's Form 10-Q for the six months ended June 30, 1999), and the audited consolidated financial statements and notes thereto as of December 31, 1998 and 1997 and for the three years December 31, 1997 (which are contained in the Company's Anuual Report on Form 10-K).</w:t>
      </w:r>
    </w:p>
    <w:p>
      <w:pPr>
        <w:spacing w:after="0" w:line="196" w:lineRule="exact"/>
        <w:rPr>
          <w:sz w:val="20"/>
          <w:szCs w:val="20"/>
          <w:color w:val="auto"/>
        </w:rPr>
      </w:pPr>
    </w:p>
    <w:p>
      <w:pPr>
        <w:jc w:val="both"/>
        <w:ind w:left="2" w:right="2599"/>
        <w:spacing w:after="0" w:line="242" w:lineRule="auto"/>
        <w:rPr>
          <w:sz w:val="20"/>
          <w:szCs w:val="20"/>
          <w:color w:val="auto"/>
        </w:rPr>
      </w:pPr>
      <w:r>
        <w:rPr>
          <w:rFonts w:ascii="Courier New" w:cs="Courier New" w:eastAsia="Courier New" w:hAnsi="Courier New"/>
          <w:sz w:val="16"/>
          <w:szCs w:val="16"/>
          <w:color w:val="auto"/>
        </w:rPr>
        <w:t>The acquisition of certain assets of IM has been accounted for as a purchase. Under purchase accounting, the total purchase price and fair value of liabilities assumed are allocated to the tangible assets of the Company based upon their respective fair values as of the purchase date in accordance with Accounting Principles Board Opinion No. 16. A preliminary allocation of the purchase price of the IM acquistion has been made in the accompanying unaudited pro forma consolidated financial statements based upon Company estimates. The actual allocation of the purchase cost and the resulting effect on income from operations may differ from the pro forma amounts included therein; however, the Company does not expect the final allocation to differ materially from the preliminary allocation.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1"/>
          </w:cols>
          <w:pgMar w:left="238" w:top="1031" w:right="1440" w:bottom="1440" w:gutter="0" w:footer="0" w:header="0"/>
        </w:sectPr>
      </w:pPr>
    </w:p>
    <w:bookmarkStart w:id="16" w:name="page17"/>
    <w:bookmarkEnd w:id="16"/>
    <w:p>
      <w:pPr>
        <w:jc w:val="center"/>
        <w:ind w:right="3440"/>
        <w:spacing w:after="0"/>
        <w:rPr>
          <w:sz w:val="20"/>
          <w:szCs w:val="20"/>
          <w:color w:val="auto"/>
        </w:rPr>
      </w:pPr>
      <w:r>
        <w:rPr>
          <w:rFonts w:ascii="Courier New" w:cs="Courier New" w:eastAsia="Courier New" w:hAnsi="Courier New"/>
          <w:sz w:val="16"/>
          <w:szCs w:val="16"/>
          <w:color w:val="auto"/>
        </w:rPr>
        <w:t>NN Ball &amp; Roller Inc.</w:t>
      </w:r>
    </w:p>
    <w:p>
      <w:pPr>
        <w:spacing w:after="0" w:line="2"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6"/>
          <w:szCs w:val="16"/>
          <w:color w:val="auto"/>
        </w:rPr>
        <w:t>Unaudited Pro Forma Consolidated Balance Sheet</w:t>
      </w:r>
    </w:p>
    <w:p>
      <w:pPr>
        <w:spacing w:after="0" w:line="2"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6"/>
          <w:szCs w:val="16"/>
          <w:color w:val="auto"/>
        </w:rPr>
        <w:t>As Of June 30, 1999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80" w:type="dxa"/>
            <w:vAlign w:val="bottom"/>
          </w:tcPr>
          <w:p>
            <w:pPr>
              <w:ind w:left="3140"/>
              <w:spacing w:after="0"/>
              <w:rPr>
                <w:sz w:val="20"/>
                <w:szCs w:val="20"/>
                <w:color w:val="auto"/>
              </w:rPr>
            </w:pPr>
            <w:r>
              <w:rPr>
                <w:rFonts w:ascii="Courier New" w:cs="Courier New" w:eastAsia="Courier New" w:hAnsi="Courier New"/>
                <w:sz w:val="16"/>
                <w:szCs w:val="16"/>
                <w:color w:val="auto"/>
              </w:rPr>
              <w:t>(In Thousands)</w:t>
            </w:r>
          </w:p>
        </w:tc>
        <w:tc>
          <w:tcPr>
            <w:tcW w:w="14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917"/>
        </w:trPr>
        <w:tc>
          <w:tcPr>
            <w:tcW w:w="4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Industrial</w:t>
            </w:r>
          </w:p>
        </w:tc>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3"/>
        </w:trPr>
        <w:tc>
          <w:tcPr>
            <w:tcW w:w="4580" w:type="dxa"/>
            <w:vAlign w:val="bottom"/>
          </w:tcPr>
          <w:p>
            <w:pPr>
              <w:spacing w:after="0"/>
              <w:rPr>
                <w:sz w:val="15"/>
                <w:szCs w:val="15"/>
                <w:color w:val="auto"/>
              </w:rPr>
            </w:pPr>
          </w:p>
        </w:tc>
        <w:tc>
          <w:tcPr>
            <w:tcW w:w="14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Actual</w:t>
            </w:r>
          </w:p>
        </w:tc>
        <w:tc>
          <w:tcPr>
            <w:tcW w:w="18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Molding(a)</w:t>
            </w:r>
          </w:p>
        </w:tc>
        <w:tc>
          <w:tcPr>
            <w:tcW w:w="1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Adjustments (b)</w:t>
            </w:r>
          </w:p>
        </w:tc>
        <w:tc>
          <w:tcPr>
            <w:tcW w:w="1440" w:type="dxa"/>
            <w:vAlign w:val="bottom"/>
            <w:gridSpan w:val="2"/>
          </w:tcPr>
          <w:p>
            <w:pPr>
              <w:jc w:val="center"/>
              <w:ind w:left="101"/>
              <w:spacing w:after="0"/>
              <w:rPr>
                <w:sz w:val="20"/>
                <w:szCs w:val="20"/>
                <w:color w:val="auto"/>
              </w:rPr>
            </w:pPr>
            <w:r>
              <w:rPr>
                <w:rFonts w:ascii="Courier New" w:cs="Courier New" w:eastAsia="Courier New" w:hAnsi="Courier New"/>
                <w:sz w:val="16"/>
                <w:szCs w:val="16"/>
                <w:color w:val="auto"/>
                <w:w w:val="99"/>
              </w:rPr>
              <w:t>Pro Forma</w:t>
            </w:r>
          </w:p>
        </w:tc>
      </w:tr>
      <w:tr>
        <w:trPr>
          <w:trHeight w:val="183"/>
        </w:trPr>
        <w:tc>
          <w:tcPr>
            <w:tcW w:w="4580" w:type="dxa"/>
            <w:vAlign w:val="bottom"/>
          </w:tcPr>
          <w:p>
            <w:pPr>
              <w:spacing w:after="0"/>
              <w:rPr>
                <w:sz w:val="15"/>
                <w:szCs w:val="15"/>
                <w:color w:val="auto"/>
              </w:rPr>
            </w:pPr>
          </w:p>
        </w:tc>
        <w:tc>
          <w:tcPr>
            <w:tcW w:w="658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4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4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3"/>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Cash</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$5,449</w:t>
            </w:r>
          </w:p>
        </w:tc>
        <w:tc>
          <w:tcPr>
            <w:tcW w:w="1860" w:type="dxa"/>
            <w:vAlign w:val="bottom"/>
          </w:tcPr>
          <w:p>
            <w:pPr>
              <w:spacing w:after="0"/>
              <w:rPr>
                <w:sz w:val="15"/>
                <w:szCs w:val="15"/>
                <w:color w:val="auto"/>
              </w:rPr>
            </w:pPr>
          </w:p>
        </w:tc>
        <w:tc>
          <w:tcPr>
            <w:tcW w:w="1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$(5,449)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Accounts receivable, net</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13,946</w:t>
            </w:r>
          </w:p>
        </w:tc>
        <w:tc>
          <w:tcPr>
            <w:tcW w:w="1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$5,899</w:t>
            </w:r>
          </w:p>
        </w:tc>
        <w:tc>
          <w:tcPr>
            <w:tcW w:w="1800" w:type="dxa"/>
            <w:vAlign w:val="bottom"/>
          </w:tcPr>
          <w:p>
            <w:pPr>
              <w:spacing w:after="0"/>
              <w:rPr>
                <w:sz w:val="15"/>
                <w:szCs w:val="15"/>
                <w:color w:val="auto"/>
              </w:rPr>
            </w:pP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19,845</w:t>
            </w:r>
          </w:p>
        </w:tc>
      </w:tr>
      <w:tr>
        <w:trPr>
          <w:trHeight w:val="183"/>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Inventories, net</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10,371</w:t>
            </w:r>
          </w:p>
        </w:tc>
        <w:tc>
          <w:tcPr>
            <w:tcW w:w="1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3,818</w:t>
            </w:r>
          </w:p>
        </w:tc>
        <w:tc>
          <w:tcPr>
            <w:tcW w:w="1800" w:type="dxa"/>
            <w:vAlign w:val="bottom"/>
          </w:tcPr>
          <w:p>
            <w:pPr>
              <w:spacing w:after="0"/>
              <w:rPr>
                <w:sz w:val="15"/>
                <w:szCs w:val="15"/>
                <w:color w:val="auto"/>
              </w:rPr>
            </w:pP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14,189</w:t>
            </w:r>
          </w:p>
        </w:tc>
      </w:tr>
      <w:tr>
        <w:trPr>
          <w:trHeight w:val="183"/>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Other current assets</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1,248</w:t>
            </w:r>
          </w:p>
        </w:tc>
        <w:tc>
          <w:tcPr>
            <w:tcW w:w="1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86</w:t>
            </w:r>
          </w:p>
        </w:tc>
        <w:tc>
          <w:tcPr>
            <w:tcW w:w="1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1,334</w:t>
            </w:r>
          </w:p>
        </w:tc>
      </w:tr>
      <w:tr>
        <w:trPr>
          <w:trHeight w:val="183"/>
        </w:trPr>
        <w:tc>
          <w:tcPr>
            <w:tcW w:w="4580" w:type="dxa"/>
            <w:vAlign w:val="bottom"/>
          </w:tcPr>
          <w:p>
            <w:pPr>
              <w:spacing w:after="0"/>
              <w:rPr>
                <w:sz w:val="15"/>
                <w:szCs w:val="15"/>
                <w:color w:val="auto"/>
              </w:rPr>
            </w:pP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Total current assets</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31,014</w:t>
            </w:r>
          </w:p>
        </w:tc>
        <w:tc>
          <w:tcPr>
            <w:tcW w:w="1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35,368</w:t>
            </w:r>
          </w:p>
        </w:tc>
      </w:tr>
      <w:tr>
        <w:trPr>
          <w:trHeight w:val="367"/>
        </w:trPr>
        <w:tc>
          <w:tcPr>
            <w:tcW w:w="458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36,010</w:t>
            </w:r>
          </w:p>
        </w:tc>
        <w:tc>
          <w:tcPr>
            <w:tcW w:w="1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8,503</w:t>
            </w:r>
          </w:p>
        </w:tc>
        <w:tc>
          <w:tcPr>
            <w:tcW w:w="1800" w:type="dxa"/>
            <w:vAlign w:val="bottom"/>
          </w:tcPr>
          <w:p>
            <w:pPr>
              <w:spacing w:after="0"/>
              <w:rPr>
                <w:sz w:val="24"/>
                <w:szCs w:val="24"/>
                <w:color w:val="auto"/>
              </w:rPr>
            </w:pP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44,513</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Goodwill</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spacing w:after="0"/>
              <w:rPr>
                <w:sz w:val="15"/>
                <w:szCs w:val="15"/>
                <w:color w:val="auto"/>
              </w:rPr>
            </w:pPr>
          </w:p>
        </w:tc>
        <w:tc>
          <w:tcPr>
            <w:tcW w:w="1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13,005</w:t>
            </w: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13,005</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754</w:t>
            </w:r>
          </w:p>
        </w:tc>
        <w:tc>
          <w:tcPr>
            <w:tcW w:w="1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754</w:t>
            </w:r>
          </w:p>
        </w:tc>
      </w:tr>
      <w:tr>
        <w:trPr>
          <w:trHeight w:val="183"/>
        </w:trPr>
        <w:tc>
          <w:tcPr>
            <w:tcW w:w="4580" w:type="dxa"/>
            <w:vAlign w:val="bottom"/>
          </w:tcPr>
          <w:p>
            <w:pPr>
              <w:spacing w:after="0"/>
              <w:rPr>
                <w:sz w:val="15"/>
                <w:szCs w:val="15"/>
                <w:color w:val="auto"/>
              </w:rPr>
            </w:pP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Total assets</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$ 67,024</w:t>
            </w:r>
          </w:p>
        </w:tc>
        <w:tc>
          <w:tcPr>
            <w:tcW w:w="1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$ 93,640</w:t>
            </w:r>
          </w:p>
        </w:tc>
      </w:tr>
      <w:tr>
        <w:trPr>
          <w:trHeight w:val="183"/>
        </w:trPr>
        <w:tc>
          <w:tcPr>
            <w:tcW w:w="4580" w:type="dxa"/>
            <w:vAlign w:val="bottom"/>
          </w:tcPr>
          <w:p>
            <w:pPr>
              <w:spacing w:after="0"/>
              <w:rPr>
                <w:sz w:val="15"/>
                <w:szCs w:val="15"/>
                <w:color w:val="auto"/>
              </w:rPr>
            </w:pP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58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4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3"/>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Accounts payable - trade</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$ 4,050</w:t>
            </w:r>
          </w:p>
        </w:tc>
        <w:tc>
          <w:tcPr>
            <w:tcW w:w="1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923</w:t>
            </w:r>
          </w:p>
        </w:tc>
        <w:tc>
          <w:tcPr>
            <w:tcW w:w="1800" w:type="dxa"/>
            <w:vAlign w:val="bottom"/>
          </w:tcPr>
          <w:p>
            <w:pPr>
              <w:spacing w:after="0"/>
              <w:rPr>
                <w:sz w:val="15"/>
                <w:szCs w:val="15"/>
                <w:color w:val="auto"/>
              </w:rPr>
            </w:pP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$ 4,973</w:t>
            </w:r>
          </w:p>
        </w:tc>
      </w:tr>
      <w:tr>
        <w:trPr>
          <w:trHeight w:val="183"/>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Accrued expenses</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2,691</w:t>
            </w:r>
          </w:p>
        </w:tc>
        <w:tc>
          <w:tcPr>
            <w:tcW w:w="1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1,205</w:t>
            </w:r>
          </w:p>
        </w:tc>
        <w:tc>
          <w:tcPr>
            <w:tcW w:w="1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3,896</w:t>
            </w:r>
          </w:p>
        </w:tc>
      </w:tr>
      <w:tr>
        <w:trPr>
          <w:trHeight w:val="183"/>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Deferred income</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705</w:t>
            </w:r>
          </w:p>
        </w:tc>
        <w:tc>
          <w:tcPr>
            <w:tcW w:w="1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162</w:t>
            </w:r>
          </w:p>
        </w:tc>
        <w:tc>
          <w:tcPr>
            <w:tcW w:w="1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867</w:t>
            </w:r>
          </w:p>
        </w:tc>
      </w:tr>
      <w:tr>
        <w:trPr>
          <w:trHeight w:val="183"/>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Income taxes payable</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334</w:t>
            </w:r>
          </w:p>
        </w:tc>
        <w:tc>
          <w:tcPr>
            <w:tcW w:w="1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334</w:t>
            </w:r>
          </w:p>
        </w:tc>
      </w:tr>
      <w:tr>
        <w:trPr>
          <w:trHeight w:val="183"/>
        </w:trPr>
        <w:tc>
          <w:tcPr>
            <w:tcW w:w="4580" w:type="dxa"/>
            <w:vAlign w:val="bottom"/>
          </w:tcPr>
          <w:p>
            <w:pPr>
              <w:spacing w:after="0"/>
              <w:rPr>
                <w:sz w:val="15"/>
                <w:szCs w:val="15"/>
                <w:color w:val="auto"/>
              </w:rPr>
            </w:pP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Total current liabilities</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7,780</w:t>
            </w:r>
          </w:p>
        </w:tc>
        <w:tc>
          <w:tcPr>
            <w:tcW w:w="1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10,070</w:t>
            </w:r>
          </w:p>
        </w:tc>
      </w:tr>
      <w:tr>
        <w:trPr>
          <w:trHeight w:val="367"/>
        </w:trPr>
        <w:tc>
          <w:tcPr>
            <w:tcW w:w="458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2,980</w:t>
            </w:r>
          </w:p>
        </w:tc>
        <w:tc>
          <w:tcPr>
            <w:tcW w:w="1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2,980</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Long-term debt, less current maturities</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spacing w:after="0"/>
              <w:rPr>
                <w:sz w:val="15"/>
                <w:szCs w:val="15"/>
                <w:color w:val="auto"/>
              </w:rPr>
            </w:pPr>
          </w:p>
        </w:tc>
        <w:tc>
          <w:tcPr>
            <w:tcW w:w="1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21,826</w:t>
            </w: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21,826</w:t>
            </w:r>
          </w:p>
        </w:tc>
      </w:tr>
      <w:tr>
        <w:trPr>
          <w:trHeight w:val="183"/>
        </w:trPr>
        <w:tc>
          <w:tcPr>
            <w:tcW w:w="4580" w:type="dxa"/>
            <w:vAlign w:val="bottom"/>
          </w:tcPr>
          <w:p>
            <w:pPr>
              <w:spacing w:after="0"/>
              <w:rPr>
                <w:sz w:val="15"/>
                <w:szCs w:val="15"/>
                <w:color w:val="auto"/>
              </w:rPr>
            </w:pP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Total liabilities</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10,760</w:t>
            </w:r>
          </w:p>
        </w:tc>
        <w:tc>
          <w:tcPr>
            <w:tcW w:w="1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34,876</w:t>
            </w:r>
          </w:p>
        </w:tc>
      </w:tr>
      <w:tr>
        <w:trPr>
          <w:trHeight w:val="367"/>
        </w:trPr>
        <w:tc>
          <w:tcPr>
            <w:tcW w:w="45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3"/>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Common stock</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149</w:t>
            </w:r>
          </w:p>
        </w:tc>
        <w:tc>
          <w:tcPr>
            <w:tcW w:w="1860" w:type="dxa"/>
            <w:vAlign w:val="bottom"/>
          </w:tcPr>
          <w:p>
            <w:pPr>
              <w:spacing w:after="0"/>
              <w:rPr>
                <w:sz w:val="15"/>
                <w:szCs w:val="15"/>
                <w:color w:val="auto"/>
              </w:rPr>
            </w:pPr>
          </w:p>
        </w:tc>
        <w:tc>
          <w:tcPr>
            <w:tcW w:w="1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w:t>
            </w:r>
          </w:p>
        </w:tc>
        <w:tc>
          <w:tcPr>
            <w:tcW w:w="860" w:type="dxa"/>
            <w:vAlign w:val="bottom"/>
          </w:tcPr>
          <w:p>
            <w:pPr>
              <w:spacing w:after="0"/>
              <w:rPr>
                <w:sz w:val="15"/>
                <w:szCs w:val="15"/>
                <w:color w:val="auto"/>
              </w:rPr>
            </w:pP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153</w:t>
            </w:r>
          </w:p>
        </w:tc>
      </w:tr>
      <w:tr>
        <w:trPr>
          <w:trHeight w:val="183"/>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Additional paid-in capital</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27,902</w:t>
            </w:r>
          </w:p>
        </w:tc>
        <w:tc>
          <w:tcPr>
            <w:tcW w:w="1860" w:type="dxa"/>
            <w:vAlign w:val="bottom"/>
          </w:tcPr>
          <w:p>
            <w:pPr>
              <w:spacing w:after="0"/>
              <w:rPr>
                <w:sz w:val="15"/>
                <w:szCs w:val="15"/>
                <w:color w:val="auto"/>
              </w:rPr>
            </w:pPr>
          </w:p>
        </w:tc>
        <w:tc>
          <w:tcPr>
            <w:tcW w:w="1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2,496</w:t>
            </w: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30,398</w:t>
            </w:r>
          </w:p>
        </w:tc>
      </w:tr>
      <w:tr>
        <w:trPr>
          <w:trHeight w:val="183"/>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Retained earnings</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29,615</w:t>
            </w:r>
          </w:p>
        </w:tc>
        <w:tc>
          <w:tcPr>
            <w:tcW w:w="1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29,615</w:t>
            </w:r>
          </w:p>
        </w:tc>
      </w:tr>
      <w:tr>
        <w:trPr>
          <w:trHeight w:val="183"/>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Other comprehensive income</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(1,402)</w:t>
            </w:r>
          </w:p>
        </w:tc>
        <w:tc>
          <w:tcPr>
            <w:tcW w:w="1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(1,402)</w:t>
            </w:r>
          </w:p>
        </w:tc>
      </w:tr>
      <w:tr>
        <w:trPr>
          <w:trHeight w:val="183"/>
        </w:trPr>
        <w:tc>
          <w:tcPr>
            <w:tcW w:w="4580" w:type="dxa"/>
            <w:vAlign w:val="bottom"/>
          </w:tcPr>
          <w:p>
            <w:pPr>
              <w:spacing w:after="0"/>
              <w:rPr>
                <w:sz w:val="15"/>
                <w:szCs w:val="15"/>
                <w:color w:val="auto"/>
              </w:rPr>
            </w:pP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Total stock equity</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56,264</w:t>
            </w:r>
          </w:p>
        </w:tc>
        <w:tc>
          <w:tcPr>
            <w:tcW w:w="1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58,764</w:t>
            </w:r>
          </w:p>
        </w:tc>
      </w:tr>
      <w:tr>
        <w:trPr>
          <w:trHeight w:val="183"/>
        </w:trPr>
        <w:tc>
          <w:tcPr>
            <w:tcW w:w="4580" w:type="dxa"/>
            <w:vAlign w:val="bottom"/>
          </w:tcPr>
          <w:p>
            <w:pPr>
              <w:spacing w:after="0"/>
              <w:rPr>
                <w:sz w:val="15"/>
                <w:szCs w:val="15"/>
                <w:color w:val="auto"/>
              </w:rPr>
            </w:pP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$ 67,024</w:t>
            </w:r>
          </w:p>
        </w:tc>
        <w:tc>
          <w:tcPr>
            <w:tcW w:w="1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$ 93,640</w:t>
            </w:r>
          </w:p>
        </w:tc>
      </w:tr>
      <w:tr>
        <w:trPr>
          <w:trHeight w:val="183"/>
        </w:trPr>
        <w:tc>
          <w:tcPr>
            <w:tcW w:w="4580" w:type="dxa"/>
            <w:vAlign w:val="bottom"/>
          </w:tcPr>
          <w:p>
            <w:pPr>
              <w:spacing w:after="0"/>
              <w:rPr>
                <w:sz w:val="15"/>
                <w:szCs w:val="15"/>
                <w:color w:val="auto"/>
              </w:rPr>
            </w:pP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460" w:val="left"/>
          <w:tab w:leader="none" w:pos="1120" w:val="left"/>
          <w:tab w:leader="none" w:pos="1500" w:val="left"/>
          <w:tab w:leader="none" w:pos="2560" w:val="left"/>
          <w:tab w:leader="none" w:pos="3020" w:val="left"/>
          <w:tab w:leader="none" w:pos="3800" w:val="left"/>
        </w:tabs>
        <w:rPr>
          <w:sz w:val="20"/>
          <w:szCs w:val="20"/>
          <w:color w:val="auto"/>
        </w:rPr>
      </w:pPr>
      <w:r>
        <w:rPr>
          <w:rFonts w:ascii="Courier New" w:cs="Courier New" w:eastAsia="Courier New" w:hAnsi="Courier New"/>
          <w:sz w:val="16"/>
          <w:szCs w:val="16"/>
          <w:color w:val="auto"/>
        </w:rPr>
        <w:t>See</w:t>
        <w:tab/>
        <w:t>Notes</w:t>
        <w:tab/>
        <w:t>to</w:t>
        <w:tab/>
        <w:t>Unaudited</w:t>
        <w:tab/>
        <w:t>Pro</w:t>
        <w:tab/>
        <w:t>Forma</w:t>
      </w:r>
      <w:r>
        <w:rPr>
          <w:sz w:val="20"/>
          <w:szCs w:val="20"/>
          <w:color w:val="auto"/>
        </w:rPr>
        <w:tab/>
      </w:r>
      <w:r>
        <w:rPr>
          <w:rFonts w:ascii="Courier New" w:cs="Courier New" w:eastAsia="Courier New" w:hAnsi="Courier New"/>
          <w:sz w:val="15"/>
          <w:szCs w:val="15"/>
          <w:color w:val="auto"/>
        </w:rPr>
        <w:t>Consolidated</w:t>
      </w:r>
    </w:p>
    <w:p>
      <w:pPr>
        <w:spacing w:after="0" w:line="200" w:lineRule="exact"/>
        <w:rPr>
          <w:sz w:val="20"/>
          <w:szCs w:val="20"/>
          <w:color w:val="auto"/>
        </w:rPr>
      </w:pPr>
    </w:p>
    <w:p>
      <w:pPr>
        <w:spacing w:after="0" w:line="35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1160"/>
          </w:cols>
          <w:pgMar w:left="240" w:top="1215" w:right="499" w:bottom="1440" w:gutter="0" w:footer="0" w:header="0"/>
        </w:sectPr>
      </w:pPr>
    </w:p>
    <w:bookmarkStart w:id="17" w:name="page18"/>
    <w:bookmarkEnd w:id="17"/>
    <w:p>
      <w:pPr>
        <w:jc w:val="center"/>
        <w:ind w:right="2597"/>
        <w:spacing w:after="0"/>
        <w:rPr>
          <w:sz w:val="20"/>
          <w:szCs w:val="20"/>
          <w:color w:val="auto"/>
        </w:rPr>
      </w:pPr>
      <w:r>
        <w:rPr>
          <w:rFonts w:ascii="Courier New" w:cs="Courier New" w:eastAsia="Courier New" w:hAnsi="Courier New"/>
          <w:sz w:val="16"/>
          <w:szCs w:val="16"/>
          <w:color w:val="auto"/>
        </w:rPr>
        <w:t>Balance Sheet NN Ball &amp; Roller, Inc.</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Notes to Unaudited Pro Forma</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Consolidated Balance Sheet</w:t>
      </w:r>
    </w:p>
    <w:p>
      <w:pPr>
        <w:spacing w:after="0" w:line="372" w:lineRule="exact"/>
        <w:rPr>
          <w:sz w:val="20"/>
          <w:szCs w:val="20"/>
          <w:color w:val="auto"/>
        </w:rPr>
      </w:pPr>
    </w:p>
    <w:p>
      <w:pPr>
        <w:jc w:val="both"/>
        <w:ind w:left="862" w:right="2599" w:hanging="862"/>
        <w:spacing w:after="0"/>
        <w:tabs>
          <w:tab w:leader="none" w:pos="86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IM assets purchased and liabilities assumed, recorded at historical cost, by the Company from the IM acquistion as if the acquisition occurred on June 30, 1999.</w:t>
      </w:r>
    </w:p>
    <w:p>
      <w:pPr>
        <w:spacing w:after="0" w:line="189" w:lineRule="exact"/>
        <w:rPr>
          <w:rFonts w:ascii="Courier New" w:cs="Courier New" w:eastAsia="Courier New" w:hAnsi="Courier New"/>
          <w:sz w:val="16"/>
          <w:szCs w:val="16"/>
          <w:color w:val="auto"/>
        </w:rPr>
      </w:pPr>
    </w:p>
    <w:p>
      <w:pPr>
        <w:jc w:val="both"/>
        <w:ind w:left="862" w:right="2599" w:hanging="862"/>
        <w:spacing w:after="0" w:line="242" w:lineRule="auto"/>
        <w:tabs>
          <w:tab w:leader="none" w:pos="86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Company's payment for the net assets acquired from IM. The Company paid $27.3 million in cash and issued 440,038 shares of its common stock in consideration for the net assets of IM. The total consideration for the acquisition is approximately $29.8 million. The Company financed the acquisition by drawing down an existing line of credit with First American National Bank.</w:t>
      </w:r>
    </w:p>
    <w:p>
      <w:pPr>
        <w:spacing w:after="0" w:line="200" w:lineRule="exact"/>
        <w:rPr>
          <w:sz w:val="20"/>
          <w:szCs w:val="20"/>
          <w:color w:val="auto"/>
        </w:rPr>
      </w:pPr>
    </w:p>
    <w:p>
      <w:pPr>
        <w:spacing w:after="0" w:line="351"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1"/>
          </w:cols>
          <w:pgMar w:left="238" w:top="848" w:right="1440" w:bottom="1440" w:gutter="0" w:footer="0" w:header="0"/>
        </w:sectPr>
      </w:pPr>
    </w:p>
    <w:bookmarkStart w:id="18" w:name="page19"/>
    <w:bookmarkEnd w:id="18"/>
    <w:p>
      <w:pPr>
        <w:jc w:val="center"/>
        <w:ind w:right="3720"/>
        <w:spacing w:after="0"/>
        <w:rPr>
          <w:sz w:val="20"/>
          <w:szCs w:val="20"/>
          <w:color w:val="auto"/>
        </w:rPr>
      </w:pPr>
      <w:r>
        <w:rPr>
          <w:rFonts w:ascii="Courier New" w:cs="Courier New" w:eastAsia="Courier New" w:hAnsi="Courier New"/>
          <w:sz w:val="16"/>
          <w:szCs w:val="16"/>
          <w:color w:val="auto"/>
        </w:rPr>
        <w:t>NN Ball &amp; Roller, Inc.</w:t>
      </w:r>
    </w:p>
    <w:p>
      <w:pPr>
        <w:spacing w:after="0" w:line="2"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6"/>
          <w:szCs w:val="16"/>
          <w:color w:val="auto"/>
        </w:rPr>
        <w:t>Statements of Income and Comprehensive Income</w:t>
      </w:r>
    </w:p>
    <w:p>
      <w:pPr>
        <w:spacing w:after="0" w:line="2"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6"/>
          <w:szCs w:val="16"/>
          <w:color w:val="auto"/>
        </w:rPr>
        <w:t>For The Twelve Months Ended December 31, 1998</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20" w:type="dxa"/>
            <w:vAlign w:val="bottom"/>
            <w:gridSpan w:val="2"/>
          </w:tcPr>
          <w:p>
            <w:pPr>
              <w:ind w:left="2100"/>
              <w:spacing w:after="0"/>
              <w:rPr>
                <w:sz w:val="20"/>
                <w:szCs w:val="20"/>
                <w:color w:val="auto"/>
              </w:rPr>
            </w:pPr>
            <w:r>
              <w:rPr>
                <w:rFonts w:ascii="Courier New" w:cs="Courier New" w:eastAsia="Courier New" w:hAnsi="Courier New"/>
                <w:sz w:val="16"/>
                <w:szCs w:val="16"/>
                <w:color w:val="auto"/>
              </w:rPr>
              <w:t>(In Thousands Except Per Share Data)</w:t>
            </w: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734"/>
        </w:trPr>
        <w:tc>
          <w:tcPr>
            <w:tcW w:w="4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Industrial</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3"/>
        </w:trPr>
        <w:tc>
          <w:tcPr>
            <w:tcW w:w="4680" w:type="dxa"/>
            <w:vAlign w:val="bottom"/>
          </w:tcPr>
          <w:p>
            <w:pPr>
              <w:spacing w:after="0"/>
              <w:rPr>
                <w:sz w:val="15"/>
                <w:szCs w:val="15"/>
                <w:color w:val="auto"/>
              </w:rPr>
            </w:pPr>
          </w:p>
        </w:tc>
        <w:tc>
          <w:tcPr>
            <w:tcW w:w="18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Actual</w:t>
            </w:r>
          </w:p>
        </w:tc>
        <w:tc>
          <w:tcPr>
            <w:tcW w:w="196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Molding (a)</w:t>
            </w: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Adjustments</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Pro Forma</w:t>
            </w:r>
          </w:p>
        </w:tc>
      </w:tr>
      <w:tr>
        <w:trPr>
          <w:trHeight w:val="183"/>
        </w:trPr>
        <w:tc>
          <w:tcPr>
            <w:tcW w:w="4680" w:type="dxa"/>
            <w:vAlign w:val="bottom"/>
          </w:tcPr>
          <w:p>
            <w:pPr>
              <w:spacing w:after="0"/>
              <w:rPr>
                <w:sz w:val="15"/>
                <w:szCs w:val="15"/>
                <w:color w:val="auto"/>
              </w:rPr>
            </w:pPr>
          </w:p>
        </w:tc>
        <w:tc>
          <w:tcPr>
            <w:tcW w:w="666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550"/>
        </w:trPr>
        <w:tc>
          <w:tcPr>
            <w:tcW w:w="468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$ 73,006</w:t>
            </w:r>
          </w:p>
        </w:tc>
        <w:tc>
          <w:tcPr>
            <w:tcW w:w="19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$ 28,129</w:t>
            </w:r>
          </w:p>
        </w:tc>
        <w:tc>
          <w:tcPr>
            <w:tcW w:w="1480" w:type="dxa"/>
            <w:vAlign w:val="bottom"/>
          </w:tcPr>
          <w:p>
            <w:pPr>
              <w:spacing w:after="0"/>
              <w:rPr>
                <w:sz w:val="24"/>
                <w:szCs w:val="24"/>
                <w:color w:val="auto"/>
              </w:rPr>
            </w:pP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$ 101,135</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Cost of products sold</w:t>
            </w:r>
          </w:p>
        </w:tc>
        <w:tc>
          <w:tcPr>
            <w:tcW w:w="1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50,353</w:t>
            </w:r>
          </w:p>
        </w:tc>
        <w:tc>
          <w:tcPr>
            <w:tcW w:w="19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22,853</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(1,429 (b))</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71,777</w:t>
            </w:r>
          </w:p>
        </w:tc>
      </w:tr>
      <w:tr>
        <w:trPr>
          <w:trHeight w:val="183"/>
        </w:trPr>
        <w:tc>
          <w:tcPr>
            <w:tcW w:w="4680" w:type="dxa"/>
            <w:vAlign w:val="bottom"/>
          </w:tcPr>
          <w:p>
            <w:pPr>
              <w:spacing w:after="0"/>
              <w:rPr>
                <w:sz w:val="15"/>
                <w:szCs w:val="15"/>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22,653</w:t>
            </w:r>
          </w:p>
        </w:tc>
        <w:tc>
          <w:tcPr>
            <w:tcW w:w="124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5,276</w:t>
            </w:r>
          </w:p>
        </w:tc>
        <w:tc>
          <w:tcPr>
            <w:tcW w:w="1480" w:type="dxa"/>
            <w:vAlign w:val="bottom"/>
          </w:tcPr>
          <w:p>
            <w:pPr>
              <w:spacing w:after="0"/>
              <w:rPr>
                <w:sz w:val="15"/>
                <w:szCs w:val="15"/>
                <w:color w:val="auto"/>
              </w:rPr>
            </w:pP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29,358</w:t>
            </w:r>
          </w:p>
        </w:tc>
      </w:tr>
      <w:tr>
        <w:trPr>
          <w:trHeight w:val="367"/>
        </w:trPr>
        <w:tc>
          <w:tcPr>
            <w:tcW w:w="468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 expenses</w:t>
            </w:r>
          </w:p>
        </w:tc>
        <w:tc>
          <w:tcPr>
            <w:tcW w:w="1240" w:type="dxa"/>
            <w:vAlign w:val="bottom"/>
          </w:tcPr>
          <w:p>
            <w:pPr>
              <w:spacing w:after="0"/>
              <w:rPr>
                <w:sz w:val="24"/>
                <w:szCs w:val="24"/>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5,896</w:t>
            </w:r>
          </w:p>
        </w:tc>
        <w:tc>
          <w:tcPr>
            <w:tcW w:w="1240" w:type="dxa"/>
            <w:vAlign w:val="bottom"/>
          </w:tcPr>
          <w:p>
            <w:pPr>
              <w:spacing w:after="0"/>
              <w:rPr>
                <w:sz w:val="24"/>
                <w:szCs w:val="24"/>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4,869</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(222) (b)</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10,543</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24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4,557</w:t>
            </w:r>
          </w:p>
        </w:tc>
        <w:tc>
          <w:tcPr>
            <w:tcW w:w="124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2,364 (b)</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6,921</w:t>
            </w:r>
          </w:p>
        </w:tc>
      </w:tr>
      <w:tr>
        <w:trPr>
          <w:trHeight w:val="183"/>
        </w:trPr>
        <w:tc>
          <w:tcPr>
            <w:tcW w:w="4680" w:type="dxa"/>
            <w:vAlign w:val="bottom"/>
          </w:tcPr>
          <w:p>
            <w:pPr>
              <w:spacing w:after="0"/>
              <w:rPr>
                <w:sz w:val="15"/>
                <w:szCs w:val="15"/>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12,200</w:t>
            </w:r>
          </w:p>
        </w:tc>
        <w:tc>
          <w:tcPr>
            <w:tcW w:w="124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407</w:t>
            </w:r>
          </w:p>
        </w:tc>
        <w:tc>
          <w:tcPr>
            <w:tcW w:w="1480" w:type="dxa"/>
            <w:vAlign w:val="bottom"/>
          </w:tcPr>
          <w:p>
            <w:pPr>
              <w:spacing w:after="0"/>
              <w:rPr>
                <w:sz w:val="15"/>
                <w:szCs w:val="15"/>
                <w:color w:val="auto"/>
              </w:rPr>
            </w:pP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11,894</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24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64</w:t>
            </w:r>
          </w:p>
        </w:tc>
        <w:tc>
          <w:tcPr>
            <w:tcW w:w="124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1,311 (c)</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1,375</w:t>
            </w:r>
          </w:p>
        </w:tc>
      </w:tr>
      <w:tr>
        <w:trPr>
          <w:trHeight w:val="183"/>
        </w:trPr>
        <w:tc>
          <w:tcPr>
            <w:tcW w:w="4680" w:type="dxa"/>
            <w:vAlign w:val="bottom"/>
          </w:tcPr>
          <w:p>
            <w:pPr>
              <w:spacing w:after="0"/>
              <w:rPr>
                <w:sz w:val="15"/>
                <w:szCs w:val="15"/>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Income before provision for income taxes</w:t>
            </w:r>
          </w:p>
        </w:tc>
        <w:tc>
          <w:tcPr>
            <w:tcW w:w="1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12,136</w:t>
            </w:r>
          </w:p>
        </w:tc>
        <w:tc>
          <w:tcPr>
            <w:tcW w:w="124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407</w:t>
            </w:r>
          </w:p>
        </w:tc>
        <w:tc>
          <w:tcPr>
            <w:tcW w:w="1480" w:type="dxa"/>
            <w:vAlign w:val="bottom"/>
          </w:tcPr>
          <w:p>
            <w:pPr>
              <w:spacing w:after="0"/>
              <w:rPr>
                <w:sz w:val="15"/>
                <w:szCs w:val="15"/>
                <w:color w:val="auto"/>
              </w:rPr>
            </w:pP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10,519</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24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4,480</w:t>
            </w:r>
          </w:p>
        </w:tc>
        <w:tc>
          <w:tcPr>
            <w:tcW w:w="124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(598) (d)</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3,882</w:t>
            </w:r>
          </w:p>
        </w:tc>
      </w:tr>
      <w:tr>
        <w:trPr>
          <w:trHeight w:val="183"/>
        </w:trPr>
        <w:tc>
          <w:tcPr>
            <w:tcW w:w="4680" w:type="dxa"/>
            <w:vAlign w:val="bottom"/>
          </w:tcPr>
          <w:p>
            <w:pPr>
              <w:spacing w:after="0"/>
              <w:rPr>
                <w:sz w:val="15"/>
                <w:szCs w:val="15"/>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$ 7,656</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407</w:t>
            </w:r>
          </w:p>
        </w:tc>
        <w:tc>
          <w:tcPr>
            <w:tcW w:w="1480" w:type="dxa"/>
            <w:vAlign w:val="bottom"/>
          </w:tcPr>
          <w:p>
            <w:pPr>
              <w:spacing w:after="0"/>
              <w:rPr>
                <w:sz w:val="15"/>
                <w:szCs w:val="15"/>
                <w:color w:val="auto"/>
              </w:rPr>
            </w:pP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6,637</w:t>
            </w:r>
          </w:p>
        </w:tc>
      </w:tr>
      <w:tr>
        <w:trPr>
          <w:trHeight w:val="183"/>
        </w:trPr>
        <w:tc>
          <w:tcPr>
            <w:tcW w:w="4680" w:type="dxa"/>
            <w:vAlign w:val="bottom"/>
          </w:tcPr>
          <w:p>
            <w:pPr>
              <w:spacing w:after="0"/>
              <w:rPr>
                <w:sz w:val="15"/>
                <w:szCs w:val="15"/>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Other comprehensive income:</w:t>
            </w: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3"/>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Foreign currency translation</w:t>
            </w:r>
          </w:p>
        </w:tc>
        <w:tc>
          <w:tcPr>
            <w:tcW w:w="124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352</w:t>
            </w:r>
          </w:p>
        </w:tc>
        <w:tc>
          <w:tcPr>
            <w:tcW w:w="124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5"/>
                <w:szCs w:val="15"/>
                <w:color w:val="auto"/>
              </w:rPr>
            </w:pP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352</w:t>
            </w:r>
          </w:p>
        </w:tc>
      </w:tr>
      <w:tr>
        <w:trPr>
          <w:trHeight w:val="183"/>
        </w:trPr>
        <w:tc>
          <w:tcPr>
            <w:tcW w:w="4680" w:type="dxa"/>
            <w:vAlign w:val="bottom"/>
          </w:tcPr>
          <w:p>
            <w:pPr>
              <w:spacing w:after="0"/>
              <w:rPr>
                <w:sz w:val="15"/>
                <w:szCs w:val="15"/>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Other comprehensive income</w:t>
            </w:r>
          </w:p>
        </w:tc>
        <w:tc>
          <w:tcPr>
            <w:tcW w:w="124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352</w:t>
            </w:r>
          </w:p>
        </w:tc>
        <w:tc>
          <w:tcPr>
            <w:tcW w:w="124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5"/>
                <w:szCs w:val="15"/>
                <w:color w:val="auto"/>
              </w:rPr>
            </w:pP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352</w:t>
            </w:r>
          </w:p>
        </w:tc>
      </w:tr>
      <w:tr>
        <w:trPr>
          <w:trHeight w:val="183"/>
        </w:trPr>
        <w:tc>
          <w:tcPr>
            <w:tcW w:w="4680" w:type="dxa"/>
            <w:vAlign w:val="bottom"/>
          </w:tcPr>
          <w:p>
            <w:pPr>
              <w:spacing w:after="0"/>
              <w:rPr>
                <w:sz w:val="15"/>
                <w:szCs w:val="15"/>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Comprehensive income</w:t>
            </w:r>
          </w:p>
        </w:tc>
        <w:tc>
          <w:tcPr>
            <w:tcW w:w="1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$ 8,008</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407</w:t>
            </w:r>
          </w:p>
        </w:tc>
        <w:tc>
          <w:tcPr>
            <w:tcW w:w="1480" w:type="dxa"/>
            <w:vAlign w:val="bottom"/>
          </w:tcPr>
          <w:p>
            <w:pPr>
              <w:spacing w:after="0"/>
              <w:rPr>
                <w:sz w:val="15"/>
                <w:szCs w:val="15"/>
                <w:color w:val="auto"/>
              </w:rPr>
            </w:pP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$ 6,989</w:t>
            </w:r>
          </w:p>
        </w:tc>
      </w:tr>
      <w:tr>
        <w:trPr>
          <w:trHeight w:val="183"/>
        </w:trPr>
        <w:tc>
          <w:tcPr>
            <w:tcW w:w="4680" w:type="dxa"/>
            <w:vAlign w:val="bottom"/>
          </w:tcPr>
          <w:p>
            <w:pPr>
              <w:spacing w:after="0"/>
              <w:rPr>
                <w:sz w:val="15"/>
                <w:szCs w:val="15"/>
                <w:color w:val="auto"/>
              </w:rPr>
            </w:pPr>
          </w:p>
        </w:tc>
        <w:tc>
          <w:tcPr>
            <w:tcW w:w="3760" w:type="dxa"/>
            <w:vAlign w:val="bottom"/>
            <w:gridSpan w:val="4"/>
          </w:tcPr>
          <w:p>
            <w:pPr>
              <w:jc w:val="right"/>
              <w:ind w:right="61"/>
              <w:spacing w:after="0"/>
              <w:rPr>
                <w:sz w:val="20"/>
                <w:szCs w:val="20"/>
                <w:color w:val="auto"/>
              </w:rPr>
            </w:pPr>
            <w:r>
              <w:rPr>
                <w:rFonts w:ascii="Courier New" w:cs="Courier New" w:eastAsia="Courier New" w:hAnsi="Courier New"/>
                <w:sz w:val="16"/>
                <w:szCs w:val="16"/>
                <w:color w:val="auto"/>
              </w:rPr>
              <w:t>============== ==================</w:t>
            </w:r>
          </w:p>
        </w:tc>
        <w:tc>
          <w:tcPr>
            <w:tcW w:w="14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Net income per share</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0.52</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5"/>
                <w:szCs w:val="15"/>
                <w:color w:val="auto"/>
              </w:rPr>
            </w:pP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$ 0.44</w:t>
            </w:r>
          </w:p>
        </w:tc>
      </w:tr>
      <w:tr>
        <w:trPr>
          <w:trHeight w:val="183"/>
        </w:trPr>
        <w:tc>
          <w:tcPr>
            <w:tcW w:w="4680" w:type="dxa"/>
            <w:vAlign w:val="bottom"/>
          </w:tcPr>
          <w:p>
            <w:pPr>
              <w:spacing w:after="0"/>
              <w:rPr>
                <w:sz w:val="15"/>
                <w:szCs w:val="15"/>
                <w:color w:val="auto"/>
              </w:rPr>
            </w:pPr>
          </w:p>
        </w:tc>
        <w:tc>
          <w:tcPr>
            <w:tcW w:w="3760" w:type="dxa"/>
            <w:vAlign w:val="bottom"/>
            <w:gridSpan w:val="4"/>
          </w:tcPr>
          <w:p>
            <w:pPr>
              <w:jc w:val="right"/>
              <w:ind w:right="61"/>
              <w:spacing w:after="0"/>
              <w:rPr>
                <w:sz w:val="20"/>
                <w:szCs w:val="20"/>
                <w:color w:val="auto"/>
              </w:rPr>
            </w:pPr>
            <w:r>
              <w:rPr>
                <w:rFonts w:ascii="Courier New" w:cs="Courier New" w:eastAsia="Courier New" w:hAnsi="Courier New"/>
                <w:sz w:val="16"/>
                <w:szCs w:val="16"/>
                <w:color w:val="auto"/>
              </w:rPr>
              <w:t>============== ==================</w:t>
            </w:r>
          </w:p>
        </w:tc>
        <w:tc>
          <w:tcPr>
            <w:tcW w:w="14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Shares outstanding</w:t>
            </w:r>
          </w:p>
        </w:tc>
        <w:tc>
          <w:tcPr>
            <w:tcW w:w="1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14,804</w:t>
            </w:r>
          </w:p>
        </w:tc>
        <w:tc>
          <w:tcPr>
            <w:tcW w:w="124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440 (e)</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15,244</w:t>
            </w:r>
          </w:p>
        </w:tc>
      </w:tr>
      <w:tr>
        <w:trPr>
          <w:trHeight w:val="183"/>
        </w:trPr>
        <w:tc>
          <w:tcPr>
            <w:tcW w:w="4680" w:type="dxa"/>
            <w:vAlign w:val="bottom"/>
          </w:tcPr>
          <w:p>
            <w:pPr>
              <w:spacing w:after="0"/>
              <w:rPr>
                <w:sz w:val="15"/>
                <w:szCs w:val="15"/>
                <w:color w:val="auto"/>
              </w:rPr>
            </w:pPr>
          </w:p>
        </w:tc>
        <w:tc>
          <w:tcPr>
            <w:tcW w:w="3760" w:type="dxa"/>
            <w:vAlign w:val="bottom"/>
            <w:gridSpan w:val="4"/>
          </w:tcPr>
          <w:p>
            <w:pPr>
              <w:jc w:val="right"/>
              <w:ind w:right="61"/>
              <w:spacing w:after="0"/>
              <w:rPr>
                <w:sz w:val="20"/>
                <w:szCs w:val="20"/>
                <w:color w:val="auto"/>
              </w:rPr>
            </w:pPr>
            <w:r>
              <w:rPr>
                <w:rFonts w:ascii="Courier New" w:cs="Courier New" w:eastAsia="Courier New" w:hAnsi="Courier New"/>
                <w:sz w:val="16"/>
                <w:szCs w:val="16"/>
                <w:color w:val="auto"/>
              </w:rPr>
              <w:t>============== ==================</w:t>
            </w:r>
          </w:p>
        </w:tc>
        <w:tc>
          <w:tcPr>
            <w:tcW w:w="14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Net income per share - assuming dilution</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052</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5"/>
                <w:szCs w:val="15"/>
                <w:color w:val="auto"/>
              </w:rPr>
            </w:pP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$ 0.44</w:t>
            </w:r>
          </w:p>
        </w:tc>
      </w:tr>
      <w:tr>
        <w:trPr>
          <w:trHeight w:val="183"/>
        </w:trPr>
        <w:tc>
          <w:tcPr>
            <w:tcW w:w="4680" w:type="dxa"/>
            <w:vAlign w:val="bottom"/>
          </w:tcPr>
          <w:p>
            <w:pPr>
              <w:spacing w:after="0"/>
              <w:rPr>
                <w:sz w:val="15"/>
                <w:szCs w:val="15"/>
                <w:color w:val="auto"/>
              </w:rPr>
            </w:pPr>
          </w:p>
        </w:tc>
        <w:tc>
          <w:tcPr>
            <w:tcW w:w="3760" w:type="dxa"/>
            <w:vAlign w:val="bottom"/>
            <w:gridSpan w:val="4"/>
          </w:tcPr>
          <w:p>
            <w:pPr>
              <w:jc w:val="right"/>
              <w:ind w:right="61"/>
              <w:spacing w:after="0"/>
              <w:rPr>
                <w:sz w:val="20"/>
                <w:szCs w:val="20"/>
                <w:color w:val="auto"/>
              </w:rPr>
            </w:pPr>
            <w:r>
              <w:rPr>
                <w:rFonts w:ascii="Courier New" w:cs="Courier New" w:eastAsia="Courier New" w:hAnsi="Courier New"/>
                <w:sz w:val="16"/>
                <w:szCs w:val="16"/>
                <w:color w:val="auto"/>
              </w:rPr>
              <w:t>============== ==================</w:t>
            </w:r>
          </w:p>
        </w:tc>
        <w:tc>
          <w:tcPr>
            <w:tcW w:w="14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Shares outstanding</w:t>
            </w:r>
          </w:p>
        </w:tc>
        <w:tc>
          <w:tcPr>
            <w:tcW w:w="1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14,804</w:t>
            </w:r>
          </w:p>
        </w:tc>
        <w:tc>
          <w:tcPr>
            <w:tcW w:w="124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440 (e)</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15,244</w:t>
            </w:r>
          </w:p>
        </w:tc>
      </w:tr>
      <w:tr>
        <w:trPr>
          <w:trHeight w:val="183"/>
        </w:trPr>
        <w:tc>
          <w:tcPr>
            <w:tcW w:w="4680" w:type="dxa"/>
            <w:vAlign w:val="bottom"/>
          </w:tcPr>
          <w:p>
            <w:pPr>
              <w:spacing w:after="0"/>
              <w:rPr>
                <w:sz w:val="15"/>
                <w:szCs w:val="15"/>
                <w:color w:val="auto"/>
              </w:rPr>
            </w:pPr>
          </w:p>
        </w:tc>
        <w:tc>
          <w:tcPr>
            <w:tcW w:w="3760" w:type="dxa"/>
            <w:vAlign w:val="bottom"/>
            <w:gridSpan w:val="4"/>
          </w:tcPr>
          <w:p>
            <w:pPr>
              <w:jc w:val="right"/>
              <w:ind w:right="61"/>
              <w:spacing w:after="0"/>
              <w:rPr>
                <w:sz w:val="20"/>
                <w:szCs w:val="20"/>
                <w:color w:val="auto"/>
              </w:rPr>
            </w:pPr>
            <w:r>
              <w:rPr>
                <w:rFonts w:ascii="Courier New" w:cs="Courier New" w:eastAsia="Courier New" w:hAnsi="Courier New"/>
                <w:sz w:val="16"/>
                <w:szCs w:val="16"/>
                <w:color w:val="auto"/>
              </w:rPr>
              <w:t>============== ==================</w:t>
            </w:r>
          </w:p>
        </w:tc>
        <w:tc>
          <w:tcPr>
            <w:tcW w:w="14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Unaudited Pro Forma Statements of Income and Comprehensive Income</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1340"/>
          </w:cols>
          <w:pgMar w:left="240" w:top="1398" w:right="319" w:bottom="1440" w:gutter="0" w:footer="0" w:header="0"/>
        </w:sectPr>
      </w:pPr>
    </w:p>
    <w:bookmarkStart w:id="19" w:name="page20"/>
    <w:bookmarkEnd w:id="19"/>
    <w:p>
      <w:pPr>
        <w:ind w:left="2482" w:right="5079" w:firstLine="284"/>
        <w:spacing w:after="0" w:line="259" w:lineRule="auto"/>
        <w:tabs>
          <w:tab w:leader="none" w:pos="305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Ball &amp; Roller, Inc. Notes to Unaudited Pro Forma</w:t>
      </w:r>
    </w:p>
    <w:p>
      <w:pPr>
        <w:ind w:left="1722"/>
        <w:spacing w:after="0" w:line="236" w:lineRule="auto"/>
        <w:rPr>
          <w:sz w:val="20"/>
          <w:szCs w:val="20"/>
          <w:color w:val="auto"/>
        </w:rPr>
      </w:pPr>
      <w:r>
        <w:rPr>
          <w:rFonts w:ascii="Courier New" w:cs="Courier New" w:eastAsia="Courier New" w:hAnsi="Courier New"/>
          <w:sz w:val="16"/>
          <w:szCs w:val="16"/>
          <w:color w:val="auto"/>
        </w:rPr>
        <w:t>Statements of Income and Comprehensive Income</w:t>
      </w:r>
    </w:p>
    <w:p>
      <w:pPr>
        <w:spacing w:after="0" w:line="372" w:lineRule="exact"/>
        <w:rPr>
          <w:sz w:val="20"/>
          <w:szCs w:val="20"/>
          <w:color w:val="auto"/>
        </w:rPr>
      </w:pPr>
    </w:p>
    <w:p>
      <w:pPr>
        <w:ind w:left="482" w:right="2599" w:hanging="482"/>
        <w:spacing w:after="0" w:line="239" w:lineRule="auto"/>
        <w:tabs>
          <w:tab w:leader="none" w:pos="4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historical results for IM for the twelve month period ended January 2, 1999.</w:t>
      </w:r>
    </w:p>
    <w:p>
      <w:pPr>
        <w:spacing w:after="0" w:line="189" w:lineRule="exact"/>
        <w:rPr>
          <w:rFonts w:ascii="Courier New" w:cs="Courier New" w:eastAsia="Courier New" w:hAnsi="Courier New"/>
          <w:sz w:val="16"/>
          <w:szCs w:val="16"/>
          <w:color w:val="auto"/>
        </w:rPr>
      </w:pPr>
    </w:p>
    <w:p>
      <w:pPr>
        <w:jc w:val="both"/>
        <w:ind w:left="482" w:right="2599" w:hanging="482"/>
        <w:spacing w:after="0" w:line="241" w:lineRule="auto"/>
        <w:tabs>
          <w:tab w:leader="none" w:pos="4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reclassification of IM's depreciation expense for consistency with the presentation of the Company's financial statements for the year ended December 31, 1998 and the amortization of intangible assets incurred in conjunction with the IM acquisition over a period of 20 years.</w:t>
      </w:r>
    </w:p>
    <w:p>
      <w:pPr>
        <w:spacing w:after="0" w:line="189" w:lineRule="exact"/>
        <w:rPr>
          <w:rFonts w:ascii="Courier New" w:cs="Courier New" w:eastAsia="Courier New" w:hAnsi="Courier New"/>
          <w:sz w:val="16"/>
          <w:szCs w:val="16"/>
          <w:color w:val="auto"/>
        </w:rPr>
      </w:pPr>
    </w:p>
    <w:p>
      <w:pPr>
        <w:jc w:val="both"/>
        <w:ind w:left="482" w:right="2599" w:hanging="482"/>
        <w:spacing w:after="0" w:line="241" w:lineRule="auto"/>
        <w:tabs>
          <w:tab w:leader="none" w:pos="4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interest expense incurred in connection with additional borrowings outstanding which were used to finance the IM acquisition. These additional borrowings were made under the Company's existing bank facility with First American Bank at an interest rate of 6%.</w:t>
      </w:r>
    </w:p>
    <w:p>
      <w:pPr>
        <w:spacing w:after="0" w:line="189" w:lineRule="exact"/>
        <w:rPr>
          <w:rFonts w:ascii="Courier New" w:cs="Courier New" w:eastAsia="Courier New" w:hAnsi="Courier New"/>
          <w:sz w:val="16"/>
          <w:szCs w:val="16"/>
          <w:color w:val="auto"/>
        </w:rPr>
      </w:pPr>
    </w:p>
    <w:p>
      <w:pPr>
        <w:jc w:val="both"/>
        <w:ind w:left="482" w:right="2599" w:hanging="482"/>
        <w:spacing w:after="0"/>
        <w:tabs>
          <w:tab w:leader="none" w:pos="4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federal and state taxes applied to IM and to adjustments at a rate of 37%. Prior to the acquisition Industrial Molding Corporation was a S corporation and not subject to federal taxes.</w:t>
      </w:r>
    </w:p>
    <w:p>
      <w:pPr>
        <w:spacing w:after="0" w:line="187"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shares issued in conjunction with the acquisition of 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1"/>
          </w:cols>
          <w:pgMar w:left="238" w:top="1034" w:right="1440" w:bottom="1440" w:gutter="0" w:footer="0" w:header="0"/>
        </w:sectPr>
      </w:pPr>
    </w:p>
    <w:bookmarkStart w:id="20" w:name="page21"/>
    <w:bookmarkEnd w:id="20"/>
    <w:p>
      <w:pPr>
        <w:ind w:left="2760"/>
        <w:spacing w:after="0"/>
        <w:rPr>
          <w:sz w:val="20"/>
          <w:szCs w:val="20"/>
          <w:color w:val="auto"/>
        </w:rPr>
      </w:pPr>
      <w:r>
        <w:rPr>
          <w:rFonts w:ascii="Courier New" w:cs="Courier New" w:eastAsia="Courier New" w:hAnsi="Courier New"/>
          <w:sz w:val="16"/>
          <w:szCs w:val="16"/>
          <w:color w:val="auto"/>
        </w:rPr>
        <w:t>NN Ball &amp; Roller, Inc.</w:t>
      </w:r>
    </w:p>
    <w:p>
      <w:pPr>
        <w:spacing w:after="0" w:line="2"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Statements of Income and Comprehensive Income</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For The Six Months Ended June 30, 1999</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Industrial</w:t>
            </w:r>
          </w:p>
        </w:tc>
        <w:tc>
          <w:tcPr>
            <w:tcW w:w="6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3"/>
        </w:trPr>
        <w:tc>
          <w:tcPr>
            <w:tcW w:w="4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Molding</w:t>
            </w:r>
          </w:p>
        </w:tc>
        <w:tc>
          <w:tcPr>
            <w:tcW w:w="6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3"/>
        </w:trPr>
        <w:tc>
          <w:tcPr>
            <w:tcW w:w="4720" w:type="dxa"/>
            <w:vAlign w:val="bottom"/>
          </w:tcPr>
          <w:p>
            <w:pPr>
              <w:spacing w:after="0"/>
              <w:rPr>
                <w:sz w:val="15"/>
                <w:szCs w:val="15"/>
                <w:color w:val="auto"/>
              </w:rPr>
            </w:pPr>
          </w:p>
        </w:tc>
        <w:tc>
          <w:tcPr>
            <w:tcW w:w="18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Actual</w:t>
            </w:r>
          </w:p>
        </w:tc>
        <w:tc>
          <w:tcPr>
            <w:tcW w:w="21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Corporation (a)</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Adjustments</w:t>
            </w:r>
          </w:p>
        </w:tc>
        <w:tc>
          <w:tcPr>
            <w:tcW w:w="142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Pro Forma</w:t>
            </w:r>
          </w:p>
        </w:tc>
      </w:tr>
      <w:tr>
        <w:trPr>
          <w:trHeight w:val="183"/>
        </w:trPr>
        <w:tc>
          <w:tcPr>
            <w:tcW w:w="4720" w:type="dxa"/>
            <w:vAlign w:val="bottom"/>
          </w:tcPr>
          <w:p>
            <w:pPr>
              <w:spacing w:after="0"/>
              <w:rPr>
                <w:sz w:val="15"/>
                <w:szCs w:val="15"/>
                <w:color w:val="auto"/>
              </w:rPr>
            </w:pPr>
          </w:p>
        </w:tc>
        <w:tc>
          <w:tcPr>
            <w:tcW w:w="680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$35,387</w:t>
            </w:r>
          </w:p>
        </w:tc>
        <w:tc>
          <w:tcPr>
            <w:tcW w:w="21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$ 16,267</w:t>
            </w:r>
          </w:p>
        </w:tc>
        <w:tc>
          <w:tcPr>
            <w:tcW w:w="1420" w:type="dxa"/>
            <w:vAlign w:val="bottom"/>
          </w:tcPr>
          <w:p>
            <w:pPr>
              <w:spacing w:after="0"/>
              <w:rPr>
                <w:sz w:val="24"/>
                <w:szCs w:val="24"/>
                <w:color w:val="auto"/>
              </w:rPr>
            </w:pP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$ 51,654</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Cost of products sold</w:t>
            </w:r>
          </w:p>
        </w:tc>
        <w:tc>
          <w:tcPr>
            <w:tcW w:w="12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25,114</w:t>
            </w:r>
          </w:p>
        </w:tc>
        <w:tc>
          <w:tcPr>
            <w:tcW w:w="21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12,180</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 (411) (b)</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36,883</w:t>
            </w:r>
          </w:p>
        </w:tc>
      </w:tr>
      <w:tr>
        <w:trPr>
          <w:trHeight w:val="183"/>
        </w:trPr>
        <w:tc>
          <w:tcPr>
            <w:tcW w:w="4720" w:type="dxa"/>
            <w:vAlign w:val="bottom"/>
          </w:tcPr>
          <w:p>
            <w:pPr>
              <w:spacing w:after="0"/>
              <w:rPr>
                <w:sz w:val="15"/>
                <w:szCs w:val="15"/>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2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10,273</w:t>
            </w:r>
          </w:p>
        </w:tc>
        <w:tc>
          <w:tcPr>
            <w:tcW w:w="1420" w:type="dxa"/>
            <w:vAlign w:val="bottom"/>
          </w:tcPr>
          <w:p>
            <w:pPr>
              <w:spacing w:after="0"/>
              <w:rPr>
                <w:sz w:val="15"/>
                <w:szCs w:val="15"/>
                <w:color w:val="auto"/>
              </w:rPr>
            </w:pP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4,087</w:t>
            </w:r>
          </w:p>
        </w:tc>
        <w:tc>
          <w:tcPr>
            <w:tcW w:w="1420" w:type="dxa"/>
            <w:vAlign w:val="bottom"/>
          </w:tcPr>
          <w:p>
            <w:pPr>
              <w:spacing w:after="0"/>
              <w:rPr>
                <w:sz w:val="15"/>
                <w:szCs w:val="15"/>
                <w:color w:val="auto"/>
              </w:rPr>
            </w:pP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14,771</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 expenses</w:t>
            </w:r>
          </w:p>
        </w:tc>
        <w:tc>
          <w:tcPr>
            <w:tcW w:w="1200" w:type="dxa"/>
            <w:vAlign w:val="bottom"/>
          </w:tcPr>
          <w:p>
            <w:pPr>
              <w:spacing w:after="0"/>
              <w:rPr>
                <w:sz w:val="24"/>
                <w:szCs w:val="24"/>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2,245</w:t>
            </w:r>
          </w:p>
        </w:tc>
        <w:tc>
          <w:tcPr>
            <w:tcW w:w="1420" w:type="dxa"/>
            <w:vAlign w:val="bottom"/>
          </w:tcPr>
          <w:p>
            <w:pPr>
              <w:spacing w:after="0"/>
              <w:rPr>
                <w:sz w:val="24"/>
                <w:szCs w:val="24"/>
                <w:color w:val="auto"/>
              </w:rPr>
            </w:pP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2,755</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(58) (b)</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4,942</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2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2,475</w:t>
            </w:r>
          </w:p>
        </w:tc>
        <w:tc>
          <w:tcPr>
            <w:tcW w:w="1420" w:type="dxa"/>
            <w:vAlign w:val="bottom"/>
          </w:tcPr>
          <w:p>
            <w:pPr>
              <w:spacing w:after="0"/>
              <w:rPr>
                <w:sz w:val="15"/>
                <w:szCs w:val="15"/>
                <w:color w:val="auto"/>
              </w:rPr>
            </w:pP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1,190 (b)</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3,665</w:t>
            </w:r>
          </w:p>
        </w:tc>
      </w:tr>
      <w:tr>
        <w:trPr>
          <w:trHeight w:val="183"/>
        </w:trPr>
        <w:tc>
          <w:tcPr>
            <w:tcW w:w="4720" w:type="dxa"/>
            <w:vAlign w:val="bottom"/>
          </w:tcPr>
          <w:p>
            <w:pPr>
              <w:spacing w:after="0"/>
              <w:rPr>
                <w:sz w:val="15"/>
                <w:szCs w:val="15"/>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2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5,553</w:t>
            </w:r>
          </w:p>
        </w:tc>
        <w:tc>
          <w:tcPr>
            <w:tcW w:w="1420" w:type="dxa"/>
            <w:vAlign w:val="bottom"/>
          </w:tcPr>
          <w:p>
            <w:pPr>
              <w:spacing w:after="0"/>
              <w:rPr>
                <w:sz w:val="15"/>
                <w:szCs w:val="15"/>
                <w:color w:val="auto"/>
              </w:rPr>
            </w:pP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1,332</w:t>
            </w:r>
          </w:p>
        </w:tc>
        <w:tc>
          <w:tcPr>
            <w:tcW w:w="1420" w:type="dxa"/>
            <w:vAlign w:val="bottom"/>
          </w:tcPr>
          <w:p>
            <w:pPr>
              <w:spacing w:after="0"/>
              <w:rPr>
                <w:sz w:val="15"/>
                <w:szCs w:val="15"/>
                <w:color w:val="auto"/>
              </w:rPr>
            </w:pP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6,164</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200" w:type="dxa"/>
            <w:vAlign w:val="bottom"/>
          </w:tcPr>
          <w:p>
            <w:pPr>
              <w:spacing w:after="0"/>
              <w:rPr>
                <w:sz w:val="24"/>
                <w:szCs w:val="24"/>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w:t>
            </w:r>
          </w:p>
        </w:tc>
        <w:tc>
          <w:tcPr>
            <w:tcW w:w="1420" w:type="dxa"/>
            <w:vAlign w:val="bottom"/>
          </w:tcPr>
          <w:p>
            <w:pPr>
              <w:spacing w:after="0"/>
              <w:rPr>
                <w:sz w:val="24"/>
                <w:szCs w:val="24"/>
                <w:color w:val="auto"/>
              </w:rPr>
            </w:pP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637 (c)</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646</w:t>
            </w:r>
          </w:p>
        </w:tc>
      </w:tr>
      <w:tr>
        <w:trPr>
          <w:trHeight w:val="183"/>
        </w:trPr>
        <w:tc>
          <w:tcPr>
            <w:tcW w:w="4720" w:type="dxa"/>
            <w:vAlign w:val="bottom"/>
          </w:tcPr>
          <w:p>
            <w:pPr>
              <w:spacing w:after="0"/>
              <w:rPr>
                <w:sz w:val="15"/>
                <w:szCs w:val="15"/>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Income before provision for income taxes</w:t>
            </w:r>
          </w:p>
        </w:tc>
        <w:tc>
          <w:tcPr>
            <w:tcW w:w="12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5,544</w:t>
            </w:r>
          </w:p>
        </w:tc>
        <w:tc>
          <w:tcPr>
            <w:tcW w:w="1420" w:type="dxa"/>
            <w:vAlign w:val="bottom"/>
          </w:tcPr>
          <w:p>
            <w:pPr>
              <w:spacing w:after="0"/>
              <w:rPr>
                <w:sz w:val="15"/>
                <w:szCs w:val="15"/>
                <w:color w:val="auto"/>
              </w:rPr>
            </w:pP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1,332</w:t>
            </w:r>
          </w:p>
        </w:tc>
        <w:tc>
          <w:tcPr>
            <w:tcW w:w="1420" w:type="dxa"/>
            <w:vAlign w:val="bottom"/>
          </w:tcPr>
          <w:p>
            <w:pPr>
              <w:spacing w:after="0"/>
              <w:rPr>
                <w:sz w:val="15"/>
                <w:szCs w:val="15"/>
                <w:color w:val="auto"/>
              </w:rPr>
            </w:pP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5,518</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2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1,867</w:t>
            </w:r>
          </w:p>
        </w:tc>
        <w:tc>
          <w:tcPr>
            <w:tcW w:w="1420" w:type="dxa"/>
            <w:vAlign w:val="bottom"/>
          </w:tcPr>
          <w:p>
            <w:pPr>
              <w:spacing w:after="0"/>
              <w:rPr>
                <w:sz w:val="15"/>
                <w:szCs w:val="15"/>
                <w:color w:val="auto"/>
              </w:rPr>
            </w:pP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175 (d)</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2,042</w:t>
            </w:r>
          </w:p>
        </w:tc>
      </w:tr>
      <w:tr>
        <w:trPr>
          <w:trHeight w:val="183"/>
        </w:trPr>
        <w:tc>
          <w:tcPr>
            <w:tcW w:w="4720" w:type="dxa"/>
            <w:vAlign w:val="bottom"/>
          </w:tcPr>
          <w:p>
            <w:pPr>
              <w:spacing w:after="0"/>
              <w:rPr>
                <w:sz w:val="15"/>
                <w:szCs w:val="15"/>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$ 3,677</w:t>
            </w:r>
          </w:p>
        </w:tc>
        <w:tc>
          <w:tcPr>
            <w:tcW w:w="21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$ 1,332</w:t>
            </w:r>
          </w:p>
        </w:tc>
        <w:tc>
          <w:tcPr>
            <w:tcW w:w="1420" w:type="dxa"/>
            <w:vAlign w:val="bottom"/>
          </w:tcPr>
          <w:p>
            <w:pPr>
              <w:spacing w:after="0"/>
              <w:rPr>
                <w:sz w:val="15"/>
                <w:szCs w:val="15"/>
                <w:color w:val="auto"/>
              </w:rPr>
            </w:pP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$ 3,476</w:t>
            </w:r>
          </w:p>
        </w:tc>
      </w:tr>
      <w:tr>
        <w:trPr>
          <w:trHeight w:val="183"/>
        </w:trPr>
        <w:tc>
          <w:tcPr>
            <w:tcW w:w="4720" w:type="dxa"/>
            <w:vAlign w:val="bottom"/>
          </w:tcPr>
          <w:p>
            <w:pPr>
              <w:spacing w:after="0"/>
              <w:rPr>
                <w:sz w:val="15"/>
                <w:szCs w:val="15"/>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Other comprehensive income:</w:t>
            </w: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Foreign currency translation</w:t>
            </w:r>
          </w:p>
        </w:tc>
        <w:tc>
          <w:tcPr>
            <w:tcW w:w="1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(1,287)</w:t>
            </w:r>
          </w:p>
        </w:tc>
        <w:tc>
          <w:tcPr>
            <w:tcW w:w="1420" w:type="dxa"/>
            <w:vAlign w:val="bottom"/>
          </w:tcPr>
          <w:p>
            <w:pPr>
              <w:spacing w:after="0"/>
              <w:rPr>
                <w:sz w:val="15"/>
                <w:szCs w:val="15"/>
                <w:color w:val="auto"/>
              </w:rPr>
            </w:pP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(1,287)</w:t>
            </w:r>
          </w:p>
        </w:tc>
      </w:tr>
      <w:tr>
        <w:trPr>
          <w:trHeight w:val="183"/>
        </w:trPr>
        <w:tc>
          <w:tcPr>
            <w:tcW w:w="4720" w:type="dxa"/>
            <w:vAlign w:val="bottom"/>
          </w:tcPr>
          <w:p>
            <w:pPr>
              <w:spacing w:after="0"/>
              <w:rPr>
                <w:sz w:val="15"/>
                <w:szCs w:val="15"/>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Other comprehensive income</w:t>
            </w:r>
          </w:p>
        </w:tc>
        <w:tc>
          <w:tcPr>
            <w:tcW w:w="1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(1,287)</w:t>
            </w:r>
          </w:p>
        </w:tc>
        <w:tc>
          <w:tcPr>
            <w:tcW w:w="1420" w:type="dxa"/>
            <w:vAlign w:val="bottom"/>
          </w:tcPr>
          <w:p>
            <w:pPr>
              <w:spacing w:after="0"/>
              <w:rPr>
                <w:sz w:val="15"/>
                <w:szCs w:val="15"/>
                <w:color w:val="auto"/>
              </w:rPr>
            </w:pP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(1,287)</w:t>
            </w:r>
          </w:p>
        </w:tc>
      </w:tr>
      <w:tr>
        <w:trPr>
          <w:trHeight w:val="183"/>
        </w:trPr>
        <w:tc>
          <w:tcPr>
            <w:tcW w:w="4720" w:type="dxa"/>
            <w:vAlign w:val="bottom"/>
          </w:tcPr>
          <w:p>
            <w:pPr>
              <w:spacing w:after="0"/>
              <w:rPr>
                <w:sz w:val="15"/>
                <w:szCs w:val="15"/>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Comprehensive income</w:t>
            </w:r>
          </w:p>
        </w:tc>
        <w:tc>
          <w:tcPr>
            <w:tcW w:w="1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$ 2,390</w:t>
            </w:r>
          </w:p>
        </w:tc>
        <w:tc>
          <w:tcPr>
            <w:tcW w:w="21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$ 1,332</w:t>
            </w:r>
          </w:p>
        </w:tc>
        <w:tc>
          <w:tcPr>
            <w:tcW w:w="1420" w:type="dxa"/>
            <w:vAlign w:val="bottom"/>
          </w:tcPr>
          <w:p>
            <w:pPr>
              <w:spacing w:after="0"/>
              <w:rPr>
                <w:sz w:val="15"/>
                <w:szCs w:val="15"/>
                <w:color w:val="auto"/>
              </w:rPr>
            </w:pP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$2,189</w:t>
            </w:r>
          </w:p>
        </w:tc>
      </w:tr>
      <w:tr>
        <w:trPr>
          <w:trHeight w:val="183"/>
        </w:trPr>
        <w:tc>
          <w:tcPr>
            <w:tcW w:w="4720" w:type="dxa"/>
            <w:vAlign w:val="bottom"/>
          </w:tcPr>
          <w:p>
            <w:pPr>
              <w:spacing w:after="0"/>
              <w:rPr>
                <w:sz w:val="15"/>
                <w:szCs w:val="15"/>
                <w:color w:val="auto"/>
              </w:rPr>
            </w:pPr>
          </w:p>
        </w:tc>
        <w:tc>
          <w:tcPr>
            <w:tcW w:w="396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 ====================</w:t>
            </w:r>
          </w:p>
        </w:tc>
        <w:tc>
          <w:tcPr>
            <w:tcW w:w="1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rPr>
              <w:t>Net income per share</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0.25</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24"/>
                <w:szCs w:val="24"/>
                <w:color w:val="auto"/>
              </w:rPr>
            </w:pP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$ 0.23</w:t>
            </w:r>
          </w:p>
        </w:tc>
      </w:tr>
      <w:tr>
        <w:trPr>
          <w:trHeight w:val="183"/>
        </w:trPr>
        <w:tc>
          <w:tcPr>
            <w:tcW w:w="4720" w:type="dxa"/>
            <w:vAlign w:val="bottom"/>
          </w:tcPr>
          <w:p>
            <w:pPr>
              <w:spacing w:after="0"/>
              <w:rPr>
                <w:sz w:val="15"/>
                <w:szCs w:val="15"/>
                <w:color w:val="auto"/>
              </w:rPr>
            </w:pPr>
          </w:p>
        </w:tc>
        <w:tc>
          <w:tcPr>
            <w:tcW w:w="396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 ====================</w:t>
            </w:r>
          </w:p>
        </w:tc>
        <w:tc>
          <w:tcPr>
            <w:tcW w:w="1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Shares outstanding</w:t>
            </w:r>
          </w:p>
        </w:tc>
        <w:tc>
          <w:tcPr>
            <w:tcW w:w="12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14,804</w:t>
            </w:r>
          </w:p>
        </w:tc>
        <w:tc>
          <w:tcPr>
            <w:tcW w:w="1420" w:type="dxa"/>
            <w:vAlign w:val="bottom"/>
          </w:tcPr>
          <w:p>
            <w:pPr>
              <w:spacing w:after="0"/>
              <w:rPr>
                <w:sz w:val="15"/>
                <w:szCs w:val="15"/>
                <w:color w:val="auto"/>
              </w:rPr>
            </w:pP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440 (e)</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15,244</w:t>
            </w:r>
          </w:p>
        </w:tc>
      </w:tr>
      <w:tr>
        <w:trPr>
          <w:trHeight w:val="183"/>
        </w:trPr>
        <w:tc>
          <w:tcPr>
            <w:tcW w:w="4720" w:type="dxa"/>
            <w:vAlign w:val="bottom"/>
          </w:tcPr>
          <w:p>
            <w:pPr>
              <w:spacing w:after="0"/>
              <w:rPr>
                <w:sz w:val="15"/>
                <w:szCs w:val="15"/>
                <w:color w:val="auto"/>
              </w:rPr>
            </w:pPr>
          </w:p>
        </w:tc>
        <w:tc>
          <w:tcPr>
            <w:tcW w:w="396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 ====================</w:t>
            </w:r>
          </w:p>
        </w:tc>
        <w:tc>
          <w:tcPr>
            <w:tcW w:w="1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rPr>
              <w:t>Net income per share - assuming dilution</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0.25</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24"/>
                <w:szCs w:val="24"/>
                <w:color w:val="auto"/>
              </w:rPr>
            </w:pP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$ 0.23</w:t>
            </w:r>
          </w:p>
        </w:tc>
      </w:tr>
      <w:tr>
        <w:trPr>
          <w:trHeight w:val="183"/>
        </w:trPr>
        <w:tc>
          <w:tcPr>
            <w:tcW w:w="4720" w:type="dxa"/>
            <w:vAlign w:val="bottom"/>
          </w:tcPr>
          <w:p>
            <w:pPr>
              <w:spacing w:after="0"/>
              <w:rPr>
                <w:sz w:val="15"/>
                <w:szCs w:val="15"/>
                <w:color w:val="auto"/>
              </w:rPr>
            </w:pPr>
          </w:p>
        </w:tc>
        <w:tc>
          <w:tcPr>
            <w:tcW w:w="396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 ====================</w:t>
            </w:r>
          </w:p>
        </w:tc>
        <w:tc>
          <w:tcPr>
            <w:tcW w:w="1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Shares outstanding</w:t>
            </w:r>
          </w:p>
        </w:tc>
        <w:tc>
          <w:tcPr>
            <w:tcW w:w="12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14,811</w:t>
            </w:r>
          </w:p>
        </w:tc>
        <w:tc>
          <w:tcPr>
            <w:tcW w:w="1420" w:type="dxa"/>
            <w:vAlign w:val="bottom"/>
          </w:tcPr>
          <w:p>
            <w:pPr>
              <w:spacing w:after="0"/>
              <w:rPr>
                <w:sz w:val="15"/>
                <w:szCs w:val="15"/>
                <w:color w:val="auto"/>
              </w:rPr>
            </w:pP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440 (e)</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15,244</w:t>
            </w:r>
          </w:p>
        </w:tc>
      </w:tr>
      <w:tr>
        <w:trPr>
          <w:trHeight w:val="183"/>
        </w:trPr>
        <w:tc>
          <w:tcPr>
            <w:tcW w:w="4720" w:type="dxa"/>
            <w:vAlign w:val="bottom"/>
          </w:tcPr>
          <w:p>
            <w:pPr>
              <w:spacing w:after="0"/>
              <w:rPr>
                <w:sz w:val="15"/>
                <w:szCs w:val="15"/>
                <w:color w:val="auto"/>
              </w:rPr>
            </w:pPr>
          </w:p>
        </w:tc>
        <w:tc>
          <w:tcPr>
            <w:tcW w:w="396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 ====================</w:t>
            </w:r>
          </w:p>
        </w:tc>
        <w:tc>
          <w:tcPr>
            <w:tcW w:w="1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5" w:lineRule="exact"/>
        <w:rPr>
          <w:sz w:val="20"/>
          <w:szCs w:val="20"/>
          <w:color w:val="auto"/>
        </w:rPr>
      </w:pPr>
    </w:p>
    <w:p>
      <w:pPr>
        <w:jc w:val="center"/>
        <w:ind w:right="4080"/>
        <w:spacing w:after="0"/>
        <w:rPr>
          <w:sz w:val="20"/>
          <w:szCs w:val="20"/>
          <w:color w:val="auto"/>
        </w:rPr>
      </w:pPr>
      <w:r>
        <w:rPr>
          <w:rFonts w:ascii="Courier New" w:cs="Courier New" w:eastAsia="Courier New" w:hAnsi="Courier New"/>
          <w:sz w:val="15"/>
          <w:szCs w:val="15"/>
          <w:color w:val="auto"/>
        </w:rPr>
        <w:t>See Notes to Unaudited Pro Forma Statements of Income and Comprehensive Income</w:t>
      </w:r>
    </w:p>
    <w:p>
      <w:pPr>
        <w:spacing w:after="0" w:line="19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1520"/>
          </w:cols>
          <w:pgMar w:left="240" w:top="1215" w:right="139" w:bottom="1440" w:gutter="0" w:footer="0" w:header="0"/>
        </w:sectPr>
      </w:pPr>
    </w:p>
    <w:bookmarkStart w:id="21" w:name="page22"/>
    <w:bookmarkEnd w:id="21"/>
    <w:p>
      <w:pPr>
        <w:ind w:left="2482" w:right="5079" w:firstLine="284"/>
        <w:spacing w:after="0" w:line="259" w:lineRule="auto"/>
        <w:tabs>
          <w:tab w:leader="none" w:pos="305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Ball &amp; Roller, Inc. Notes to Unaudited Pro Forma</w:t>
      </w:r>
    </w:p>
    <w:p>
      <w:pPr>
        <w:ind w:left="1722"/>
        <w:spacing w:after="0" w:line="236" w:lineRule="auto"/>
        <w:rPr>
          <w:sz w:val="20"/>
          <w:szCs w:val="20"/>
          <w:color w:val="auto"/>
        </w:rPr>
      </w:pPr>
      <w:r>
        <w:rPr>
          <w:rFonts w:ascii="Courier New" w:cs="Courier New" w:eastAsia="Courier New" w:hAnsi="Courier New"/>
          <w:sz w:val="16"/>
          <w:szCs w:val="16"/>
          <w:color w:val="auto"/>
        </w:rPr>
        <w:t>Statements of Income and Comprehensive Income</w:t>
      </w:r>
    </w:p>
    <w:p>
      <w:pPr>
        <w:spacing w:after="0" w:line="372" w:lineRule="exact"/>
        <w:rPr>
          <w:sz w:val="20"/>
          <w:szCs w:val="20"/>
          <w:color w:val="auto"/>
        </w:rPr>
      </w:pPr>
    </w:p>
    <w:p>
      <w:pPr>
        <w:ind w:left="482" w:right="2599" w:hanging="482"/>
        <w:spacing w:after="0" w:line="239" w:lineRule="auto"/>
        <w:tabs>
          <w:tab w:leader="none" w:pos="4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historical results for IM for the six month period ended July 3, 1999.</w:t>
      </w:r>
    </w:p>
    <w:p>
      <w:pPr>
        <w:spacing w:after="0" w:line="189" w:lineRule="exact"/>
        <w:rPr>
          <w:rFonts w:ascii="Courier New" w:cs="Courier New" w:eastAsia="Courier New" w:hAnsi="Courier New"/>
          <w:sz w:val="16"/>
          <w:szCs w:val="16"/>
          <w:color w:val="auto"/>
        </w:rPr>
      </w:pPr>
    </w:p>
    <w:p>
      <w:pPr>
        <w:jc w:val="both"/>
        <w:ind w:left="482" w:right="2599" w:hanging="482"/>
        <w:spacing w:after="0" w:line="241" w:lineRule="auto"/>
        <w:tabs>
          <w:tab w:leader="none" w:pos="4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reclassification of IM's depreciation expense for consistency with the presentation of the Company's financial statements for the six months ended June 30, 1999 and the amortization of intangible assets incurred in conjunction with the IM acquisition over a period of 20 years.</w:t>
      </w:r>
    </w:p>
    <w:p>
      <w:pPr>
        <w:spacing w:after="0" w:line="189" w:lineRule="exact"/>
        <w:rPr>
          <w:rFonts w:ascii="Courier New" w:cs="Courier New" w:eastAsia="Courier New" w:hAnsi="Courier New"/>
          <w:sz w:val="16"/>
          <w:szCs w:val="16"/>
          <w:color w:val="auto"/>
        </w:rPr>
      </w:pPr>
    </w:p>
    <w:p>
      <w:pPr>
        <w:jc w:val="both"/>
        <w:ind w:left="482" w:right="2599" w:hanging="482"/>
        <w:spacing w:after="0" w:line="241" w:lineRule="auto"/>
        <w:tabs>
          <w:tab w:leader="none" w:pos="4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interest expense incurred in connection with additional borrowings outstanding which were used to finance the IM acquisition. These additional borrowings were made under the Company's existing bank facility with First American Bank at an interest rate of 6%.</w:t>
      </w:r>
    </w:p>
    <w:p>
      <w:pPr>
        <w:spacing w:after="0" w:line="189" w:lineRule="exact"/>
        <w:rPr>
          <w:rFonts w:ascii="Courier New" w:cs="Courier New" w:eastAsia="Courier New" w:hAnsi="Courier New"/>
          <w:sz w:val="16"/>
          <w:szCs w:val="16"/>
          <w:color w:val="auto"/>
        </w:rPr>
      </w:pPr>
    </w:p>
    <w:p>
      <w:pPr>
        <w:ind w:left="482" w:right="2599" w:hanging="482"/>
        <w:spacing w:after="0"/>
        <w:tabs>
          <w:tab w:leader="none" w:pos="4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federal and state taxes applied to IM and to adjustments at a rate of 37%. Prior to the acquisition Industrial Molding Corporation was a S corporation and not subject to federal taxes.</w:t>
      </w:r>
    </w:p>
    <w:p>
      <w:pPr>
        <w:spacing w:after="0" w:line="187"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shares issued in conjunction with the acquisition of IM.</w:t>
      </w:r>
    </w:p>
    <w:p>
      <w:pPr>
        <w:spacing w:after="0" w:line="200" w:lineRule="exact"/>
        <w:rPr>
          <w:sz w:val="20"/>
          <w:szCs w:val="20"/>
          <w:color w:val="auto"/>
        </w:rPr>
      </w:pPr>
    </w:p>
    <w:p>
      <w:pPr>
        <w:spacing w:after="0" w:line="352"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1"/>
          </w:cols>
          <w:pgMar w:left="238" w:top="851" w:right="1440" w:bottom="1440" w:gutter="0" w:footer="0" w:header="0"/>
        </w:sectPr>
      </w:pPr>
    </w:p>
    <w:bookmarkStart w:id="22" w:name="page23"/>
    <w:bookmarkEnd w:id="22"/>
    <w:p>
      <w:pPr>
        <w:ind w:left="3340"/>
        <w:spacing w:after="0"/>
        <w:rPr>
          <w:sz w:val="20"/>
          <w:szCs w:val="20"/>
          <w:color w:val="auto"/>
        </w:rPr>
      </w:pPr>
      <w:r>
        <w:rPr>
          <w:rFonts w:ascii="Courier New" w:cs="Courier New" w:eastAsia="Courier New" w:hAnsi="Courier New"/>
          <w:sz w:val="15"/>
          <w:szCs w:val="15"/>
          <w:color w:val="auto"/>
        </w:rPr>
        <w:t>SIGNATURES</w:t>
      </w:r>
    </w:p>
    <w:p>
      <w:pPr>
        <w:sectPr>
          <w:pgSz w:w="11900" w:h="16838" w:orient="portrait"/>
          <w:cols w:equalWidth="0" w:num="1">
            <w:col w:w="10219"/>
          </w:cols>
          <w:pgMar w:left="240" w:top="851" w:right="1440" w:bottom="1440" w:gutter="0" w:footer="0" w:header="0"/>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Pursuant to the requirements of the Securities registrant has duly caused this report to be undersigned hereunto duly authorized.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2599" w:firstLine="95"/>
        <w:spacing w:after="0" w:line="239" w:lineRule="auto"/>
        <w:rPr>
          <w:sz w:val="20"/>
          <w:szCs w:val="20"/>
          <w:color w:val="auto"/>
        </w:rPr>
      </w:pPr>
      <w:r>
        <w:rPr>
          <w:rFonts w:ascii="Courier New" w:cs="Courier New" w:eastAsia="Courier New" w:hAnsi="Courier New"/>
          <w:sz w:val="16"/>
          <w:szCs w:val="16"/>
          <w:color w:val="auto"/>
        </w:rPr>
        <w:t>Exchange Act of 1934, the signed on its behalf by the</w:t>
      </w:r>
    </w:p>
    <w:p>
      <w:pPr>
        <w:spacing w:after="0" w:line="382" w:lineRule="exact"/>
        <w:rPr>
          <w:sz w:val="20"/>
          <w:szCs w:val="20"/>
          <w:color w:val="auto"/>
        </w:rPr>
      </w:pPr>
    </w:p>
    <w:p>
      <w:pPr>
        <w:sectPr>
          <w:pgSz w:w="11900" w:h="16838" w:orient="portrait"/>
          <w:cols w:equalWidth="0" w:num="2">
            <w:col w:w="4760" w:space="100"/>
            <w:col w:w="5359"/>
          </w:cols>
          <w:pgMar w:left="240" w:top="851" w:right="1440" w:bottom="1440" w:gutter="0" w:footer="0" w:header="0"/>
          <w:type w:val="continuous"/>
        </w:sectPr>
      </w:pPr>
    </w:p>
    <w:p>
      <w:pPr>
        <w:spacing w:after="0" w:line="200" w:lineRule="exact"/>
        <w:rPr>
          <w:sz w:val="20"/>
          <w:szCs w:val="20"/>
          <w:color w:val="auto"/>
        </w:rPr>
      </w:pPr>
    </w:p>
    <w:p>
      <w:pPr>
        <w:spacing w:after="0" w:line="337"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43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/s/ William C. Kelly, Jr.</w:t>
      </w:r>
    </w:p>
    <w:p>
      <w:pPr>
        <w:spacing w:after="0" w:line="11"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William C. Kelly, Jr.</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21</w:t>
      </w:r>
    </w:p>
    <w:sectPr>
      <w:pgSz w:w="11900" w:h="16838" w:orient="portrait"/>
      <w:cols w:equalWidth="0" w:num="1">
        <w:col w:w="10219"/>
      </w:cols>
      <w:pgMar w:left="240" w:top="85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upperLetter"/>
      <w:start w:val="40"/>
    </w:lvl>
  </w:abstractNum>
  <w:abstractNum w:abstractNumId="3">
    <w:nsid w:val="66EF438D"/>
    <w:multiLevelType w:val="hybridMultilevel"/>
    <w:lvl w:ilvl="0">
      <w:lvlJc w:val="left"/>
      <w:lvlText w:val="(%1)"/>
      <w:numFmt w:val="decimal"/>
      <w:start w:val="1"/>
    </w:lvl>
    <w:lvl w:ilvl="1">
      <w:lvlJc w:val="left"/>
      <w:lvlText w:val="(%2)"/>
      <w:numFmt w:val="lowerLetter"/>
      <w:start w:val="1"/>
    </w:lvl>
  </w:abstractNum>
  <w:abstractNum w:abstractNumId="4">
    <w:nsid w:val="140E0F76"/>
    <w:multiLevelType w:val="hybridMultilevel"/>
    <w:lvl w:ilvl="0">
      <w:lvlJc w:val="left"/>
      <w:lvlText w:val="(%1)"/>
      <w:numFmt w:val="lowerLetter"/>
      <w:start w:val="6"/>
    </w:lvl>
  </w:abstractNum>
  <w:abstractNum w:abstractNumId="5">
    <w:nsid w:val="3352255A"/>
    <w:multiLevelType w:val="hybridMultilevel"/>
    <w:lvl w:ilvl="0">
      <w:lvlJc w:val="left"/>
      <w:lvlText w:val="(%1)"/>
      <w:numFmt w:val="decimal"/>
      <w:start w:val="2"/>
    </w:lvl>
  </w:abstractNum>
  <w:abstractNum w:abstractNumId="6">
    <w:nsid w:val="109CF92E"/>
    <w:multiLevelType w:val="hybridMultilevel"/>
    <w:lvl w:ilvl="0">
      <w:lvlJc w:val="left"/>
      <w:lvlText w:val="(%1)"/>
      <w:numFmt w:val="decimal"/>
      <w:start w:val="3"/>
    </w:lvl>
  </w:abstractNum>
  <w:abstractNum w:abstractNumId="7">
    <w:nsid w:val="DED7263"/>
    <w:multiLevelType w:val="hybridMultilevel"/>
    <w:lvl w:ilvl="0">
      <w:lvlJc w:val="left"/>
      <w:lvlText w:val="(%1)"/>
      <w:numFmt w:val="decimal"/>
      <w:start w:val="4"/>
    </w:lvl>
  </w:abstractNum>
  <w:abstractNum w:abstractNumId="8">
    <w:nsid w:val="7FDCC233"/>
    <w:multiLevelType w:val="hybridMultilevel"/>
    <w:lvl w:ilvl="0">
      <w:lvlJc w:val="left"/>
      <w:lvlText w:val="(%1)"/>
      <w:numFmt w:val="decimal"/>
      <w:start w:val="5"/>
    </w:lvl>
  </w:abstractNum>
  <w:abstractNum w:abstractNumId="9">
    <w:nsid w:val="1BEFD79F"/>
    <w:multiLevelType w:val="hybridMultilevel"/>
    <w:lvl w:ilvl="0">
      <w:lvlJc w:val="left"/>
      <w:lvlText w:val="(%1)"/>
      <w:numFmt w:val="decimal"/>
      <w:start w:val="8"/>
    </w:lvl>
    <w:lvl w:ilvl="1">
      <w:lvlJc w:val="left"/>
      <w:lvlText w:val="(%2)"/>
      <w:numFmt w:val="lowerLetter"/>
      <w:start w:val="1"/>
    </w:lvl>
  </w:abstractNum>
  <w:abstractNum w:abstractNumId="10">
    <w:nsid w:val="41A7C4C9"/>
    <w:multiLevelType w:val="hybridMultilevel"/>
    <w:lvl w:ilvl="0">
      <w:lvlJc w:val="left"/>
      <w:lvlText w:val="(%1)"/>
      <w:numFmt w:val="decimal"/>
      <w:start w:val="10"/>
    </w:lvl>
  </w:abstractNum>
  <w:abstractNum w:abstractNumId="11">
    <w:nsid w:val="6B68079A"/>
    <w:multiLevelType w:val="hybridMultilevel"/>
    <w:lvl w:ilvl="0">
      <w:lvlJc w:val="left"/>
      <w:lvlText w:val="(%1)"/>
      <w:numFmt w:val="decimal"/>
      <w:start w:val="11"/>
    </w:lvl>
  </w:abstractNum>
  <w:abstractNum w:abstractNumId="12">
    <w:nsid w:val="4E6AFB66"/>
    <w:multiLevelType w:val="hybridMultilevel"/>
    <w:lvl w:ilvl="0">
      <w:lvlJc w:val="left"/>
      <w:lvlText w:val="(%1)"/>
      <w:numFmt w:val="decimal"/>
      <w:start w:val="12"/>
    </w:lvl>
  </w:abstractNum>
  <w:abstractNum w:abstractNumId="13">
    <w:nsid w:val="25E45D32"/>
    <w:multiLevelType w:val="hybridMultilevel"/>
    <w:lvl w:ilvl="0">
      <w:lvlJc w:val="left"/>
      <w:lvlText w:val="(%1)"/>
      <w:numFmt w:val="decimal"/>
      <w:start w:val="13"/>
    </w:lvl>
  </w:abstractNum>
  <w:abstractNum w:abstractNumId="14">
    <w:nsid w:val="519B500D"/>
    <w:multiLevelType w:val="hybridMultilevel"/>
    <w:lvl w:ilvl="0">
      <w:lvlJc w:val="left"/>
      <w:lvlText w:val="&amp;"/>
      <w:numFmt w:val="bullet"/>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upperLetter"/>
      <w:start w:val="40"/>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upperLetter"/>
      <w:start w:val="40"/>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2020-02-22T14:25:06Z</dcterms:created>
  <dcterms:modified xsi:type="dcterms:W3CDTF">2020-02-22T14:25:06Z</dcterms:modified>
</cp:coreProperties>
</file>