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7875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875270"/>
                    </a:xfrm>
                    <a:prstGeom prst="rect">
                      <a:avLst/>
                    </a:prstGeom>
                    <a:noFill/>
                  </pic:spPr>
                </pic:pic>
              </a:graphicData>
            </a:graphic>
          </wp:anchor>
        </w:drawing>
      </w:r>
    </w:p>
    <w:p>
      <w:pPr>
        <w:spacing w:after="0" w:line="102" w:lineRule="exact"/>
        <w:rPr>
          <w:sz w:val="24"/>
          <w:szCs w:val="24"/>
          <w:color w:val="auto"/>
        </w:rPr>
      </w:pPr>
    </w:p>
    <w:p>
      <w:pPr>
        <w:sectPr>
          <w:pgSz w:w="11900" w:h="16857"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GENTRY FRANK T</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60"/>
        <w:spacing w:after="0" w:line="396"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5"/>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11/12/2013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56"/>
        <w:spacing w:after="0"/>
        <w:rPr>
          <w:sz w:val="20"/>
          <w:szCs w:val="20"/>
          <w:color w:val="auto"/>
        </w:rPr>
      </w:pPr>
      <w:r>
        <w:rPr>
          <w:rFonts w:ascii="Arial" w:cs="Arial" w:eastAsia="Arial" w:hAnsi="Arial"/>
          <w:sz w:val="17"/>
          <w:szCs w:val="17"/>
          <w:color w:val="0000FF"/>
        </w:rPr>
        <w:t>SVP - Managing Director</w:t>
      </w:r>
    </w:p>
    <w:p>
      <w:pPr>
        <w:spacing w:after="0" w:line="570" w:lineRule="exact"/>
        <w:rPr>
          <w:sz w:val="24"/>
          <w:szCs w:val="24"/>
          <w:color w:val="auto"/>
        </w:rPr>
      </w:pPr>
    </w:p>
    <w:p>
      <w:pPr>
        <w:sectPr>
          <w:pgSz w:w="11900" w:h="16857" w:orient="portrait"/>
          <w:cols w:equalWidth="0" w:num="3">
            <w:col w:w="3340" w:space="720"/>
            <w:col w:w="3264" w:space="720"/>
            <w:col w:w="3476"/>
          </w:cols>
          <w:pgMar w:left="240" w:top="225" w:right="139" w:bottom="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JOHNSON</w:t>
            </w:r>
          </w:p>
        </w:tc>
        <w:tc>
          <w:tcPr>
            <w:tcW w:w="1060" w:type="dxa"/>
            <w:vAlign w:val="bottom"/>
            <w:vMerge w:val="restart"/>
          </w:tcPr>
          <w:p>
            <w:pPr>
              <w:ind w:left="240"/>
              <w:spacing w:after="0"/>
              <w:rPr>
                <w:sz w:val="20"/>
                <w:szCs w:val="20"/>
                <w:color w:val="auto"/>
              </w:rPr>
            </w:pPr>
            <w:r>
              <w:rPr>
                <w:rFonts w:ascii="Arial" w:cs="Arial" w:eastAsia="Arial" w:hAnsi="Arial"/>
                <w:sz w:val="17"/>
                <w:szCs w:val="17"/>
                <w:color w:val="0000FF"/>
              </w:rPr>
              <w:t>TN</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10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9" w:lineRule="exact"/>
        <w:rPr>
          <w:sz w:val="24"/>
          <w:szCs w:val="24"/>
          <w:color w:val="auto"/>
        </w:rPr>
      </w:pPr>
    </w:p>
    <w:p>
      <w:pPr>
        <w:sectPr>
          <w:pgSz w:w="11900" w:h="16857" w:orient="portrait"/>
          <w:cols w:equalWidth="0" w:num="2">
            <w:col w:w="3900" w:space="160"/>
            <w:col w:w="746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jc w:val="center"/>
              <w:ind w:left="662"/>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40" w:type="dxa"/>
            <w:vAlign w:val="bottom"/>
          </w:tcPr>
          <w:p>
            <w:pPr>
              <w:jc w:val="center"/>
              <w:ind w:left="662"/>
              <w:spacing w:after="0"/>
              <w:rPr>
                <w:sz w:val="20"/>
                <w:szCs w:val="20"/>
                <w:color w:val="auto"/>
              </w:rPr>
            </w:pPr>
            <w:r>
              <w:rPr>
                <w:rFonts w:ascii="Arial" w:cs="Arial" w:eastAsia="Arial" w:hAnsi="Arial"/>
                <w:sz w:val="17"/>
                <w:szCs w:val="17"/>
                <w:color w:val="0000FF"/>
                <w:w w:val="91"/>
              </w:rPr>
              <w:t>11/12/2013</w:t>
            </w:r>
          </w:p>
        </w:tc>
        <w:tc>
          <w:tcPr>
            <w:tcW w:w="112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82"/>
              <w:spacing w:after="0"/>
              <w:rPr>
                <w:sz w:val="20"/>
                <w:szCs w:val="20"/>
                <w:color w:val="auto"/>
              </w:rPr>
            </w:pPr>
            <w:r>
              <w:rPr>
                <w:rFonts w:ascii="Arial" w:cs="Arial" w:eastAsia="Arial" w:hAnsi="Arial"/>
                <w:sz w:val="17"/>
                <w:szCs w:val="17"/>
                <w:color w:val="0000FF"/>
              </w:rPr>
              <w:t>8,600</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11.61</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64,700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40" w:type="dxa"/>
            <w:vAlign w:val="bottom"/>
            <w:tcBorders>
              <w:bottom w:val="single" w:sz="8" w:color="2C2C2C"/>
            </w:tcBorders>
          </w:tcPr>
          <w:p>
            <w:pPr>
              <w:jc w:val="center"/>
              <w:ind w:left="662"/>
              <w:spacing w:after="0"/>
              <w:rPr>
                <w:sz w:val="20"/>
                <w:szCs w:val="20"/>
                <w:color w:val="auto"/>
              </w:rPr>
            </w:pPr>
            <w:r>
              <w:rPr>
                <w:rFonts w:ascii="Arial" w:cs="Arial" w:eastAsia="Arial" w:hAnsi="Arial"/>
                <w:sz w:val="17"/>
                <w:szCs w:val="17"/>
                <w:color w:val="0000FF"/>
                <w:w w:val="91"/>
              </w:rPr>
              <w:t>11/12/2013</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right"/>
              <w:ind w:right="82"/>
              <w:spacing w:after="0"/>
              <w:rPr>
                <w:sz w:val="20"/>
                <w:szCs w:val="20"/>
                <w:color w:val="auto"/>
              </w:rPr>
            </w:pPr>
            <w:r>
              <w:rPr>
                <w:rFonts w:ascii="Arial" w:cs="Arial" w:eastAsia="Arial" w:hAnsi="Arial"/>
                <w:sz w:val="17"/>
                <w:szCs w:val="17"/>
                <w:color w:val="0000FF"/>
              </w:rPr>
              <w:t>8,600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17.55</w:t>
            </w:r>
            <w:r>
              <w:rPr>
                <w:rFonts w:ascii="Arial" w:cs="Arial" w:eastAsia="Arial" w:hAnsi="Arial"/>
                <w:sz w:val="22"/>
                <w:szCs w:val="22"/>
                <w:color w:val="008000"/>
                <w:w w:val="88"/>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56,100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40" w:type="dxa"/>
            <w:vAlign w:val="bottom"/>
          </w:tcPr>
          <w:p>
            <w:pPr>
              <w:jc w:val="center"/>
              <w:ind w:left="662"/>
              <w:spacing w:after="0"/>
              <w:rPr>
                <w:sz w:val="20"/>
                <w:szCs w:val="20"/>
                <w:color w:val="auto"/>
              </w:rPr>
            </w:pPr>
            <w:r>
              <w:rPr>
                <w:rFonts w:ascii="Arial" w:cs="Arial" w:eastAsia="Arial" w:hAnsi="Arial"/>
                <w:sz w:val="17"/>
                <w:szCs w:val="17"/>
                <w:color w:val="0000FF"/>
                <w:w w:val="91"/>
              </w:rPr>
              <w:t>11/13/2013</w:t>
            </w:r>
          </w:p>
        </w:tc>
        <w:tc>
          <w:tcPr>
            <w:tcW w:w="112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82"/>
              <w:spacing w:after="0"/>
              <w:rPr>
                <w:sz w:val="20"/>
                <w:szCs w:val="20"/>
                <w:color w:val="auto"/>
              </w:rPr>
            </w:pPr>
            <w:r>
              <w:rPr>
                <w:rFonts w:ascii="Arial" w:cs="Arial" w:eastAsia="Arial" w:hAnsi="Arial"/>
                <w:sz w:val="17"/>
                <w:szCs w:val="17"/>
                <w:color w:val="0000FF"/>
              </w:rPr>
              <w:t>6,400</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8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11.61</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62,500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40" w:type="dxa"/>
            <w:vAlign w:val="bottom"/>
            <w:tcBorders>
              <w:bottom w:val="single" w:sz="8" w:color="2C2C2C"/>
            </w:tcBorders>
          </w:tcPr>
          <w:p>
            <w:pPr>
              <w:jc w:val="center"/>
              <w:ind w:left="662"/>
              <w:spacing w:after="0"/>
              <w:rPr>
                <w:sz w:val="20"/>
                <w:szCs w:val="20"/>
                <w:color w:val="auto"/>
              </w:rPr>
            </w:pPr>
            <w:r>
              <w:rPr>
                <w:rFonts w:ascii="Arial" w:cs="Arial" w:eastAsia="Arial" w:hAnsi="Arial"/>
                <w:sz w:val="17"/>
                <w:szCs w:val="17"/>
                <w:color w:val="0000FF"/>
                <w:w w:val="91"/>
              </w:rPr>
              <w:t>11/13/2013</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right"/>
              <w:ind w:right="82"/>
              <w:spacing w:after="0"/>
              <w:rPr>
                <w:sz w:val="20"/>
                <w:szCs w:val="20"/>
                <w:color w:val="auto"/>
              </w:rPr>
            </w:pPr>
            <w:r>
              <w:rPr>
                <w:rFonts w:ascii="Arial" w:cs="Arial" w:eastAsia="Arial" w:hAnsi="Arial"/>
                <w:sz w:val="17"/>
                <w:szCs w:val="17"/>
                <w:color w:val="0000FF"/>
              </w:rPr>
              <w:t>6,400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17.53</w:t>
            </w:r>
            <w:r>
              <w:rPr>
                <w:rFonts w:ascii="Arial" w:cs="Arial" w:eastAsia="Arial" w:hAnsi="Arial"/>
                <w:sz w:val="22"/>
                <w:szCs w:val="22"/>
                <w:color w:val="008000"/>
                <w:w w:val="88"/>
                <w:vertAlign w:val="superscript"/>
              </w:rPr>
              <w:t>(2)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56,100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40" w:type="dxa"/>
            <w:vAlign w:val="bottom"/>
          </w:tcPr>
          <w:p>
            <w:pPr>
              <w:jc w:val="center"/>
              <w:ind w:left="662"/>
              <w:spacing w:after="0"/>
              <w:rPr>
                <w:sz w:val="20"/>
                <w:szCs w:val="20"/>
                <w:color w:val="auto"/>
              </w:rPr>
            </w:pPr>
            <w:r>
              <w:rPr>
                <w:rFonts w:ascii="Arial" w:cs="Arial" w:eastAsia="Arial" w:hAnsi="Arial"/>
                <w:sz w:val="17"/>
                <w:szCs w:val="17"/>
                <w:color w:val="0000FF"/>
                <w:w w:val="91"/>
              </w:rPr>
              <w:t>11/13/2013</w:t>
            </w:r>
          </w:p>
        </w:tc>
        <w:tc>
          <w:tcPr>
            <w:tcW w:w="112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3"/>
                <w:szCs w:val="13"/>
                <w:color w:val="0000FF"/>
              </w:rPr>
              <w:t>M</w:t>
            </w:r>
          </w:p>
        </w:tc>
        <w:tc>
          <w:tcPr>
            <w:tcW w:w="760" w:type="dxa"/>
            <w:vAlign w:val="bottom"/>
          </w:tcPr>
          <w:p>
            <w:pPr>
              <w:jc w:val="right"/>
              <w:ind w:right="82"/>
              <w:spacing w:after="0"/>
              <w:rPr>
                <w:sz w:val="20"/>
                <w:szCs w:val="20"/>
                <w:color w:val="auto"/>
              </w:rPr>
            </w:pPr>
            <w:r>
              <w:rPr>
                <w:rFonts w:ascii="Arial" w:cs="Arial" w:eastAsia="Arial" w:hAnsi="Arial"/>
                <w:sz w:val="17"/>
                <w:szCs w:val="17"/>
                <w:color w:val="0000FF"/>
              </w:rPr>
              <w:t>7,600</w:t>
            </w:r>
          </w:p>
        </w:tc>
        <w:tc>
          <w:tcPr>
            <w:tcW w:w="540" w:type="dxa"/>
            <w:vAlign w:val="bottom"/>
          </w:tcPr>
          <w:p>
            <w:pPr>
              <w:ind w:left="260"/>
              <w:spacing w:after="0"/>
              <w:rPr>
                <w:sz w:val="20"/>
                <w:szCs w:val="20"/>
                <w:color w:val="auto"/>
              </w:rPr>
            </w:pPr>
            <w:r>
              <w:rPr>
                <w:rFonts w:ascii="Arial" w:cs="Arial" w:eastAsia="Arial" w:hAnsi="Arial"/>
                <w:sz w:val="17"/>
                <w:szCs w:val="17"/>
                <w:color w:val="0000FF"/>
              </w:rPr>
              <w:t>A</w:t>
            </w:r>
          </w:p>
        </w:tc>
        <w:tc>
          <w:tcPr>
            <w:tcW w:w="8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11.5</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63,700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40" w:type="dxa"/>
            <w:vAlign w:val="bottom"/>
            <w:tcBorders>
              <w:bottom w:val="single" w:sz="8" w:color="2C2C2C"/>
            </w:tcBorders>
          </w:tcPr>
          <w:p>
            <w:pPr>
              <w:jc w:val="center"/>
              <w:ind w:left="662"/>
              <w:spacing w:after="0"/>
              <w:rPr>
                <w:sz w:val="20"/>
                <w:szCs w:val="20"/>
                <w:color w:val="auto"/>
              </w:rPr>
            </w:pPr>
            <w:r>
              <w:rPr>
                <w:rFonts w:ascii="Arial" w:cs="Arial" w:eastAsia="Arial" w:hAnsi="Arial"/>
                <w:sz w:val="17"/>
                <w:szCs w:val="17"/>
                <w:color w:val="0000FF"/>
                <w:w w:val="91"/>
              </w:rPr>
              <w:t>11/13/2013</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6"/>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right"/>
              <w:ind w:right="82"/>
              <w:spacing w:after="0"/>
              <w:rPr>
                <w:sz w:val="20"/>
                <w:szCs w:val="20"/>
                <w:color w:val="auto"/>
              </w:rPr>
            </w:pPr>
            <w:r>
              <w:rPr>
                <w:rFonts w:ascii="Arial" w:cs="Arial" w:eastAsia="Arial" w:hAnsi="Arial"/>
                <w:sz w:val="17"/>
                <w:szCs w:val="17"/>
                <w:color w:val="0000FF"/>
              </w:rPr>
              <w:t>7,600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17.56</w:t>
            </w:r>
            <w:r>
              <w:rPr>
                <w:rFonts w:ascii="Arial" w:cs="Arial" w:eastAsia="Arial" w:hAnsi="Arial"/>
                <w:sz w:val="22"/>
                <w:szCs w:val="22"/>
                <w:color w:val="008000"/>
                <w:w w:val="88"/>
                <w:vertAlign w:val="superscript"/>
              </w:rPr>
              <w:t>(3)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56,100</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Spouse,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8,561</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Karen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Gentry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0" w:type="dxa"/>
            <w:vAlign w:val="bottom"/>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11.61</w:t>
            </w:r>
          </w:p>
        </w:tc>
        <w:tc>
          <w:tcPr>
            <w:tcW w:w="1120" w:type="dxa"/>
            <w:vAlign w:val="bottom"/>
          </w:tcPr>
          <w:p>
            <w:pPr>
              <w:jc w:val="center"/>
              <w:spacing w:after="0"/>
              <w:rPr>
                <w:sz w:val="20"/>
                <w:szCs w:val="20"/>
                <w:color w:val="auto"/>
              </w:rPr>
            </w:pPr>
            <w:r>
              <w:rPr>
                <w:rFonts w:ascii="Arial" w:cs="Arial" w:eastAsia="Arial" w:hAnsi="Arial"/>
                <w:sz w:val="13"/>
                <w:szCs w:val="13"/>
                <w:color w:val="0000FF"/>
                <w:w w:val="92"/>
              </w:rPr>
              <w:t>11/12/2013</w:t>
            </w:r>
          </w:p>
        </w:tc>
        <w:tc>
          <w:tcPr>
            <w:tcW w:w="11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jc w:val="center"/>
              <w:ind w:left="278"/>
              <w:spacing w:after="0"/>
              <w:rPr>
                <w:sz w:val="20"/>
                <w:szCs w:val="20"/>
                <w:color w:val="auto"/>
              </w:rPr>
            </w:pPr>
            <w:r>
              <w:rPr>
                <w:rFonts w:ascii="Arial" w:cs="Arial" w:eastAsia="Arial" w:hAnsi="Arial"/>
                <w:sz w:val="13"/>
                <w:szCs w:val="13"/>
                <w:color w:val="0000FF"/>
                <w:w w:val="98"/>
              </w:rPr>
              <w:t>8,600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08/19/2015</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8,600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center"/>
              <w:spacing w:after="0"/>
              <w:rPr>
                <w:sz w:val="20"/>
                <w:szCs w:val="20"/>
                <w:color w:val="auto"/>
              </w:rPr>
            </w:pPr>
            <w:r>
              <w:rPr>
                <w:rFonts w:ascii="Arial" w:cs="Arial" w:eastAsia="Arial" w:hAnsi="Arial"/>
                <w:sz w:val="13"/>
                <w:szCs w:val="13"/>
                <w:color w:val="0000FF"/>
                <w:w w:val="92"/>
              </w:rPr>
              <w:t>6,400</w:t>
            </w:r>
          </w:p>
        </w:tc>
        <w:tc>
          <w:tcPr>
            <w:tcW w:w="78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720" w:type="dxa"/>
            <w:vAlign w:val="bottom"/>
          </w:tcPr>
          <w:p>
            <w:pPr>
              <w:ind w:left="60"/>
              <w:spacing w:after="0" w:line="96"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ind w:left="180"/>
              <w:spacing w:after="0" w:line="96"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0" w:type="dxa"/>
            <w:vAlign w:val="bottom"/>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11.61</w:t>
            </w:r>
          </w:p>
        </w:tc>
        <w:tc>
          <w:tcPr>
            <w:tcW w:w="1120" w:type="dxa"/>
            <w:vAlign w:val="bottom"/>
          </w:tcPr>
          <w:p>
            <w:pPr>
              <w:jc w:val="center"/>
              <w:spacing w:after="0"/>
              <w:rPr>
                <w:sz w:val="20"/>
                <w:szCs w:val="20"/>
                <w:color w:val="auto"/>
              </w:rPr>
            </w:pPr>
            <w:r>
              <w:rPr>
                <w:rFonts w:ascii="Arial" w:cs="Arial" w:eastAsia="Arial" w:hAnsi="Arial"/>
                <w:sz w:val="13"/>
                <w:szCs w:val="13"/>
                <w:color w:val="0000FF"/>
                <w:w w:val="92"/>
              </w:rPr>
              <w:t>11/13/2013</w:t>
            </w:r>
          </w:p>
        </w:tc>
        <w:tc>
          <w:tcPr>
            <w:tcW w:w="11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jc w:val="center"/>
              <w:ind w:left="278"/>
              <w:spacing w:after="0"/>
              <w:rPr>
                <w:sz w:val="20"/>
                <w:szCs w:val="20"/>
                <w:color w:val="auto"/>
              </w:rPr>
            </w:pPr>
            <w:r>
              <w:rPr>
                <w:rFonts w:ascii="Arial" w:cs="Arial" w:eastAsia="Arial" w:hAnsi="Arial"/>
                <w:sz w:val="13"/>
                <w:szCs w:val="13"/>
                <w:color w:val="0000FF"/>
                <w:w w:val="98"/>
              </w:rPr>
              <w:t>6,400</w:t>
            </w: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08/19/2015</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6,400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center"/>
              <w:spacing w:after="0"/>
              <w:rPr>
                <w:sz w:val="20"/>
                <w:szCs w:val="20"/>
                <w:color w:val="auto"/>
              </w:rPr>
            </w:pPr>
            <w:r>
              <w:rPr>
                <w:rFonts w:ascii="Arial" w:cs="Arial" w:eastAsia="Arial" w:hAnsi="Arial"/>
                <w:sz w:val="13"/>
                <w:szCs w:val="13"/>
                <w:color w:val="0000FF"/>
                <w:w w:val="82"/>
              </w:rPr>
              <w:t>0</w:t>
            </w:r>
          </w:p>
        </w:tc>
        <w:tc>
          <w:tcPr>
            <w:tcW w:w="78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720" w:type="dxa"/>
            <w:vAlign w:val="bottom"/>
          </w:tcPr>
          <w:p>
            <w:pPr>
              <w:ind w:left="60"/>
              <w:spacing w:after="0" w:line="96"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ind w:left="180"/>
              <w:spacing w:after="0" w:line="96"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0" w:type="dxa"/>
            <w:vAlign w:val="bottom"/>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11.5</w:t>
            </w:r>
          </w:p>
        </w:tc>
        <w:tc>
          <w:tcPr>
            <w:tcW w:w="1120" w:type="dxa"/>
            <w:vAlign w:val="bottom"/>
          </w:tcPr>
          <w:p>
            <w:pPr>
              <w:jc w:val="center"/>
              <w:spacing w:after="0"/>
              <w:rPr>
                <w:sz w:val="20"/>
                <w:szCs w:val="20"/>
                <w:color w:val="auto"/>
              </w:rPr>
            </w:pPr>
            <w:r>
              <w:rPr>
                <w:rFonts w:ascii="Arial" w:cs="Arial" w:eastAsia="Arial" w:hAnsi="Arial"/>
                <w:sz w:val="13"/>
                <w:szCs w:val="13"/>
                <w:color w:val="0000FF"/>
                <w:w w:val="92"/>
              </w:rPr>
              <w:t>11/13/2013</w:t>
            </w:r>
          </w:p>
        </w:tc>
        <w:tc>
          <w:tcPr>
            <w:tcW w:w="11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900" w:type="dxa"/>
            <w:vAlign w:val="bottom"/>
          </w:tcPr>
          <w:p>
            <w:pPr>
              <w:jc w:val="center"/>
              <w:ind w:left="278"/>
              <w:spacing w:after="0" w:line="198" w:lineRule="exact"/>
              <w:rPr>
                <w:sz w:val="20"/>
                <w:szCs w:val="20"/>
                <w:color w:val="auto"/>
              </w:rPr>
            </w:pPr>
            <w:r>
              <w:rPr>
                <w:rFonts w:ascii="Arial" w:cs="Arial" w:eastAsia="Arial" w:hAnsi="Arial"/>
                <w:sz w:val="13"/>
                <w:szCs w:val="13"/>
                <w:color w:val="0000FF"/>
                <w:w w:val="87"/>
              </w:rPr>
              <w:t>7,600</w:t>
            </w:r>
            <w:r>
              <w:rPr>
                <w:rFonts w:ascii="Arial" w:cs="Arial" w:eastAsia="Arial" w:hAnsi="Arial"/>
                <w:sz w:val="22"/>
                <w:szCs w:val="22"/>
                <w:color w:val="008000"/>
                <w:w w:val="87"/>
                <w:vertAlign w:val="superscript"/>
              </w:rPr>
              <w:t>(5)</w:t>
            </w:r>
          </w:p>
        </w:tc>
        <w:tc>
          <w:tcPr>
            <w:tcW w:w="820" w:type="dxa"/>
            <w:vAlign w:val="bottom"/>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08/14/2016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7,600</w:t>
            </w: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center"/>
              <w:spacing w:after="0"/>
              <w:rPr>
                <w:sz w:val="20"/>
                <w:szCs w:val="20"/>
                <w:color w:val="auto"/>
              </w:rPr>
            </w:pPr>
            <w:r>
              <w:rPr>
                <w:rFonts w:ascii="Arial" w:cs="Arial" w:eastAsia="Arial" w:hAnsi="Arial"/>
                <w:sz w:val="13"/>
                <w:szCs w:val="13"/>
                <w:color w:val="0000FF"/>
                <w:w w:val="92"/>
              </w:rPr>
              <w:t>3,650</w:t>
            </w:r>
          </w:p>
        </w:tc>
        <w:tc>
          <w:tcPr>
            <w:tcW w:w="78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720" w:type="dxa"/>
            <w:vAlign w:val="bottom"/>
          </w:tcPr>
          <w:p>
            <w:pPr>
              <w:ind w:left="60"/>
              <w:spacing w:after="0" w:line="108"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ind w:left="180"/>
              <w:spacing w:after="0" w:line="108"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jc w:val="both"/>
        <w:ind w:left="40" w:right="360" w:firstLine="7"/>
        <w:spacing w:after="0" w:line="25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$17.40 to $17.77, inclusive. The reporting person undertakes to provide to NN, Inc., any security holder of NN, Inc., or the staff of the Securities and Exchange Commission, upon request, full information regarding the number of shares sold at each separate price within the range set forth in this footnote.</w:t>
      </w:r>
    </w:p>
    <w:p>
      <w:pPr>
        <w:spacing w:after="0" w:line="23" w:lineRule="exact"/>
        <w:rPr>
          <w:rFonts w:ascii="Arial" w:cs="Arial" w:eastAsia="Arial" w:hAnsi="Arial"/>
          <w:sz w:val="13"/>
          <w:szCs w:val="13"/>
          <w:color w:val="008000"/>
        </w:rPr>
      </w:pPr>
    </w:p>
    <w:p>
      <w:pPr>
        <w:jc w:val="both"/>
        <w:ind w:left="40" w:right="360" w:firstLine="7"/>
        <w:spacing w:after="0" w:line="25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$17.50 to $17.58, inclusive. The reporting person undertakes to provide to NN, Inc., any security holder of NN, Inc., or the staff of the Securities and Exchange Commission, upon request, full information regarding the number of shares sold at each separate price within the range set forth in this footnote.</w:t>
      </w:r>
    </w:p>
    <w:p>
      <w:pPr>
        <w:spacing w:after="0" w:line="23" w:lineRule="exact"/>
        <w:rPr>
          <w:rFonts w:ascii="Arial" w:cs="Arial" w:eastAsia="Arial" w:hAnsi="Arial"/>
          <w:sz w:val="13"/>
          <w:szCs w:val="13"/>
          <w:color w:val="008000"/>
        </w:rPr>
      </w:pPr>
    </w:p>
    <w:p>
      <w:pPr>
        <w:jc w:val="both"/>
        <w:ind w:left="40" w:right="360" w:firstLine="7"/>
        <w:spacing w:after="0" w:line="25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$17.51 to $17.61, inclusive. The reporting person undertakes to provide to NN, Inc., any security holder of NN, Inc., or the staff of the Securities and Exchange Commission, upon request, full information regarding the number of shares sold at each separate price within the range set forth in this footnote.</w:t>
      </w:r>
    </w:p>
    <w:p>
      <w:pPr>
        <w:spacing w:after="0" w:line="23"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three annual installments beginning on August 19, 2006, which was the first anniversary of the date on which the option was granted.</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became exercisable in three annual installments beginning on August 14, 2007, which was the first anniversary of the date on which the option was granted.</w:t>
      </w:r>
    </w:p>
    <w:p>
      <w:pPr>
        <w:sectPr>
          <w:pgSz w:w="11900" w:h="16857" w:orient="portrait"/>
          <w:cols w:equalWidth="0" w:num="1">
            <w:col w:w="11520"/>
          </w:cols>
          <w:pgMar w:left="240" w:top="225" w:right="139" w:bottom="0" w:gutter="0" w:footer="0" w:header="0"/>
          <w:type w:val="continuous"/>
        </w:sectPr>
      </w:pP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57" w:orient="portrait"/>
          <w:cols w:equalWidth="0" w:num="1">
            <w:col w:w="11520"/>
          </w:cols>
          <w:pgMar w:left="240" w:top="225"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11/14/2013</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2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00"/>
      </w:cols>
      <w:pgMar w:left="280" w:top="224"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6"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2019-12-17T05:14:49Z</dcterms:created>
  <dcterms:modified xsi:type="dcterms:W3CDTF">2019-12-17T05:14:49Z</dcterms:modified>
</cp:coreProperties>
</file>