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3" w:lineRule="exact"/>
        <w:rPr>
          <w:sz w:val="24"/>
          <w:szCs w:val="24"/>
          <w:color w:val="auto"/>
        </w:rPr>
      </w:pPr>
    </w:p>
    <w:p>
      <w:pPr>
        <w:ind w:left="360"/>
        <w:spacing w:after="0" w:line="22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-230505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-621030</wp:posOffset>
            </wp:positionV>
            <wp:extent cx="57785" cy="6343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-621030</wp:posOffset>
            </wp:positionV>
            <wp:extent cx="5778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14605</wp:posOffset>
            </wp:positionV>
            <wp:extent cx="6994525" cy="46069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4525" cy="4606925"/>
                    </a:xfrm>
                    <a:prstGeom prst="rect">
                      <a:avLst/>
                    </a:prstGeom>
                    <a:noFill/>
                  </pic:spPr>
                </pic:pic>
              </a:graphicData>
            </a:graphic>
          </wp:anchor>
        </w:drawing>
      </w:r>
    </w:p>
    <w:p>
      <w:pPr>
        <w:spacing w:after="0" w:line="92" w:lineRule="exact"/>
        <w:rPr>
          <w:sz w:val="24"/>
          <w:szCs w:val="24"/>
          <w:color w:val="auto"/>
        </w:rPr>
      </w:pPr>
    </w:p>
    <w:p>
      <w:pPr>
        <w:sectPr>
          <w:pgSz w:w="11900" w:h="16838" w:orient="portrait"/>
          <w:cols w:equalWidth="0" w:num="2">
            <w:col w:w="2240" w:space="340"/>
            <w:col w:w="850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FELCHER, JR. MICHAEL C.</w:t>
        </w:r>
      </w:hyperlink>
    </w:p>
    <w:p>
      <w:pPr>
        <w:spacing w:after="0" w:line="31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6210 ARDREY KELL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ind w:left="360" w:hanging="356"/>
        <w:spacing w:after="0"/>
        <w:tabs>
          <w:tab w:leader="none" w:pos="360" w:val="left"/>
        </w:tabs>
        <w:numPr>
          <w:ilvl w:val="0"/>
          <w:numId w:val="1"/>
        </w:numPr>
        <w:rPr>
          <w:rFonts w:ascii="Arial" w:cs="Arial" w:eastAsia="Arial" w:hAnsi="Arial"/>
          <w:sz w:val="20"/>
          <w:szCs w:val="20"/>
          <w:color w:val="0000EE"/>
        </w:rPr>
      </w:pPr>
      <w:hyperlink r:id="rId13">
        <w:r>
          <w:rPr>
            <w:rFonts w:ascii="Arial" w:cs="Arial" w:eastAsia="Arial" w:hAnsi="Arial"/>
            <w:sz w:val="20"/>
            <w:szCs w:val="20"/>
            <w:u w:val="single" w:color="auto"/>
            <w:color w:val="0000EE"/>
          </w:rPr>
          <w:t>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NNBR</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1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0000FF"/>
        </w:rPr>
        <w:t>03/28/2022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9" w:right="660" w:firstLine="9"/>
        <w:spacing w:after="0" w:line="236" w:lineRule="auto"/>
        <w:tabs>
          <w:tab w:leader="none" w:pos="134"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191" w:type="dxa"/>
        <w:tblCellMar>
          <w:top w:w="0" w:type="dxa"/>
          <w:left w:w="0" w:type="dxa"/>
          <w:bottom w:w="0" w:type="dxa"/>
          <w:right w:w="0" w:type="dxa"/>
        </w:tblCellMar>
      </w:tblPr>
      <w:tr>
        <w:trPr>
          <w:trHeight w:val="154"/>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631"/>
        <w:spacing w:after="0"/>
        <w:rPr>
          <w:sz w:val="20"/>
          <w:szCs w:val="20"/>
          <w:color w:val="auto"/>
        </w:rPr>
      </w:pPr>
      <w:r>
        <w:rPr>
          <w:rFonts w:ascii="Arial" w:cs="Arial" w:eastAsia="Arial" w:hAnsi="Arial"/>
          <w:sz w:val="17"/>
          <w:szCs w:val="17"/>
          <w:color w:val="0000FF"/>
        </w:rPr>
        <w:t>SVP, Chief Financial Officer</w:t>
      </w:r>
    </w:p>
    <w:p>
      <w:pPr>
        <w:spacing w:after="0" w:line="302" w:lineRule="exact"/>
        <w:rPr>
          <w:sz w:val="24"/>
          <w:szCs w:val="24"/>
          <w:color w:val="auto"/>
        </w:rPr>
      </w:pPr>
    </w:p>
    <w:p>
      <w:pPr>
        <w:sectPr>
          <w:pgSz w:w="11900" w:h="16838" w:orient="portrait"/>
          <w:cols w:equalWidth="0" w:num="3">
            <w:col w:w="3180" w:space="720"/>
            <w:col w:w="3109" w:space="720"/>
            <w:col w:w="3351"/>
          </w:cols>
          <w:pgMar w:left="460" w:top="221"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9"/>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Arial" w:cs="Arial" w:eastAsia="Arial" w:hAnsi="Arial"/>
                <w:sz w:val="17"/>
                <w:szCs w:val="17"/>
                <w:color w:val="0000FF"/>
              </w:rPr>
              <w:t>CHARLOTTE</w:t>
            </w:r>
          </w:p>
        </w:tc>
        <w:tc>
          <w:tcPr>
            <w:tcW w:w="920" w:type="dxa"/>
            <w:vAlign w:val="bottom"/>
          </w:tcPr>
          <w:p>
            <w:pPr>
              <w:ind w:left="120"/>
              <w:spacing w:after="0"/>
              <w:rPr>
                <w:sz w:val="20"/>
                <w:szCs w:val="20"/>
                <w:color w:val="auto"/>
              </w:rPr>
            </w:pPr>
            <w:r>
              <w:rPr>
                <w:rFonts w:ascii="Arial" w:cs="Arial" w:eastAsia="Arial" w:hAnsi="Arial"/>
                <w:sz w:val="17"/>
                <w:szCs w:val="17"/>
                <w:color w:val="0000FF"/>
              </w:rPr>
              <w:t>NC</w:t>
            </w:r>
          </w:p>
        </w:tc>
        <w:tc>
          <w:tcPr>
            <w:tcW w:w="1620" w:type="dxa"/>
            <w:vAlign w:val="bottom"/>
          </w:tcPr>
          <w:p>
            <w:pPr>
              <w:ind w:left="420"/>
              <w:spacing w:after="0"/>
              <w:rPr>
                <w:sz w:val="20"/>
                <w:szCs w:val="20"/>
                <w:color w:val="auto"/>
              </w:rPr>
            </w:pPr>
            <w:r>
              <w:rPr>
                <w:rFonts w:ascii="Arial" w:cs="Arial" w:eastAsia="Arial" w:hAnsi="Arial"/>
                <w:sz w:val="17"/>
                <w:szCs w:val="17"/>
                <w:color w:val="0000FF"/>
              </w:rPr>
              <w:t>28277</w:t>
            </w:r>
          </w:p>
        </w:tc>
      </w:tr>
      <w:tr>
        <w:trPr>
          <w:trHeight w:val="147"/>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40"/>
        <w:spacing w:after="0" w:line="215"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94" w:lineRule="exact"/>
        <w:rPr>
          <w:sz w:val="24"/>
          <w:szCs w:val="24"/>
          <w:color w:val="auto"/>
        </w:rPr>
      </w:pPr>
    </w:p>
    <w:p>
      <w:pPr>
        <w:sectPr>
          <w:pgSz w:w="11900" w:h="16838" w:orient="portrait"/>
          <w:cols w:equalWidth="0" w:num="2">
            <w:col w:w="3760" w:space="140"/>
            <w:col w:w="718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6"/>
              </w:rPr>
              <w:t>2A. Deemed</w:t>
            </w:r>
          </w:p>
        </w:tc>
        <w:tc>
          <w:tcPr>
            <w:tcW w:w="28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680"/>
              <w:spacing w:after="0" w:line="125"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0"/>
                <w:szCs w:val="10"/>
                <w:color w:val="auto"/>
              </w:rPr>
            </w:pPr>
          </w:p>
        </w:tc>
        <w:tc>
          <w:tcPr>
            <w:tcW w:w="1020" w:type="dxa"/>
            <w:vAlign w:val="bottom"/>
            <w:gridSpan w:val="3"/>
          </w:tcPr>
          <w:p>
            <w:pPr>
              <w:ind w:left="60"/>
              <w:spacing w:after="0" w:line="125"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4"/>
              </w:rPr>
              <w:t>Transaction</w:t>
            </w:r>
          </w:p>
        </w:tc>
        <w:tc>
          <w:tcPr>
            <w:tcW w:w="1860" w:type="dxa"/>
            <w:vAlign w:val="bottom"/>
            <w:gridSpan w:val="3"/>
          </w:tcPr>
          <w:p>
            <w:pPr>
              <w:ind w:left="100"/>
              <w:spacing w:after="0" w:line="125" w:lineRule="exact"/>
              <w:rPr>
                <w:sz w:val="20"/>
                <w:szCs w:val="20"/>
                <w:color w:val="auto"/>
              </w:rPr>
            </w:pPr>
            <w:r>
              <w:rPr>
                <w:rFonts w:ascii="Arial" w:cs="Arial" w:eastAsia="Arial" w:hAnsi="Arial"/>
                <w:sz w:val="12"/>
                <w:szCs w:val="12"/>
                <w:b w:val="1"/>
                <w:bCs w:val="1"/>
                <w:color w:val="auto"/>
                <w:w w:val="99"/>
              </w:rPr>
              <w:t>Disposed Of (D) (Instr. 3, 4 and</w:t>
            </w:r>
          </w:p>
        </w:tc>
        <w:tc>
          <w:tcPr>
            <w:tcW w:w="12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00" w:type="dxa"/>
            <w:vAlign w:val="bottom"/>
            <w:gridSpan w:val="2"/>
          </w:tcPr>
          <w:p>
            <w:pPr>
              <w:ind w:left="68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20"/>
              <w:spacing w:after="0" w:line="128"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ind w:left="780"/>
              <w:spacing w:after="0"/>
              <w:rPr>
                <w:sz w:val="20"/>
                <w:szCs w:val="20"/>
                <w:color w:val="auto"/>
              </w:rPr>
            </w:pPr>
            <w:r>
              <w:rPr>
                <w:rFonts w:ascii="Arial" w:cs="Arial" w:eastAsia="Arial" w:hAnsi="Arial"/>
                <w:sz w:val="17"/>
                <w:szCs w:val="17"/>
                <w:color w:val="0000FF"/>
              </w:rPr>
              <w:t>03/28/2022</w:t>
            </w: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A</w:t>
            </w:r>
            <w:r>
              <w:rPr>
                <w:rFonts w:ascii="Arial" w:cs="Arial" w:eastAsia="Arial" w:hAnsi="Arial"/>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w w:val="88"/>
              </w:rPr>
              <w:t>37,514</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2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58,856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60" w:type="dxa"/>
            <w:vAlign w:val="bottom"/>
            <w:tcBorders>
              <w:top w:val="single" w:sz="8" w:color="2C2C2C"/>
            </w:tcBorders>
            <w:gridSpan w:val="13"/>
          </w:tcPr>
          <w:p>
            <w:pPr>
              <w:ind w:left="9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360" w:type="dxa"/>
            <w:vAlign w:val="bottom"/>
            <w:gridSpan w:val="10"/>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4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w w:val="94"/>
              </w:rPr>
              <w:t>Performance</w:t>
            </w:r>
          </w:p>
        </w:tc>
        <w:tc>
          <w:tcPr>
            <w:tcW w:w="780" w:type="dxa"/>
            <w:vAlign w:val="bottom"/>
          </w:tcPr>
          <w:p>
            <w:pPr>
              <w:ind w:left="320"/>
              <w:spacing w:after="0"/>
              <w:rPr>
                <w:sz w:val="20"/>
                <w:szCs w:val="20"/>
                <w:color w:val="auto"/>
              </w:rPr>
            </w:pPr>
            <w:r>
              <w:rPr>
                <w:rFonts w:ascii="Arial" w:cs="Arial" w:eastAsia="Arial" w:hAnsi="Arial"/>
                <w:sz w:val="11"/>
                <w:szCs w:val="11"/>
                <w:color w:val="008000"/>
              </w:rPr>
              <w:t>(2)</w:t>
            </w:r>
          </w:p>
        </w:tc>
        <w:tc>
          <w:tcPr>
            <w:tcW w:w="1060" w:type="dxa"/>
            <w:vAlign w:val="bottom"/>
          </w:tcPr>
          <w:p>
            <w:pPr>
              <w:ind w:left="240"/>
              <w:spacing w:after="0"/>
              <w:rPr>
                <w:sz w:val="20"/>
                <w:szCs w:val="20"/>
                <w:color w:val="auto"/>
              </w:rPr>
            </w:pPr>
            <w:r>
              <w:rPr>
                <w:rFonts w:ascii="Arial" w:cs="Arial" w:eastAsia="Arial" w:hAnsi="Arial"/>
                <w:sz w:val="13"/>
                <w:szCs w:val="13"/>
                <w:color w:val="0000FF"/>
              </w:rPr>
              <w:t>03/28/2022</w:t>
            </w:r>
          </w:p>
        </w:tc>
        <w:tc>
          <w:tcPr>
            <w:tcW w:w="1080" w:type="dxa"/>
            <w:vAlign w:val="bottom"/>
          </w:tcPr>
          <w:p>
            <w:pPr>
              <w:spacing w:after="0"/>
              <w:rPr>
                <w:sz w:val="20"/>
                <w:szCs w:val="20"/>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0000FF"/>
              </w:rPr>
              <w:t>A</w:t>
            </w:r>
          </w:p>
        </w:tc>
        <w:tc>
          <w:tcPr>
            <w:tcW w:w="180" w:type="dxa"/>
            <w:vAlign w:val="bottom"/>
          </w:tcPr>
          <w:p>
            <w:pPr>
              <w:spacing w:after="0"/>
              <w:rPr>
                <w:sz w:val="20"/>
                <w:szCs w:val="20"/>
                <w:color w:val="auto"/>
              </w:rPr>
            </w:pPr>
          </w:p>
        </w:tc>
        <w:tc>
          <w:tcPr>
            <w:tcW w:w="560" w:type="dxa"/>
            <w:vAlign w:val="bottom"/>
          </w:tcPr>
          <w:p>
            <w:pPr>
              <w:ind w:left="80"/>
              <w:spacing w:after="0"/>
              <w:rPr>
                <w:sz w:val="20"/>
                <w:szCs w:val="20"/>
                <w:color w:val="auto"/>
              </w:rPr>
            </w:pPr>
            <w:r>
              <w:rPr>
                <w:rFonts w:ascii="Arial" w:cs="Arial" w:eastAsia="Arial" w:hAnsi="Arial"/>
                <w:sz w:val="13"/>
                <w:szCs w:val="13"/>
                <w:color w:val="0000FF"/>
              </w:rPr>
              <w:t>35,191</w:t>
            </w:r>
          </w:p>
        </w:tc>
        <w:tc>
          <w:tcPr>
            <w:tcW w:w="280" w:type="dxa"/>
            <w:vAlign w:val="bottom"/>
          </w:tcPr>
          <w:p>
            <w:pPr>
              <w:spacing w:after="0"/>
              <w:rPr>
                <w:sz w:val="20"/>
                <w:szCs w:val="20"/>
                <w:color w:val="auto"/>
              </w:rPr>
            </w:pPr>
          </w:p>
        </w:tc>
        <w:tc>
          <w:tcPr>
            <w:tcW w:w="780" w:type="dxa"/>
            <w:vAlign w:val="bottom"/>
            <w:gridSpan w:val="2"/>
          </w:tcPr>
          <w:p>
            <w:pPr>
              <w:ind w:left="280"/>
              <w:spacing w:after="0"/>
              <w:rPr>
                <w:sz w:val="20"/>
                <w:szCs w:val="20"/>
                <w:color w:val="auto"/>
              </w:rPr>
            </w:pPr>
            <w:r>
              <w:rPr>
                <w:rFonts w:ascii="Arial" w:cs="Arial" w:eastAsia="Arial" w:hAnsi="Arial"/>
                <w:sz w:val="11"/>
                <w:szCs w:val="11"/>
                <w:color w:val="008000"/>
              </w:rPr>
              <w:t>(3)</w:t>
            </w:r>
          </w:p>
        </w:tc>
        <w:tc>
          <w:tcPr>
            <w:tcW w:w="700" w:type="dxa"/>
            <w:vAlign w:val="bottom"/>
          </w:tcPr>
          <w:p>
            <w:pPr>
              <w:ind w:left="240"/>
              <w:spacing w:after="0"/>
              <w:rPr>
                <w:sz w:val="20"/>
                <w:szCs w:val="20"/>
                <w:color w:val="auto"/>
              </w:rPr>
            </w:pPr>
            <w:r>
              <w:rPr>
                <w:rFonts w:ascii="Arial" w:cs="Arial" w:eastAsia="Arial" w:hAnsi="Arial"/>
                <w:sz w:val="11"/>
                <w:szCs w:val="11"/>
                <w:color w:val="008000"/>
              </w:rPr>
              <w:t>(3)</w:t>
            </w:r>
          </w:p>
        </w:tc>
        <w:tc>
          <w:tcPr>
            <w:tcW w:w="620" w:type="dxa"/>
            <w:vAlign w:val="bottom"/>
          </w:tcPr>
          <w:p>
            <w:pPr>
              <w:ind w:left="20"/>
              <w:spacing w:after="0"/>
              <w:rPr>
                <w:sz w:val="20"/>
                <w:szCs w:val="20"/>
                <w:color w:val="auto"/>
              </w:rPr>
            </w:pPr>
            <w:r>
              <w:rPr>
                <w:rFonts w:ascii="Arial" w:cs="Arial" w:eastAsia="Arial" w:hAnsi="Arial"/>
                <w:sz w:val="13"/>
                <w:szCs w:val="13"/>
                <w:color w:val="0000FF"/>
              </w:rPr>
              <w:t>Common</w:t>
            </w:r>
          </w:p>
        </w:tc>
        <w:tc>
          <w:tcPr>
            <w:tcW w:w="540" w:type="dxa"/>
            <w:vAlign w:val="bottom"/>
          </w:tcPr>
          <w:p>
            <w:pPr>
              <w:ind w:left="20"/>
              <w:spacing w:after="0"/>
              <w:rPr>
                <w:sz w:val="20"/>
                <w:szCs w:val="20"/>
                <w:color w:val="auto"/>
              </w:rPr>
            </w:pPr>
            <w:r>
              <w:rPr>
                <w:rFonts w:ascii="Arial" w:cs="Arial" w:eastAsia="Arial" w:hAnsi="Arial"/>
                <w:sz w:val="17"/>
                <w:szCs w:val="17"/>
                <w:color w:val="0000FF"/>
                <w:w w:val="96"/>
              </w:rPr>
              <w:t>35,191</w:t>
            </w:r>
          </w:p>
        </w:tc>
        <w:tc>
          <w:tcPr>
            <w:tcW w:w="74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ind w:left="240"/>
              <w:spacing w:after="0"/>
              <w:rPr>
                <w:sz w:val="20"/>
                <w:szCs w:val="20"/>
                <w:color w:val="auto"/>
              </w:rPr>
            </w:pPr>
            <w:r>
              <w:rPr>
                <w:rFonts w:ascii="Arial" w:cs="Arial" w:eastAsia="Arial" w:hAnsi="Arial"/>
                <w:sz w:val="13"/>
                <w:szCs w:val="13"/>
                <w:color w:val="0000FF"/>
                <w:w w:val="80"/>
              </w:rPr>
              <w:t>35,191</w:t>
            </w:r>
          </w:p>
        </w:tc>
        <w:tc>
          <w:tcPr>
            <w:tcW w:w="28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13"/>
                <w:szCs w:val="13"/>
                <w:color w:val="0000FF"/>
              </w:rPr>
              <w:t>Rights</w:t>
            </w:r>
          </w:p>
        </w:tc>
        <w:tc>
          <w:tcPr>
            <w:tcW w:w="78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Stock</w:t>
            </w:r>
          </w:p>
        </w:tc>
        <w:tc>
          <w:tcPr>
            <w:tcW w:w="5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-1904365</wp:posOffset>
            </wp:positionV>
            <wp:extent cx="29210" cy="1910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191008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60" w:hanging="119"/>
        <w:spacing w:after="0"/>
        <w:tabs>
          <w:tab w:leader="none" w:pos="16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Shares are restricted stock and vest in three equal annual installments beginning on March 28, 2023.</w:t>
      </w:r>
    </w:p>
    <w:p>
      <w:pPr>
        <w:spacing w:after="0" w:line="42" w:lineRule="exact"/>
        <w:rPr>
          <w:rFonts w:ascii="Arial" w:cs="Arial" w:eastAsia="Arial" w:hAnsi="Arial"/>
          <w:sz w:val="13"/>
          <w:szCs w:val="13"/>
          <w:color w:val="008000"/>
        </w:rPr>
      </w:pPr>
    </w:p>
    <w:p>
      <w:pPr>
        <w:ind w:left="160" w:hanging="119"/>
        <w:spacing w:after="0"/>
        <w:tabs>
          <w:tab w:leader="none" w:pos="16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performance right represents a contingent right to receive one share of common stock of NN, Inc. (the "Issuer").</w:t>
      </w:r>
    </w:p>
    <w:p>
      <w:pPr>
        <w:spacing w:after="0" w:line="42" w:lineRule="exact"/>
        <w:rPr>
          <w:rFonts w:ascii="Arial" w:cs="Arial" w:eastAsia="Arial" w:hAnsi="Arial"/>
          <w:sz w:val="13"/>
          <w:szCs w:val="13"/>
          <w:color w:val="008000"/>
        </w:rPr>
      </w:pPr>
    </w:p>
    <w:p>
      <w:pPr>
        <w:ind w:left="40" w:right="160" w:firstLine="1"/>
        <w:spacing w:after="0" w:line="265" w:lineRule="auto"/>
        <w:tabs>
          <w:tab w:leader="none" w:pos="168"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performance rights will vest pursuant to the terms and subject to the conditions set forth in the Issuer's 2019 Omnibus Incentive Plan and the applicable Performance Share Unit Award Agreement based on the relative total shareholder return ("TSR") of the Issuer, as compared to the TSR of a custom S&amp;P "MicroCap" Capital Goods Index over the period beginning on January 1, 2022 and ending December 31, 2024. The performance rights granted represent the right to receive the target shares, and actual performance rights earned may be between 25% and 150% of the target shares.</w:t>
      </w:r>
    </w:p>
    <w:p>
      <w:pPr>
        <w:sectPr>
          <w:pgSz w:w="11900" w:h="16838" w:orient="portrait"/>
          <w:cols w:equalWidth="0" w:num="1">
            <w:col w:w="11080"/>
          </w:cols>
          <w:pgMar w:left="460" w:top="221" w:right="359" w:bottom="1440" w:gutter="0" w:footer="0" w:header="0"/>
          <w:type w:val="continuous"/>
        </w:sectPr>
      </w:pPr>
    </w:p>
    <w:p>
      <w:pPr>
        <w:spacing w:after="0" w:line="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3" w:lineRule="exact"/>
        <w:rPr>
          <w:sz w:val="24"/>
          <w:szCs w:val="24"/>
          <w:color w:val="auto"/>
        </w:rPr>
      </w:pPr>
    </w:p>
    <w:p>
      <w:pPr>
        <w:ind w:left="6600"/>
        <w:spacing w:after="0"/>
        <w:rPr>
          <w:sz w:val="20"/>
          <w:szCs w:val="20"/>
          <w:color w:val="auto"/>
        </w:rPr>
      </w:pPr>
      <w:r>
        <w:rPr>
          <w:rFonts w:ascii="Arial" w:cs="Arial" w:eastAsia="Arial" w:hAnsi="Arial"/>
          <w:sz w:val="15"/>
          <w:szCs w:val="15"/>
          <w:color w:val="0000FF"/>
        </w:rPr>
        <w:t>/s/ Matthew S. Heiter by Power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1270</wp:posOffset>
            </wp:positionV>
            <wp:extent cx="13315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spacing w:after="0" w:line="20"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-17145</wp:posOffset>
            </wp:positionV>
            <wp:extent cx="4895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9585" cy="8255"/>
                    </a:xfrm>
                    <a:prstGeom prst="rect">
                      <a:avLst/>
                    </a:prstGeom>
                    <a:noFill/>
                  </pic:spPr>
                </pic:pic>
              </a:graphicData>
            </a:graphic>
          </wp:anchor>
        </w:drawing>
      </w:r>
    </w:p>
    <w:p>
      <w:pPr>
        <w:spacing w:after="0" w:line="41"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1260" w:firstLine="1"/>
        <w:spacing w:after="0" w:line="330" w:lineRule="auto"/>
        <w:tabs>
          <w:tab w:leader="none" w:pos="175"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9" w:lineRule="exact"/>
        <w:rPr>
          <w:sz w:val="24"/>
          <w:szCs w:val="24"/>
          <w:color w:val="auto"/>
        </w:rPr>
      </w:pPr>
    </w:p>
    <w:p>
      <w:pPr>
        <w:spacing w:after="0"/>
        <w:rPr>
          <w:sz w:val="20"/>
          <w:szCs w:val="20"/>
          <w:color w:val="auto"/>
        </w:rPr>
      </w:pPr>
      <w:r>
        <w:rPr>
          <w:rFonts w:ascii="Arial" w:cs="Arial" w:eastAsia="Arial" w:hAnsi="Arial"/>
          <w:sz w:val="14"/>
          <w:szCs w:val="14"/>
          <w:color w:val="0000FF"/>
        </w:rPr>
        <w:t>03/30/2022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8890</wp:posOffset>
            </wp:positionV>
            <wp:extent cx="4813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1330" cy="8255"/>
                    </a:xfrm>
                    <a:prstGeom prst="rect">
                      <a:avLst/>
                    </a:prstGeom>
                    <a:noFill/>
                  </pic:spPr>
                </pic:pic>
              </a:graphicData>
            </a:graphic>
          </wp:anchor>
        </w:drawing>
      </w:r>
    </w:p>
    <w:p>
      <w:pPr>
        <w:spacing w:after="0" w:line="185"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794" w:lineRule="exact"/>
        <w:rPr>
          <w:sz w:val="24"/>
          <w:szCs w:val="24"/>
          <w:color w:val="auto"/>
        </w:rPr>
      </w:pPr>
    </w:p>
    <w:p>
      <w:pPr>
        <w:sectPr>
          <w:pgSz w:w="11900" w:h="16838" w:orient="portrait"/>
          <w:cols w:equalWidth="0" w:num="2">
            <w:col w:w="8680" w:space="120"/>
            <w:col w:w="2280"/>
          </w:cols>
          <w:pgMar w:left="460" w:top="221" w:right="35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67919"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2022-03-30T16:21:58Z</dcterms:created>
  <dcterms:modified xsi:type="dcterms:W3CDTF">2022-03-30T16:21:58Z</dcterms:modified>
</cp:coreProperties>
</file>