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1"/>
        <w:spacing w:after="0"/>
        <w:rPr>
          <w:sz w:val="20"/>
          <w:szCs w:val="20"/>
          <w:color w:val="auto"/>
        </w:rPr>
      </w:pPr>
      <w:r>
        <w:rPr>
          <w:rFonts w:ascii="Courier New" w:cs="Courier New" w:eastAsia="Courier New" w:hAnsi="Courier New"/>
          <w:sz w:val="16"/>
          <w:szCs w:val="16"/>
          <w:color w:val="auto"/>
        </w:rPr>
        <w:t>1</w:t>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2718"/>
        <w:spacing w:after="0"/>
        <w:rPr>
          <w:sz w:val="20"/>
          <w:szCs w:val="20"/>
          <w:color w:val="auto"/>
        </w:rPr>
      </w:pPr>
      <w:r>
        <w:rPr>
          <w:rFonts w:ascii="Courier New" w:cs="Courier New" w:eastAsia="Courier New" w:hAnsi="Courier New"/>
          <w:sz w:val="16"/>
          <w:szCs w:val="16"/>
          <w:color w:val="auto"/>
        </w:rPr>
        <w:t>UNITED STATES SECURITIES AND EXCHANGE COMMISSION</w:t>
      </w:r>
    </w:p>
    <w:p>
      <w:pPr>
        <w:spacing w:after="0" w:line="4" w:lineRule="exact"/>
        <w:rPr>
          <w:sz w:val="24"/>
          <w:szCs w:val="24"/>
          <w:color w:val="auto"/>
        </w:rPr>
      </w:pPr>
    </w:p>
    <w:p>
      <w:pPr>
        <w:jc w:val="center"/>
        <w:ind w:right="2718"/>
        <w:spacing w:after="0"/>
        <w:rPr>
          <w:sz w:val="20"/>
          <w:szCs w:val="20"/>
          <w:color w:val="auto"/>
        </w:rPr>
      </w:pPr>
      <w:r>
        <w:rPr>
          <w:rFonts w:ascii="Courier New" w:cs="Courier New" w:eastAsia="Courier New" w:hAnsi="Courier New"/>
          <w:sz w:val="16"/>
          <w:szCs w:val="16"/>
          <w:color w:val="auto"/>
        </w:rPr>
        <w:t>WASHINGTON, D.C. 20549</w:t>
      </w:r>
    </w:p>
    <w:p>
      <w:pPr>
        <w:spacing w:after="0" w:line="373" w:lineRule="exact"/>
        <w:rPr>
          <w:sz w:val="24"/>
          <w:szCs w:val="24"/>
          <w:color w:val="auto"/>
        </w:rPr>
      </w:pPr>
    </w:p>
    <w:p>
      <w:pPr>
        <w:ind w:left="3361"/>
        <w:spacing w:after="0"/>
        <w:rPr>
          <w:sz w:val="20"/>
          <w:szCs w:val="20"/>
          <w:color w:val="auto"/>
        </w:rPr>
      </w:pPr>
      <w:r>
        <w:rPr>
          <w:rFonts w:ascii="Courier New" w:cs="Courier New" w:eastAsia="Courier New" w:hAnsi="Courier New"/>
          <w:sz w:val="16"/>
          <w:szCs w:val="16"/>
          <w:color w:val="auto"/>
        </w:rPr>
        <w:t>FORM 10-Q</w:t>
      </w:r>
    </w:p>
    <w:p>
      <w:pPr>
        <w:spacing w:after="0" w:line="373" w:lineRule="exact"/>
        <w:rPr>
          <w:sz w:val="24"/>
          <w:szCs w:val="24"/>
          <w:color w:val="auto"/>
        </w:rPr>
      </w:pPr>
    </w:p>
    <w:p>
      <w:pPr>
        <w:ind w:left="1161" w:hanging="1161"/>
        <w:spacing w:after="0"/>
        <w:tabs>
          <w:tab w:leader="none" w:pos="11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w:t>
      </w:r>
    </w:p>
    <w:p>
      <w:pPr>
        <w:spacing w:after="0" w:line="3" w:lineRule="exact"/>
        <w:rPr>
          <w:rFonts w:ascii="Courier New" w:cs="Courier New" w:eastAsia="Courier New" w:hAnsi="Courier New"/>
          <w:sz w:val="16"/>
          <w:szCs w:val="16"/>
          <w:color w:val="auto"/>
        </w:rPr>
      </w:pPr>
    </w:p>
    <w:p>
      <w:pPr>
        <w:ind w:left="11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 THE SECURITIES EXCHANGE ACT OF 1934</w:t>
      </w:r>
    </w:p>
    <w:p>
      <w:pPr>
        <w:spacing w:after="0" w:line="188" w:lineRule="exact"/>
        <w:rPr>
          <w:sz w:val="24"/>
          <w:szCs w:val="24"/>
          <w:color w:val="auto"/>
        </w:rPr>
      </w:pPr>
    </w:p>
    <w:p>
      <w:pPr>
        <w:ind w:left="1641"/>
        <w:spacing w:after="0"/>
        <w:rPr>
          <w:sz w:val="20"/>
          <w:szCs w:val="20"/>
          <w:color w:val="auto"/>
        </w:rPr>
      </w:pPr>
      <w:r>
        <w:rPr>
          <w:rFonts w:ascii="Courier New" w:cs="Courier New" w:eastAsia="Courier New" w:hAnsi="Courier New"/>
          <w:sz w:val="16"/>
          <w:szCs w:val="16"/>
          <w:color w:val="auto"/>
        </w:rPr>
        <w:t>For the quarterly period ended June 30, 1996</w:t>
      </w:r>
    </w:p>
    <w:p>
      <w:pPr>
        <w:spacing w:after="0" w:line="4" w:lineRule="exact"/>
        <w:rPr>
          <w:sz w:val="24"/>
          <w:szCs w:val="24"/>
          <w:color w:val="auto"/>
        </w:rPr>
      </w:pPr>
    </w:p>
    <w:p>
      <w:pPr>
        <w:ind w:left="4621"/>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ind w:left="3641"/>
        <w:spacing w:after="0"/>
        <w:rPr>
          <w:sz w:val="20"/>
          <w:szCs w:val="20"/>
          <w:color w:val="auto"/>
        </w:rPr>
      </w:pPr>
      <w:r>
        <w:rPr>
          <w:rFonts w:ascii="Courier New" w:cs="Courier New" w:eastAsia="Courier New" w:hAnsi="Courier New"/>
          <w:sz w:val="16"/>
          <w:szCs w:val="16"/>
          <w:color w:val="auto"/>
        </w:rPr>
        <w:t>OR</w:t>
      </w:r>
    </w:p>
    <w:p>
      <w:pPr>
        <w:spacing w:after="0" w:line="188" w:lineRule="exact"/>
        <w:rPr>
          <w:sz w:val="24"/>
          <w:szCs w:val="24"/>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5"/>
          <w:szCs w:val="15"/>
          <w:color w:val="auto"/>
        </w:rPr>
        <w:t>TRANSITION REPORT PURSUANT TO SECTION 13 OR 15(d)</w:t>
      </w:r>
    </w:p>
    <w:p>
      <w:pPr>
        <w:spacing w:after="0" w:line="3" w:lineRule="exact"/>
        <w:rPr>
          <w:rFonts w:ascii="Courier New" w:cs="Courier New" w:eastAsia="Courier New" w:hAnsi="Courier New"/>
          <w:sz w:val="16"/>
          <w:szCs w:val="16"/>
          <w:color w:val="auto"/>
        </w:rPr>
      </w:pPr>
    </w:p>
    <w:p>
      <w:pPr>
        <w:ind w:left="11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 THE SECURITIES EXCHANGE ACT OF 1934</w:t>
      </w:r>
    </w:p>
    <w:p>
      <w:pPr>
        <w:spacing w:after="0" w:line="188" w:lineRule="exact"/>
        <w:rPr>
          <w:sz w:val="24"/>
          <w:szCs w:val="24"/>
          <w:color w:val="auto"/>
        </w:rPr>
      </w:pPr>
    </w:p>
    <w:p>
      <w:pPr>
        <w:ind w:left="1161"/>
        <w:spacing w:after="0"/>
        <w:rPr>
          <w:sz w:val="20"/>
          <w:szCs w:val="20"/>
          <w:color w:val="auto"/>
        </w:rPr>
      </w:pPr>
      <w:r>
        <w:rPr>
          <w:rFonts w:ascii="Courier New" w:cs="Courier New" w:eastAsia="Courier New" w:hAnsi="Courier New"/>
          <w:sz w:val="16"/>
          <w:szCs w:val="16"/>
          <w:color w:val="auto"/>
        </w:rPr>
        <w:t>For the transition period from _________ to _________</w:t>
      </w:r>
    </w:p>
    <w:p>
      <w:pPr>
        <w:spacing w:after="0" w:line="373" w:lineRule="exact"/>
        <w:rPr>
          <w:sz w:val="24"/>
          <w:szCs w:val="24"/>
          <w:color w:val="auto"/>
        </w:rPr>
      </w:pPr>
    </w:p>
    <w:p>
      <w:pPr>
        <w:jc w:val="right"/>
        <w:ind w:right="4939"/>
        <w:spacing w:after="0"/>
        <w:rPr>
          <w:sz w:val="20"/>
          <w:szCs w:val="20"/>
          <w:color w:val="auto"/>
        </w:rPr>
      </w:pPr>
      <w:r>
        <w:rPr>
          <w:rFonts w:ascii="Courier New" w:cs="Courier New" w:eastAsia="Courier New" w:hAnsi="Courier New"/>
          <w:sz w:val="16"/>
          <w:szCs w:val="16"/>
          <w:color w:val="auto"/>
        </w:rPr>
        <w:t>Commission File Number 0-23486</w:t>
      </w:r>
    </w:p>
    <w:p>
      <w:pPr>
        <w:spacing w:after="0" w:line="4" w:lineRule="exact"/>
        <w:rPr>
          <w:sz w:val="24"/>
          <w:szCs w:val="24"/>
          <w:color w:val="auto"/>
        </w:rPr>
      </w:pPr>
    </w:p>
    <w:p>
      <w:pPr>
        <w:jc w:val="right"/>
        <w:ind w:right="4939"/>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NN BALL &amp; ROLLER, INC.</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21"/>
          </w:cols>
          <w:pgMar w:left="239" w:top="238" w:right="1440" w:bottom="1440" w:gutter="0" w:footer="0" w:header="0"/>
        </w:sectPr>
      </w:pPr>
    </w:p>
    <w:p>
      <w:pPr>
        <w:spacing w:after="0" w:line="373" w:lineRule="exact"/>
        <w:rPr>
          <w:sz w:val="24"/>
          <w:szCs w:val="24"/>
          <w:color w:val="auto"/>
        </w:rPr>
      </w:pPr>
    </w:p>
    <w:p>
      <w:pPr>
        <w:ind w:left="961"/>
        <w:spacing w:after="0"/>
        <w:rPr>
          <w:sz w:val="20"/>
          <w:szCs w:val="20"/>
          <w:color w:val="auto"/>
        </w:rPr>
      </w:pPr>
      <w:r>
        <w:rPr>
          <w:rFonts w:ascii="Courier New" w:cs="Courier New" w:eastAsia="Courier New" w:hAnsi="Courier New"/>
          <w:sz w:val="16"/>
          <w:szCs w:val="16"/>
          <w:color w:val="auto"/>
        </w:rPr>
        <w:t>Delaware</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(State or other jurisdiction of</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353"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62-1096725</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ectPr>
          <w:pgSz w:w="11900" w:h="16838" w:orient="portrait"/>
          <w:cols w:equalWidth="0" w:num="2">
            <w:col w:w="4661" w:space="720"/>
            <w:col w:w="4839"/>
          </w:cols>
          <w:pgMar w:left="239" w:top="238" w:right="1440" w:bottom="1440" w:gutter="0" w:footer="0" w:header="0"/>
          <w:type w:val="continuous"/>
        </w:sectPr>
      </w:pPr>
    </w:p>
    <w:p>
      <w:pPr>
        <w:spacing w:after="0" w:line="173" w:lineRule="exact"/>
        <w:rPr>
          <w:sz w:val="24"/>
          <w:szCs w:val="24"/>
          <w:color w:val="auto"/>
        </w:rPr>
      </w:pPr>
    </w:p>
    <w:p>
      <w:pPr>
        <w:jc w:val="center"/>
        <w:ind w:right="2718"/>
        <w:spacing w:after="0"/>
        <w:rPr>
          <w:sz w:val="20"/>
          <w:szCs w:val="20"/>
          <w:color w:val="auto"/>
        </w:rPr>
      </w:pPr>
      <w:r>
        <w:rPr>
          <w:rFonts w:ascii="Courier New" w:cs="Courier New" w:eastAsia="Courier New" w:hAnsi="Courier New"/>
          <w:sz w:val="16"/>
          <w:szCs w:val="16"/>
          <w:color w:val="auto"/>
        </w:rPr>
        <w:t>800 Tennessee Road</w:t>
      </w:r>
    </w:p>
    <w:p>
      <w:pPr>
        <w:spacing w:after="0" w:line="4" w:lineRule="exact"/>
        <w:rPr>
          <w:sz w:val="24"/>
          <w:szCs w:val="24"/>
          <w:color w:val="auto"/>
        </w:rPr>
      </w:pPr>
    </w:p>
    <w:p>
      <w:pPr>
        <w:jc w:val="center"/>
        <w:ind w:right="2718"/>
        <w:spacing w:after="0"/>
        <w:rPr>
          <w:sz w:val="20"/>
          <w:szCs w:val="20"/>
          <w:color w:val="auto"/>
        </w:rPr>
      </w:pPr>
      <w:r>
        <w:rPr>
          <w:rFonts w:ascii="Courier New" w:cs="Courier New" w:eastAsia="Courier New" w:hAnsi="Courier New"/>
          <w:sz w:val="16"/>
          <w:szCs w:val="16"/>
          <w:color w:val="auto"/>
        </w:rPr>
        <w:t>Erwin, Tennessee 37650</w:t>
      </w:r>
    </w:p>
    <w:p>
      <w:pPr>
        <w:spacing w:after="0" w:line="4" w:lineRule="exact"/>
        <w:rPr>
          <w:sz w:val="24"/>
          <w:szCs w:val="24"/>
          <w:color w:val="auto"/>
        </w:rPr>
      </w:pPr>
    </w:p>
    <w:p>
      <w:pPr>
        <w:jc w:val="center"/>
        <w:ind w:right="2718"/>
        <w:spacing w:after="0"/>
        <w:rPr>
          <w:sz w:val="20"/>
          <w:szCs w:val="20"/>
          <w:color w:val="auto"/>
        </w:rPr>
      </w:pPr>
      <w:r>
        <w:rPr>
          <w:rFonts w:ascii="Courier New" w:cs="Courier New" w:eastAsia="Courier New" w:hAnsi="Courier New"/>
          <w:sz w:val="16"/>
          <w:szCs w:val="16"/>
          <w:color w:val="auto"/>
        </w:rPr>
        <w:t>(Address of principal executive offices, including zip code)</w:t>
      </w:r>
    </w:p>
    <w:p>
      <w:pPr>
        <w:spacing w:after="0" w:line="373"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(423) 743-9151</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373"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Indicate by check mark whether the registrant (1) has filed all reports</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required to be filed by Section 13 or 15(d) of the Securities Exchange Act of</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1934 during the preceding 12 months (or for such shorter period that the</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5"/>
          <w:szCs w:val="15"/>
          <w:color w:val="auto"/>
        </w:rPr>
        <w:t>registrant was required to file such reports), and (2) has been subject to such</w:t>
      </w:r>
    </w:p>
    <w:p>
      <w:pPr>
        <w:spacing w:after="0" w:line="13" w:lineRule="exact"/>
        <w:rPr>
          <w:sz w:val="24"/>
          <w:szCs w:val="24"/>
          <w:color w:val="auto"/>
        </w:rPr>
      </w:pPr>
    </w:p>
    <w:p>
      <w:pPr>
        <w:ind w:left="1"/>
        <w:spacing w:after="0"/>
        <w:tabs>
          <w:tab w:leader="none" w:pos="4301" w:val="left"/>
          <w:tab w:leader="none" w:pos="4881" w:val="left"/>
          <w:tab w:leader="none" w:pos="5461" w:val="left"/>
        </w:tabs>
        <w:rPr>
          <w:sz w:val="20"/>
          <w:szCs w:val="20"/>
          <w:color w:val="auto"/>
        </w:rPr>
      </w:pPr>
      <w:r>
        <w:rPr>
          <w:rFonts w:ascii="Courier New" w:cs="Courier New" w:eastAsia="Courier New" w:hAnsi="Courier New"/>
          <w:sz w:val="16"/>
          <w:szCs w:val="16"/>
          <w:color w:val="auto"/>
        </w:rPr>
        <w:t>filing requirements for the past 90 days.</w:t>
      </w:r>
      <w:r>
        <w:rPr>
          <w:sz w:val="20"/>
          <w:szCs w:val="20"/>
          <w:color w:val="auto"/>
        </w:rPr>
        <w:tab/>
      </w:r>
      <w:r>
        <w:rPr>
          <w:rFonts w:ascii="Courier New" w:cs="Courier New" w:eastAsia="Courier New" w:hAnsi="Courier New"/>
          <w:sz w:val="16"/>
          <w:szCs w:val="16"/>
          <w:color w:val="auto"/>
        </w:rPr>
        <w:t>Yes</w:t>
        <w:tab/>
        <w:t>X</w:t>
      </w:r>
      <w:r>
        <w:rPr>
          <w:sz w:val="20"/>
          <w:szCs w:val="20"/>
          <w:color w:val="auto"/>
        </w:rPr>
        <w:tab/>
      </w:r>
      <w:r>
        <w:rPr>
          <w:rFonts w:ascii="Courier New" w:cs="Courier New" w:eastAsia="Courier New" w:hAnsi="Courier New"/>
          <w:sz w:val="15"/>
          <w:szCs w:val="15"/>
          <w:color w:val="auto"/>
        </w:rPr>
        <w:t>No</w:t>
      </w:r>
    </w:p>
    <w:p>
      <w:pPr>
        <w:spacing w:after="0" w:line="4" w:lineRule="exact"/>
        <w:rPr>
          <w:sz w:val="24"/>
          <w:szCs w:val="24"/>
          <w:color w:val="auto"/>
        </w:rPr>
      </w:pPr>
    </w:p>
    <w:p>
      <w:pPr>
        <w:ind w:left="4701"/>
        <w:spacing w:after="0"/>
        <w:tabs>
          <w:tab w:leader="none" w:pos="5741"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90" w:lineRule="exact"/>
        <w:rPr>
          <w:sz w:val="24"/>
          <w:szCs w:val="24"/>
          <w:color w:val="auto"/>
        </w:rPr>
      </w:pPr>
    </w:p>
    <w:p>
      <w:pPr>
        <w:ind w:left="1" w:right="3119" w:firstLine="480"/>
        <w:spacing w:after="0" w:line="242" w:lineRule="auto"/>
        <w:rPr>
          <w:sz w:val="20"/>
          <w:szCs w:val="20"/>
          <w:color w:val="auto"/>
        </w:rPr>
      </w:pPr>
      <w:r>
        <w:rPr>
          <w:rFonts w:ascii="Courier New" w:cs="Courier New" w:eastAsia="Courier New" w:hAnsi="Courier New"/>
          <w:sz w:val="16"/>
          <w:szCs w:val="16"/>
          <w:color w:val="auto"/>
        </w:rPr>
        <w:t>As of August 8, 1996 there were 14,629,242 shares of the registrant's common stock, par value $0.01 per share, outstanding.</w:t>
      </w:r>
    </w:p>
    <w:p>
      <w:pPr>
        <w:sectPr>
          <w:pgSz w:w="11900" w:h="16838" w:orient="portrait"/>
          <w:cols w:equalWidth="0" w:num="1">
            <w:col w:w="10221"/>
          </w:cols>
          <w:pgMar w:left="239" w:top="238"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300" w:type="dxa"/>
            <w:vAlign w:val="bottom"/>
          </w:tcPr>
          <w:p>
            <w:pPr>
              <w:spacing w:after="0"/>
              <w:rPr>
                <w:sz w:val="15"/>
                <w:szCs w:val="15"/>
                <w:color w:val="auto"/>
              </w:rPr>
            </w:pPr>
          </w:p>
        </w:tc>
        <w:tc>
          <w:tcPr>
            <w:tcW w:w="7160" w:type="dxa"/>
            <w:vAlign w:val="bottom"/>
          </w:tcPr>
          <w:p>
            <w:pPr>
              <w:ind w:left="1480"/>
              <w:spacing w:after="0"/>
              <w:rPr>
                <w:sz w:val="20"/>
                <w:szCs w:val="20"/>
                <w:color w:val="auto"/>
              </w:rPr>
            </w:pPr>
            <w:r>
              <w:rPr>
                <w:rFonts w:ascii="Courier New" w:cs="Courier New" w:eastAsia="Courier New" w:hAnsi="Courier New"/>
                <w:sz w:val="16"/>
                <w:szCs w:val="16"/>
                <w:color w:val="auto"/>
              </w:rPr>
              <w:t>NN BALL &amp; ROLLER, INC.</w:t>
            </w:r>
          </w:p>
        </w:tc>
        <w:tc>
          <w:tcPr>
            <w:tcW w:w="1540" w:type="dxa"/>
            <w:vAlign w:val="bottom"/>
          </w:tcPr>
          <w:p>
            <w:pPr>
              <w:spacing w:after="0"/>
              <w:rPr>
                <w:sz w:val="15"/>
                <w:szCs w:val="15"/>
                <w:color w:val="auto"/>
              </w:rPr>
            </w:pPr>
          </w:p>
        </w:tc>
      </w:tr>
      <w:tr>
        <w:trPr>
          <w:trHeight w:val="370"/>
        </w:trPr>
        <w:tc>
          <w:tcPr>
            <w:tcW w:w="1300" w:type="dxa"/>
            <w:vAlign w:val="bottom"/>
          </w:tcPr>
          <w:p>
            <w:pPr>
              <w:spacing w:after="0"/>
              <w:rPr>
                <w:sz w:val="24"/>
                <w:szCs w:val="24"/>
                <w:color w:val="auto"/>
              </w:rPr>
            </w:pPr>
          </w:p>
        </w:tc>
        <w:tc>
          <w:tcPr>
            <w:tcW w:w="7160" w:type="dxa"/>
            <w:vAlign w:val="bottom"/>
          </w:tcPr>
          <w:p>
            <w:pPr>
              <w:ind w:left="2260"/>
              <w:spacing w:after="0"/>
              <w:rPr>
                <w:sz w:val="20"/>
                <w:szCs w:val="20"/>
                <w:color w:val="auto"/>
              </w:rPr>
            </w:pPr>
            <w:r>
              <w:rPr>
                <w:rFonts w:ascii="Courier New" w:cs="Courier New" w:eastAsia="Courier New" w:hAnsi="Courier New"/>
                <w:sz w:val="16"/>
                <w:szCs w:val="16"/>
                <w:color w:val="auto"/>
              </w:rPr>
              <w:t>INDEX</w:t>
            </w:r>
          </w:p>
        </w:tc>
        <w:tc>
          <w:tcPr>
            <w:tcW w:w="1540" w:type="dxa"/>
            <w:vAlign w:val="bottom"/>
          </w:tcPr>
          <w:p>
            <w:pPr>
              <w:spacing w:after="0"/>
              <w:rPr>
                <w:sz w:val="24"/>
                <w:szCs w:val="24"/>
                <w:color w:val="auto"/>
              </w:rPr>
            </w:pPr>
          </w:p>
        </w:tc>
      </w:tr>
      <w:tr>
        <w:trPr>
          <w:trHeight w:val="924"/>
        </w:trPr>
        <w:tc>
          <w:tcPr>
            <w:tcW w:w="130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Page No.</w:t>
            </w:r>
          </w:p>
        </w:tc>
      </w:tr>
      <w:tr>
        <w:trPr>
          <w:trHeight w:val="185"/>
        </w:trPr>
        <w:tc>
          <w:tcPr>
            <w:tcW w:w="130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8460" w:type="dxa"/>
            <w:vAlign w:val="bottom"/>
            <w:gridSpan w:val="2"/>
          </w:tcPr>
          <w:p>
            <w:pPr>
              <w:spacing w:after="0"/>
              <w:rPr>
                <w:sz w:val="20"/>
                <w:szCs w:val="20"/>
                <w:color w:val="auto"/>
              </w:rPr>
            </w:pPr>
            <w:r>
              <w:rPr>
                <w:rFonts w:ascii="Courier New" w:cs="Courier New" w:eastAsia="Courier New" w:hAnsi="Courier New"/>
                <w:sz w:val="16"/>
                <w:szCs w:val="16"/>
                <w:color w:val="auto"/>
              </w:rPr>
              <w:t>PART I. FINANCIAL INFORMATION</w:t>
            </w:r>
          </w:p>
        </w:tc>
        <w:tc>
          <w:tcPr>
            <w:tcW w:w="1540" w:type="dxa"/>
            <w:vAlign w:val="bottom"/>
          </w:tcPr>
          <w:p>
            <w:pPr>
              <w:spacing w:after="0"/>
              <w:rPr>
                <w:sz w:val="16"/>
                <w:szCs w:val="16"/>
                <w:color w:val="auto"/>
              </w:rPr>
            </w:pPr>
          </w:p>
        </w:tc>
      </w:tr>
      <w:tr>
        <w:trPr>
          <w:trHeight w:val="370"/>
        </w:trPr>
        <w:tc>
          <w:tcPr>
            <w:tcW w:w="130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7160" w:type="dxa"/>
            <w:vAlign w:val="bottom"/>
          </w:tcPr>
          <w:p>
            <w:pPr>
              <w:ind w:left="340"/>
              <w:spacing w:after="0"/>
              <w:rPr>
                <w:sz w:val="20"/>
                <w:szCs w:val="20"/>
                <w:color w:val="auto"/>
              </w:rPr>
            </w:pPr>
            <w:r>
              <w:rPr>
                <w:rFonts w:ascii="Courier New" w:cs="Courier New" w:eastAsia="Courier New" w:hAnsi="Courier New"/>
                <w:sz w:val="16"/>
                <w:szCs w:val="16"/>
                <w:color w:val="auto"/>
              </w:rPr>
              <w:t>Financial Statements:</w:t>
            </w:r>
          </w:p>
        </w:tc>
        <w:tc>
          <w:tcPr>
            <w:tcW w:w="1540" w:type="dxa"/>
            <w:vAlign w:val="bottom"/>
          </w:tcPr>
          <w:p>
            <w:pPr>
              <w:spacing w:after="0"/>
              <w:rPr>
                <w:sz w:val="24"/>
                <w:szCs w:val="24"/>
                <w:color w:val="auto"/>
              </w:rPr>
            </w:pPr>
          </w:p>
        </w:tc>
      </w:tr>
      <w:tr>
        <w:trPr>
          <w:trHeight w:val="370"/>
        </w:trPr>
        <w:tc>
          <w:tcPr>
            <w:tcW w:w="1300" w:type="dxa"/>
            <w:vAlign w:val="bottom"/>
          </w:tcPr>
          <w:p>
            <w:pPr>
              <w:spacing w:after="0"/>
              <w:rPr>
                <w:sz w:val="24"/>
                <w:szCs w:val="24"/>
                <w:color w:val="auto"/>
              </w:rPr>
            </w:pPr>
          </w:p>
        </w:tc>
        <w:tc>
          <w:tcPr>
            <w:tcW w:w="7160" w:type="dxa"/>
            <w:vAlign w:val="bottom"/>
          </w:tcPr>
          <w:p>
            <w:pPr>
              <w:ind w:left="340"/>
              <w:spacing w:after="0"/>
              <w:rPr>
                <w:sz w:val="20"/>
                <w:szCs w:val="20"/>
                <w:color w:val="auto"/>
              </w:rPr>
            </w:pPr>
            <w:r>
              <w:rPr>
                <w:rFonts w:ascii="Courier New" w:cs="Courier New" w:eastAsia="Courier New" w:hAnsi="Courier New"/>
                <w:sz w:val="16"/>
                <w:szCs w:val="16"/>
                <w:color w:val="auto"/>
              </w:rPr>
              <w:t>Condensed Statements of Income for the three and six months</w:t>
            </w:r>
          </w:p>
        </w:tc>
        <w:tc>
          <w:tcPr>
            <w:tcW w:w="1540" w:type="dxa"/>
            <w:vAlign w:val="bottom"/>
          </w:tcPr>
          <w:p>
            <w:pPr>
              <w:spacing w:after="0"/>
              <w:rPr>
                <w:sz w:val="24"/>
                <w:szCs w:val="24"/>
                <w:color w:val="auto"/>
              </w:rPr>
            </w:pPr>
          </w:p>
        </w:tc>
      </w:tr>
      <w:tr>
        <w:trPr>
          <w:trHeight w:val="185"/>
        </w:trPr>
        <w:tc>
          <w:tcPr>
            <w:tcW w:w="1300" w:type="dxa"/>
            <w:vAlign w:val="bottom"/>
          </w:tcPr>
          <w:p>
            <w:pPr>
              <w:spacing w:after="0"/>
              <w:rPr>
                <w:sz w:val="16"/>
                <w:szCs w:val="16"/>
                <w:color w:val="auto"/>
              </w:rPr>
            </w:pPr>
          </w:p>
        </w:tc>
        <w:tc>
          <w:tcPr>
            <w:tcW w:w="7160" w:type="dxa"/>
            <w:vAlign w:val="bottom"/>
          </w:tcPr>
          <w:p>
            <w:pPr>
              <w:ind w:left="620"/>
              <w:spacing w:after="0"/>
              <w:rPr>
                <w:sz w:val="20"/>
                <w:szCs w:val="20"/>
                <w:color w:val="auto"/>
              </w:rPr>
            </w:pPr>
            <w:r>
              <w:rPr>
                <w:rFonts w:ascii="Courier New" w:cs="Courier New" w:eastAsia="Courier New" w:hAnsi="Courier New"/>
                <w:sz w:val="16"/>
                <w:szCs w:val="16"/>
                <w:color w:val="auto"/>
              </w:rPr>
              <w:t>ended June 30, 1996 and 1995</w:t>
            </w:r>
          </w:p>
        </w:tc>
        <w:tc>
          <w:tcPr>
            <w:tcW w:w="154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2</w:t>
            </w:r>
          </w:p>
        </w:tc>
      </w:tr>
      <w:tr>
        <w:trPr>
          <w:trHeight w:val="370"/>
        </w:trPr>
        <w:tc>
          <w:tcPr>
            <w:tcW w:w="1300" w:type="dxa"/>
            <w:vAlign w:val="bottom"/>
          </w:tcPr>
          <w:p>
            <w:pPr>
              <w:spacing w:after="0"/>
              <w:rPr>
                <w:sz w:val="24"/>
                <w:szCs w:val="24"/>
                <w:color w:val="auto"/>
              </w:rPr>
            </w:pPr>
          </w:p>
        </w:tc>
        <w:tc>
          <w:tcPr>
            <w:tcW w:w="7160" w:type="dxa"/>
            <w:vAlign w:val="bottom"/>
          </w:tcPr>
          <w:p>
            <w:pPr>
              <w:ind w:left="340"/>
              <w:spacing w:after="0"/>
              <w:rPr>
                <w:sz w:val="20"/>
                <w:szCs w:val="20"/>
                <w:color w:val="auto"/>
              </w:rPr>
            </w:pPr>
            <w:r>
              <w:rPr>
                <w:rFonts w:ascii="Courier New" w:cs="Courier New" w:eastAsia="Courier New" w:hAnsi="Courier New"/>
                <w:sz w:val="16"/>
                <w:szCs w:val="16"/>
                <w:color w:val="auto"/>
              </w:rPr>
              <w:t>Condensed Balance Sheets at June 30, 1996 and December 31, 1995</w:t>
            </w:r>
          </w:p>
        </w:tc>
        <w:tc>
          <w:tcPr>
            <w:tcW w:w="154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3</w:t>
            </w:r>
          </w:p>
        </w:tc>
      </w:tr>
      <w:tr>
        <w:trPr>
          <w:trHeight w:val="370"/>
        </w:trPr>
        <w:tc>
          <w:tcPr>
            <w:tcW w:w="1300" w:type="dxa"/>
            <w:vAlign w:val="bottom"/>
          </w:tcPr>
          <w:p>
            <w:pPr>
              <w:spacing w:after="0"/>
              <w:rPr>
                <w:sz w:val="24"/>
                <w:szCs w:val="24"/>
                <w:color w:val="auto"/>
              </w:rPr>
            </w:pPr>
          </w:p>
        </w:tc>
        <w:tc>
          <w:tcPr>
            <w:tcW w:w="7160" w:type="dxa"/>
            <w:vAlign w:val="bottom"/>
          </w:tcPr>
          <w:p>
            <w:pPr>
              <w:ind w:left="340"/>
              <w:spacing w:after="0"/>
              <w:rPr>
                <w:sz w:val="20"/>
                <w:szCs w:val="20"/>
                <w:color w:val="auto"/>
              </w:rPr>
            </w:pPr>
            <w:r>
              <w:rPr>
                <w:rFonts w:ascii="Courier New" w:cs="Courier New" w:eastAsia="Courier New" w:hAnsi="Courier New"/>
                <w:sz w:val="16"/>
                <w:szCs w:val="16"/>
                <w:color w:val="auto"/>
              </w:rPr>
              <w:t>Condensed Statements of Changes in Stockholders' Equity</w:t>
            </w:r>
          </w:p>
        </w:tc>
        <w:tc>
          <w:tcPr>
            <w:tcW w:w="1540" w:type="dxa"/>
            <w:vAlign w:val="bottom"/>
          </w:tcPr>
          <w:p>
            <w:pPr>
              <w:spacing w:after="0"/>
              <w:rPr>
                <w:sz w:val="24"/>
                <w:szCs w:val="24"/>
                <w:color w:val="auto"/>
              </w:rPr>
            </w:pPr>
          </w:p>
        </w:tc>
      </w:tr>
      <w:tr>
        <w:trPr>
          <w:trHeight w:val="185"/>
        </w:trPr>
        <w:tc>
          <w:tcPr>
            <w:tcW w:w="1300" w:type="dxa"/>
            <w:vAlign w:val="bottom"/>
          </w:tcPr>
          <w:p>
            <w:pPr>
              <w:spacing w:after="0"/>
              <w:rPr>
                <w:sz w:val="16"/>
                <w:szCs w:val="16"/>
                <w:color w:val="auto"/>
              </w:rPr>
            </w:pPr>
          </w:p>
        </w:tc>
        <w:tc>
          <w:tcPr>
            <w:tcW w:w="7160" w:type="dxa"/>
            <w:vAlign w:val="bottom"/>
          </w:tcPr>
          <w:p>
            <w:pPr>
              <w:ind w:left="620"/>
              <w:spacing w:after="0"/>
              <w:rPr>
                <w:sz w:val="20"/>
                <w:szCs w:val="20"/>
                <w:color w:val="auto"/>
              </w:rPr>
            </w:pPr>
            <w:r>
              <w:rPr>
                <w:rFonts w:ascii="Courier New" w:cs="Courier New" w:eastAsia="Courier New" w:hAnsi="Courier New"/>
                <w:sz w:val="16"/>
                <w:szCs w:val="16"/>
                <w:color w:val="auto"/>
              </w:rPr>
              <w:t>for the six months ended June 30, 1996 and 1995</w:t>
            </w:r>
          </w:p>
        </w:tc>
        <w:tc>
          <w:tcPr>
            <w:tcW w:w="154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4</w:t>
            </w:r>
          </w:p>
        </w:tc>
      </w:tr>
      <w:tr>
        <w:trPr>
          <w:trHeight w:val="370"/>
        </w:trPr>
        <w:tc>
          <w:tcPr>
            <w:tcW w:w="1300" w:type="dxa"/>
            <w:vAlign w:val="bottom"/>
          </w:tcPr>
          <w:p>
            <w:pPr>
              <w:spacing w:after="0"/>
              <w:rPr>
                <w:sz w:val="24"/>
                <w:szCs w:val="24"/>
                <w:color w:val="auto"/>
              </w:rPr>
            </w:pPr>
          </w:p>
        </w:tc>
        <w:tc>
          <w:tcPr>
            <w:tcW w:w="7160" w:type="dxa"/>
            <w:vAlign w:val="bottom"/>
          </w:tcPr>
          <w:p>
            <w:pPr>
              <w:ind w:left="340"/>
              <w:spacing w:after="0"/>
              <w:rPr>
                <w:sz w:val="20"/>
                <w:szCs w:val="20"/>
                <w:color w:val="auto"/>
              </w:rPr>
            </w:pPr>
            <w:r>
              <w:rPr>
                <w:rFonts w:ascii="Courier New" w:cs="Courier New" w:eastAsia="Courier New" w:hAnsi="Courier New"/>
                <w:sz w:val="16"/>
                <w:szCs w:val="16"/>
                <w:color w:val="auto"/>
              </w:rPr>
              <w:t>Condensed Statements of Cash Flows for the six months</w:t>
            </w:r>
          </w:p>
        </w:tc>
        <w:tc>
          <w:tcPr>
            <w:tcW w:w="1540" w:type="dxa"/>
            <w:vAlign w:val="bottom"/>
          </w:tcPr>
          <w:p>
            <w:pPr>
              <w:spacing w:after="0"/>
              <w:rPr>
                <w:sz w:val="24"/>
                <w:szCs w:val="24"/>
                <w:color w:val="auto"/>
              </w:rPr>
            </w:pPr>
          </w:p>
        </w:tc>
      </w:tr>
      <w:tr>
        <w:trPr>
          <w:trHeight w:val="185"/>
        </w:trPr>
        <w:tc>
          <w:tcPr>
            <w:tcW w:w="1300" w:type="dxa"/>
            <w:vAlign w:val="bottom"/>
          </w:tcPr>
          <w:p>
            <w:pPr>
              <w:spacing w:after="0"/>
              <w:rPr>
                <w:sz w:val="16"/>
                <w:szCs w:val="16"/>
                <w:color w:val="auto"/>
              </w:rPr>
            </w:pPr>
          </w:p>
        </w:tc>
        <w:tc>
          <w:tcPr>
            <w:tcW w:w="7160" w:type="dxa"/>
            <w:vAlign w:val="bottom"/>
          </w:tcPr>
          <w:p>
            <w:pPr>
              <w:ind w:left="620"/>
              <w:spacing w:after="0"/>
              <w:rPr>
                <w:sz w:val="20"/>
                <w:szCs w:val="20"/>
                <w:color w:val="auto"/>
              </w:rPr>
            </w:pPr>
            <w:r>
              <w:rPr>
                <w:rFonts w:ascii="Courier New" w:cs="Courier New" w:eastAsia="Courier New" w:hAnsi="Courier New"/>
                <w:sz w:val="16"/>
                <w:szCs w:val="16"/>
                <w:color w:val="auto"/>
              </w:rPr>
              <w:t>ended June 30, 1996 and 1995</w:t>
            </w:r>
          </w:p>
        </w:tc>
        <w:tc>
          <w:tcPr>
            <w:tcW w:w="154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5</w:t>
            </w:r>
          </w:p>
        </w:tc>
      </w:tr>
      <w:tr>
        <w:trPr>
          <w:trHeight w:val="370"/>
        </w:trPr>
        <w:tc>
          <w:tcPr>
            <w:tcW w:w="1300" w:type="dxa"/>
            <w:vAlign w:val="bottom"/>
          </w:tcPr>
          <w:p>
            <w:pPr>
              <w:spacing w:after="0"/>
              <w:rPr>
                <w:sz w:val="24"/>
                <w:szCs w:val="24"/>
                <w:color w:val="auto"/>
              </w:rPr>
            </w:pPr>
          </w:p>
        </w:tc>
        <w:tc>
          <w:tcPr>
            <w:tcW w:w="7160" w:type="dxa"/>
            <w:vAlign w:val="bottom"/>
          </w:tcPr>
          <w:p>
            <w:pPr>
              <w:ind w:left="340"/>
              <w:spacing w:after="0"/>
              <w:rPr>
                <w:sz w:val="20"/>
                <w:szCs w:val="20"/>
                <w:color w:val="auto"/>
              </w:rPr>
            </w:pPr>
            <w:r>
              <w:rPr>
                <w:rFonts w:ascii="Courier New" w:cs="Courier New" w:eastAsia="Courier New" w:hAnsi="Courier New"/>
                <w:sz w:val="16"/>
                <w:szCs w:val="16"/>
                <w:color w:val="auto"/>
              </w:rPr>
              <w:t>Notes to Condensed Financial Statements</w:t>
            </w:r>
          </w:p>
        </w:tc>
        <w:tc>
          <w:tcPr>
            <w:tcW w:w="154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6</w:t>
            </w:r>
          </w:p>
        </w:tc>
      </w:tr>
      <w:tr>
        <w:trPr>
          <w:trHeight w:val="370"/>
        </w:trPr>
        <w:tc>
          <w:tcPr>
            <w:tcW w:w="1300" w:type="dxa"/>
            <w:vAlign w:val="bottom"/>
          </w:tcPr>
          <w:p>
            <w:pPr>
              <w:spacing w:after="0"/>
              <w:rPr>
                <w:sz w:val="20"/>
                <w:szCs w:val="20"/>
                <w:color w:val="auto"/>
              </w:rPr>
            </w:pPr>
            <w:r>
              <w:rPr>
                <w:rFonts w:ascii="Courier New" w:cs="Courier New" w:eastAsia="Courier New" w:hAnsi="Courier New"/>
                <w:sz w:val="16"/>
                <w:szCs w:val="16"/>
                <w:color w:val="auto"/>
              </w:rPr>
              <w:t>Item 2.</w:t>
            </w:r>
          </w:p>
        </w:tc>
        <w:tc>
          <w:tcPr>
            <w:tcW w:w="7160" w:type="dxa"/>
            <w:vAlign w:val="bottom"/>
          </w:tcPr>
          <w:p>
            <w:pPr>
              <w:ind w:left="340"/>
              <w:spacing w:after="0"/>
              <w:rPr>
                <w:sz w:val="20"/>
                <w:szCs w:val="20"/>
                <w:color w:val="auto"/>
              </w:rPr>
            </w:pPr>
            <w:r>
              <w:rPr>
                <w:rFonts w:ascii="Courier New" w:cs="Courier New" w:eastAsia="Courier New" w:hAnsi="Courier New"/>
                <w:sz w:val="16"/>
                <w:szCs w:val="16"/>
                <w:color w:val="auto"/>
              </w:rPr>
              <w:t>Management's Discussion and Analysis of Financial</w:t>
            </w:r>
          </w:p>
        </w:tc>
        <w:tc>
          <w:tcPr>
            <w:tcW w:w="1540" w:type="dxa"/>
            <w:vAlign w:val="bottom"/>
          </w:tcPr>
          <w:p>
            <w:pPr>
              <w:spacing w:after="0"/>
              <w:rPr>
                <w:sz w:val="24"/>
                <w:szCs w:val="24"/>
                <w:color w:val="auto"/>
              </w:rPr>
            </w:pPr>
          </w:p>
        </w:tc>
      </w:tr>
      <w:tr>
        <w:trPr>
          <w:trHeight w:val="185"/>
        </w:trPr>
        <w:tc>
          <w:tcPr>
            <w:tcW w:w="1300" w:type="dxa"/>
            <w:vAlign w:val="bottom"/>
          </w:tcPr>
          <w:p>
            <w:pPr>
              <w:spacing w:after="0"/>
              <w:rPr>
                <w:sz w:val="16"/>
                <w:szCs w:val="16"/>
                <w:color w:val="auto"/>
              </w:rPr>
            </w:pPr>
          </w:p>
        </w:tc>
        <w:tc>
          <w:tcPr>
            <w:tcW w:w="7160" w:type="dxa"/>
            <w:vAlign w:val="bottom"/>
          </w:tcPr>
          <w:p>
            <w:pPr>
              <w:ind w:left="620"/>
              <w:spacing w:after="0"/>
              <w:rPr>
                <w:sz w:val="20"/>
                <w:szCs w:val="20"/>
                <w:color w:val="auto"/>
              </w:rPr>
            </w:pPr>
            <w:r>
              <w:rPr>
                <w:rFonts w:ascii="Courier New" w:cs="Courier New" w:eastAsia="Courier New" w:hAnsi="Courier New"/>
                <w:sz w:val="16"/>
                <w:szCs w:val="16"/>
                <w:color w:val="auto"/>
              </w:rPr>
              <w:t>Condition and Results of Operations</w:t>
            </w:r>
          </w:p>
        </w:tc>
        <w:tc>
          <w:tcPr>
            <w:tcW w:w="154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8</w:t>
            </w:r>
          </w:p>
        </w:tc>
      </w:tr>
      <w:tr>
        <w:trPr>
          <w:trHeight w:val="554"/>
        </w:trPr>
        <w:tc>
          <w:tcPr>
            <w:tcW w:w="8460" w:type="dxa"/>
            <w:vAlign w:val="bottom"/>
            <w:gridSpan w:val="2"/>
          </w:tcPr>
          <w:p>
            <w:pPr>
              <w:spacing w:after="0"/>
              <w:rPr>
                <w:sz w:val="20"/>
                <w:szCs w:val="20"/>
                <w:color w:val="auto"/>
              </w:rPr>
            </w:pPr>
            <w:r>
              <w:rPr>
                <w:rFonts w:ascii="Courier New" w:cs="Courier New" w:eastAsia="Courier New" w:hAnsi="Courier New"/>
                <w:sz w:val="16"/>
                <w:szCs w:val="16"/>
                <w:color w:val="auto"/>
              </w:rPr>
              <w:t>PART II. OTHER INFORMATION</w:t>
            </w:r>
          </w:p>
        </w:tc>
        <w:tc>
          <w:tcPr>
            <w:tcW w:w="1540" w:type="dxa"/>
            <w:vAlign w:val="bottom"/>
          </w:tcPr>
          <w:p>
            <w:pPr>
              <w:spacing w:after="0"/>
              <w:rPr>
                <w:sz w:val="24"/>
                <w:szCs w:val="24"/>
                <w:color w:val="auto"/>
              </w:rPr>
            </w:pPr>
          </w:p>
        </w:tc>
      </w:tr>
      <w:tr>
        <w:trPr>
          <w:trHeight w:val="370"/>
        </w:trPr>
        <w:tc>
          <w:tcPr>
            <w:tcW w:w="1300" w:type="dxa"/>
            <w:vAlign w:val="bottom"/>
          </w:tcPr>
          <w:p>
            <w:pPr>
              <w:spacing w:after="0"/>
              <w:rPr>
                <w:sz w:val="20"/>
                <w:szCs w:val="20"/>
                <w:color w:val="auto"/>
              </w:rPr>
            </w:pPr>
            <w:r>
              <w:rPr>
                <w:rFonts w:ascii="Courier New" w:cs="Courier New" w:eastAsia="Courier New" w:hAnsi="Courier New"/>
                <w:sz w:val="16"/>
                <w:szCs w:val="16"/>
                <w:color w:val="auto"/>
              </w:rPr>
              <w:t>Item 4.</w:t>
            </w:r>
          </w:p>
        </w:tc>
        <w:tc>
          <w:tcPr>
            <w:tcW w:w="7160" w:type="dxa"/>
            <w:vAlign w:val="bottom"/>
          </w:tcPr>
          <w:p>
            <w:pPr>
              <w:ind w:left="340"/>
              <w:spacing w:after="0"/>
              <w:rPr>
                <w:sz w:val="20"/>
                <w:szCs w:val="20"/>
                <w:color w:val="auto"/>
              </w:rPr>
            </w:pPr>
            <w:r>
              <w:rPr>
                <w:rFonts w:ascii="Courier New" w:cs="Courier New" w:eastAsia="Courier New" w:hAnsi="Courier New"/>
                <w:sz w:val="16"/>
                <w:szCs w:val="16"/>
                <w:color w:val="auto"/>
              </w:rPr>
              <w:t>Submission of Matters to a Vote of Security Holders</w:t>
            </w:r>
          </w:p>
        </w:tc>
        <w:tc>
          <w:tcPr>
            <w:tcW w:w="154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11</w:t>
            </w:r>
          </w:p>
        </w:tc>
      </w:tr>
      <w:tr>
        <w:trPr>
          <w:trHeight w:val="370"/>
        </w:trPr>
        <w:tc>
          <w:tcPr>
            <w:tcW w:w="1300" w:type="dxa"/>
            <w:vAlign w:val="bottom"/>
          </w:tcPr>
          <w:p>
            <w:pPr>
              <w:spacing w:after="0"/>
              <w:rPr>
                <w:sz w:val="20"/>
                <w:szCs w:val="20"/>
                <w:color w:val="auto"/>
              </w:rPr>
            </w:pPr>
            <w:r>
              <w:rPr>
                <w:rFonts w:ascii="Courier New" w:cs="Courier New" w:eastAsia="Courier New" w:hAnsi="Courier New"/>
                <w:sz w:val="16"/>
                <w:szCs w:val="16"/>
                <w:color w:val="auto"/>
              </w:rPr>
              <w:t>Item 6.</w:t>
            </w:r>
          </w:p>
        </w:tc>
        <w:tc>
          <w:tcPr>
            <w:tcW w:w="7160" w:type="dxa"/>
            <w:vAlign w:val="bottom"/>
          </w:tcPr>
          <w:p>
            <w:pPr>
              <w:ind w:left="340"/>
              <w:spacing w:after="0"/>
              <w:rPr>
                <w:sz w:val="20"/>
                <w:szCs w:val="20"/>
                <w:color w:val="auto"/>
              </w:rPr>
            </w:pPr>
            <w:r>
              <w:rPr>
                <w:rFonts w:ascii="Courier New" w:cs="Courier New" w:eastAsia="Courier New" w:hAnsi="Courier New"/>
                <w:sz w:val="16"/>
                <w:szCs w:val="16"/>
                <w:color w:val="auto"/>
              </w:rPr>
              <w:t>Exhibits and Reports on Form 8-K</w:t>
            </w:r>
          </w:p>
        </w:tc>
        <w:tc>
          <w:tcPr>
            <w:tcW w:w="154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11</w:t>
            </w:r>
          </w:p>
        </w:tc>
      </w:tr>
      <w:tr>
        <w:trPr>
          <w:trHeight w:val="370"/>
        </w:trPr>
        <w:tc>
          <w:tcPr>
            <w:tcW w:w="1300" w:type="dxa"/>
            <w:vAlign w:val="bottom"/>
          </w:tcPr>
          <w:p>
            <w:pPr>
              <w:spacing w:after="0"/>
              <w:rPr>
                <w:sz w:val="20"/>
                <w:szCs w:val="20"/>
                <w:color w:val="auto"/>
              </w:rPr>
            </w:pPr>
            <w:r>
              <w:rPr>
                <w:rFonts w:ascii="Courier New" w:cs="Courier New" w:eastAsia="Courier New" w:hAnsi="Courier New"/>
                <w:sz w:val="16"/>
                <w:szCs w:val="16"/>
                <w:color w:val="auto"/>
              </w:rPr>
              <w:t>Signatures</w:t>
            </w:r>
          </w:p>
        </w:tc>
        <w:tc>
          <w:tcPr>
            <w:tcW w:w="7160" w:type="dxa"/>
            <w:vAlign w:val="bottom"/>
          </w:tcPr>
          <w:p>
            <w:pPr>
              <w:spacing w:after="0"/>
              <w:rPr>
                <w:sz w:val="24"/>
                <w:szCs w:val="24"/>
                <w:color w:val="auto"/>
              </w:rPr>
            </w:pPr>
          </w:p>
        </w:tc>
        <w:tc>
          <w:tcPr>
            <w:tcW w:w="154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12</w:t>
            </w:r>
          </w:p>
        </w:tc>
      </w:tr>
    </w:tbl>
    <w:p>
      <w:pPr>
        <w:sectPr>
          <w:pgSz w:w="11900" w:h="16838" w:orient="portrait"/>
          <w:cols w:equalWidth="0" w:num="1">
            <w:col w:w="10219"/>
          </w:cols>
          <w:pgMar w:left="240" w:top="300"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188" w:lineRule="exact"/>
        <w:rPr>
          <w:sz w:val="20"/>
          <w:szCs w:val="20"/>
          <w:color w:val="auto"/>
        </w:rPr>
      </w:pPr>
    </w:p>
    <w:p>
      <w:pPr>
        <w:jc w:val="center"/>
        <w:ind w:right="3840"/>
        <w:spacing w:after="0"/>
        <w:tabs>
          <w:tab w:leader="none" w:pos="160" w:val="left"/>
        </w:tabs>
        <w:rPr>
          <w:sz w:val="20"/>
          <w:szCs w:val="20"/>
          <w:color w:val="auto"/>
        </w:rPr>
      </w:pPr>
      <w:r>
        <w:rPr>
          <w:rFonts w:ascii="Courier New" w:cs="Courier New" w:eastAsia="Courier New" w:hAnsi="Courier New"/>
          <w:sz w:val="16"/>
          <w:szCs w:val="16"/>
          <w:color w:val="auto"/>
        </w:rPr>
        <w:t>PART I.</w:t>
        <w:tab/>
        <w:t>FINANCIAL INFORMATION</w:t>
      </w:r>
    </w:p>
    <w:p>
      <w:pPr>
        <w:spacing w:after="0" w:line="18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NN BALL &amp; ROLLER, INC.</w:t>
      </w:r>
    </w:p>
    <w:p>
      <w:pPr>
        <w:spacing w:after="0" w:line="5"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CONDENSED STATEMENTS OF INCOME</w:t>
      </w:r>
    </w:p>
    <w:p>
      <w:pPr>
        <w:spacing w:after="0" w:line="13"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(UNAUDITED)</w:t>
      </w:r>
    </w:p>
    <w:p>
      <w:pPr>
        <w:sectPr>
          <w:pgSz w:w="11900" w:h="16838" w:orient="portrait"/>
          <w:cols w:equalWidth="0" w:num="1">
            <w:col w:w="11520"/>
          </w:cols>
          <w:pgMar w:left="240" w:top="300" w:right="1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left="5140"/>
        <w:spacing w:after="0"/>
        <w:rPr>
          <w:sz w:val="20"/>
          <w:szCs w:val="20"/>
          <w:color w:val="auto"/>
        </w:rPr>
      </w:pPr>
      <w:r>
        <w:rPr>
          <w:rFonts w:ascii="Courier New" w:cs="Courier New" w:eastAsia="Courier New" w:hAnsi="Courier New"/>
          <w:sz w:val="15"/>
          <w:szCs w:val="15"/>
          <w:color w:val="auto"/>
        </w:rPr>
        <w:t>THREE MONTHS ENDED</w:t>
      </w:r>
    </w:p>
    <w:p>
      <w:pPr>
        <w:spacing w:after="0" w:line="13" w:lineRule="exact"/>
        <w:rPr>
          <w:sz w:val="20"/>
          <w:szCs w:val="20"/>
          <w:color w:val="auto"/>
        </w:rPr>
      </w:pPr>
    </w:p>
    <w:p>
      <w:pPr>
        <w:jc w:val="center"/>
        <w:ind w:left="5140"/>
        <w:spacing w:after="0"/>
        <w:rPr>
          <w:sz w:val="20"/>
          <w:szCs w:val="20"/>
          <w:color w:val="auto"/>
        </w:rPr>
      </w:pPr>
      <w:r>
        <w:rPr>
          <w:rFonts w:ascii="Courier New" w:cs="Courier New" w:eastAsia="Courier New" w:hAnsi="Courier New"/>
          <w:sz w:val="16"/>
          <w:szCs w:val="16"/>
          <w:color w:val="auto"/>
        </w:rPr>
        <w:t>JUNE 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SIX MONTHS ENDED</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JUNE 30,</w:t>
      </w:r>
    </w:p>
    <w:p>
      <w:pPr>
        <w:spacing w:after="0" w:line="4" w:lineRule="exact"/>
        <w:rPr>
          <w:sz w:val="20"/>
          <w:szCs w:val="20"/>
          <w:color w:val="auto"/>
        </w:rPr>
      </w:pPr>
    </w:p>
    <w:p>
      <w:pPr>
        <w:sectPr>
          <w:pgSz w:w="11900" w:h="16838" w:orient="portrait"/>
          <w:cols w:equalWidth="0" w:num="2">
            <w:col w:w="8500" w:space="720"/>
            <w:col w:w="2300"/>
          </w:cols>
          <w:pgMar w:left="240" w:top="300" w:right="139" w:bottom="1440" w:gutter="0" w:footer="0" w:header="0"/>
          <w:type w:val="continuous"/>
        </w:sectPr>
      </w:pPr>
    </w:p>
    <w:p>
      <w:pPr>
        <w:spacing w:after="0"/>
        <w:tabs>
          <w:tab w:leader="none" w:pos="1320" w:val="left"/>
          <w:tab w:leader="none" w:pos="5840" w:val="left"/>
          <w:tab w:leader="none" w:pos="7560" w:val="left"/>
          <w:tab w:leader="none" w:pos="9020" w:val="left"/>
          <w:tab w:leader="none" w:pos="10540" w:val="left"/>
        </w:tabs>
        <w:rPr>
          <w:sz w:val="20"/>
          <w:szCs w:val="20"/>
          <w:color w:val="auto"/>
        </w:rPr>
      </w:pPr>
      <w:r>
        <w:rPr>
          <w:rFonts w:ascii="Courier New" w:cs="Courier New" w:eastAsia="Courier New" w:hAnsi="Courier New"/>
          <w:sz w:val="16"/>
          <w:szCs w:val="16"/>
          <w:color w:val="auto"/>
        </w:rPr>
        <w:t>THOUSANDS OF</w:t>
        <w:tab/>
        <w:t>DOLLARS, EXCEPT PER SHARE DATA</w:t>
      </w:r>
      <w:r>
        <w:rPr>
          <w:sz w:val="20"/>
          <w:szCs w:val="20"/>
          <w:color w:val="auto"/>
        </w:rPr>
        <w:tab/>
      </w:r>
      <w:r>
        <w:rPr>
          <w:rFonts w:ascii="Courier New" w:cs="Courier New" w:eastAsia="Courier New" w:hAnsi="Courier New"/>
          <w:sz w:val="16"/>
          <w:szCs w:val="16"/>
          <w:color w:val="auto"/>
        </w:rPr>
        <w:t>1996</w:t>
      </w:r>
      <w:r>
        <w:rPr>
          <w:sz w:val="20"/>
          <w:szCs w:val="20"/>
          <w:color w:val="auto"/>
        </w:rPr>
        <w:tab/>
      </w:r>
      <w:r>
        <w:rPr>
          <w:rFonts w:ascii="Courier New" w:cs="Courier New" w:eastAsia="Courier New" w:hAnsi="Courier New"/>
          <w:sz w:val="16"/>
          <w:szCs w:val="16"/>
          <w:color w:val="auto"/>
        </w:rPr>
        <w:t>1995</w:t>
      </w:r>
      <w:r>
        <w:rPr>
          <w:sz w:val="20"/>
          <w:szCs w:val="20"/>
          <w:color w:val="auto"/>
        </w:rPr>
        <w:tab/>
      </w:r>
      <w:r>
        <w:rPr>
          <w:rFonts w:ascii="Courier New" w:cs="Courier New" w:eastAsia="Courier New" w:hAnsi="Courier New"/>
          <w:sz w:val="16"/>
          <w:szCs w:val="16"/>
          <w:color w:val="auto"/>
        </w:rPr>
        <w:t>1996</w:t>
      </w:r>
      <w:r>
        <w:rPr>
          <w:sz w:val="20"/>
          <w:szCs w:val="20"/>
          <w:color w:val="auto"/>
        </w:rPr>
        <w:tab/>
      </w:r>
      <w:r>
        <w:rPr>
          <w:rFonts w:ascii="Courier New" w:cs="Courier New" w:eastAsia="Courier New" w:hAnsi="Courier New"/>
          <w:sz w:val="16"/>
          <w:szCs w:val="16"/>
          <w:color w:val="auto"/>
        </w:rPr>
        <w:t>1995</w:t>
      </w:r>
    </w:p>
    <w:p>
      <w:pPr>
        <w:sectPr>
          <w:pgSz w:w="11900" w:h="16838" w:orient="portrait"/>
          <w:cols w:equalWidth="0" w:num="1">
            <w:col w:w="11520"/>
          </w:cols>
          <w:pgMar w:left="240" w:top="300" w:right="13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8"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460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1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7"/>
              </w:rPr>
              <w:t>22,834</w:t>
            </w:r>
          </w:p>
        </w:tc>
        <w:tc>
          <w:tcPr>
            <w:tcW w:w="6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18,986</w:t>
            </w:r>
          </w:p>
        </w:tc>
        <w:tc>
          <w:tcPr>
            <w:tcW w:w="5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48,919</w:t>
            </w:r>
          </w:p>
        </w:tc>
        <w:tc>
          <w:tcPr>
            <w:tcW w:w="5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37,242</w:t>
            </w:r>
          </w:p>
        </w:tc>
      </w:tr>
      <w:tr>
        <w:trPr>
          <w:trHeight w:val="185"/>
        </w:trPr>
        <w:tc>
          <w:tcPr>
            <w:tcW w:w="4600" w:type="dxa"/>
            <w:vAlign w:val="bottom"/>
          </w:tcPr>
          <w:p>
            <w:pPr>
              <w:spacing w:after="0"/>
              <w:rPr>
                <w:sz w:val="20"/>
                <w:szCs w:val="20"/>
                <w:color w:val="auto"/>
              </w:rPr>
            </w:pPr>
            <w:r>
              <w:rPr>
                <w:rFonts w:ascii="Courier New" w:cs="Courier New" w:eastAsia="Courier New" w:hAnsi="Courier New"/>
                <w:sz w:val="16"/>
                <w:szCs w:val="16"/>
                <w:color w:val="auto"/>
              </w:rPr>
              <w:t>Cost of goods sold</w:t>
            </w:r>
          </w:p>
        </w:tc>
        <w:tc>
          <w:tcPr>
            <w:tcW w:w="1160" w:type="dxa"/>
            <w:vAlign w:val="bottom"/>
          </w:tcPr>
          <w:p>
            <w:pPr>
              <w:spacing w:after="0"/>
              <w:rPr>
                <w:sz w:val="16"/>
                <w:szCs w:val="16"/>
                <w:color w:val="auto"/>
              </w:rPr>
            </w:pPr>
          </w:p>
        </w:tc>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7"/>
              </w:rPr>
              <w:t>15,363</w:t>
            </w:r>
          </w:p>
        </w:tc>
        <w:tc>
          <w:tcPr>
            <w:tcW w:w="620" w:type="dxa"/>
            <w:vAlign w:val="bottom"/>
          </w:tcPr>
          <w:p>
            <w:pPr>
              <w:spacing w:after="0"/>
              <w:rPr>
                <w:sz w:val="16"/>
                <w:szCs w:val="16"/>
                <w:color w:val="auto"/>
              </w:rPr>
            </w:pP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13,287</w:t>
            </w:r>
          </w:p>
        </w:tc>
        <w:tc>
          <w:tcPr>
            <w:tcW w:w="520" w:type="dxa"/>
            <w:vAlign w:val="bottom"/>
          </w:tcPr>
          <w:p>
            <w:pPr>
              <w:spacing w:after="0"/>
              <w:rPr>
                <w:sz w:val="16"/>
                <w:szCs w:val="16"/>
                <w:color w:val="auto"/>
              </w:rPr>
            </w:pPr>
          </w:p>
        </w:tc>
        <w:tc>
          <w:tcPr>
            <w:tcW w:w="10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32,931</w:t>
            </w:r>
          </w:p>
        </w:tc>
        <w:tc>
          <w:tcPr>
            <w:tcW w:w="5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25,670</w:t>
            </w:r>
          </w:p>
        </w:tc>
      </w:tr>
      <w:tr>
        <w:trPr>
          <w:trHeight w:val="185"/>
        </w:trPr>
        <w:tc>
          <w:tcPr>
            <w:tcW w:w="4600" w:type="dxa"/>
            <w:vAlign w:val="bottom"/>
          </w:tcPr>
          <w:p>
            <w:pPr>
              <w:spacing w:after="0"/>
              <w:rPr>
                <w:sz w:val="16"/>
                <w:szCs w:val="16"/>
                <w:color w:val="auto"/>
              </w:rPr>
            </w:pPr>
          </w:p>
        </w:tc>
        <w:tc>
          <w:tcPr>
            <w:tcW w:w="21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600" w:type="dxa"/>
            <w:vAlign w:val="bottom"/>
          </w:tcPr>
          <w:p>
            <w:pPr>
              <w:ind w:left="180"/>
              <w:spacing w:after="0"/>
              <w:rPr>
                <w:sz w:val="20"/>
                <w:szCs w:val="20"/>
                <w:color w:val="auto"/>
              </w:rPr>
            </w:pPr>
            <w:r>
              <w:rPr>
                <w:rFonts w:ascii="Courier New" w:cs="Courier New" w:eastAsia="Courier New" w:hAnsi="Courier New"/>
                <w:sz w:val="16"/>
                <w:szCs w:val="16"/>
                <w:color w:val="auto"/>
              </w:rPr>
              <w:t>Gross profit</w:t>
            </w:r>
          </w:p>
        </w:tc>
        <w:tc>
          <w:tcPr>
            <w:tcW w:w="1160" w:type="dxa"/>
            <w:vAlign w:val="bottom"/>
          </w:tcPr>
          <w:p>
            <w:pPr>
              <w:spacing w:after="0"/>
              <w:rPr>
                <w:sz w:val="16"/>
                <w:szCs w:val="16"/>
                <w:color w:val="auto"/>
              </w:rPr>
            </w:pPr>
          </w:p>
        </w:tc>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7,471</w:t>
            </w:r>
          </w:p>
        </w:tc>
        <w:tc>
          <w:tcPr>
            <w:tcW w:w="620" w:type="dxa"/>
            <w:vAlign w:val="bottom"/>
          </w:tcPr>
          <w:p>
            <w:pPr>
              <w:spacing w:after="0"/>
              <w:rPr>
                <w:sz w:val="16"/>
                <w:szCs w:val="16"/>
                <w:color w:val="auto"/>
              </w:rPr>
            </w:pP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5,699</w:t>
            </w:r>
          </w:p>
        </w:tc>
        <w:tc>
          <w:tcPr>
            <w:tcW w:w="520" w:type="dxa"/>
            <w:vAlign w:val="bottom"/>
          </w:tcPr>
          <w:p>
            <w:pPr>
              <w:spacing w:after="0"/>
              <w:rPr>
                <w:sz w:val="16"/>
                <w:szCs w:val="16"/>
                <w:color w:val="auto"/>
              </w:rPr>
            </w:pPr>
          </w:p>
        </w:tc>
        <w:tc>
          <w:tcPr>
            <w:tcW w:w="10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15,988</w:t>
            </w:r>
          </w:p>
        </w:tc>
        <w:tc>
          <w:tcPr>
            <w:tcW w:w="5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11,572</w:t>
            </w:r>
          </w:p>
        </w:tc>
      </w:tr>
      <w:tr>
        <w:trPr>
          <w:trHeight w:val="370"/>
        </w:trPr>
        <w:tc>
          <w:tcPr>
            <w:tcW w:w="460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1160" w:type="dxa"/>
            <w:vAlign w:val="bottom"/>
          </w:tcPr>
          <w:p>
            <w:pPr>
              <w:spacing w:after="0"/>
              <w:rPr>
                <w:sz w:val="24"/>
                <w:szCs w:val="24"/>
                <w:color w:val="auto"/>
              </w:rPr>
            </w:pPr>
          </w:p>
        </w:tc>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1,155</w:t>
            </w:r>
          </w:p>
        </w:tc>
        <w:tc>
          <w:tcPr>
            <w:tcW w:w="620" w:type="dxa"/>
            <w:vAlign w:val="bottom"/>
          </w:tcPr>
          <w:p>
            <w:pPr>
              <w:spacing w:after="0"/>
              <w:rPr>
                <w:sz w:val="24"/>
                <w:szCs w:val="24"/>
                <w:color w:val="auto"/>
              </w:rPr>
            </w:pP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1,030</w:t>
            </w:r>
          </w:p>
        </w:tc>
        <w:tc>
          <w:tcPr>
            <w:tcW w:w="520" w:type="dxa"/>
            <w:vAlign w:val="bottom"/>
          </w:tcPr>
          <w:p>
            <w:pPr>
              <w:spacing w:after="0"/>
              <w:rPr>
                <w:sz w:val="24"/>
                <w:szCs w:val="24"/>
                <w:color w:val="auto"/>
              </w:rPr>
            </w:pPr>
          </w:p>
        </w:tc>
        <w:tc>
          <w:tcPr>
            <w:tcW w:w="10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2,265</w:t>
            </w:r>
          </w:p>
        </w:tc>
        <w:tc>
          <w:tcPr>
            <w:tcW w:w="5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2,001</w:t>
            </w:r>
          </w:p>
        </w:tc>
      </w:tr>
      <w:tr>
        <w:trPr>
          <w:trHeight w:val="185"/>
        </w:trPr>
        <w:tc>
          <w:tcPr>
            <w:tcW w:w="4600" w:type="dxa"/>
            <w:vAlign w:val="bottom"/>
          </w:tcPr>
          <w:p>
            <w:pPr>
              <w:spacing w:after="0"/>
              <w:rPr>
                <w:sz w:val="20"/>
                <w:szCs w:val="20"/>
                <w:color w:val="auto"/>
              </w:rPr>
            </w:pPr>
            <w:r>
              <w:rPr>
                <w:rFonts w:ascii="Courier New" w:cs="Courier New" w:eastAsia="Courier New" w:hAnsi="Courier New"/>
                <w:sz w:val="16"/>
                <w:szCs w:val="16"/>
                <w:color w:val="auto"/>
              </w:rPr>
              <w:t>Depreciation</w:t>
            </w:r>
          </w:p>
        </w:tc>
        <w:tc>
          <w:tcPr>
            <w:tcW w:w="1160" w:type="dxa"/>
            <w:vAlign w:val="bottom"/>
          </w:tcPr>
          <w:p>
            <w:pPr>
              <w:spacing w:after="0"/>
              <w:rPr>
                <w:sz w:val="16"/>
                <w:szCs w:val="16"/>
                <w:color w:val="auto"/>
              </w:rPr>
            </w:pPr>
          </w:p>
        </w:tc>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852</w:t>
            </w:r>
          </w:p>
        </w:tc>
        <w:tc>
          <w:tcPr>
            <w:tcW w:w="620" w:type="dxa"/>
            <w:vAlign w:val="bottom"/>
          </w:tcPr>
          <w:p>
            <w:pPr>
              <w:spacing w:after="0"/>
              <w:rPr>
                <w:sz w:val="16"/>
                <w:szCs w:val="16"/>
                <w:color w:val="auto"/>
              </w:rPr>
            </w:pP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606</w:t>
            </w:r>
          </w:p>
        </w:tc>
        <w:tc>
          <w:tcPr>
            <w:tcW w:w="520" w:type="dxa"/>
            <w:vAlign w:val="bottom"/>
          </w:tcPr>
          <w:p>
            <w:pPr>
              <w:spacing w:after="0"/>
              <w:rPr>
                <w:sz w:val="16"/>
                <w:szCs w:val="16"/>
                <w:color w:val="auto"/>
              </w:rPr>
            </w:pPr>
          </w:p>
        </w:tc>
        <w:tc>
          <w:tcPr>
            <w:tcW w:w="10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1,704</w:t>
            </w:r>
          </w:p>
        </w:tc>
        <w:tc>
          <w:tcPr>
            <w:tcW w:w="5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1,212</w:t>
            </w:r>
          </w:p>
        </w:tc>
      </w:tr>
      <w:tr>
        <w:trPr>
          <w:trHeight w:val="185"/>
        </w:trPr>
        <w:tc>
          <w:tcPr>
            <w:tcW w:w="4600" w:type="dxa"/>
            <w:vAlign w:val="bottom"/>
          </w:tcPr>
          <w:p>
            <w:pPr>
              <w:spacing w:after="0"/>
              <w:rPr>
                <w:sz w:val="16"/>
                <w:szCs w:val="16"/>
                <w:color w:val="auto"/>
              </w:rPr>
            </w:pPr>
          </w:p>
        </w:tc>
        <w:tc>
          <w:tcPr>
            <w:tcW w:w="21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60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1160" w:type="dxa"/>
            <w:vAlign w:val="bottom"/>
          </w:tcPr>
          <w:p>
            <w:pPr>
              <w:spacing w:after="0"/>
              <w:rPr>
                <w:sz w:val="16"/>
                <w:szCs w:val="16"/>
                <w:color w:val="auto"/>
              </w:rPr>
            </w:pPr>
          </w:p>
        </w:tc>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5,464</w:t>
            </w:r>
          </w:p>
        </w:tc>
        <w:tc>
          <w:tcPr>
            <w:tcW w:w="620" w:type="dxa"/>
            <w:vAlign w:val="bottom"/>
          </w:tcPr>
          <w:p>
            <w:pPr>
              <w:spacing w:after="0"/>
              <w:rPr>
                <w:sz w:val="16"/>
                <w:szCs w:val="16"/>
                <w:color w:val="auto"/>
              </w:rPr>
            </w:pP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4,063</w:t>
            </w:r>
          </w:p>
        </w:tc>
        <w:tc>
          <w:tcPr>
            <w:tcW w:w="520" w:type="dxa"/>
            <w:vAlign w:val="bottom"/>
          </w:tcPr>
          <w:p>
            <w:pPr>
              <w:spacing w:after="0"/>
              <w:rPr>
                <w:sz w:val="16"/>
                <w:szCs w:val="16"/>
                <w:color w:val="auto"/>
              </w:rPr>
            </w:pPr>
          </w:p>
        </w:tc>
        <w:tc>
          <w:tcPr>
            <w:tcW w:w="10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12,019</w:t>
            </w:r>
          </w:p>
        </w:tc>
        <w:tc>
          <w:tcPr>
            <w:tcW w:w="5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8,359</w:t>
            </w:r>
          </w:p>
        </w:tc>
      </w:tr>
      <w:tr>
        <w:trPr>
          <w:trHeight w:val="370"/>
        </w:trPr>
        <w:tc>
          <w:tcPr>
            <w:tcW w:w="460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160" w:type="dxa"/>
            <w:vAlign w:val="bottom"/>
          </w:tcPr>
          <w:p>
            <w:pPr>
              <w:spacing w:after="0"/>
              <w:rPr>
                <w:sz w:val="24"/>
                <w:szCs w:val="24"/>
                <w:color w:val="auto"/>
              </w:rPr>
            </w:pPr>
          </w:p>
        </w:tc>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107</w:t>
            </w:r>
          </w:p>
        </w:tc>
        <w:tc>
          <w:tcPr>
            <w:tcW w:w="620" w:type="dxa"/>
            <w:vAlign w:val="bottom"/>
          </w:tcPr>
          <w:p>
            <w:pPr>
              <w:spacing w:after="0"/>
              <w:rPr>
                <w:sz w:val="24"/>
                <w:szCs w:val="24"/>
                <w:color w:val="auto"/>
              </w:rPr>
            </w:pPr>
          </w:p>
        </w:tc>
        <w:tc>
          <w:tcPr>
            <w:tcW w:w="10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24"/>
                <w:szCs w:val="24"/>
                <w:color w:val="auto"/>
              </w:rPr>
            </w:pPr>
          </w:p>
        </w:tc>
        <w:tc>
          <w:tcPr>
            <w:tcW w:w="10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187</w:t>
            </w:r>
          </w:p>
        </w:tc>
        <w:tc>
          <w:tcPr>
            <w:tcW w:w="5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5"/>
        </w:trPr>
        <w:tc>
          <w:tcPr>
            <w:tcW w:w="4600" w:type="dxa"/>
            <w:vAlign w:val="bottom"/>
          </w:tcPr>
          <w:p>
            <w:pPr>
              <w:spacing w:after="0"/>
              <w:rPr>
                <w:sz w:val="16"/>
                <w:szCs w:val="16"/>
                <w:color w:val="auto"/>
              </w:rPr>
            </w:pPr>
          </w:p>
        </w:tc>
        <w:tc>
          <w:tcPr>
            <w:tcW w:w="21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600" w:type="dxa"/>
            <w:vAlign w:val="bottom"/>
          </w:tcPr>
          <w:p>
            <w:pPr>
              <w:spacing w:after="0"/>
              <w:rPr>
                <w:sz w:val="20"/>
                <w:szCs w:val="20"/>
                <w:color w:val="auto"/>
              </w:rPr>
            </w:pPr>
            <w:r>
              <w:rPr>
                <w:rFonts w:ascii="Courier New" w:cs="Courier New" w:eastAsia="Courier New" w:hAnsi="Courier New"/>
                <w:sz w:val="16"/>
                <w:szCs w:val="16"/>
                <w:color w:val="auto"/>
              </w:rPr>
              <w:t>Income before provision for income taxes</w:t>
            </w:r>
          </w:p>
        </w:tc>
        <w:tc>
          <w:tcPr>
            <w:tcW w:w="1160" w:type="dxa"/>
            <w:vAlign w:val="bottom"/>
          </w:tcPr>
          <w:p>
            <w:pPr>
              <w:spacing w:after="0"/>
              <w:rPr>
                <w:sz w:val="16"/>
                <w:szCs w:val="16"/>
                <w:color w:val="auto"/>
              </w:rPr>
            </w:pPr>
          </w:p>
        </w:tc>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5,357</w:t>
            </w:r>
          </w:p>
        </w:tc>
        <w:tc>
          <w:tcPr>
            <w:tcW w:w="620" w:type="dxa"/>
            <w:vAlign w:val="bottom"/>
          </w:tcPr>
          <w:p>
            <w:pPr>
              <w:spacing w:after="0"/>
              <w:rPr>
                <w:sz w:val="16"/>
                <w:szCs w:val="16"/>
                <w:color w:val="auto"/>
              </w:rPr>
            </w:pP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4,063</w:t>
            </w:r>
          </w:p>
        </w:tc>
        <w:tc>
          <w:tcPr>
            <w:tcW w:w="520" w:type="dxa"/>
            <w:vAlign w:val="bottom"/>
          </w:tcPr>
          <w:p>
            <w:pPr>
              <w:spacing w:after="0"/>
              <w:rPr>
                <w:sz w:val="16"/>
                <w:szCs w:val="16"/>
                <w:color w:val="auto"/>
              </w:rPr>
            </w:pPr>
          </w:p>
        </w:tc>
        <w:tc>
          <w:tcPr>
            <w:tcW w:w="10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11,832</w:t>
            </w:r>
          </w:p>
        </w:tc>
        <w:tc>
          <w:tcPr>
            <w:tcW w:w="5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8,356</w:t>
            </w:r>
          </w:p>
        </w:tc>
      </w:tr>
      <w:tr>
        <w:trPr>
          <w:trHeight w:val="185"/>
        </w:trPr>
        <w:tc>
          <w:tcPr>
            <w:tcW w:w="460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1160" w:type="dxa"/>
            <w:vAlign w:val="bottom"/>
          </w:tcPr>
          <w:p>
            <w:pPr>
              <w:spacing w:after="0"/>
              <w:rPr>
                <w:sz w:val="16"/>
                <w:szCs w:val="16"/>
                <w:color w:val="auto"/>
              </w:rPr>
            </w:pPr>
          </w:p>
        </w:tc>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1,877</w:t>
            </w:r>
          </w:p>
        </w:tc>
        <w:tc>
          <w:tcPr>
            <w:tcW w:w="620" w:type="dxa"/>
            <w:vAlign w:val="bottom"/>
          </w:tcPr>
          <w:p>
            <w:pPr>
              <w:spacing w:after="0"/>
              <w:rPr>
                <w:sz w:val="16"/>
                <w:szCs w:val="16"/>
                <w:color w:val="auto"/>
              </w:rPr>
            </w:pP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1,247</w:t>
            </w:r>
          </w:p>
        </w:tc>
        <w:tc>
          <w:tcPr>
            <w:tcW w:w="520" w:type="dxa"/>
            <w:vAlign w:val="bottom"/>
          </w:tcPr>
          <w:p>
            <w:pPr>
              <w:spacing w:after="0"/>
              <w:rPr>
                <w:sz w:val="16"/>
                <w:szCs w:val="16"/>
                <w:color w:val="auto"/>
              </w:rPr>
            </w:pPr>
          </w:p>
        </w:tc>
        <w:tc>
          <w:tcPr>
            <w:tcW w:w="10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4,080</w:t>
            </w:r>
          </w:p>
        </w:tc>
        <w:tc>
          <w:tcPr>
            <w:tcW w:w="5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2,708</w:t>
            </w:r>
          </w:p>
        </w:tc>
      </w:tr>
      <w:tr>
        <w:trPr>
          <w:trHeight w:val="185"/>
        </w:trPr>
        <w:tc>
          <w:tcPr>
            <w:tcW w:w="4600" w:type="dxa"/>
            <w:vAlign w:val="bottom"/>
          </w:tcPr>
          <w:p>
            <w:pPr>
              <w:spacing w:after="0"/>
              <w:rPr>
                <w:sz w:val="16"/>
                <w:szCs w:val="16"/>
                <w:color w:val="auto"/>
              </w:rPr>
            </w:pPr>
          </w:p>
        </w:tc>
        <w:tc>
          <w:tcPr>
            <w:tcW w:w="21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600" w:type="dxa"/>
            <w:vAlign w:val="bottom"/>
          </w:tcPr>
          <w:p>
            <w:pPr>
              <w:ind w:left="480"/>
              <w:spacing w:after="0"/>
              <w:rPr>
                <w:sz w:val="20"/>
                <w:szCs w:val="20"/>
                <w:color w:val="auto"/>
              </w:rPr>
            </w:pPr>
            <w:r>
              <w:rPr>
                <w:rFonts w:ascii="Courier New" w:cs="Courier New" w:eastAsia="Courier New" w:hAnsi="Courier New"/>
                <w:sz w:val="16"/>
                <w:szCs w:val="16"/>
                <w:color w:val="auto"/>
              </w:rPr>
              <w:t>Net income</w:t>
            </w:r>
          </w:p>
        </w:tc>
        <w:tc>
          <w:tcPr>
            <w:tcW w:w="11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3,480</w:t>
            </w:r>
          </w:p>
        </w:tc>
        <w:tc>
          <w:tcPr>
            <w:tcW w:w="6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2,816</w:t>
            </w:r>
          </w:p>
        </w:tc>
        <w:tc>
          <w:tcPr>
            <w:tcW w:w="5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7,752</w:t>
            </w:r>
          </w:p>
        </w:tc>
        <w:tc>
          <w:tcPr>
            <w:tcW w:w="5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5,648</w:t>
            </w:r>
          </w:p>
        </w:tc>
      </w:tr>
      <w:tr>
        <w:trPr>
          <w:trHeight w:val="185"/>
        </w:trPr>
        <w:tc>
          <w:tcPr>
            <w:tcW w:w="4600" w:type="dxa"/>
            <w:vAlign w:val="bottom"/>
          </w:tcPr>
          <w:p>
            <w:pPr>
              <w:spacing w:after="0"/>
              <w:rPr>
                <w:sz w:val="16"/>
                <w:szCs w:val="16"/>
                <w:color w:val="auto"/>
              </w:rPr>
            </w:pPr>
          </w:p>
        </w:tc>
        <w:tc>
          <w:tcPr>
            <w:tcW w:w="21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600" w:type="dxa"/>
            <w:vAlign w:val="bottom"/>
          </w:tcPr>
          <w:p>
            <w:pPr>
              <w:spacing w:after="0"/>
              <w:rPr>
                <w:sz w:val="20"/>
                <w:szCs w:val="20"/>
                <w:color w:val="auto"/>
              </w:rPr>
            </w:pPr>
            <w:r>
              <w:rPr>
                <w:rFonts w:ascii="Courier New" w:cs="Courier New" w:eastAsia="Courier New" w:hAnsi="Courier New"/>
                <w:sz w:val="16"/>
                <w:szCs w:val="16"/>
                <w:color w:val="auto"/>
              </w:rPr>
              <w:t>Net income per common share (Note 2):</w:t>
            </w:r>
          </w:p>
        </w:tc>
        <w:tc>
          <w:tcPr>
            <w:tcW w:w="11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0.23</w:t>
            </w:r>
          </w:p>
        </w:tc>
        <w:tc>
          <w:tcPr>
            <w:tcW w:w="6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0.19</w:t>
            </w:r>
          </w:p>
        </w:tc>
        <w:tc>
          <w:tcPr>
            <w:tcW w:w="5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0.51</w:t>
            </w:r>
          </w:p>
        </w:tc>
        <w:tc>
          <w:tcPr>
            <w:tcW w:w="5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0.39</w:t>
            </w:r>
          </w:p>
        </w:tc>
      </w:tr>
      <w:tr>
        <w:trPr>
          <w:trHeight w:val="185"/>
        </w:trPr>
        <w:tc>
          <w:tcPr>
            <w:tcW w:w="4600" w:type="dxa"/>
            <w:vAlign w:val="bottom"/>
          </w:tcPr>
          <w:p>
            <w:pPr>
              <w:spacing w:after="0"/>
              <w:rPr>
                <w:sz w:val="16"/>
                <w:szCs w:val="16"/>
                <w:color w:val="auto"/>
              </w:rPr>
            </w:pPr>
          </w:p>
        </w:tc>
        <w:tc>
          <w:tcPr>
            <w:tcW w:w="21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600" w:type="dxa"/>
            <w:vAlign w:val="bottom"/>
          </w:tcPr>
          <w:p>
            <w:pPr>
              <w:spacing w:after="0"/>
              <w:rPr>
                <w:sz w:val="20"/>
                <w:szCs w:val="20"/>
                <w:color w:val="auto"/>
              </w:rPr>
            </w:pPr>
            <w:r>
              <w:rPr>
                <w:rFonts w:ascii="Courier New" w:cs="Courier New" w:eastAsia="Courier New" w:hAnsi="Courier New"/>
                <w:sz w:val="16"/>
                <w:szCs w:val="16"/>
                <w:color w:val="auto"/>
              </w:rPr>
              <w:t>Weighted average number of</w:t>
            </w:r>
          </w:p>
        </w:tc>
        <w:tc>
          <w:tcPr>
            <w:tcW w:w="1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5"/>
        </w:trPr>
        <w:tc>
          <w:tcPr>
            <w:tcW w:w="4600" w:type="dxa"/>
            <w:vAlign w:val="bottom"/>
          </w:tcPr>
          <w:p>
            <w:pPr>
              <w:ind w:left="180"/>
              <w:spacing w:after="0"/>
              <w:rPr>
                <w:sz w:val="20"/>
                <w:szCs w:val="20"/>
                <w:color w:val="auto"/>
              </w:rPr>
            </w:pPr>
            <w:r>
              <w:rPr>
                <w:rFonts w:ascii="Courier New" w:cs="Courier New" w:eastAsia="Courier New" w:hAnsi="Courier New"/>
                <w:sz w:val="16"/>
                <w:szCs w:val="16"/>
                <w:color w:val="auto"/>
              </w:rPr>
              <w:t>shares outstanding (Note 2)</w:t>
            </w:r>
          </w:p>
        </w:tc>
        <w:tc>
          <w:tcPr>
            <w:tcW w:w="21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15,130,771</w:t>
            </w:r>
          </w:p>
        </w:tc>
        <w:tc>
          <w:tcPr>
            <w:tcW w:w="16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14,472,656</w:t>
            </w:r>
          </w:p>
        </w:tc>
        <w:tc>
          <w:tcPr>
            <w:tcW w:w="158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15,116,540</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14,472,656</w:t>
            </w:r>
          </w:p>
        </w:tc>
      </w:tr>
      <w:tr>
        <w:trPr>
          <w:trHeight w:val="185"/>
        </w:trPr>
        <w:tc>
          <w:tcPr>
            <w:tcW w:w="4600" w:type="dxa"/>
            <w:vAlign w:val="bottom"/>
          </w:tcPr>
          <w:p>
            <w:pPr>
              <w:spacing w:after="0"/>
              <w:rPr>
                <w:sz w:val="16"/>
                <w:szCs w:val="16"/>
                <w:color w:val="auto"/>
              </w:rPr>
            </w:pPr>
          </w:p>
        </w:tc>
        <w:tc>
          <w:tcPr>
            <w:tcW w:w="21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1520"/>
          </w:cols>
          <w:pgMar w:left="240" w:top="300" w:right="139" w:bottom="1440" w:gutter="0" w:footer="0" w:header="0"/>
          <w:type w:val="continuous"/>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375" w:lineRule="exact"/>
        <w:rPr>
          <w:sz w:val="20"/>
          <w:szCs w:val="20"/>
          <w:color w:val="auto"/>
        </w:rPr>
      </w:pPr>
    </w:p>
    <w:p>
      <w:pPr>
        <w:ind w:left="2680" w:right="5219" w:firstLine="105"/>
        <w:spacing w:after="0" w:line="242" w:lineRule="auto"/>
        <w:tabs>
          <w:tab w:leader="none" w:pos="306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BALL &amp; ROLLER, INC. CONDENSED BALANCE SHEETS</w:t>
      </w:r>
    </w:p>
    <w:p>
      <w:pPr>
        <w:sectPr>
          <w:pgSz w:w="11900" w:h="16838" w:orient="portrait"/>
          <w:cols w:equalWidth="0" w:num="1">
            <w:col w:w="10219"/>
          </w:cols>
          <w:pgMar w:left="240" w:top="3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000"/>
        <w:spacing w:after="0"/>
        <w:rPr>
          <w:sz w:val="20"/>
          <w:szCs w:val="20"/>
          <w:color w:val="auto"/>
        </w:rPr>
      </w:pPr>
      <w:r>
        <w:rPr>
          <w:rFonts w:ascii="Courier New" w:cs="Courier New" w:eastAsia="Courier New" w:hAnsi="Courier New"/>
          <w:sz w:val="16"/>
          <w:szCs w:val="16"/>
          <w:color w:val="auto"/>
        </w:rPr>
        <w:t>JUNE 30,</w:t>
      </w:r>
    </w:p>
    <w:p>
      <w:pPr>
        <w:spacing w:after="0" w:line="4" w:lineRule="exact"/>
        <w:rPr>
          <w:sz w:val="20"/>
          <w:szCs w:val="20"/>
          <w:color w:val="auto"/>
        </w:rPr>
      </w:pPr>
    </w:p>
    <w:p>
      <w:pPr>
        <w:ind w:left="5100"/>
        <w:spacing w:after="0"/>
        <w:rPr>
          <w:sz w:val="20"/>
          <w:szCs w:val="20"/>
          <w:color w:val="auto"/>
        </w:rPr>
      </w:pPr>
      <w:r>
        <w:rPr>
          <w:rFonts w:ascii="Courier New" w:cs="Courier New" w:eastAsia="Courier New" w:hAnsi="Courier New"/>
          <w:sz w:val="16"/>
          <w:szCs w:val="16"/>
          <w:color w:val="auto"/>
        </w:rPr>
        <w:t>1996</w:t>
      </w:r>
    </w:p>
    <w:p>
      <w:pPr>
        <w:spacing w:after="0" w:line="4" w:lineRule="exact"/>
        <w:rPr>
          <w:sz w:val="20"/>
          <w:szCs w:val="20"/>
          <w:color w:val="auto"/>
        </w:rPr>
      </w:pPr>
    </w:p>
    <w:p>
      <w:pPr>
        <w:spacing w:after="0"/>
        <w:tabs>
          <w:tab w:leader="none" w:pos="4780" w:val="left"/>
        </w:tabs>
        <w:rPr>
          <w:sz w:val="20"/>
          <w:szCs w:val="20"/>
          <w:color w:val="auto"/>
        </w:rPr>
      </w:pPr>
      <w:r>
        <w:rPr>
          <w:rFonts w:ascii="Courier New" w:cs="Courier New" w:eastAsia="Courier New" w:hAnsi="Courier New"/>
          <w:sz w:val="16"/>
          <w:szCs w:val="16"/>
          <w:color w:val="auto"/>
        </w:rPr>
        <w:t>THOUSANDS OF DOLLARS</w:t>
      </w:r>
      <w:r>
        <w:rPr>
          <w:sz w:val="20"/>
          <w:szCs w:val="20"/>
          <w:color w:val="auto"/>
        </w:rPr>
        <w:tab/>
      </w:r>
      <w:r>
        <w:rPr>
          <w:rFonts w:ascii="Courier New" w:cs="Courier New" w:eastAsia="Courier New" w:hAnsi="Courier New"/>
          <w:sz w:val="16"/>
          <w:szCs w:val="16"/>
          <w:color w:val="auto"/>
        </w:rPr>
        <w:t>(UNAUDITED)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w:t>
      </w:r>
    </w:p>
    <w:p>
      <w:pPr>
        <w:spacing w:after="0" w:line="13"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1995</w:t>
      </w:r>
    </w:p>
    <w:p>
      <w:pPr>
        <w:spacing w:after="0" w:line="188" w:lineRule="exact"/>
        <w:rPr>
          <w:sz w:val="20"/>
          <w:szCs w:val="20"/>
          <w:color w:val="auto"/>
        </w:rPr>
      </w:pPr>
    </w:p>
    <w:p>
      <w:pPr>
        <w:sectPr>
          <w:pgSz w:w="11900" w:h="16838" w:orient="portrait"/>
          <w:cols w:equalWidth="0" w:num="2">
            <w:col w:w="5860" w:space="580"/>
            <w:col w:w="3779"/>
          </w:cols>
          <w:pgMar w:left="240" w:top="30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6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5"/>
        </w:trPr>
        <w:tc>
          <w:tcPr>
            <w:tcW w:w="476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4760" w:type="dxa"/>
            <w:vAlign w:val="bottom"/>
          </w:tcPr>
          <w:p>
            <w:pPr>
              <w:ind w:left="200"/>
              <w:spacing w:after="0"/>
              <w:rPr>
                <w:sz w:val="20"/>
                <w:szCs w:val="20"/>
                <w:color w:val="auto"/>
              </w:rPr>
            </w:pPr>
            <w:r>
              <w:rPr>
                <w:rFonts w:ascii="Courier New" w:cs="Courier New" w:eastAsia="Courier New" w:hAnsi="Courier New"/>
                <w:sz w:val="16"/>
                <w:szCs w:val="16"/>
                <w:color w:val="auto"/>
              </w:rPr>
              <w:t>Accounts receivable, net</w:t>
            </w:r>
          </w:p>
        </w:tc>
        <w:tc>
          <w:tcPr>
            <w:tcW w:w="13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$19,537</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$16,915</w:t>
            </w:r>
          </w:p>
        </w:tc>
      </w:tr>
      <w:tr>
        <w:trPr>
          <w:trHeight w:val="185"/>
        </w:trPr>
        <w:tc>
          <w:tcPr>
            <w:tcW w:w="4760" w:type="dxa"/>
            <w:vAlign w:val="bottom"/>
          </w:tcPr>
          <w:p>
            <w:pPr>
              <w:ind w:left="200"/>
              <w:spacing w:after="0"/>
              <w:rPr>
                <w:sz w:val="20"/>
                <w:szCs w:val="20"/>
                <w:color w:val="auto"/>
              </w:rPr>
            </w:pPr>
            <w:r>
              <w:rPr>
                <w:rFonts w:ascii="Courier New" w:cs="Courier New" w:eastAsia="Courier New" w:hAnsi="Courier New"/>
                <w:sz w:val="16"/>
                <w:szCs w:val="16"/>
                <w:color w:val="auto"/>
              </w:rPr>
              <w:t>Inventories, net  (Note 3)</w:t>
            </w:r>
          </w:p>
        </w:tc>
        <w:tc>
          <w:tcPr>
            <w:tcW w:w="13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10,604</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9,813</w:t>
            </w:r>
          </w:p>
        </w:tc>
      </w:tr>
      <w:tr>
        <w:trPr>
          <w:trHeight w:val="185"/>
        </w:trPr>
        <w:tc>
          <w:tcPr>
            <w:tcW w:w="4760" w:type="dxa"/>
            <w:vAlign w:val="bottom"/>
          </w:tcPr>
          <w:p>
            <w:pPr>
              <w:ind w:left="200"/>
              <w:spacing w:after="0"/>
              <w:rPr>
                <w:sz w:val="20"/>
                <w:szCs w:val="20"/>
                <w:color w:val="auto"/>
              </w:rPr>
            </w:pPr>
            <w:r>
              <w:rPr>
                <w:rFonts w:ascii="Courier New" w:cs="Courier New" w:eastAsia="Courier New" w:hAnsi="Courier New"/>
                <w:sz w:val="16"/>
                <w:szCs w:val="16"/>
                <w:color w:val="auto"/>
              </w:rPr>
              <w:t>Income taxes refundable</w:t>
            </w:r>
          </w:p>
        </w:tc>
        <w:tc>
          <w:tcPr>
            <w:tcW w:w="13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984</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4760" w:type="dxa"/>
            <w:vAlign w:val="bottom"/>
          </w:tcPr>
          <w:p>
            <w:pPr>
              <w:ind w:left="200"/>
              <w:spacing w:after="0"/>
              <w:rPr>
                <w:sz w:val="20"/>
                <w:szCs w:val="20"/>
                <w:color w:val="auto"/>
              </w:rPr>
            </w:pPr>
            <w:r>
              <w:rPr>
                <w:rFonts w:ascii="Courier New" w:cs="Courier New" w:eastAsia="Courier New" w:hAnsi="Courier New"/>
                <w:sz w:val="16"/>
                <w:szCs w:val="16"/>
                <w:color w:val="auto"/>
              </w:rPr>
              <w:t>Other current assets</w:t>
            </w:r>
          </w:p>
        </w:tc>
        <w:tc>
          <w:tcPr>
            <w:tcW w:w="13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143</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4760" w:type="dxa"/>
            <w:vAlign w:val="bottom"/>
          </w:tcPr>
          <w:p>
            <w:pPr>
              <w:spacing w:after="0"/>
              <w:rPr>
                <w:sz w:val="16"/>
                <w:szCs w:val="16"/>
                <w:color w:val="auto"/>
              </w:rPr>
            </w:pPr>
          </w:p>
        </w:tc>
        <w:tc>
          <w:tcPr>
            <w:tcW w:w="13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760" w:type="dxa"/>
            <w:vAlign w:val="bottom"/>
          </w:tcPr>
          <w:p>
            <w:pPr>
              <w:ind w:left="480"/>
              <w:spacing w:after="0"/>
              <w:rPr>
                <w:sz w:val="20"/>
                <w:szCs w:val="20"/>
                <w:color w:val="auto"/>
              </w:rPr>
            </w:pPr>
            <w:r>
              <w:rPr>
                <w:rFonts w:ascii="Courier New" w:cs="Courier New" w:eastAsia="Courier New" w:hAnsi="Courier New"/>
                <w:sz w:val="16"/>
                <w:szCs w:val="16"/>
                <w:color w:val="auto"/>
              </w:rPr>
              <w:t>Total current assets</w:t>
            </w:r>
          </w:p>
        </w:tc>
        <w:tc>
          <w:tcPr>
            <w:tcW w:w="13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31,268</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26,728</w:t>
            </w:r>
          </w:p>
        </w:tc>
      </w:tr>
      <w:tr>
        <w:trPr>
          <w:trHeight w:val="370"/>
        </w:trPr>
        <w:tc>
          <w:tcPr>
            <w:tcW w:w="476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13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32,237</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27,367</w:t>
            </w:r>
          </w:p>
        </w:tc>
      </w:tr>
      <w:tr>
        <w:trPr>
          <w:trHeight w:val="185"/>
        </w:trPr>
        <w:tc>
          <w:tcPr>
            <w:tcW w:w="476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3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137</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146</w:t>
            </w:r>
          </w:p>
        </w:tc>
      </w:tr>
      <w:tr>
        <w:trPr>
          <w:trHeight w:val="185"/>
        </w:trPr>
        <w:tc>
          <w:tcPr>
            <w:tcW w:w="4760" w:type="dxa"/>
            <w:vAlign w:val="bottom"/>
          </w:tcPr>
          <w:p>
            <w:pPr>
              <w:spacing w:after="0"/>
              <w:rPr>
                <w:sz w:val="16"/>
                <w:szCs w:val="16"/>
                <w:color w:val="auto"/>
              </w:rPr>
            </w:pPr>
          </w:p>
        </w:tc>
        <w:tc>
          <w:tcPr>
            <w:tcW w:w="13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760" w:type="dxa"/>
            <w:vAlign w:val="bottom"/>
          </w:tcPr>
          <w:p>
            <w:pPr>
              <w:ind w:left="480"/>
              <w:spacing w:after="0"/>
              <w:rPr>
                <w:sz w:val="20"/>
                <w:szCs w:val="20"/>
                <w:color w:val="auto"/>
              </w:rPr>
            </w:pPr>
            <w:r>
              <w:rPr>
                <w:rFonts w:ascii="Courier New" w:cs="Courier New" w:eastAsia="Courier New" w:hAnsi="Courier New"/>
                <w:sz w:val="16"/>
                <w:szCs w:val="16"/>
                <w:color w:val="auto"/>
              </w:rPr>
              <w:t>Total assets</w:t>
            </w:r>
          </w:p>
        </w:tc>
        <w:tc>
          <w:tcPr>
            <w:tcW w:w="13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$63,642</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$54,241</w:t>
            </w:r>
          </w:p>
        </w:tc>
      </w:tr>
      <w:tr>
        <w:trPr>
          <w:trHeight w:val="185"/>
        </w:trPr>
        <w:tc>
          <w:tcPr>
            <w:tcW w:w="4760" w:type="dxa"/>
            <w:vAlign w:val="bottom"/>
          </w:tcPr>
          <w:p>
            <w:pPr>
              <w:spacing w:after="0"/>
              <w:rPr>
                <w:sz w:val="16"/>
                <w:szCs w:val="16"/>
                <w:color w:val="auto"/>
              </w:rPr>
            </w:pPr>
          </w:p>
        </w:tc>
        <w:tc>
          <w:tcPr>
            <w:tcW w:w="13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76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5"/>
        </w:trPr>
        <w:tc>
          <w:tcPr>
            <w:tcW w:w="476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4760" w:type="dxa"/>
            <w:vAlign w:val="bottom"/>
          </w:tcPr>
          <w:p>
            <w:pPr>
              <w:ind w:left="200"/>
              <w:spacing w:after="0"/>
              <w:rPr>
                <w:sz w:val="20"/>
                <w:szCs w:val="20"/>
                <w:color w:val="auto"/>
              </w:rPr>
            </w:pPr>
            <w:r>
              <w:rPr>
                <w:rFonts w:ascii="Courier New" w:cs="Courier New" w:eastAsia="Courier New" w:hAnsi="Courier New"/>
                <w:sz w:val="16"/>
                <w:szCs w:val="16"/>
                <w:color w:val="auto"/>
              </w:rPr>
              <w:t>Accounts payable</w:t>
            </w:r>
          </w:p>
        </w:tc>
        <w:tc>
          <w:tcPr>
            <w:tcW w:w="13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$ 5,689</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$ 8,201</w:t>
            </w:r>
          </w:p>
        </w:tc>
      </w:tr>
      <w:tr>
        <w:trPr>
          <w:trHeight w:val="185"/>
        </w:trPr>
        <w:tc>
          <w:tcPr>
            <w:tcW w:w="4760" w:type="dxa"/>
            <w:vAlign w:val="bottom"/>
          </w:tcPr>
          <w:p>
            <w:pPr>
              <w:ind w:left="200"/>
              <w:spacing w:after="0"/>
              <w:rPr>
                <w:sz w:val="20"/>
                <w:szCs w:val="20"/>
                <w:color w:val="auto"/>
              </w:rPr>
            </w:pPr>
            <w:r>
              <w:rPr>
                <w:rFonts w:ascii="Courier New" w:cs="Courier New" w:eastAsia="Courier New" w:hAnsi="Courier New"/>
                <w:sz w:val="16"/>
                <w:szCs w:val="16"/>
                <w:color w:val="auto"/>
              </w:rPr>
              <w:t>Revolving credit facility</w:t>
            </w:r>
          </w:p>
        </w:tc>
        <w:tc>
          <w:tcPr>
            <w:tcW w:w="13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7,613</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3,590</w:t>
            </w:r>
          </w:p>
        </w:tc>
      </w:tr>
      <w:tr>
        <w:trPr>
          <w:trHeight w:val="185"/>
        </w:trPr>
        <w:tc>
          <w:tcPr>
            <w:tcW w:w="4760" w:type="dxa"/>
            <w:vAlign w:val="bottom"/>
          </w:tcPr>
          <w:p>
            <w:pPr>
              <w:ind w:left="200"/>
              <w:spacing w:after="0"/>
              <w:rPr>
                <w:sz w:val="20"/>
                <w:szCs w:val="20"/>
                <w:color w:val="auto"/>
              </w:rPr>
            </w:pPr>
            <w:r>
              <w:rPr>
                <w:rFonts w:ascii="Courier New" w:cs="Courier New" w:eastAsia="Courier New" w:hAnsi="Courier New"/>
                <w:sz w:val="16"/>
                <w:szCs w:val="16"/>
                <w:color w:val="auto"/>
              </w:rPr>
              <w:t>Accrued vacation expense</w:t>
            </w:r>
          </w:p>
        </w:tc>
        <w:tc>
          <w:tcPr>
            <w:tcW w:w="13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413</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369</w:t>
            </w:r>
          </w:p>
        </w:tc>
      </w:tr>
      <w:tr>
        <w:trPr>
          <w:trHeight w:val="185"/>
        </w:trPr>
        <w:tc>
          <w:tcPr>
            <w:tcW w:w="4760" w:type="dxa"/>
            <w:vAlign w:val="bottom"/>
          </w:tcPr>
          <w:p>
            <w:pPr>
              <w:ind w:left="200"/>
              <w:spacing w:after="0"/>
              <w:rPr>
                <w:sz w:val="20"/>
                <w:szCs w:val="20"/>
                <w:color w:val="auto"/>
              </w:rPr>
            </w:pPr>
            <w:r>
              <w:rPr>
                <w:rFonts w:ascii="Courier New" w:cs="Courier New" w:eastAsia="Courier New" w:hAnsi="Courier New"/>
                <w:sz w:val="16"/>
                <w:szCs w:val="16"/>
                <w:color w:val="auto"/>
              </w:rPr>
              <w:t>Accrued interest expense</w:t>
            </w:r>
          </w:p>
        </w:tc>
        <w:tc>
          <w:tcPr>
            <w:tcW w:w="13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33</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r>
      <w:tr>
        <w:trPr>
          <w:trHeight w:val="185"/>
        </w:trPr>
        <w:tc>
          <w:tcPr>
            <w:tcW w:w="4760" w:type="dxa"/>
            <w:vAlign w:val="bottom"/>
          </w:tcPr>
          <w:p>
            <w:pPr>
              <w:ind w:left="200"/>
              <w:spacing w:after="0"/>
              <w:rPr>
                <w:sz w:val="20"/>
                <w:szCs w:val="20"/>
                <w:color w:val="auto"/>
              </w:rPr>
            </w:pPr>
            <w:r>
              <w:rPr>
                <w:rFonts w:ascii="Courier New" w:cs="Courier New" w:eastAsia="Courier New" w:hAnsi="Courier New"/>
                <w:sz w:val="16"/>
                <w:szCs w:val="16"/>
                <w:color w:val="auto"/>
              </w:rPr>
              <w:t>Income taxes payable</w:t>
            </w:r>
          </w:p>
        </w:tc>
        <w:tc>
          <w:tcPr>
            <w:tcW w:w="138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208</w:t>
            </w:r>
          </w:p>
        </w:tc>
      </w:tr>
      <w:tr>
        <w:trPr>
          <w:trHeight w:val="185"/>
        </w:trPr>
        <w:tc>
          <w:tcPr>
            <w:tcW w:w="4760" w:type="dxa"/>
            <w:vAlign w:val="bottom"/>
          </w:tcPr>
          <w:p>
            <w:pPr>
              <w:ind w:left="200"/>
              <w:spacing w:after="0"/>
              <w:rPr>
                <w:sz w:val="20"/>
                <w:szCs w:val="20"/>
                <w:color w:val="auto"/>
              </w:rPr>
            </w:pPr>
            <w:r>
              <w:rPr>
                <w:rFonts w:ascii="Courier New" w:cs="Courier New" w:eastAsia="Courier New" w:hAnsi="Courier New"/>
                <w:sz w:val="16"/>
                <w:szCs w:val="16"/>
                <w:color w:val="auto"/>
              </w:rPr>
              <w:t>Other current liabilities</w:t>
            </w:r>
          </w:p>
        </w:tc>
        <w:tc>
          <w:tcPr>
            <w:tcW w:w="13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1,835</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908</w:t>
            </w:r>
          </w:p>
        </w:tc>
      </w:tr>
      <w:tr>
        <w:trPr>
          <w:trHeight w:val="185"/>
        </w:trPr>
        <w:tc>
          <w:tcPr>
            <w:tcW w:w="4760" w:type="dxa"/>
            <w:vAlign w:val="bottom"/>
          </w:tcPr>
          <w:p>
            <w:pPr>
              <w:spacing w:after="0"/>
              <w:rPr>
                <w:sz w:val="16"/>
                <w:szCs w:val="16"/>
                <w:color w:val="auto"/>
              </w:rPr>
            </w:pPr>
          </w:p>
        </w:tc>
        <w:tc>
          <w:tcPr>
            <w:tcW w:w="13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760" w:type="dxa"/>
            <w:vAlign w:val="bottom"/>
          </w:tcPr>
          <w:p>
            <w:pPr>
              <w:ind w:left="480"/>
              <w:spacing w:after="0"/>
              <w:rPr>
                <w:sz w:val="20"/>
                <w:szCs w:val="20"/>
                <w:color w:val="auto"/>
              </w:rPr>
            </w:pPr>
            <w:r>
              <w:rPr>
                <w:rFonts w:ascii="Courier New" w:cs="Courier New" w:eastAsia="Courier New" w:hAnsi="Courier New"/>
                <w:sz w:val="16"/>
                <w:szCs w:val="16"/>
                <w:color w:val="auto"/>
              </w:rPr>
              <w:t>Total current liabilities</w:t>
            </w:r>
          </w:p>
        </w:tc>
        <w:tc>
          <w:tcPr>
            <w:tcW w:w="13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15,583</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13,303</w:t>
            </w:r>
          </w:p>
        </w:tc>
      </w:tr>
      <w:tr>
        <w:trPr>
          <w:trHeight w:val="370"/>
        </w:trPr>
        <w:tc>
          <w:tcPr>
            <w:tcW w:w="476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13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1,720</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1,720</w:t>
            </w:r>
          </w:p>
        </w:tc>
      </w:tr>
      <w:tr>
        <w:trPr>
          <w:trHeight w:val="185"/>
        </w:trPr>
        <w:tc>
          <w:tcPr>
            <w:tcW w:w="4760" w:type="dxa"/>
            <w:vAlign w:val="bottom"/>
          </w:tcPr>
          <w:p>
            <w:pPr>
              <w:spacing w:after="0"/>
              <w:rPr>
                <w:sz w:val="16"/>
                <w:szCs w:val="16"/>
                <w:color w:val="auto"/>
              </w:rPr>
            </w:pPr>
          </w:p>
        </w:tc>
        <w:tc>
          <w:tcPr>
            <w:tcW w:w="13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760" w:type="dxa"/>
            <w:vAlign w:val="bottom"/>
          </w:tcPr>
          <w:p>
            <w:pPr>
              <w:ind w:left="480"/>
              <w:spacing w:after="0"/>
              <w:rPr>
                <w:sz w:val="20"/>
                <w:szCs w:val="20"/>
                <w:color w:val="auto"/>
              </w:rPr>
            </w:pPr>
            <w:r>
              <w:rPr>
                <w:rFonts w:ascii="Courier New" w:cs="Courier New" w:eastAsia="Courier New" w:hAnsi="Courier New"/>
                <w:sz w:val="16"/>
                <w:szCs w:val="16"/>
                <w:color w:val="auto"/>
              </w:rPr>
              <w:t>Total liabilities</w:t>
            </w:r>
          </w:p>
        </w:tc>
        <w:tc>
          <w:tcPr>
            <w:tcW w:w="13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17,303</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15,023</w:t>
            </w:r>
          </w:p>
        </w:tc>
      </w:tr>
      <w:tr>
        <w:trPr>
          <w:trHeight w:val="370"/>
        </w:trPr>
        <w:tc>
          <w:tcPr>
            <w:tcW w:w="4760" w:type="dxa"/>
            <w:vAlign w:val="bottom"/>
          </w:tcPr>
          <w:p>
            <w:pPr>
              <w:ind w:left="480"/>
              <w:spacing w:after="0"/>
              <w:rPr>
                <w:sz w:val="20"/>
                <w:szCs w:val="20"/>
                <w:color w:val="auto"/>
              </w:rPr>
            </w:pPr>
            <w:r>
              <w:rPr>
                <w:rFonts w:ascii="Courier New" w:cs="Courier New" w:eastAsia="Courier New" w:hAnsi="Courier New"/>
                <w:sz w:val="16"/>
                <w:szCs w:val="16"/>
                <w:color w:val="auto"/>
              </w:rPr>
              <w:t>Total stockholders' equity</w:t>
            </w:r>
          </w:p>
        </w:tc>
        <w:tc>
          <w:tcPr>
            <w:tcW w:w="13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46,339</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39,218</w:t>
            </w:r>
          </w:p>
        </w:tc>
      </w:tr>
      <w:tr>
        <w:trPr>
          <w:trHeight w:val="185"/>
        </w:trPr>
        <w:tc>
          <w:tcPr>
            <w:tcW w:w="4760" w:type="dxa"/>
            <w:vAlign w:val="bottom"/>
          </w:tcPr>
          <w:p>
            <w:pPr>
              <w:spacing w:after="0"/>
              <w:rPr>
                <w:sz w:val="16"/>
                <w:szCs w:val="16"/>
                <w:color w:val="auto"/>
              </w:rPr>
            </w:pPr>
          </w:p>
        </w:tc>
        <w:tc>
          <w:tcPr>
            <w:tcW w:w="13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760" w:type="dxa"/>
            <w:vAlign w:val="bottom"/>
          </w:tcPr>
          <w:p>
            <w:pPr>
              <w:ind w:left="480"/>
              <w:spacing w:after="0"/>
              <w:rPr>
                <w:sz w:val="20"/>
                <w:szCs w:val="20"/>
                <w:color w:val="auto"/>
              </w:rPr>
            </w:pPr>
            <w:r>
              <w:rPr>
                <w:rFonts w:ascii="Courier New" w:cs="Courier New" w:eastAsia="Courier New" w:hAnsi="Courier New"/>
                <w:sz w:val="16"/>
                <w:szCs w:val="16"/>
                <w:color w:val="auto"/>
              </w:rPr>
              <w:t>Total liabilities and stockholders' equity</w:t>
            </w:r>
          </w:p>
        </w:tc>
        <w:tc>
          <w:tcPr>
            <w:tcW w:w="13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$63,642</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$54,241</w:t>
            </w:r>
          </w:p>
        </w:tc>
      </w:tr>
      <w:tr>
        <w:trPr>
          <w:trHeight w:val="185"/>
        </w:trPr>
        <w:tc>
          <w:tcPr>
            <w:tcW w:w="4760" w:type="dxa"/>
            <w:vAlign w:val="bottom"/>
          </w:tcPr>
          <w:p>
            <w:pPr>
              <w:spacing w:after="0"/>
              <w:rPr>
                <w:sz w:val="16"/>
                <w:szCs w:val="16"/>
                <w:color w:val="auto"/>
              </w:rPr>
            </w:pPr>
          </w:p>
        </w:tc>
        <w:tc>
          <w:tcPr>
            <w:tcW w:w="13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SEE ACCOMPANYING NOTES.</w:t>
      </w:r>
    </w:p>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0" w:right="1440" w:bottom="1440" w:gutter="0" w:footer="0" w:header="0"/>
          <w:type w:val="continuous"/>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5</w:t>
      </w:r>
    </w:p>
    <w:p>
      <w:pPr>
        <w:spacing w:after="0" w:line="373"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NN BALL &amp; ROLLER, INC.</w:t>
      </w:r>
    </w:p>
    <w:p>
      <w:pPr>
        <w:spacing w:after="0" w:line="4" w:lineRule="exact"/>
        <w:rPr>
          <w:sz w:val="20"/>
          <w:szCs w:val="20"/>
          <w:color w:val="auto"/>
        </w:rPr>
      </w:pPr>
    </w:p>
    <w:p>
      <w:pPr>
        <w:jc w:val="center"/>
        <w:ind w:right="2800"/>
        <w:spacing w:after="0"/>
        <w:rPr>
          <w:sz w:val="20"/>
          <w:szCs w:val="20"/>
          <w:color w:val="auto"/>
        </w:rPr>
      </w:pPr>
      <w:r>
        <w:rPr>
          <w:rFonts w:ascii="Courier New" w:cs="Courier New" w:eastAsia="Courier New" w:hAnsi="Courier New"/>
          <w:sz w:val="16"/>
          <w:szCs w:val="16"/>
          <w:color w:val="auto"/>
        </w:rPr>
        <w:t>CONDENSED STATEMENTS OF CHANGES IN STOCKHOLDERS' EQUITY</w:t>
      </w:r>
    </w:p>
    <w:p>
      <w:pPr>
        <w:spacing w:after="0" w:line="4" w:lineRule="exact"/>
        <w:rPr>
          <w:sz w:val="20"/>
          <w:szCs w:val="20"/>
          <w:color w:val="auto"/>
        </w:rPr>
      </w:pPr>
    </w:p>
    <w:p>
      <w:pPr>
        <w:jc w:val="center"/>
        <w:ind w:right="2800"/>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58" w:lineRule="exact"/>
        <w:rPr>
          <w:sz w:val="20"/>
          <w:szCs w:val="20"/>
          <w:color w:val="auto"/>
        </w:rPr>
      </w:pPr>
    </w:p>
    <w:p>
      <w:pPr>
        <w:ind w:left="4520"/>
        <w:spacing w:after="0"/>
        <w:tabs>
          <w:tab w:leader="none" w:pos="6420" w:val="left"/>
          <w:tab w:leader="none" w:pos="8040" w:val="left"/>
        </w:tabs>
        <w:rPr>
          <w:sz w:val="20"/>
          <w:szCs w:val="20"/>
          <w:color w:val="auto"/>
        </w:rPr>
      </w:pPr>
      <w:r>
        <w:rPr>
          <w:rFonts w:ascii="Courier New" w:cs="Courier New" w:eastAsia="Courier New" w:hAnsi="Courier New"/>
          <w:sz w:val="16"/>
          <w:szCs w:val="16"/>
          <w:color w:val="auto"/>
        </w:rPr>
        <w:t>COMMON STOCK</w:t>
      </w:r>
      <w:r>
        <w:rPr>
          <w:sz w:val="20"/>
          <w:szCs w:val="20"/>
          <w:color w:val="auto"/>
        </w:rPr>
        <w:tab/>
      </w:r>
      <w:r>
        <w:rPr>
          <w:rFonts w:ascii="Courier New" w:cs="Courier New" w:eastAsia="Courier New" w:hAnsi="Courier New"/>
          <w:sz w:val="16"/>
          <w:szCs w:val="16"/>
          <w:color w:val="auto"/>
        </w:rPr>
        <w:t>ADDITIONAL</w:t>
      </w:r>
      <w:r>
        <w:rPr>
          <w:sz w:val="20"/>
          <w:szCs w:val="20"/>
          <w:color w:val="auto"/>
        </w:rPr>
        <w:tab/>
      </w:r>
      <w:r>
        <w:rPr>
          <w:rFonts w:ascii="Courier New" w:cs="Courier New" w:eastAsia="Courier New" w:hAnsi="Courier New"/>
          <w:sz w:val="16"/>
          <w:szCs w:val="16"/>
          <w:color w:val="auto"/>
        </w:rPr>
        <w:t>RETAINED</w:t>
      </w:r>
    </w:p>
    <w:p>
      <w:pPr>
        <w:spacing w:after="0" w:line="4" w:lineRule="exact"/>
        <w:rPr>
          <w:sz w:val="20"/>
          <w:szCs w:val="20"/>
          <w:color w:val="auto"/>
        </w:rPr>
      </w:pPr>
    </w:p>
    <w:p>
      <w:pPr>
        <w:ind w:left="4320"/>
        <w:spacing w:after="0"/>
        <w:tabs>
          <w:tab w:leader="none" w:pos="5460" w:val="left"/>
          <w:tab w:leader="none" w:pos="6600" w:val="left"/>
          <w:tab w:leader="none" w:pos="8140"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PAR</w:t>
      </w:r>
      <w:r>
        <w:rPr>
          <w:sz w:val="20"/>
          <w:szCs w:val="20"/>
          <w:color w:val="auto"/>
        </w:rPr>
        <w:tab/>
      </w:r>
      <w:r>
        <w:rPr>
          <w:rFonts w:ascii="Courier New" w:cs="Courier New" w:eastAsia="Courier New" w:hAnsi="Courier New"/>
          <w:sz w:val="16"/>
          <w:szCs w:val="16"/>
          <w:color w:val="auto"/>
        </w:rPr>
        <w:t>PAID-IN</w:t>
      </w:r>
      <w:r>
        <w:rPr>
          <w:sz w:val="20"/>
          <w:szCs w:val="20"/>
          <w:color w:val="auto"/>
        </w:rPr>
        <w:tab/>
      </w:r>
      <w:r>
        <w:rPr>
          <w:rFonts w:ascii="Courier New" w:cs="Courier New" w:eastAsia="Courier New" w:hAnsi="Courier New"/>
          <w:sz w:val="16"/>
          <w:szCs w:val="16"/>
          <w:color w:val="auto"/>
        </w:rPr>
        <w:t>EARNINGS</w:t>
      </w:r>
    </w:p>
    <w:p>
      <w:pPr>
        <w:spacing w:after="0" w:line="4" w:lineRule="exact"/>
        <w:rPr>
          <w:sz w:val="20"/>
          <w:szCs w:val="20"/>
          <w:color w:val="auto"/>
        </w:rPr>
      </w:pPr>
    </w:p>
    <w:p>
      <w:pPr>
        <w:spacing w:after="0"/>
        <w:tabs>
          <w:tab w:leader="none" w:pos="4120" w:val="left"/>
          <w:tab w:leader="none" w:pos="5360" w:val="left"/>
          <w:tab w:leader="none" w:pos="6600" w:val="left"/>
          <w:tab w:leader="none" w:pos="8040" w:val="left"/>
          <w:tab w:leader="none" w:pos="9500" w:val="left"/>
        </w:tabs>
        <w:rPr>
          <w:sz w:val="20"/>
          <w:szCs w:val="20"/>
          <w:color w:val="auto"/>
        </w:rPr>
      </w:pPr>
      <w:r>
        <w:rPr>
          <w:rFonts w:ascii="Courier New" w:cs="Courier New" w:eastAsia="Courier New" w:hAnsi="Courier New"/>
          <w:sz w:val="16"/>
          <w:szCs w:val="16"/>
          <w:color w:val="auto"/>
        </w:rPr>
        <w:t>THOUSANDS OF DOLLARS, EXCEPT SHARE DATA</w:t>
      </w:r>
      <w:r>
        <w:rPr>
          <w:sz w:val="20"/>
          <w:szCs w:val="20"/>
          <w:color w:val="auto"/>
        </w:rPr>
        <w:tab/>
      </w:r>
      <w:r>
        <w:rPr>
          <w:rFonts w:ascii="Courier New" w:cs="Courier New" w:eastAsia="Courier New" w:hAnsi="Courier New"/>
          <w:sz w:val="16"/>
          <w:szCs w:val="16"/>
          <w:color w:val="auto"/>
        </w:rPr>
        <w:t>OF SHARES</w:t>
      </w:r>
      <w:r>
        <w:rPr>
          <w:sz w:val="20"/>
          <w:szCs w:val="20"/>
          <w:color w:val="auto"/>
        </w:rPr>
        <w:tab/>
      </w:r>
      <w:r>
        <w:rPr>
          <w:rFonts w:ascii="Courier New" w:cs="Courier New" w:eastAsia="Courier New" w:hAnsi="Courier New"/>
          <w:sz w:val="16"/>
          <w:szCs w:val="16"/>
          <w:color w:val="auto"/>
        </w:rPr>
        <w:t>VALUE</w:t>
      </w:r>
      <w:r>
        <w:rPr>
          <w:sz w:val="20"/>
          <w:szCs w:val="20"/>
          <w:color w:val="auto"/>
        </w:rPr>
        <w:tab/>
      </w:r>
      <w:r>
        <w:rPr>
          <w:rFonts w:ascii="Courier New" w:cs="Courier New" w:eastAsia="Courier New" w:hAnsi="Courier New"/>
          <w:sz w:val="16"/>
          <w:szCs w:val="16"/>
          <w:color w:val="auto"/>
        </w:rPr>
        <w:t>CAPITAL</w:t>
      </w:r>
      <w:r>
        <w:rPr>
          <w:sz w:val="20"/>
          <w:szCs w:val="20"/>
          <w:color w:val="auto"/>
        </w:rPr>
        <w:tab/>
      </w:r>
      <w:r>
        <w:rPr>
          <w:rFonts w:ascii="Courier New" w:cs="Courier New" w:eastAsia="Courier New" w:hAnsi="Courier New"/>
          <w:sz w:val="16"/>
          <w:szCs w:val="16"/>
          <w:color w:val="auto"/>
        </w:rPr>
        <w:t>(DEFICIT)</w:t>
      </w:r>
      <w:r>
        <w:rPr>
          <w:sz w:val="20"/>
          <w:szCs w:val="20"/>
          <w:color w:val="auto"/>
        </w:rPr>
        <w:tab/>
      </w:r>
      <w:r>
        <w:rPr>
          <w:rFonts w:ascii="Courier New" w:cs="Courier New" w:eastAsia="Courier New" w:hAnsi="Courier New"/>
          <w:sz w:val="16"/>
          <w:szCs w:val="16"/>
          <w:color w:val="auto"/>
        </w:rPr>
        <w:t>TOTAL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820" w:type="dxa"/>
            <w:vAlign w:val="bottom"/>
          </w:tcPr>
          <w:p>
            <w:pPr>
              <w:spacing w:after="0"/>
              <w:rPr>
                <w:sz w:val="20"/>
                <w:szCs w:val="20"/>
                <w:color w:val="auto"/>
              </w:rPr>
            </w:pPr>
            <w:r>
              <w:rPr>
                <w:rFonts w:ascii="Courier New" w:cs="Courier New" w:eastAsia="Courier New" w:hAnsi="Courier New"/>
                <w:sz w:val="16"/>
                <w:szCs w:val="16"/>
                <w:color w:val="auto"/>
              </w:rPr>
              <w:t>Balance,</w:t>
            </w:r>
          </w:p>
        </w:tc>
        <w:tc>
          <w:tcPr>
            <w:tcW w:w="3060" w:type="dxa"/>
            <w:vAlign w:val="bottom"/>
          </w:tcPr>
          <w:p>
            <w:pPr>
              <w:ind w:left="40"/>
              <w:spacing w:after="0"/>
              <w:rPr>
                <w:sz w:val="20"/>
                <w:szCs w:val="20"/>
                <w:color w:val="auto"/>
              </w:rPr>
            </w:pPr>
            <w:r>
              <w:rPr>
                <w:rFonts w:ascii="Courier New" w:cs="Courier New" w:eastAsia="Courier New" w:hAnsi="Courier New"/>
                <w:sz w:val="16"/>
                <w:szCs w:val="16"/>
                <w:color w:val="auto"/>
              </w:rPr>
              <w:t>January 1, 1995</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6,432</w:t>
            </w:r>
          </w:p>
        </w:tc>
        <w:tc>
          <w:tcPr>
            <w:tcW w:w="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64</w:t>
            </w:r>
          </w:p>
        </w:tc>
        <w:tc>
          <w:tcPr>
            <w:tcW w:w="14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$ 25,289</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5,184</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$30,537</w:t>
            </w:r>
          </w:p>
        </w:tc>
      </w:tr>
      <w:tr>
        <w:trPr>
          <w:trHeight w:val="370"/>
        </w:trPr>
        <w:tc>
          <w:tcPr>
            <w:tcW w:w="38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Net income</w:t>
            </w: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5,648</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5,648</w:t>
            </w:r>
          </w:p>
        </w:tc>
      </w:tr>
      <w:tr>
        <w:trPr>
          <w:trHeight w:val="185"/>
        </w:trPr>
        <w:tc>
          <w:tcPr>
            <w:tcW w:w="38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Dividends</w:t>
            </w:r>
          </w:p>
        </w:tc>
        <w:tc>
          <w:tcPr>
            <w:tcW w:w="1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(1,286)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(1,286)</w:t>
            </w:r>
          </w:p>
        </w:tc>
      </w:tr>
      <w:tr>
        <w:trPr>
          <w:trHeight w:val="185"/>
        </w:trPr>
        <w:tc>
          <w:tcPr>
            <w:tcW w:w="38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Three-for-two stock split (Note 2)</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3,216</w:t>
            </w:r>
          </w:p>
        </w:tc>
        <w:tc>
          <w:tcPr>
            <w:tcW w:w="520" w:type="dxa"/>
            <w:vAlign w:val="bottom"/>
          </w:tcPr>
          <w:p>
            <w:pPr>
              <w:spacing w:after="0"/>
              <w:rPr>
                <w:sz w:val="16"/>
                <w:szCs w:val="16"/>
                <w:color w:val="auto"/>
              </w:rPr>
            </w:pPr>
          </w:p>
        </w:tc>
        <w:tc>
          <w:tcPr>
            <w:tcW w:w="62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32</w:t>
            </w:r>
          </w:p>
        </w:tc>
        <w:tc>
          <w:tcPr>
            <w:tcW w:w="144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9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(32)</w:t>
            </w: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8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820" w:type="dxa"/>
            <w:vAlign w:val="bottom"/>
          </w:tcPr>
          <w:p>
            <w:pPr>
              <w:spacing w:after="0"/>
              <w:rPr>
                <w:sz w:val="20"/>
                <w:szCs w:val="20"/>
                <w:color w:val="auto"/>
              </w:rPr>
            </w:pPr>
            <w:r>
              <w:rPr>
                <w:rFonts w:ascii="Courier New" w:cs="Courier New" w:eastAsia="Courier New" w:hAnsi="Courier New"/>
                <w:sz w:val="16"/>
                <w:szCs w:val="16"/>
                <w:color w:val="auto"/>
              </w:rPr>
              <w:t>Balance,</w:t>
            </w:r>
          </w:p>
        </w:tc>
        <w:tc>
          <w:tcPr>
            <w:tcW w:w="3060" w:type="dxa"/>
            <w:vAlign w:val="bottom"/>
          </w:tcPr>
          <w:p>
            <w:pPr>
              <w:ind w:left="40"/>
              <w:spacing w:after="0"/>
              <w:rPr>
                <w:sz w:val="20"/>
                <w:szCs w:val="20"/>
                <w:color w:val="auto"/>
              </w:rPr>
            </w:pPr>
            <w:r>
              <w:rPr>
                <w:rFonts w:ascii="Courier New" w:cs="Courier New" w:eastAsia="Courier New" w:hAnsi="Courier New"/>
                <w:sz w:val="16"/>
                <w:szCs w:val="16"/>
                <w:color w:val="auto"/>
              </w:rPr>
              <w:t>June 30, 1995</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9,648</w:t>
            </w:r>
          </w:p>
        </w:tc>
        <w:tc>
          <w:tcPr>
            <w:tcW w:w="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96</w:t>
            </w:r>
          </w:p>
        </w:tc>
        <w:tc>
          <w:tcPr>
            <w:tcW w:w="14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$ 25,289</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9,514</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$34,899</w:t>
            </w:r>
          </w:p>
        </w:tc>
      </w:tr>
      <w:tr>
        <w:trPr>
          <w:trHeight w:val="185"/>
        </w:trPr>
        <w:tc>
          <w:tcPr>
            <w:tcW w:w="8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554"/>
        </w:trPr>
        <w:tc>
          <w:tcPr>
            <w:tcW w:w="820" w:type="dxa"/>
            <w:vAlign w:val="bottom"/>
          </w:tcPr>
          <w:p>
            <w:pPr>
              <w:spacing w:after="0"/>
              <w:rPr>
                <w:sz w:val="20"/>
                <w:szCs w:val="20"/>
                <w:color w:val="auto"/>
              </w:rPr>
            </w:pPr>
            <w:r>
              <w:rPr>
                <w:rFonts w:ascii="Courier New" w:cs="Courier New" w:eastAsia="Courier New" w:hAnsi="Courier New"/>
                <w:sz w:val="16"/>
                <w:szCs w:val="16"/>
                <w:color w:val="auto"/>
              </w:rPr>
              <w:t>Balance,</w:t>
            </w:r>
          </w:p>
        </w:tc>
        <w:tc>
          <w:tcPr>
            <w:tcW w:w="3060" w:type="dxa"/>
            <w:vAlign w:val="bottom"/>
          </w:tcPr>
          <w:p>
            <w:pPr>
              <w:ind w:left="40"/>
              <w:spacing w:after="0"/>
              <w:rPr>
                <w:sz w:val="20"/>
                <w:szCs w:val="20"/>
                <w:color w:val="auto"/>
              </w:rPr>
            </w:pPr>
            <w:r>
              <w:rPr>
                <w:rFonts w:ascii="Courier New" w:cs="Courier New" w:eastAsia="Courier New" w:hAnsi="Courier New"/>
                <w:sz w:val="16"/>
                <w:szCs w:val="16"/>
                <w:color w:val="auto"/>
              </w:rPr>
              <w:t>January 1, 1996</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14,473</w:t>
            </w:r>
          </w:p>
        </w:tc>
        <w:tc>
          <w:tcPr>
            <w:tcW w:w="1140" w:type="dxa"/>
            <w:vAlign w:val="bottom"/>
            <w:gridSpan w:val="2"/>
          </w:tcPr>
          <w:p>
            <w:pPr>
              <w:jc w:val="right"/>
              <w:ind w:right="240"/>
              <w:spacing w:after="0"/>
              <w:rPr>
                <w:sz w:val="20"/>
                <w:szCs w:val="20"/>
                <w:color w:val="auto"/>
              </w:rPr>
            </w:pPr>
            <w:r>
              <w:rPr>
                <w:rFonts w:ascii="Courier New" w:cs="Courier New" w:eastAsia="Courier New" w:hAnsi="Courier New"/>
                <w:sz w:val="16"/>
                <w:szCs w:val="16"/>
                <w:color w:val="auto"/>
              </w:rPr>
              <w:t>$ 144</w:t>
            </w:r>
          </w:p>
        </w:tc>
        <w:tc>
          <w:tcPr>
            <w:tcW w:w="14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$ 25,289</w:t>
            </w:r>
          </w:p>
        </w:tc>
        <w:tc>
          <w:tcPr>
            <w:tcW w:w="146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$ 13,785</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$39,218</w:t>
            </w:r>
          </w:p>
        </w:tc>
      </w:tr>
      <w:tr>
        <w:trPr>
          <w:trHeight w:val="370"/>
        </w:trPr>
        <w:tc>
          <w:tcPr>
            <w:tcW w:w="38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Net income</w:t>
            </w: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7,752</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7,752</w:t>
            </w:r>
          </w:p>
        </w:tc>
      </w:tr>
      <w:tr>
        <w:trPr>
          <w:trHeight w:val="185"/>
        </w:trPr>
        <w:tc>
          <w:tcPr>
            <w:tcW w:w="38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Dividends</w:t>
            </w:r>
          </w:p>
        </w:tc>
        <w:tc>
          <w:tcPr>
            <w:tcW w:w="1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(2,327)</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(2,327)</w:t>
            </w:r>
          </w:p>
        </w:tc>
      </w:tr>
      <w:tr>
        <w:trPr>
          <w:trHeight w:val="185"/>
        </w:trPr>
        <w:tc>
          <w:tcPr>
            <w:tcW w:w="820" w:type="dxa"/>
            <w:vAlign w:val="bottom"/>
          </w:tcPr>
          <w:p>
            <w:pPr>
              <w:ind w:left="280"/>
              <w:spacing w:after="0"/>
              <w:rPr>
                <w:sz w:val="20"/>
                <w:szCs w:val="20"/>
                <w:color w:val="auto"/>
              </w:rPr>
            </w:pPr>
            <w:r>
              <w:rPr>
                <w:rFonts w:ascii="Courier New" w:cs="Courier New" w:eastAsia="Courier New" w:hAnsi="Courier New"/>
                <w:sz w:val="16"/>
                <w:szCs w:val="16"/>
                <w:color w:val="auto"/>
              </w:rPr>
              <w:t>Stock</w:t>
            </w:r>
          </w:p>
        </w:tc>
        <w:tc>
          <w:tcPr>
            <w:tcW w:w="3060" w:type="dxa"/>
            <w:vAlign w:val="bottom"/>
          </w:tcPr>
          <w:p>
            <w:pPr>
              <w:ind w:left="40"/>
              <w:spacing w:after="0"/>
              <w:rPr>
                <w:sz w:val="20"/>
                <w:szCs w:val="20"/>
                <w:color w:val="auto"/>
              </w:rPr>
            </w:pPr>
            <w:r>
              <w:rPr>
                <w:rFonts w:ascii="Courier New" w:cs="Courier New" w:eastAsia="Courier New" w:hAnsi="Courier New"/>
                <w:sz w:val="16"/>
                <w:szCs w:val="16"/>
                <w:color w:val="auto"/>
              </w:rPr>
              <w:t>options exercised (Note 4)</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156</w:t>
            </w:r>
          </w:p>
        </w:tc>
        <w:tc>
          <w:tcPr>
            <w:tcW w:w="520" w:type="dxa"/>
            <w:vAlign w:val="bottom"/>
          </w:tcPr>
          <w:p>
            <w:pPr>
              <w:spacing w:after="0"/>
              <w:rPr>
                <w:sz w:val="16"/>
                <w:szCs w:val="16"/>
                <w:color w:val="auto"/>
              </w:rPr>
            </w:pPr>
          </w:p>
        </w:tc>
        <w:tc>
          <w:tcPr>
            <w:tcW w:w="62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2</w:t>
            </w:r>
          </w:p>
        </w:tc>
        <w:tc>
          <w:tcPr>
            <w:tcW w:w="14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1,694</w:t>
            </w:r>
          </w:p>
        </w:tc>
        <w:tc>
          <w:tcPr>
            <w:tcW w:w="480" w:type="dxa"/>
            <w:vAlign w:val="bottom"/>
          </w:tcPr>
          <w:p>
            <w:pPr>
              <w:spacing w:after="0"/>
              <w:rPr>
                <w:sz w:val="16"/>
                <w:szCs w:val="16"/>
                <w:color w:val="auto"/>
              </w:rPr>
            </w:pPr>
          </w:p>
        </w:tc>
        <w:tc>
          <w:tcPr>
            <w:tcW w:w="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1,696</w:t>
            </w:r>
          </w:p>
        </w:tc>
      </w:tr>
      <w:tr>
        <w:trPr>
          <w:trHeight w:val="185"/>
        </w:trPr>
        <w:tc>
          <w:tcPr>
            <w:tcW w:w="8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820" w:type="dxa"/>
            <w:vAlign w:val="bottom"/>
          </w:tcPr>
          <w:p>
            <w:pPr>
              <w:spacing w:after="0"/>
              <w:rPr>
                <w:sz w:val="20"/>
                <w:szCs w:val="20"/>
                <w:color w:val="auto"/>
              </w:rPr>
            </w:pPr>
            <w:r>
              <w:rPr>
                <w:rFonts w:ascii="Courier New" w:cs="Courier New" w:eastAsia="Courier New" w:hAnsi="Courier New"/>
                <w:sz w:val="16"/>
                <w:szCs w:val="16"/>
                <w:color w:val="auto"/>
              </w:rPr>
              <w:t>Balance,</w:t>
            </w:r>
          </w:p>
        </w:tc>
        <w:tc>
          <w:tcPr>
            <w:tcW w:w="3060" w:type="dxa"/>
            <w:vAlign w:val="bottom"/>
          </w:tcPr>
          <w:p>
            <w:pPr>
              <w:ind w:left="40"/>
              <w:spacing w:after="0"/>
              <w:rPr>
                <w:sz w:val="20"/>
                <w:szCs w:val="20"/>
                <w:color w:val="auto"/>
              </w:rPr>
            </w:pPr>
            <w:r>
              <w:rPr>
                <w:rFonts w:ascii="Courier New" w:cs="Courier New" w:eastAsia="Courier New" w:hAnsi="Courier New"/>
                <w:sz w:val="16"/>
                <w:szCs w:val="16"/>
                <w:color w:val="auto"/>
              </w:rPr>
              <w:t>June 30, 1996</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14,629</w:t>
            </w:r>
          </w:p>
        </w:tc>
        <w:tc>
          <w:tcPr>
            <w:tcW w:w="1140" w:type="dxa"/>
            <w:vAlign w:val="bottom"/>
            <w:gridSpan w:val="2"/>
          </w:tcPr>
          <w:p>
            <w:pPr>
              <w:jc w:val="right"/>
              <w:ind w:right="240"/>
              <w:spacing w:after="0"/>
              <w:rPr>
                <w:sz w:val="20"/>
                <w:szCs w:val="20"/>
                <w:color w:val="auto"/>
              </w:rPr>
            </w:pPr>
            <w:r>
              <w:rPr>
                <w:rFonts w:ascii="Courier New" w:cs="Courier New" w:eastAsia="Courier New" w:hAnsi="Courier New"/>
                <w:sz w:val="16"/>
                <w:szCs w:val="16"/>
                <w:color w:val="auto"/>
              </w:rPr>
              <w:t>$ 146</w:t>
            </w:r>
          </w:p>
        </w:tc>
        <w:tc>
          <w:tcPr>
            <w:tcW w:w="14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$ 26,983</w:t>
            </w:r>
          </w:p>
        </w:tc>
        <w:tc>
          <w:tcPr>
            <w:tcW w:w="146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$ 19,210</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$46,339</w:t>
            </w:r>
          </w:p>
        </w:tc>
      </w:tr>
      <w:tr>
        <w:trPr>
          <w:trHeight w:val="185"/>
        </w:trPr>
        <w:tc>
          <w:tcPr>
            <w:tcW w:w="8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380"/>
          </w:cols>
          <w:pgMar w:left="240" w:top="300" w:right="1279"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6</w:t>
      </w:r>
    </w:p>
    <w:p>
      <w:pPr>
        <w:spacing w:after="0" w:line="200" w:lineRule="exact"/>
        <w:rPr>
          <w:sz w:val="20"/>
          <w:szCs w:val="20"/>
          <w:color w:val="auto"/>
        </w:rPr>
      </w:pPr>
    </w:p>
    <w:p>
      <w:pPr>
        <w:spacing w:after="0" w:line="35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NN BALL &amp; ROLLER, INC.</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CONDENSED STATEMENTS OF CASH FLOWS</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58" w:lineRule="exact"/>
        <w:rPr>
          <w:sz w:val="20"/>
          <w:szCs w:val="20"/>
          <w:color w:val="auto"/>
        </w:rPr>
      </w:pPr>
    </w:p>
    <w:p>
      <w:pPr>
        <w:jc w:val="center"/>
        <w:ind w:left="5480"/>
        <w:spacing w:after="0"/>
        <w:rPr>
          <w:sz w:val="20"/>
          <w:szCs w:val="20"/>
          <w:color w:val="auto"/>
        </w:rPr>
      </w:pPr>
      <w:r>
        <w:rPr>
          <w:rFonts w:ascii="Courier New" w:cs="Courier New" w:eastAsia="Courier New" w:hAnsi="Courier New"/>
          <w:sz w:val="16"/>
          <w:szCs w:val="16"/>
          <w:color w:val="auto"/>
        </w:rPr>
        <w:t>SIX MONTHS ENDED</w:t>
      </w:r>
    </w:p>
    <w:p>
      <w:pPr>
        <w:spacing w:after="0" w:line="4" w:lineRule="exact"/>
        <w:rPr>
          <w:sz w:val="20"/>
          <w:szCs w:val="20"/>
          <w:color w:val="auto"/>
        </w:rPr>
      </w:pPr>
    </w:p>
    <w:p>
      <w:pPr>
        <w:jc w:val="center"/>
        <w:ind w:left="5480"/>
        <w:spacing w:after="0"/>
        <w:rPr>
          <w:sz w:val="20"/>
          <w:szCs w:val="20"/>
          <w:color w:val="auto"/>
        </w:rPr>
      </w:pPr>
      <w:r>
        <w:rPr>
          <w:rFonts w:ascii="Courier New" w:cs="Courier New" w:eastAsia="Courier New" w:hAnsi="Courier New"/>
          <w:sz w:val="16"/>
          <w:szCs w:val="16"/>
          <w:color w:val="auto"/>
        </w:rPr>
        <w:t>JUNE 30,</w:t>
      </w:r>
    </w:p>
    <w:p>
      <w:pPr>
        <w:spacing w:after="0" w:line="4" w:lineRule="exact"/>
        <w:rPr>
          <w:sz w:val="20"/>
          <w:szCs w:val="20"/>
          <w:color w:val="auto"/>
        </w:rPr>
      </w:pPr>
    </w:p>
    <w:p>
      <w:pPr>
        <w:spacing w:after="0"/>
        <w:tabs>
          <w:tab w:leader="none" w:pos="1320" w:val="left"/>
          <w:tab w:leader="none" w:pos="7480" w:val="left"/>
          <w:tab w:leader="none" w:pos="9020" w:val="left"/>
        </w:tabs>
        <w:rPr>
          <w:sz w:val="20"/>
          <w:szCs w:val="20"/>
          <w:color w:val="auto"/>
        </w:rPr>
      </w:pPr>
      <w:r>
        <w:rPr>
          <w:rFonts w:ascii="Courier New" w:cs="Courier New" w:eastAsia="Courier New" w:hAnsi="Courier New"/>
          <w:sz w:val="16"/>
          <w:szCs w:val="16"/>
          <w:color w:val="auto"/>
        </w:rPr>
        <w:t>THOUSANDS OF</w:t>
        <w:tab/>
        <w:t>DOLLARS</w:t>
      </w:r>
      <w:r>
        <w:rPr>
          <w:sz w:val="20"/>
          <w:szCs w:val="20"/>
          <w:color w:val="auto"/>
        </w:rPr>
        <w:tab/>
      </w:r>
      <w:r>
        <w:rPr>
          <w:rFonts w:ascii="Courier New" w:cs="Courier New" w:eastAsia="Courier New" w:hAnsi="Courier New"/>
          <w:sz w:val="16"/>
          <w:szCs w:val="16"/>
          <w:color w:val="auto"/>
        </w:rPr>
        <w:t>1996</w:t>
      </w:r>
      <w:r>
        <w:rPr>
          <w:sz w:val="20"/>
          <w:szCs w:val="20"/>
          <w:color w:val="auto"/>
        </w:rPr>
        <w:tab/>
      </w:r>
      <w:r>
        <w:rPr>
          <w:rFonts w:ascii="Courier New" w:cs="Courier New" w:eastAsia="Courier New" w:hAnsi="Courier New"/>
          <w:sz w:val="15"/>
          <w:szCs w:val="15"/>
          <w:color w:val="auto"/>
        </w:rPr>
        <w:t>1995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6380" w:type="dxa"/>
            <w:vAlign w:val="bottom"/>
          </w:tcPr>
          <w:p>
            <w:pPr>
              <w:spacing w:after="0"/>
              <w:rPr>
                <w:sz w:val="20"/>
                <w:szCs w:val="20"/>
                <w:color w:val="auto"/>
              </w:rPr>
            </w:pPr>
            <w:r>
              <w:rPr>
                <w:rFonts w:ascii="Courier New" w:cs="Courier New" w:eastAsia="Courier New" w:hAnsi="Courier New"/>
                <w:sz w:val="16"/>
                <w:szCs w:val="16"/>
                <w:color w:val="auto"/>
              </w:rPr>
              <w:t>OPERATING ACTIVITIES:</w:t>
            </w:r>
          </w:p>
        </w:tc>
        <w:tc>
          <w:tcPr>
            <w:tcW w:w="2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5"/>
        </w:trPr>
        <w:tc>
          <w:tcPr>
            <w:tcW w:w="6380" w:type="dxa"/>
            <w:vAlign w:val="bottom"/>
          </w:tcPr>
          <w:p>
            <w:pPr>
              <w:ind w:left="180"/>
              <w:spacing w:after="0"/>
              <w:rPr>
                <w:sz w:val="20"/>
                <w:szCs w:val="20"/>
                <w:color w:val="auto"/>
              </w:rPr>
            </w:pPr>
            <w:r>
              <w:rPr>
                <w:rFonts w:ascii="Courier New" w:cs="Courier New" w:eastAsia="Courier New" w:hAnsi="Courier New"/>
                <w:sz w:val="16"/>
                <w:szCs w:val="16"/>
                <w:color w:val="auto"/>
              </w:rPr>
              <w:t>Net income</w:t>
            </w:r>
          </w:p>
        </w:tc>
        <w:tc>
          <w:tcPr>
            <w:tcW w:w="21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$ 7,752</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$ 5,648</w:t>
            </w:r>
          </w:p>
        </w:tc>
      </w:tr>
      <w:tr>
        <w:trPr>
          <w:trHeight w:val="185"/>
        </w:trPr>
        <w:tc>
          <w:tcPr>
            <w:tcW w:w="6380" w:type="dxa"/>
            <w:vAlign w:val="bottom"/>
          </w:tcPr>
          <w:p>
            <w:pPr>
              <w:ind w:left="180"/>
              <w:spacing w:after="0"/>
              <w:rPr>
                <w:sz w:val="20"/>
                <w:szCs w:val="20"/>
                <w:color w:val="auto"/>
              </w:rPr>
            </w:pPr>
            <w:r>
              <w:rPr>
                <w:rFonts w:ascii="Courier New" w:cs="Courier New" w:eastAsia="Courier New" w:hAnsi="Courier New"/>
                <w:sz w:val="16"/>
                <w:szCs w:val="16"/>
                <w:color w:val="auto"/>
              </w:rPr>
              <w:t>Adjustments to reconcile net income:</w:t>
            </w:r>
          </w:p>
        </w:tc>
        <w:tc>
          <w:tcPr>
            <w:tcW w:w="21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6380" w:type="dxa"/>
            <w:vAlign w:val="bottom"/>
          </w:tcPr>
          <w:p>
            <w:pPr>
              <w:ind w:left="380"/>
              <w:spacing w:after="0"/>
              <w:rPr>
                <w:sz w:val="20"/>
                <w:szCs w:val="20"/>
                <w:color w:val="auto"/>
              </w:rPr>
            </w:pPr>
            <w:r>
              <w:rPr>
                <w:rFonts w:ascii="Courier New" w:cs="Courier New" w:eastAsia="Courier New" w:hAnsi="Courier New"/>
                <w:sz w:val="16"/>
                <w:szCs w:val="16"/>
                <w:color w:val="auto"/>
              </w:rPr>
              <w:t>Depreciation</w:t>
            </w:r>
          </w:p>
        </w:tc>
        <w:tc>
          <w:tcPr>
            <w:tcW w:w="21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1,704</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1,212</w:t>
            </w:r>
          </w:p>
        </w:tc>
      </w:tr>
      <w:tr>
        <w:trPr>
          <w:trHeight w:val="185"/>
        </w:trPr>
        <w:tc>
          <w:tcPr>
            <w:tcW w:w="6380" w:type="dxa"/>
            <w:vAlign w:val="bottom"/>
          </w:tcPr>
          <w:p>
            <w:pPr>
              <w:ind w:left="380"/>
              <w:spacing w:after="0"/>
              <w:rPr>
                <w:sz w:val="20"/>
                <w:szCs w:val="20"/>
                <w:color w:val="auto"/>
              </w:rPr>
            </w:pPr>
            <w:r>
              <w:rPr>
                <w:rFonts w:ascii="Courier New" w:cs="Courier New" w:eastAsia="Courier New" w:hAnsi="Courier New"/>
                <w:sz w:val="16"/>
                <w:szCs w:val="16"/>
                <w:color w:val="auto"/>
              </w:rPr>
              <w:t>Changes in operating assets and liabilities:</w:t>
            </w:r>
          </w:p>
        </w:tc>
        <w:tc>
          <w:tcPr>
            <w:tcW w:w="21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6380" w:type="dxa"/>
            <w:vAlign w:val="bottom"/>
          </w:tcPr>
          <w:p>
            <w:pPr>
              <w:ind w:left="580"/>
              <w:spacing w:after="0"/>
              <w:rPr>
                <w:sz w:val="20"/>
                <w:szCs w:val="20"/>
                <w:color w:val="auto"/>
              </w:rPr>
            </w:pPr>
            <w:r>
              <w:rPr>
                <w:rFonts w:ascii="Courier New" w:cs="Courier New" w:eastAsia="Courier New" w:hAnsi="Courier New"/>
                <w:sz w:val="16"/>
                <w:szCs w:val="16"/>
                <w:color w:val="auto"/>
              </w:rPr>
              <w:t>Accounts receivable</w:t>
            </w:r>
          </w:p>
        </w:tc>
        <w:tc>
          <w:tcPr>
            <w:tcW w:w="21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(2,622)</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(2,552)</w:t>
            </w:r>
          </w:p>
        </w:tc>
      </w:tr>
      <w:tr>
        <w:trPr>
          <w:trHeight w:val="185"/>
        </w:trPr>
        <w:tc>
          <w:tcPr>
            <w:tcW w:w="6380" w:type="dxa"/>
            <w:vAlign w:val="bottom"/>
          </w:tcPr>
          <w:p>
            <w:pPr>
              <w:ind w:left="580"/>
              <w:spacing w:after="0"/>
              <w:rPr>
                <w:sz w:val="20"/>
                <w:szCs w:val="20"/>
                <w:color w:val="auto"/>
              </w:rPr>
            </w:pPr>
            <w:r>
              <w:rPr>
                <w:rFonts w:ascii="Courier New" w:cs="Courier New" w:eastAsia="Courier New" w:hAnsi="Courier New"/>
                <w:sz w:val="16"/>
                <w:szCs w:val="16"/>
                <w:color w:val="auto"/>
              </w:rPr>
              <w:t>Inventories</w:t>
            </w:r>
          </w:p>
        </w:tc>
        <w:tc>
          <w:tcPr>
            <w:tcW w:w="21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(791)</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(143)</w:t>
            </w:r>
          </w:p>
        </w:tc>
      </w:tr>
      <w:tr>
        <w:trPr>
          <w:trHeight w:val="185"/>
        </w:trPr>
        <w:tc>
          <w:tcPr>
            <w:tcW w:w="6380" w:type="dxa"/>
            <w:vAlign w:val="bottom"/>
          </w:tcPr>
          <w:p>
            <w:pPr>
              <w:ind w:left="580"/>
              <w:spacing w:after="0"/>
              <w:rPr>
                <w:sz w:val="20"/>
                <w:szCs w:val="20"/>
                <w:color w:val="auto"/>
              </w:rPr>
            </w:pPr>
            <w:r>
              <w:rPr>
                <w:rFonts w:ascii="Courier New" w:cs="Courier New" w:eastAsia="Courier New" w:hAnsi="Courier New"/>
                <w:sz w:val="16"/>
                <w:szCs w:val="16"/>
                <w:color w:val="auto"/>
              </w:rPr>
              <w:t>Taxes refundable</w:t>
            </w:r>
          </w:p>
        </w:tc>
        <w:tc>
          <w:tcPr>
            <w:tcW w:w="21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(984)</w:t>
            </w:r>
          </w:p>
        </w:tc>
        <w:tc>
          <w:tcPr>
            <w:tcW w:w="11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6380" w:type="dxa"/>
            <w:vAlign w:val="bottom"/>
          </w:tcPr>
          <w:p>
            <w:pPr>
              <w:ind w:left="580"/>
              <w:spacing w:after="0"/>
              <w:rPr>
                <w:sz w:val="20"/>
                <w:szCs w:val="20"/>
                <w:color w:val="auto"/>
              </w:rPr>
            </w:pPr>
            <w:r>
              <w:rPr>
                <w:rFonts w:ascii="Courier New" w:cs="Courier New" w:eastAsia="Courier New" w:hAnsi="Courier New"/>
                <w:sz w:val="16"/>
                <w:szCs w:val="16"/>
                <w:color w:val="auto"/>
              </w:rPr>
              <w:t>Other current assets</w:t>
            </w:r>
          </w:p>
        </w:tc>
        <w:tc>
          <w:tcPr>
            <w:tcW w:w="21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(143)</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(63)</w:t>
            </w:r>
          </w:p>
        </w:tc>
      </w:tr>
      <w:tr>
        <w:trPr>
          <w:trHeight w:val="185"/>
        </w:trPr>
        <w:tc>
          <w:tcPr>
            <w:tcW w:w="6380" w:type="dxa"/>
            <w:vAlign w:val="bottom"/>
          </w:tcPr>
          <w:p>
            <w:pPr>
              <w:ind w:left="580"/>
              <w:spacing w:after="0"/>
              <w:rPr>
                <w:sz w:val="20"/>
                <w:szCs w:val="20"/>
                <w:color w:val="auto"/>
              </w:rPr>
            </w:pPr>
            <w:r>
              <w:rPr>
                <w:rFonts w:ascii="Courier New" w:cs="Courier New" w:eastAsia="Courier New" w:hAnsi="Courier New"/>
                <w:sz w:val="16"/>
                <w:szCs w:val="16"/>
                <w:color w:val="auto"/>
              </w:rPr>
              <w:t>Accounts payable</w:t>
            </w:r>
          </w:p>
        </w:tc>
        <w:tc>
          <w:tcPr>
            <w:tcW w:w="21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(2,512)</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622</w:t>
            </w:r>
          </w:p>
        </w:tc>
      </w:tr>
      <w:tr>
        <w:trPr>
          <w:trHeight w:val="185"/>
        </w:trPr>
        <w:tc>
          <w:tcPr>
            <w:tcW w:w="6380" w:type="dxa"/>
            <w:vAlign w:val="bottom"/>
          </w:tcPr>
          <w:p>
            <w:pPr>
              <w:ind w:left="580"/>
              <w:spacing w:after="0"/>
              <w:rPr>
                <w:sz w:val="20"/>
                <w:szCs w:val="20"/>
                <w:color w:val="auto"/>
              </w:rPr>
            </w:pPr>
            <w:r>
              <w:rPr>
                <w:rFonts w:ascii="Courier New" w:cs="Courier New" w:eastAsia="Courier New" w:hAnsi="Courier New"/>
                <w:sz w:val="16"/>
                <w:szCs w:val="16"/>
                <w:color w:val="auto"/>
              </w:rPr>
              <w:t>Other liabilities</w:t>
            </w:r>
          </w:p>
        </w:tc>
        <w:tc>
          <w:tcPr>
            <w:tcW w:w="21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769</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(329)</w:t>
            </w:r>
          </w:p>
        </w:tc>
      </w:tr>
      <w:tr>
        <w:trPr>
          <w:trHeight w:val="185"/>
        </w:trPr>
        <w:tc>
          <w:tcPr>
            <w:tcW w:w="6380" w:type="dxa"/>
            <w:vAlign w:val="bottom"/>
          </w:tcPr>
          <w:p>
            <w:pPr>
              <w:spacing w:after="0"/>
              <w:rPr>
                <w:sz w:val="16"/>
                <w:szCs w:val="16"/>
                <w:color w:val="auto"/>
              </w:rPr>
            </w:pPr>
          </w:p>
        </w:tc>
        <w:tc>
          <w:tcPr>
            <w:tcW w:w="21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380" w:type="dxa"/>
            <w:vAlign w:val="bottom"/>
          </w:tcPr>
          <w:p>
            <w:pPr>
              <w:ind w:left="86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21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3,173</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4,395</w:t>
            </w:r>
          </w:p>
        </w:tc>
      </w:tr>
      <w:tr>
        <w:trPr>
          <w:trHeight w:val="185"/>
        </w:trPr>
        <w:tc>
          <w:tcPr>
            <w:tcW w:w="6380" w:type="dxa"/>
            <w:vAlign w:val="bottom"/>
          </w:tcPr>
          <w:p>
            <w:pPr>
              <w:spacing w:after="0"/>
              <w:rPr>
                <w:sz w:val="16"/>
                <w:szCs w:val="16"/>
                <w:color w:val="auto"/>
              </w:rPr>
            </w:pPr>
          </w:p>
        </w:tc>
        <w:tc>
          <w:tcPr>
            <w:tcW w:w="21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6380" w:type="dxa"/>
            <w:vAlign w:val="bottom"/>
          </w:tcPr>
          <w:p>
            <w:pPr>
              <w:spacing w:after="0"/>
              <w:rPr>
                <w:sz w:val="20"/>
                <w:szCs w:val="20"/>
                <w:color w:val="auto"/>
              </w:rPr>
            </w:pPr>
            <w:r>
              <w:rPr>
                <w:rFonts w:ascii="Courier New" w:cs="Courier New" w:eastAsia="Courier New" w:hAnsi="Courier New"/>
                <w:sz w:val="16"/>
                <w:szCs w:val="16"/>
                <w:color w:val="auto"/>
              </w:rPr>
              <w:t>INVESTING ACTIVITIES:</w:t>
            </w:r>
          </w:p>
        </w:tc>
        <w:tc>
          <w:tcPr>
            <w:tcW w:w="2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5"/>
        </w:trPr>
        <w:tc>
          <w:tcPr>
            <w:tcW w:w="6380" w:type="dxa"/>
            <w:vAlign w:val="bottom"/>
          </w:tcPr>
          <w:p>
            <w:pPr>
              <w:ind w:left="100"/>
              <w:spacing w:after="0"/>
              <w:rPr>
                <w:sz w:val="20"/>
                <w:szCs w:val="20"/>
                <w:color w:val="auto"/>
              </w:rPr>
            </w:pPr>
            <w:r>
              <w:rPr>
                <w:rFonts w:ascii="Courier New" w:cs="Courier New" w:eastAsia="Courier New" w:hAnsi="Courier New"/>
                <w:sz w:val="16"/>
                <w:szCs w:val="16"/>
                <w:color w:val="auto"/>
              </w:rPr>
              <w:t>Acquisition of plant, property, and equipment</w:t>
            </w:r>
          </w:p>
        </w:tc>
        <w:tc>
          <w:tcPr>
            <w:tcW w:w="21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(6,574)</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(6,007)</w:t>
            </w:r>
          </w:p>
        </w:tc>
      </w:tr>
      <w:tr>
        <w:trPr>
          <w:trHeight w:val="185"/>
        </w:trPr>
        <w:tc>
          <w:tcPr>
            <w:tcW w:w="6380" w:type="dxa"/>
            <w:vAlign w:val="bottom"/>
          </w:tcPr>
          <w:p>
            <w:pPr>
              <w:ind w:left="100"/>
              <w:spacing w:after="0"/>
              <w:rPr>
                <w:sz w:val="20"/>
                <w:szCs w:val="20"/>
                <w:color w:val="auto"/>
              </w:rPr>
            </w:pPr>
            <w:r>
              <w:rPr>
                <w:rFonts w:ascii="Courier New" w:cs="Courier New" w:eastAsia="Courier New" w:hAnsi="Courier New"/>
                <w:sz w:val="16"/>
                <w:szCs w:val="16"/>
                <w:color w:val="auto"/>
              </w:rPr>
              <w:t>Other assets</w:t>
            </w:r>
          </w:p>
        </w:tc>
        <w:tc>
          <w:tcPr>
            <w:tcW w:w="21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9</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5"/>
        </w:trPr>
        <w:tc>
          <w:tcPr>
            <w:tcW w:w="6380" w:type="dxa"/>
            <w:vAlign w:val="bottom"/>
          </w:tcPr>
          <w:p>
            <w:pPr>
              <w:spacing w:after="0"/>
              <w:rPr>
                <w:sz w:val="16"/>
                <w:szCs w:val="16"/>
                <w:color w:val="auto"/>
              </w:rPr>
            </w:pPr>
          </w:p>
        </w:tc>
        <w:tc>
          <w:tcPr>
            <w:tcW w:w="21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380" w:type="dxa"/>
            <w:vAlign w:val="bottom"/>
          </w:tcPr>
          <w:p>
            <w:pPr>
              <w:ind w:left="860"/>
              <w:spacing w:after="0"/>
              <w:rPr>
                <w:sz w:val="20"/>
                <w:szCs w:val="20"/>
                <w:color w:val="auto"/>
              </w:rPr>
            </w:pPr>
            <w:r>
              <w:rPr>
                <w:rFonts w:ascii="Courier New" w:cs="Courier New" w:eastAsia="Courier New" w:hAnsi="Courier New"/>
                <w:sz w:val="16"/>
                <w:szCs w:val="16"/>
                <w:color w:val="auto"/>
              </w:rPr>
              <w:t>Net cash used by investing activities</w:t>
            </w:r>
          </w:p>
        </w:tc>
        <w:tc>
          <w:tcPr>
            <w:tcW w:w="21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(6,565)</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(6,008)</w:t>
            </w:r>
          </w:p>
        </w:tc>
      </w:tr>
      <w:tr>
        <w:trPr>
          <w:trHeight w:val="185"/>
        </w:trPr>
        <w:tc>
          <w:tcPr>
            <w:tcW w:w="6380" w:type="dxa"/>
            <w:vAlign w:val="bottom"/>
          </w:tcPr>
          <w:p>
            <w:pPr>
              <w:spacing w:after="0"/>
              <w:rPr>
                <w:sz w:val="16"/>
                <w:szCs w:val="16"/>
                <w:color w:val="auto"/>
              </w:rPr>
            </w:pPr>
          </w:p>
        </w:tc>
        <w:tc>
          <w:tcPr>
            <w:tcW w:w="21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638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2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5"/>
        </w:trPr>
        <w:tc>
          <w:tcPr>
            <w:tcW w:w="6380" w:type="dxa"/>
            <w:vAlign w:val="bottom"/>
          </w:tcPr>
          <w:p>
            <w:pPr>
              <w:ind w:left="100"/>
              <w:spacing w:after="0"/>
              <w:rPr>
                <w:sz w:val="20"/>
                <w:szCs w:val="20"/>
                <w:color w:val="auto"/>
              </w:rPr>
            </w:pPr>
            <w:r>
              <w:rPr>
                <w:rFonts w:ascii="Courier New" w:cs="Courier New" w:eastAsia="Courier New" w:hAnsi="Courier New"/>
                <w:sz w:val="16"/>
                <w:szCs w:val="16"/>
                <w:color w:val="auto"/>
              </w:rPr>
              <w:t>Proceeds under revolving credit facility</w:t>
            </w:r>
          </w:p>
        </w:tc>
        <w:tc>
          <w:tcPr>
            <w:tcW w:w="21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4,023</w:t>
            </w:r>
          </w:p>
        </w:tc>
        <w:tc>
          <w:tcPr>
            <w:tcW w:w="11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6380" w:type="dxa"/>
            <w:vAlign w:val="bottom"/>
          </w:tcPr>
          <w:p>
            <w:pPr>
              <w:ind w:left="100"/>
              <w:spacing w:after="0"/>
              <w:rPr>
                <w:sz w:val="20"/>
                <w:szCs w:val="20"/>
                <w:color w:val="auto"/>
              </w:rPr>
            </w:pPr>
            <w:r>
              <w:rPr>
                <w:rFonts w:ascii="Courier New" w:cs="Courier New" w:eastAsia="Courier New" w:hAnsi="Courier New"/>
                <w:sz w:val="16"/>
                <w:szCs w:val="16"/>
                <w:color w:val="auto"/>
              </w:rPr>
              <w:t>Dividends</w:t>
            </w:r>
          </w:p>
        </w:tc>
        <w:tc>
          <w:tcPr>
            <w:tcW w:w="21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(2,327)</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(1,286)</w:t>
            </w:r>
          </w:p>
        </w:tc>
      </w:tr>
      <w:tr>
        <w:trPr>
          <w:trHeight w:val="185"/>
        </w:trPr>
        <w:tc>
          <w:tcPr>
            <w:tcW w:w="6380" w:type="dxa"/>
            <w:vAlign w:val="bottom"/>
          </w:tcPr>
          <w:p>
            <w:pPr>
              <w:ind w:left="100"/>
              <w:spacing w:after="0"/>
              <w:rPr>
                <w:sz w:val="20"/>
                <w:szCs w:val="20"/>
                <w:color w:val="auto"/>
              </w:rPr>
            </w:pPr>
            <w:r>
              <w:rPr>
                <w:rFonts w:ascii="Courier New" w:cs="Courier New" w:eastAsia="Courier New" w:hAnsi="Courier New"/>
                <w:sz w:val="16"/>
                <w:szCs w:val="16"/>
                <w:color w:val="auto"/>
              </w:rPr>
              <w:t>Stock options exercised (Note 4)</w:t>
            </w:r>
          </w:p>
        </w:tc>
        <w:tc>
          <w:tcPr>
            <w:tcW w:w="21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1,696</w:t>
            </w:r>
          </w:p>
        </w:tc>
        <w:tc>
          <w:tcPr>
            <w:tcW w:w="11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6380" w:type="dxa"/>
            <w:vAlign w:val="bottom"/>
          </w:tcPr>
          <w:p>
            <w:pPr>
              <w:spacing w:after="0"/>
              <w:rPr>
                <w:sz w:val="16"/>
                <w:szCs w:val="16"/>
                <w:color w:val="auto"/>
              </w:rPr>
            </w:pPr>
          </w:p>
        </w:tc>
        <w:tc>
          <w:tcPr>
            <w:tcW w:w="21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380" w:type="dxa"/>
            <w:vAlign w:val="bottom"/>
          </w:tcPr>
          <w:p>
            <w:pPr>
              <w:ind w:left="860"/>
              <w:spacing w:after="0"/>
              <w:rPr>
                <w:sz w:val="20"/>
                <w:szCs w:val="20"/>
                <w:color w:val="auto"/>
              </w:rPr>
            </w:pPr>
            <w:r>
              <w:rPr>
                <w:rFonts w:ascii="Courier New" w:cs="Courier New" w:eastAsia="Courier New" w:hAnsi="Courier New"/>
                <w:sz w:val="16"/>
                <w:szCs w:val="16"/>
                <w:color w:val="auto"/>
              </w:rPr>
              <w:t>Net cash (used) provided by financing activities</w:t>
            </w:r>
          </w:p>
        </w:tc>
        <w:tc>
          <w:tcPr>
            <w:tcW w:w="21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3,392</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(1,286)</w:t>
            </w:r>
          </w:p>
        </w:tc>
      </w:tr>
      <w:tr>
        <w:trPr>
          <w:trHeight w:val="185"/>
        </w:trPr>
        <w:tc>
          <w:tcPr>
            <w:tcW w:w="6380" w:type="dxa"/>
            <w:vAlign w:val="bottom"/>
          </w:tcPr>
          <w:p>
            <w:pPr>
              <w:spacing w:after="0"/>
              <w:rPr>
                <w:sz w:val="16"/>
                <w:szCs w:val="16"/>
                <w:color w:val="auto"/>
              </w:rPr>
            </w:pPr>
          </w:p>
        </w:tc>
        <w:tc>
          <w:tcPr>
            <w:tcW w:w="21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6380" w:type="dxa"/>
            <w:vAlign w:val="bottom"/>
          </w:tcPr>
          <w:p>
            <w:pPr>
              <w:spacing w:after="0"/>
              <w:rPr>
                <w:sz w:val="20"/>
                <w:szCs w:val="20"/>
                <w:color w:val="auto"/>
              </w:rPr>
            </w:pPr>
            <w:r>
              <w:rPr>
                <w:rFonts w:ascii="Courier New" w:cs="Courier New" w:eastAsia="Courier New" w:hAnsi="Courier New"/>
                <w:sz w:val="16"/>
                <w:szCs w:val="16"/>
                <w:color w:val="auto"/>
              </w:rPr>
              <w:t>NET CHANGE IN CASH AND CASH EQUIVALENTS</w:t>
            </w:r>
          </w:p>
        </w:tc>
        <w:tc>
          <w:tcPr>
            <w:tcW w:w="212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(2,899)</w:t>
            </w:r>
          </w:p>
        </w:tc>
      </w:tr>
      <w:tr>
        <w:trPr>
          <w:trHeight w:val="185"/>
        </w:trPr>
        <w:tc>
          <w:tcPr>
            <w:tcW w:w="638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BEGINNING OF PERIOD</w:t>
            </w:r>
          </w:p>
        </w:tc>
        <w:tc>
          <w:tcPr>
            <w:tcW w:w="212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4,294</w:t>
            </w:r>
          </w:p>
        </w:tc>
      </w:tr>
      <w:tr>
        <w:trPr>
          <w:trHeight w:val="185"/>
        </w:trPr>
        <w:tc>
          <w:tcPr>
            <w:tcW w:w="6380" w:type="dxa"/>
            <w:vAlign w:val="bottom"/>
          </w:tcPr>
          <w:p>
            <w:pPr>
              <w:spacing w:after="0"/>
              <w:rPr>
                <w:sz w:val="16"/>
                <w:szCs w:val="16"/>
                <w:color w:val="auto"/>
              </w:rPr>
            </w:pPr>
          </w:p>
        </w:tc>
        <w:tc>
          <w:tcPr>
            <w:tcW w:w="21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380" w:type="dxa"/>
            <w:vAlign w:val="bottom"/>
          </w:tcPr>
          <w:p>
            <w:pPr>
              <w:ind w:left="100"/>
              <w:spacing w:after="0"/>
              <w:rPr>
                <w:sz w:val="20"/>
                <w:szCs w:val="20"/>
                <w:color w:val="auto"/>
              </w:rPr>
            </w:pPr>
            <w:r>
              <w:rPr>
                <w:rFonts w:ascii="Courier New" w:cs="Courier New" w:eastAsia="Courier New" w:hAnsi="Courier New"/>
                <w:sz w:val="16"/>
                <w:szCs w:val="16"/>
                <w:color w:val="auto"/>
              </w:rPr>
              <w:t>CASH AND CASH EQUIVALENTS AT END OF PERIOD</w:t>
            </w:r>
          </w:p>
        </w:tc>
        <w:tc>
          <w:tcPr>
            <w:tcW w:w="212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  --</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$ 1,395</w:t>
            </w:r>
          </w:p>
        </w:tc>
      </w:tr>
      <w:tr>
        <w:trPr>
          <w:trHeight w:val="185"/>
        </w:trPr>
        <w:tc>
          <w:tcPr>
            <w:tcW w:w="6380" w:type="dxa"/>
            <w:vAlign w:val="bottom"/>
          </w:tcPr>
          <w:p>
            <w:pPr>
              <w:spacing w:after="0"/>
              <w:rPr>
                <w:sz w:val="16"/>
                <w:szCs w:val="16"/>
                <w:color w:val="auto"/>
              </w:rPr>
            </w:pPr>
          </w:p>
        </w:tc>
        <w:tc>
          <w:tcPr>
            <w:tcW w:w="21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0"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7</w:t>
      </w:r>
    </w:p>
    <w:p>
      <w:pPr>
        <w:spacing w:after="0" w:line="200" w:lineRule="exact"/>
        <w:rPr>
          <w:sz w:val="20"/>
          <w:szCs w:val="20"/>
          <w:color w:val="auto"/>
        </w:rPr>
      </w:pPr>
    </w:p>
    <w:p>
      <w:pPr>
        <w:spacing w:after="0" w:line="35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NN BALL &amp; ROLLER, INC.</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NOTES TO CONDENSED FINANCIAL STATEMENTS</w:t>
      </w:r>
    </w:p>
    <w:p>
      <w:pPr>
        <w:spacing w:after="0" w:line="200" w:lineRule="exact"/>
        <w:rPr>
          <w:sz w:val="20"/>
          <w:szCs w:val="20"/>
          <w:color w:val="auto"/>
        </w:rPr>
      </w:pPr>
    </w:p>
    <w:p>
      <w:pPr>
        <w:spacing w:after="0" w:line="35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NOTE 1.</w:t>
        <w:tab/>
        <w:t>INTERIM FINANCIAL STATEMENTS</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The accompanying condensed financial statements of NN Ball &amp; Roller, Inc. have not been audited by independent accountants, except for the balance sheet at December 31, 1995. In the opinion of the Company's management, the financial statements reflect all adjustments necessary to present fairly the results of operations for the three and six month periods ended June 30, 1996 and 1995, the Company's financial position at June 30, 1996 and December 31, 1995, and the cash flows for the six month periods ended June 30, 1996 and 1995. These adjustments are of a normal recurring nature, except for the adjustments described below in Note 2, and are, in the opinion of management, necessary for fair presentation of the financial position and operating results for the interim periods.</w:t>
      </w:r>
    </w:p>
    <w:p>
      <w:pPr>
        <w:spacing w:after="0" w:line="190"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Certain information and footnote disclosures normally included in financial statements prepared in accordance with generally accepted accounting principles have been condensed or omitted from the interim financial statements presented in this Quarterly Report on Form 10-Q.</w:t>
      </w:r>
    </w:p>
    <w:p>
      <w:pPr>
        <w:spacing w:after="0" w:line="190" w:lineRule="exact"/>
        <w:rPr>
          <w:sz w:val="20"/>
          <w:szCs w:val="20"/>
          <w:color w:val="auto"/>
        </w:rPr>
      </w:pPr>
    </w:p>
    <w:p>
      <w:pPr>
        <w:ind w:right="3199"/>
        <w:spacing w:after="0" w:line="242" w:lineRule="auto"/>
        <w:rPr>
          <w:sz w:val="20"/>
          <w:szCs w:val="20"/>
          <w:color w:val="auto"/>
        </w:rPr>
      </w:pPr>
      <w:r>
        <w:rPr>
          <w:rFonts w:ascii="Courier New" w:cs="Courier New" w:eastAsia="Courier New" w:hAnsi="Courier New"/>
          <w:sz w:val="16"/>
          <w:szCs w:val="16"/>
          <w:color w:val="auto"/>
        </w:rPr>
        <w:t>The results for the first and second quarters of 1996 are not necessarily indicative of future results.</w:t>
      </w:r>
    </w:p>
    <w:p>
      <w:pPr>
        <w:spacing w:after="0" w:line="18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NOTE 2.</w:t>
        <w:tab/>
        <w:t>THREE-FOR-TWO STOCK SPLITS</w:t>
      </w:r>
    </w:p>
    <w:p>
      <w:pPr>
        <w:spacing w:after="0" w:line="190"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On February 9, 1995, the Company's Board of Directors authorized a three-for-two stock split effected in the form of a 50% stock dividend payable on March 5, 1995 to stockholders of record on February 27, 1995. This resulted in the issuance of approximately 3,216,000 additional shares of Common Stock.</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On November 13, 1995, the Company's Board of Directors authorized a three-for-two stock split effected in the form of a 50% stock dividend payable on December 5, 1995 to stockholders of record on November 27, 1995. This resulted in the issuance of approximately 4,825,000 additional shares of common stock.</w:t>
      </w:r>
    </w:p>
    <w:p>
      <w:pPr>
        <w:spacing w:after="0" w:line="372"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Unless otherwise stated, all references in the financial statements to stock option data, per share and weighted average share amounts have been restated to reflect these stock splits.</w:t>
      </w:r>
    </w:p>
    <w:p>
      <w:pPr>
        <w:spacing w:after="0" w:line="18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NOTE 3.</w:t>
        <w:tab/>
        <w:t>INVENTORIES</w:t>
      </w:r>
    </w:p>
    <w:p>
      <w:pPr>
        <w:spacing w:after="0" w:line="190" w:lineRule="exact"/>
        <w:rPr>
          <w:sz w:val="20"/>
          <w:szCs w:val="20"/>
          <w:color w:val="auto"/>
        </w:rPr>
      </w:pPr>
    </w:p>
    <w:p>
      <w:pPr>
        <w:ind w:right="3499"/>
        <w:spacing w:after="0" w:line="242" w:lineRule="auto"/>
        <w:rPr>
          <w:sz w:val="20"/>
          <w:szCs w:val="20"/>
          <w:color w:val="auto"/>
        </w:rPr>
      </w:pPr>
      <w:r>
        <w:rPr>
          <w:rFonts w:ascii="Courier New" w:cs="Courier New" w:eastAsia="Courier New" w:hAnsi="Courier New"/>
          <w:sz w:val="16"/>
          <w:szCs w:val="16"/>
          <w:color w:val="auto"/>
        </w:rPr>
        <w:t>Inventories are stated at the lower of cost or market, with cost being determined by the first-in, first-out method.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Inventories are comprised of the following (in thousands):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60" w:type="dxa"/>
            <w:vAlign w:val="bottom"/>
          </w:tcPr>
          <w:p>
            <w:pPr>
              <w:spacing w:after="0"/>
              <w:rPr>
                <w:sz w:val="15"/>
                <w:szCs w:val="15"/>
                <w:color w:val="auto"/>
              </w:rPr>
            </w:pPr>
          </w:p>
        </w:tc>
        <w:tc>
          <w:tcPr>
            <w:tcW w:w="14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JUNE 30,</w:t>
            </w:r>
          </w:p>
        </w:tc>
        <w:tc>
          <w:tcPr>
            <w:tcW w:w="1480" w:type="dxa"/>
            <w:vAlign w:val="bottom"/>
          </w:tcPr>
          <w:p>
            <w:pPr>
              <w:jc w:val="center"/>
              <w:ind w:left="260"/>
              <w:spacing w:after="0"/>
              <w:rPr>
                <w:sz w:val="20"/>
                <w:szCs w:val="20"/>
                <w:color w:val="auto"/>
              </w:rPr>
            </w:pPr>
            <w:r>
              <w:rPr>
                <w:rFonts w:ascii="Courier New" w:cs="Courier New" w:eastAsia="Courier New" w:hAnsi="Courier New"/>
                <w:sz w:val="16"/>
                <w:szCs w:val="16"/>
                <w:color w:val="auto"/>
                <w:w w:val="98"/>
              </w:rPr>
              <w:t>DECEMBER 31,</w:t>
            </w:r>
          </w:p>
        </w:tc>
      </w:tr>
      <w:tr>
        <w:trPr>
          <w:trHeight w:val="185"/>
        </w:trPr>
        <w:tc>
          <w:tcPr>
            <w:tcW w:w="4660" w:type="dxa"/>
            <w:vAlign w:val="bottom"/>
          </w:tcPr>
          <w:p>
            <w:pPr>
              <w:spacing w:after="0"/>
              <w:rPr>
                <w:sz w:val="16"/>
                <w:szCs w:val="16"/>
                <w:color w:val="auto"/>
              </w:rPr>
            </w:pPr>
          </w:p>
        </w:tc>
        <w:tc>
          <w:tcPr>
            <w:tcW w:w="144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1996</w:t>
            </w:r>
          </w:p>
        </w:tc>
        <w:tc>
          <w:tcPr>
            <w:tcW w:w="1480" w:type="dxa"/>
            <w:vAlign w:val="bottom"/>
          </w:tcPr>
          <w:p>
            <w:pPr>
              <w:jc w:val="center"/>
              <w:ind w:left="260"/>
              <w:spacing w:after="0"/>
              <w:rPr>
                <w:sz w:val="20"/>
                <w:szCs w:val="20"/>
                <w:color w:val="auto"/>
              </w:rPr>
            </w:pPr>
            <w:r>
              <w:rPr>
                <w:rFonts w:ascii="Courier New" w:cs="Courier New" w:eastAsia="Courier New" w:hAnsi="Courier New"/>
                <w:sz w:val="16"/>
                <w:szCs w:val="16"/>
                <w:color w:val="auto"/>
                <w:w w:val="98"/>
              </w:rPr>
              <w:t>1995</w:t>
            </w:r>
          </w:p>
        </w:tc>
      </w:tr>
      <w:tr>
        <w:trPr>
          <w:trHeight w:val="185"/>
        </w:trPr>
        <w:tc>
          <w:tcPr>
            <w:tcW w:w="4660" w:type="dxa"/>
            <w:vAlign w:val="bottom"/>
          </w:tcPr>
          <w:p>
            <w:pPr>
              <w:spacing w:after="0"/>
              <w:rPr>
                <w:sz w:val="16"/>
                <w:szCs w:val="16"/>
                <w:color w:val="auto"/>
              </w:rPr>
            </w:pP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(UNAUDITED)</w:t>
            </w:r>
          </w:p>
        </w:tc>
        <w:tc>
          <w:tcPr>
            <w:tcW w:w="1480" w:type="dxa"/>
            <w:vAlign w:val="bottom"/>
          </w:tcPr>
          <w:p>
            <w:pPr>
              <w:spacing w:after="0"/>
              <w:rPr>
                <w:sz w:val="16"/>
                <w:szCs w:val="16"/>
                <w:color w:val="auto"/>
              </w:rPr>
            </w:pPr>
          </w:p>
        </w:tc>
      </w:tr>
      <w:tr>
        <w:trPr>
          <w:trHeight w:val="185"/>
        </w:trPr>
        <w:tc>
          <w:tcPr>
            <w:tcW w:w="4660" w:type="dxa"/>
            <w:vAlign w:val="bottom"/>
          </w:tcPr>
          <w:p>
            <w:pPr>
              <w:spacing w:after="0"/>
              <w:rPr>
                <w:sz w:val="16"/>
                <w:szCs w:val="16"/>
                <w:color w:val="auto"/>
              </w:rPr>
            </w:pP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center"/>
              <w:ind w:left="26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4660" w:type="dxa"/>
            <w:vAlign w:val="bottom"/>
          </w:tcPr>
          <w:p>
            <w:pPr>
              <w:spacing w:after="0"/>
              <w:rPr>
                <w:sz w:val="20"/>
                <w:szCs w:val="20"/>
                <w:color w:val="auto"/>
              </w:rPr>
            </w:pPr>
            <w:r>
              <w:rPr>
                <w:rFonts w:ascii="Courier New" w:cs="Courier New" w:eastAsia="Courier New" w:hAnsi="Courier New"/>
                <w:sz w:val="16"/>
                <w:szCs w:val="16"/>
                <w:color w:val="auto"/>
              </w:rPr>
              <w:t>Raw materials</w:t>
            </w:r>
          </w:p>
        </w:tc>
        <w:tc>
          <w:tcPr>
            <w:tcW w:w="14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$ 1,762</w:t>
            </w:r>
          </w:p>
        </w:tc>
        <w:tc>
          <w:tcPr>
            <w:tcW w:w="14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$2,707</w:t>
            </w:r>
          </w:p>
        </w:tc>
      </w:tr>
      <w:tr>
        <w:trPr>
          <w:trHeight w:val="185"/>
        </w:trPr>
        <w:tc>
          <w:tcPr>
            <w:tcW w:w="4660" w:type="dxa"/>
            <w:vAlign w:val="bottom"/>
          </w:tcPr>
          <w:p>
            <w:pPr>
              <w:spacing w:after="0"/>
              <w:rPr>
                <w:sz w:val="20"/>
                <w:szCs w:val="20"/>
                <w:color w:val="auto"/>
              </w:rPr>
            </w:pPr>
            <w:r>
              <w:rPr>
                <w:rFonts w:ascii="Courier New" w:cs="Courier New" w:eastAsia="Courier New" w:hAnsi="Courier New"/>
                <w:sz w:val="16"/>
                <w:szCs w:val="16"/>
                <w:color w:val="auto"/>
              </w:rPr>
              <w:t>Work in process</w:t>
            </w:r>
          </w:p>
        </w:tc>
        <w:tc>
          <w:tcPr>
            <w:tcW w:w="14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2,892</w:t>
            </w:r>
          </w:p>
        </w:tc>
        <w:tc>
          <w:tcPr>
            <w:tcW w:w="14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3,172</w:t>
            </w:r>
          </w:p>
        </w:tc>
      </w:tr>
      <w:tr>
        <w:trPr>
          <w:trHeight w:val="185"/>
        </w:trPr>
        <w:tc>
          <w:tcPr>
            <w:tcW w:w="4660" w:type="dxa"/>
            <w:vAlign w:val="bottom"/>
          </w:tcPr>
          <w:p>
            <w:pPr>
              <w:spacing w:after="0"/>
              <w:rPr>
                <w:sz w:val="20"/>
                <w:szCs w:val="20"/>
                <w:color w:val="auto"/>
              </w:rPr>
            </w:pPr>
            <w:r>
              <w:rPr>
                <w:rFonts w:ascii="Courier New" w:cs="Courier New" w:eastAsia="Courier New" w:hAnsi="Courier New"/>
                <w:sz w:val="16"/>
                <w:szCs w:val="16"/>
                <w:color w:val="auto"/>
              </w:rPr>
              <w:t>Finished goods</w:t>
            </w:r>
          </w:p>
        </w:tc>
        <w:tc>
          <w:tcPr>
            <w:tcW w:w="14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6,010</w:t>
            </w:r>
          </w:p>
        </w:tc>
        <w:tc>
          <w:tcPr>
            <w:tcW w:w="14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3,994</w:t>
            </w:r>
          </w:p>
        </w:tc>
      </w:tr>
      <w:tr>
        <w:trPr>
          <w:trHeight w:val="185"/>
        </w:trPr>
        <w:tc>
          <w:tcPr>
            <w:tcW w:w="4660" w:type="dxa"/>
            <w:vAlign w:val="bottom"/>
          </w:tcPr>
          <w:p>
            <w:pPr>
              <w:spacing w:after="0"/>
              <w:rPr>
                <w:sz w:val="16"/>
                <w:szCs w:val="16"/>
                <w:color w:val="auto"/>
              </w:rPr>
            </w:pPr>
          </w:p>
        </w:tc>
        <w:tc>
          <w:tcPr>
            <w:tcW w:w="14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4660" w:type="dxa"/>
            <w:vAlign w:val="bottom"/>
          </w:tcPr>
          <w:p>
            <w:pPr>
              <w:spacing w:after="0"/>
              <w:rPr>
                <w:sz w:val="16"/>
                <w:szCs w:val="16"/>
                <w:color w:val="auto"/>
              </w:rPr>
            </w:pPr>
          </w:p>
        </w:tc>
        <w:tc>
          <w:tcPr>
            <w:tcW w:w="14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10,664</w:t>
            </w:r>
          </w:p>
        </w:tc>
        <w:tc>
          <w:tcPr>
            <w:tcW w:w="14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9,873</w:t>
            </w:r>
          </w:p>
        </w:tc>
      </w:tr>
      <w:tr>
        <w:trPr>
          <w:trHeight w:val="185"/>
        </w:trPr>
        <w:tc>
          <w:tcPr>
            <w:tcW w:w="4660" w:type="dxa"/>
            <w:vAlign w:val="bottom"/>
          </w:tcPr>
          <w:p>
            <w:pPr>
              <w:spacing w:after="0"/>
              <w:rPr>
                <w:sz w:val="20"/>
                <w:szCs w:val="20"/>
                <w:color w:val="auto"/>
              </w:rPr>
            </w:pPr>
            <w:r>
              <w:rPr>
                <w:rFonts w:ascii="Courier New" w:cs="Courier New" w:eastAsia="Courier New" w:hAnsi="Courier New"/>
                <w:sz w:val="16"/>
                <w:szCs w:val="16"/>
                <w:color w:val="auto"/>
              </w:rPr>
              <w:t>Less - Reserve for excess and obsolete inventory</w:t>
            </w:r>
          </w:p>
        </w:tc>
        <w:tc>
          <w:tcPr>
            <w:tcW w:w="14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60</w:t>
            </w:r>
          </w:p>
        </w:tc>
        <w:tc>
          <w:tcPr>
            <w:tcW w:w="14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60</w:t>
            </w:r>
          </w:p>
        </w:tc>
      </w:tr>
      <w:tr>
        <w:trPr>
          <w:trHeight w:val="185"/>
        </w:trPr>
        <w:tc>
          <w:tcPr>
            <w:tcW w:w="4660" w:type="dxa"/>
            <w:vAlign w:val="bottom"/>
          </w:tcPr>
          <w:p>
            <w:pPr>
              <w:spacing w:after="0"/>
              <w:rPr>
                <w:sz w:val="16"/>
                <w:szCs w:val="16"/>
                <w:color w:val="auto"/>
              </w:rPr>
            </w:pPr>
          </w:p>
        </w:tc>
        <w:tc>
          <w:tcPr>
            <w:tcW w:w="14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4660" w:type="dxa"/>
            <w:vAlign w:val="bottom"/>
          </w:tcPr>
          <w:p>
            <w:pPr>
              <w:spacing w:after="0"/>
              <w:rPr>
                <w:sz w:val="16"/>
                <w:szCs w:val="16"/>
                <w:color w:val="auto"/>
              </w:rPr>
            </w:pPr>
          </w:p>
        </w:tc>
        <w:tc>
          <w:tcPr>
            <w:tcW w:w="14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$10,604</w:t>
            </w:r>
          </w:p>
        </w:tc>
        <w:tc>
          <w:tcPr>
            <w:tcW w:w="14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$9,813</w:t>
            </w:r>
          </w:p>
        </w:tc>
      </w:tr>
      <w:tr>
        <w:trPr>
          <w:trHeight w:val="185"/>
        </w:trPr>
        <w:tc>
          <w:tcPr>
            <w:tcW w:w="4660" w:type="dxa"/>
            <w:vAlign w:val="bottom"/>
          </w:tcPr>
          <w:p>
            <w:pPr>
              <w:spacing w:after="0"/>
              <w:rPr>
                <w:sz w:val="16"/>
                <w:szCs w:val="16"/>
                <w:color w:val="auto"/>
              </w:rPr>
            </w:pPr>
          </w:p>
        </w:tc>
        <w:tc>
          <w:tcPr>
            <w:tcW w:w="14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0219"/>
          </w:cols>
          <w:pgMar w:left="240" w:top="3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0" w:right="1440" w:bottom="1440" w:gutter="0" w:footer="0" w:header="0"/>
          <w:type w:val="continuous"/>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8</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NOTE 4.</w:t>
        <w:tab/>
        <w:t>STOCK OPTIONS EXERCISED</w:t>
      </w:r>
    </w:p>
    <w:p>
      <w:pPr>
        <w:spacing w:after="0" w:line="190"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During the first half of 1996, certain employees exercised options to purchase the Company's common stock under the Company's Stock Incentive Plan. Options to purchase 150,231 shares were exercised at $6.22 per share and options to purchase 5,875 shares were exercised at $9.39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0"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9</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MANAGEMENT'S DISCUSSION AND ANALYSIS OF</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FINANCIAL CONDITION AND RESULTS OF OPERATIONS</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90" w:lineRule="exact"/>
        <w:rPr>
          <w:sz w:val="20"/>
          <w:szCs w:val="20"/>
          <w:color w:val="auto"/>
        </w:rPr>
      </w:pPr>
    </w:p>
    <w:p>
      <w:pPr>
        <w:ind w:right="2919"/>
        <w:spacing w:after="0" w:line="242" w:lineRule="auto"/>
        <w:rPr>
          <w:sz w:val="20"/>
          <w:szCs w:val="20"/>
          <w:color w:val="auto"/>
        </w:rPr>
      </w:pPr>
      <w:r>
        <w:rPr>
          <w:rFonts w:ascii="Courier New" w:cs="Courier New" w:eastAsia="Courier New" w:hAnsi="Courier New"/>
          <w:sz w:val="16"/>
          <w:szCs w:val="16"/>
          <w:color w:val="auto"/>
        </w:rPr>
        <w:t>THREE MONTHS ENDED JUNE 30, 1996 COMPARED TO THE THREE MONTHS ENDED JUNE 30, 1995</w:t>
      </w:r>
    </w:p>
    <w:p>
      <w:pPr>
        <w:spacing w:after="0" w:line="189"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Net Sales. Net sales increased by approximately $3.8 million, or 20.3%, from $18.9 million for the second quarter of 1995 to $22.8 million for the second quarter of 1996. Foreign sales increased $2.1 million, or 24.6%, from $8.9 million in the second quarter of 1995 to $11.0 million during the second quarter of 1996. The increase in foreign sales was due primarily to increased sales to existing customers and, to a lesser extent, sales to several new customers. Domestic sales increased $1.7 million, or 16.5%, from $10.1 million in the second quarter of 1995 to $11.8 million in the second quarter of 1996. This increase was due primarily to increased sales to existing customers under improved general domestic economic conditions.</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Gross Profit. Gross profit increased $1.8 million, or 31.1%, from $5.7 million for the second quarter of 1995 to $7.5 million for the second quarter of 1996. As a percentage of net sales, gross profit increased from 30.0% in the second quarter of 1995 to 32.7% for the same period in 1996. During the second quarter of 1995, gross profit was adversely affected as a result of increased raw material costs resulting from a steel shortage and inefficiencies associated with the steel shortage and capacity constraints, including increased labor and transportation costs. During the first quarter of 1996, the Company brought additional capacity on-line with the addition of the Mountain City, Tennessee facility which allowed for more efficient operations. In addition, the Company was able to pass along increased steel costs to customers in the latter part of 1995.</w:t>
      </w:r>
    </w:p>
    <w:p>
      <w:pPr>
        <w:spacing w:after="0" w:line="191"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Selling, General and Administrative. Selling, general and administrative expenses increased by 12.1%, from $1.0 million in the second quarter of 1995 to $1.1 million in the second quarter of 1996. This increase was due primarily to expenses associated with increased sales volumes and increased investor relations efforts. As a percentage of net sales, selling, general and administrative expenses decreased from 5.4% for the second quarter of 1995 to 5.1% for the same period in 1996.</w:t>
      </w:r>
    </w:p>
    <w:p>
      <w:pPr>
        <w:spacing w:after="0" w:line="188"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Depreciation. Depreciation expense increased from $606,000 for the second quarter of 1995 to $852,000 for the same period in 1996. This increase was due primarily to purchases of capital equipment. As a percentage of net sales, depreciation expense increased from 3.2% for in the second quarter of 1995 to 3.7% in the second quarter of 1996.</w:t>
      </w:r>
    </w:p>
    <w:p>
      <w:pPr>
        <w:spacing w:after="0" w:line="187" w:lineRule="exact"/>
        <w:rPr>
          <w:sz w:val="20"/>
          <w:szCs w:val="20"/>
          <w:color w:val="auto"/>
        </w:rPr>
      </w:pPr>
    </w:p>
    <w:p>
      <w:pPr>
        <w:jc w:val="both"/>
        <w:ind w:right="2719"/>
        <w:spacing w:after="0" w:line="244" w:lineRule="auto"/>
        <w:rPr>
          <w:sz w:val="20"/>
          <w:szCs w:val="20"/>
          <w:color w:val="auto"/>
        </w:rPr>
      </w:pPr>
      <w:r>
        <w:rPr>
          <w:rFonts w:ascii="Courier New" w:cs="Courier New" w:eastAsia="Courier New" w:hAnsi="Courier New"/>
          <w:sz w:val="16"/>
          <w:szCs w:val="16"/>
          <w:color w:val="auto"/>
        </w:rPr>
        <w:t>Net Income. Net income increased by $664,000, or 23.6%, from $2.8 million for the second quarter of 1995 to $3.5 million for the same period in 1996. As a percentage of net sales, net income increased from 14.8% in the second quarter of 1995 to 15.2% for the second quarter of 1996. This increase in net income as a percentage of net sales was due primarily to the higher margins discussed above.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SIX MONTHS ENDED JUNE 30, 1996 COMPARED TO THE SIX MONTHS ENDED JUNE 30, 1996</w:t>
      </w:r>
    </w:p>
    <w:p>
      <w:pPr>
        <w:spacing w:after="0" w:line="190" w:lineRule="exact"/>
        <w:rPr>
          <w:sz w:val="20"/>
          <w:szCs w:val="20"/>
          <w:color w:val="auto"/>
        </w:rPr>
      </w:pPr>
    </w:p>
    <w:p>
      <w:pPr>
        <w:ind w:right="2639"/>
        <w:spacing w:after="0" w:line="262" w:lineRule="auto"/>
        <w:rPr>
          <w:sz w:val="20"/>
          <w:szCs w:val="20"/>
          <w:color w:val="auto"/>
        </w:rPr>
      </w:pPr>
      <w:r>
        <w:rPr>
          <w:rFonts w:ascii="Courier New" w:cs="Courier New" w:eastAsia="Courier New" w:hAnsi="Courier New"/>
          <w:sz w:val="15"/>
          <w:szCs w:val="15"/>
          <w:color w:val="auto"/>
        </w:rPr>
        <w:t>Net Sales. Net sales increased by approximately $11.7 million, or 31.4%, from $37.2 million for the first six months of 1995 to $48.9 million for the same period in 1996. Foreign sales increased $9.0 million, or 52.1%, from $17.1 million in the first six months of 1995 to $26.1 million during the same period of 1996. This increase was due primarily to increased sales volumes with existing customers, and to a lesser extent, sales to several new customers. Domestic sales increased $2.7 million, or 13.7%, from $20.1 million in the first six months of 1995 to $22.9 million in the same period of 1996. This increase was due primarily to increased sales volumes with existing customers.</w:t>
      </w:r>
    </w:p>
    <w:p>
      <w:pPr>
        <w:sectPr>
          <w:pgSz w:w="11900" w:h="16838" w:orient="portrait"/>
          <w:cols w:equalWidth="0" w:num="1">
            <w:col w:w="10219"/>
          </w:cols>
          <w:pgMar w:left="240" w:top="3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0" w:right="1440" w:bottom="1440" w:gutter="0" w:footer="0" w:header="0"/>
          <w:type w:val="continuous"/>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10</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Gross Profit. Gross profit increased $4.4 million, or 38.1%, from $11.6 million for the first six months of 1995 to $16.0 million for the same period of 1996. As a percentage of net sales, gross profit increased from 31.1% in the first six months of 1995 to 32.7% in the same period of 1996. During the first six months of 1995, gross profit was adversely affected as a result of increased raw material costs resulting from a steel shortage and inefficiencies associated with the steel shortage and capacity constraints, including increased labor and transportation costs. During the first quarter of 1996, the Company brought additional capacity on-line with the addition of the Mountain City, Tennessee Facility which allowed for more efficient operations. In addition, the Company was able to pass along increased steel costs to customers in the latter part of 1995.</w:t>
      </w:r>
    </w:p>
    <w:p>
      <w:pPr>
        <w:spacing w:after="0" w:line="191"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Selling, General and Administrative. Selling, general and administrative expenses increased by $264,000, or 13.2%, from $2.0 million in the first six months of 1995 to $2.3 million in the same period of 1996. This increase was due primarily to expenses associated with increased sales volumes and increased investor relations efforts. As a percentage of net sales, selling, general and administrative expenses decreased from 5.4% in the first six months of 1995 to 4.6% for the same period in 1996.</w:t>
      </w:r>
    </w:p>
    <w:p>
      <w:pPr>
        <w:spacing w:after="0" w:line="188"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Depreciation. Depreciation expense increased from $1.2 million for the first six months of 1995 to $1.7 million for the same period in 1996. This increase was due primarily to purchases of capital equipment. As a percentage of net sales, depreciation expense increased from 3.2% for the first six months of 1995 to 3.5% for the same period in 1996.</w:t>
      </w:r>
    </w:p>
    <w:p>
      <w:pPr>
        <w:spacing w:after="0" w:line="187"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Net Income. Net income increased by $2.1 million, or 37.2%, from $5.6 million for the first six months of 1995 to $7.7 million for the same period for 1996. As a percentage of net sales, net income increased from 15.2% for the first six months of 1995 to 15.8% for the same period for 1996.</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In February 1995, the Company entered into a modified loan agreement with NationsBank of Tennessee N.A. ("NationsBank") which replaced a loan agreement entered into with NationsBank in the first quarter of 1994. The loan agreement, as modified, provides for a revolving credit facility of up to $10.0 million, which will expire on May 31, 1998. A $7.0 million non-revolving term loan facility provided for under the modified loan agreement expired on December 31, 1995. The Company did not utilize the latter term loan facility.</w:t>
      </w:r>
    </w:p>
    <w:p>
      <w:pPr>
        <w:spacing w:after="0" w:line="188"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Amounts outstanding under the revolving facility are unsecured and bear interest at a floating rate equal to, at the Company's option, either the NationsBank prime commercial rate minus 1.0% or LIBOR plus 1.15% (or LIBOR plus 1.0% if the minimum advance is at least $1.0 million). The loan agreement contains customary financial and operating restrictions on the Company, including covenants restricting the Company, without NationsBank's consent, from pledging its inventory, accounts receivable or other assets to other lenders or from acquiring any other businesses if the aggregate expenditures by the Company in connection with such acquisitions would exceed a certain threshold in any fiscal year. In addition, the Company is prohibited from declaring or paying any dividend if an event of default exists under the revolving credit facility at the time of, or would occur as a result of, such declaration or payment. The loan agreement also contains customary covenants requiring the satisfaction of certain financial tests and the maintenance of certain financial ratios, including covenants requiring the Company to maintain a tangible net worth of not less than $17.5 million, working capital of not less than the greater of $5.0 million or 15% of revenues, as computed on a rolling 12 month basis, a ratio of total debt to net worth of not more than 1 to 1, and a ratio of current assets to current liabilities of not less than 1.5 to 1. The Company is in compliance with all such covenants. The outstanding principal balance of the Company's borrowings under the revolving facility as of June 30, 1996 was $7.6 million of which $3.0 million was accruing interest at LIBOR plus 1%. The remaining $4.6 million was accruing interest at the NationsBank prime commercial rate minus 1%.</w:t>
      </w:r>
    </w:p>
    <w:p>
      <w:pPr>
        <w:sectPr>
          <w:pgSz w:w="11900" w:h="16838" w:orient="portrait"/>
          <w:cols w:equalWidth="0" w:num="1">
            <w:col w:w="10219"/>
          </w:cols>
          <w:pgMar w:left="240" w:top="3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00" w:right="1440" w:bottom="1440" w:gutter="0" w:footer="0" w:header="0"/>
          <w:type w:val="continuous"/>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11</w:t>
      </w:r>
    </w:p>
    <w:p>
      <w:pPr>
        <w:spacing w:after="0" w:line="200" w:lineRule="exact"/>
        <w:rPr>
          <w:sz w:val="20"/>
          <w:szCs w:val="20"/>
          <w:color w:val="auto"/>
        </w:rPr>
      </w:pPr>
    </w:p>
    <w:p>
      <w:pPr>
        <w:spacing w:after="0" w:line="36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The Company's arrangements with its domestic customers typically provide that payments are due within 30 days following the date of the Company's shipment of goods, while arrangements with foreign customers (other than foreign customers that have entered into an inventory management program with the Company) generally provide that payments are due within either 90 or 120 days following the date of shipment. Under the Company's inventory management program, payments typically are due within 30 days after the product is used by the customer. Due to the continuing expansion of the Company's foreign sales, management believes that the Company's working capital requirements will increase as a result of longer payment terms provided to foreign customers. Currently, all foreign sales are billed and paid for in United States dollars. The Company's net sales historically have not been of a seasonal nature. However, as foreign sales have increased as a percentage of total sales, seasonality has become a factor for the Company in that many foreign customers cease production during the month of August.</w:t>
      </w:r>
    </w:p>
    <w:p>
      <w:pPr>
        <w:spacing w:after="0" w:line="192"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To date, the Company has not been materially adversely affected by currency fluctuations or foreign exchange restrictions. Approximately 90% of the steel used by the Company is 52100 chrome alloy steel ("52100 Steel"). The Company currently purchases a significant amount of its 52100 Steel requirements from foreign mills. During 1995 and the first half of 1996, due to an increase in worldwide demand for 52100 Steel and the decrease in the value of the United States dollar relative to foreign currencies, the Company experienced an increase in the price of 52100 Steel. The Company typically reserves the right to increase periodically product prices in the event of increases in its raw material costs. During 1995 and the first half of 1996, the Company was able to minimize the impact on its operations resulting from the 52100 Steel price increases by taking such measures. As the Company's international operations continue to grow, foreign exchange risk may increase, and the Company may be required to develop and implement additional strategies to manage this risk.</w:t>
      </w:r>
    </w:p>
    <w:p>
      <w:pPr>
        <w:spacing w:after="0" w:line="192"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In addition to increased prices, the Company experienced some difficulty in obtaining an adequate supply of 52100 Steel during 1995. In response to the shortage experienced during 1995, the Company developed a domestic source for 52100 Steel during the latter portion of 1995. Through this source and existing sources, the Company has obtained informal commitments for 52100 Steel that exceed its projected 1996 usage. Through such commitments, the Company was able to obtain adequate supplies of 52100 Steel during the first half of 1996.</w:t>
      </w:r>
    </w:p>
    <w:p>
      <w:pPr>
        <w:spacing w:after="0" w:line="189"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Working capital, which consists principally of accounts receivable and inventories was $15.7 million at June 30, 1996 as compared to $13.4 million at December 31, 1995. The ratio of current assets to current liabilities remained constant at 2.0:1 at June 30, 1996 and at December 31, 1995. Cash flow from operations decreased from $4.4 million during the first half 1995 to $3.9 million during the first half of 1996. This decrease was primarily attributed to the decrease in accounts payable $2.5 million and increases in accounts receivable of $2.6 million and increase in inventories of $791,000. This decrease was partially offset by an increase in net income of $2.1 million and an increase in other liabilities of $769,000.</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During 1996, the Company plans to spend $12.0 million on capital expenditures (of which $6.6 million has been spent through June 30, 1996) including the purchase and further renovation of the Mountain City facility, as well as the purchase of additional machinery and equipment for all three of the Company's facilities. The Company intends to finance these activities with cash generated from operations and funds available under the credit facility described above. The Company believes that funds generated from operations and borrowings from the credit facility will be sufficient to finance the Company's working capital needs and projected capital expenditure requirements through December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00"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12</w:t>
      </w:r>
    </w:p>
    <w:p>
      <w:pPr>
        <w:spacing w:after="0" w:line="200" w:lineRule="exact"/>
        <w:rPr>
          <w:sz w:val="20"/>
          <w:szCs w:val="20"/>
          <w:color w:val="auto"/>
        </w:rPr>
      </w:pPr>
    </w:p>
    <w:p>
      <w:pPr>
        <w:spacing w:after="0" w:line="358" w:lineRule="exact"/>
        <w:rPr>
          <w:sz w:val="20"/>
          <w:szCs w:val="20"/>
          <w:color w:val="auto"/>
        </w:rPr>
      </w:pPr>
    </w:p>
    <w:p>
      <w:pPr>
        <w:ind w:left="2500"/>
        <w:spacing w:after="0"/>
        <w:tabs>
          <w:tab w:leader="none" w:pos="3440" w:val="left"/>
        </w:tabs>
        <w:rPr>
          <w:sz w:val="20"/>
          <w:szCs w:val="20"/>
          <w:color w:val="auto"/>
        </w:rPr>
      </w:pPr>
      <w:r>
        <w:rPr>
          <w:rFonts w:ascii="Courier New" w:cs="Courier New" w:eastAsia="Courier New" w:hAnsi="Courier New"/>
          <w:sz w:val="16"/>
          <w:szCs w:val="16"/>
          <w:color w:val="auto"/>
        </w:rPr>
        <w:t>PART II.</w:t>
        <w:tab/>
        <w:t>OTHER INFORMATION</w:t>
      </w:r>
    </w:p>
    <w:p>
      <w:pPr>
        <w:spacing w:after="0" w:line="3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4.</w:t>
        <w:tab/>
        <w:t>SUBMISSION OF MATTERS TO A VOTE OF SECURITY HOLDERS.</w:t>
      </w:r>
    </w:p>
    <w:p>
      <w:pPr>
        <w:spacing w:after="0" w:line="190" w:lineRule="exact"/>
        <w:rPr>
          <w:sz w:val="20"/>
          <w:szCs w:val="20"/>
          <w:color w:val="auto"/>
        </w:rPr>
      </w:pPr>
    </w:p>
    <w:p>
      <w:pPr>
        <w:ind w:right="2639"/>
        <w:spacing w:after="0" w:line="263" w:lineRule="auto"/>
        <w:rPr>
          <w:sz w:val="20"/>
          <w:szCs w:val="20"/>
          <w:color w:val="auto"/>
        </w:rPr>
      </w:pPr>
      <w:r>
        <w:rPr>
          <w:rFonts w:ascii="Courier New" w:cs="Courier New" w:eastAsia="Courier New" w:hAnsi="Courier New"/>
          <w:sz w:val="15"/>
          <w:szCs w:val="15"/>
          <w:color w:val="auto"/>
        </w:rPr>
        <w:t>The Company's Annual Meeting of Stockholders was held on May 2, 1996. As of March 18, 1996, the record date for the meeting, there were 14,474,511 shares of common stock outstanding and entitled to vote at the meeting. There were present at said meeting, in person or by proxy, stockholders holding 11,830,946 shares of common stock, constituting approximately 82% of the shares of common stock outstanding and entitled to vote, which constituted a quorum.</w:t>
      </w:r>
    </w:p>
    <w:p>
      <w:pPr>
        <w:spacing w:after="0" w:line="176"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6"/>
          <w:szCs w:val="16"/>
          <w:color w:val="auto"/>
        </w:rPr>
        <w:t>The first matter voted upon at the meeting was the election of James J. Mitchell and G. Ronald Morris as Class II Directors to serve for three year terms. The results of the voting in connection with such elections were as follows:</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40" w:type="dxa"/>
            <w:vAlign w:val="bottom"/>
          </w:tcPr>
          <w:p>
            <w:pPr>
              <w:spacing w:after="0"/>
              <w:rPr>
                <w:sz w:val="15"/>
                <w:szCs w:val="15"/>
                <w:color w:val="auto"/>
              </w:rPr>
            </w:pPr>
          </w:p>
        </w:tc>
        <w:tc>
          <w:tcPr>
            <w:tcW w:w="2780" w:type="dxa"/>
            <w:vAlign w:val="bottom"/>
          </w:tcPr>
          <w:p>
            <w:pPr>
              <w:jc w:val="right"/>
              <w:ind w:right="1120"/>
              <w:spacing w:after="0"/>
              <w:rPr>
                <w:sz w:val="20"/>
                <w:szCs w:val="20"/>
                <w:color w:val="auto"/>
              </w:rPr>
            </w:pPr>
            <w:r>
              <w:rPr>
                <w:rFonts w:ascii="Courier New" w:cs="Courier New" w:eastAsia="Courier New" w:hAnsi="Courier New"/>
                <w:sz w:val="16"/>
                <w:szCs w:val="16"/>
                <w:color w:val="auto"/>
              </w:rPr>
              <w:t>FOR</w:t>
            </w:r>
          </w:p>
        </w:tc>
        <w:tc>
          <w:tcPr>
            <w:tcW w:w="1600" w:type="dxa"/>
            <w:vAlign w:val="bottom"/>
          </w:tcPr>
          <w:p>
            <w:pPr>
              <w:jc w:val="center"/>
              <w:ind w:left="740"/>
              <w:spacing w:after="0"/>
              <w:rPr>
                <w:sz w:val="20"/>
                <w:szCs w:val="20"/>
                <w:color w:val="auto"/>
              </w:rPr>
            </w:pPr>
            <w:r>
              <w:rPr>
                <w:rFonts w:ascii="Courier New" w:cs="Courier New" w:eastAsia="Courier New" w:hAnsi="Courier New"/>
                <w:sz w:val="16"/>
                <w:szCs w:val="16"/>
                <w:color w:val="auto"/>
              </w:rPr>
              <w:t>WITHHELD</w:t>
            </w:r>
          </w:p>
        </w:tc>
      </w:tr>
      <w:tr>
        <w:trPr>
          <w:trHeight w:val="370"/>
        </w:trPr>
        <w:tc>
          <w:tcPr>
            <w:tcW w:w="2640" w:type="dxa"/>
            <w:vAlign w:val="bottom"/>
          </w:tcPr>
          <w:p>
            <w:pPr>
              <w:spacing w:after="0"/>
              <w:rPr>
                <w:sz w:val="20"/>
                <w:szCs w:val="20"/>
                <w:color w:val="auto"/>
              </w:rPr>
            </w:pPr>
            <w:r>
              <w:rPr>
                <w:rFonts w:ascii="Courier New" w:cs="Courier New" w:eastAsia="Courier New" w:hAnsi="Courier New"/>
                <w:sz w:val="16"/>
                <w:szCs w:val="16"/>
                <w:color w:val="auto"/>
              </w:rPr>
              <w:t>James J. Mitchell</w:t>
            </w:r>
          </w:p>
        </w:tc>
        <w:tc>
          <w:tcPr>
            <w:tcW w:w="2780" w:type="dxa"/>
            <w:vAlign w:val="bottom"/>
          </w:tcPr>
          <w:p>
            <w:pPr>
              <w:jc w:val="right"/>
              <w:ind w:right="720"/>
              <w:spacing w:after="0"/>
              <w:rPr>
                <w:sz w:val="20"/>
                <w:szCs w:val="20"/>
                <w:color w:val="auto"/>
              </w:rPr>
            </w:pPr>
            <w:r>
              <w:rPr>
                <w:rFonts w:ascii="Courier New" w:cs="Courier New" w:eastAsia="Courier New" w:hAnsi="Courier New"/>
                <w:sz w:val="16"/>
                <w:szCs w:val="16"/>
                <w:color w:val="auto"/>
              </w:rPr>
              <w:t>11,745,584</w:t>
            </w:r>
          </w:p>
        </w:tc>
        <w:tc>
          <w:tcPr>
            <w:tcW w:w="1600" w:type="dxa"/>
            <w:vAlign w:val="bottom"/>
          </w:tcPr>
          <w:p>
            <w:pPr>
              <w:jc w:val="center"/>
              <w:ind w:left="740"/>
              <w:spacing w:after="0"/>
              <w:rPr>
                <w:sz w:val="20"/>
                <w:szCs w:val="20"/>
                <w:color w:val="auto"/>
              </w:rPr>
            </w:pPr>
            <w:r>
              <w:rPr>
                <w:rFonts w:ascii="Courier New" w:cs="Courier New" w:eastAsia="Courier New" w:hAnsi="Courier New"/>
                <w:sz w:val="16"/>
                <w:szCs w:val="16"/>
                <w:color w:val="auto"/>
              </w:rPr>
              <w:t>85,362</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G. Ronald Morris</w:t>
            </w:r>
          </w:p>
        </w:tc>
        <w:tc>
          <w:tcPr>
            <w:tcW w:w="2780" w:type="dxa"/>
            <w:vAlign w:val="bottom"/>
          </w:tcPr>
          <w:p>
            <w:pPr>
              <w:jc w:val="right"/>
              <w:ind w:right="720"/>
              <w:spacing w:after="0"/>
              <w:rPr>
                <w:sz w:val="20"/>
                <w:szCs w:val="20"/>
                <w:color w:val="auto"/>
              </w:rPr>
            </w:pPr>
            <w:r>
              <w:rPr>
                <w:rFonts w:ascii="Courier New" w:cs="Courier New" w:eastAsia="Courier New" w:hAnsi="Courier New"/>
                <w:sz w:val="16"/>
                <w:szCs w:val="16"/>
                <w:color w:val="auto"/>
              </w:rPr>
              <w:t>11,745,584</w:t>
            </w:r>
          </w:p>
        </w:tc>
        <w:tc>
          <w:tcPr>
            <w:tcW w:w="1600" w:type="dxa"/>
            <w:vAlign w:val="bottom"/>
          </w:tcPr>
          <w:p>
            <w:pPr>
              <w:jc w:val="center"/>
              <w:ind w:left="740"/>
              <w:spacing w:after="0"/>
              <w:rPr>
                <w:sz w:val="20"/>
                <w:szCs w:val="20"/>
                <w:color w:val="auto"/>
              </w:rPr>
            </w:pPr>
            <w:r>
              <w:rPr>
                <w:rFonts w:ascii="Courier New" w:cs="Courier New" w:eastAsia="Courier New" w:hAnsi="Courier New"/>
                <w:sz w:val="16"/>
                <w:szCs w:val="16"/>
                <w:color w:val="auto"/>
              </w:rPr>
              <w:t>85,362</w:t>
            </w:r>
          </w:p>
        </w:tc>
      </w:tr>
    </w:tbl>
    <w:p>
      <w:pPr>
        <w:spacing w:after="0" w:line="375"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Accordingly, all nominees were elected to serve until the 1999 Annual Meeting of Stockholders and until their successors are duly elected and qualified. In addition to the foregoing directors, Richard D. Ennen and Roderick R. Baty are currently serving terms of office as directors which are to expire at the 1997 Annual Meeting of Stockholders, and Deborah Ennen Bagierek, Michael D. Huff and Michael E. Werner are serving terms which are to expire at the 1998 Annual Meeting of Stockholders. On August 2, 1995, Thomas E. Bennett resigned from the Company's Board of Directors. Roderick R. Baty was elected on August 7, 1995, to fill the seat vacated by Mr. Bennett.</w:t>
      </w:r>
    </w:p>
    <w:p>
      <w:pPr>
        <w:spacing w:after="0" w:line="189"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The second matter voted upon at the 1996 Annual Meeting of Stockholders was to amend the Certificate of Incorporation of the Company to increase the number of shares of common stock, par value $0.01 per share that the Company is authorized to issue from 20,000,000 to 45,000,000. The vote was 11,497,578 For and 321,449 Against, and there were 11,915 Abstentions.</w:t>
      </w:r>
    </w:p>
    <w:p>
      <w:pPr>
        <w:spacing w:after="0" w:line="187"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The third matter voted upon at the 1996 Annual Meeting of Stockholders was the ratification of Price Waterhouse LLP as independent public accountants to audit the Company's accounts for the fiscal year ending December 31, 1996. The vote was 11,823,735 For and 4,857 Against, and there were 2,354 Abstentions.</w:t>
      </w:r>
    </w:p>
    <w:p>
      <w:pPr>
        <w:spacing w:after="0" w:line="3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6.</w:t>
        <w:tab/>
        <w:t>EXHIBITS AND REPORTS ON FORM 8-K.</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27 - Financial Data Schedules (For Information of SEC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0"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13</w:t>
      </w:r>
    </w:p>
    <w:p>
      <w:pPr>
        <w:spacing w:after="0" w:line="200" w:lineRule="exact"/>
        <w:rPr>
          <w:sz w:val="20"/>
          <w:szCs w:val="20"/>
          <w:color w:val="auto"/>
        </w:rPr>
      </w:pPr>
    </w:p>
    <w:p>
      <w:pPr>
        <w:spacing w:after="0" w:line="35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SIGNATURES</w:t>
      </w:r>
    </w:p>
    <w:p>
      <w:pPr>
        <w:spacing w:after="0" w:line="375" w:lineRule="exact"/>
        <w:rPr>
          <w:sz w:val="20"/>
          <w:szCs w:val="20"/>
          <w:color w:val="auto"/>
        </w:rPr>
      </w:pPr>
    </w:p>
    <w:p>
      <w:pPr>
        <w:jc w:val="both"/>
        <w:ind w:right="3299"/>
        <w:spacing w:after="0" w:line="24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6"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NN Ball &amp; Roller, Inc.</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10219"/>
          </w:cols>
          <w:pgMar w:left="240" w:top="300" w:right="1440" w:bottom="1440" w:gutter="0" w:footer="0" w:header="0"/>
        </w:sect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8, 1996</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/s/ James J. Mitchell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James J. Mitchell, President and Chief Operating</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Officer</w:t>
      </w:r>
    </w:p>
    <w:p>
      <w:pPr>
        <w:spacing w:after="0" w:line="4"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(Duly Authorized Officer)</w:t>
      </w:r>
    </w:p>
    <w:p>
      <w:pPr>
        <w:spacing w:after="0" w:line="200" w:lineRule="exact"/>
        <w:rPr>
          <w:sz w:val="20"/>
          <w:szCs w:val="20"/>
          <w:color w:val="auto"/>
        </w:rPr>
      </w:pPr>
    </w:p>
    <w:p>
      <w:pPr>
        <w:sectPr>
          <w:pgSz w:w="11900" w:h="16838" w:orient="portrait"/>
          <w:cols w:equalWidth="0" w:num="3">
            <w:col w:w="480" w:space="380"/>
            <w:col w:w="1340" w:space="680"/>
            <w:col w:w="7339"/>
          </w:cols>
          <w:pgMar w:left="240" w:top="300"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8, 1996</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1260"/>
        <w:spacing w:after="0"/>
        <w:tabs>
          <w:tab w:leader="none" w:pos="1720" w:val="left"/>
        </w:tabs>
        <w:rPr>
          <w:sz w:val="20"/>
          <w:szCs w:val="20"/>
          <w:color w:val="auto"/>
        </w:rPr>
      </w:pPr>
      <w:r>
        <w:rPr>
          <w:rFonts w:ascii="Courier New" w:cs="Courier New" w:eastAsia="Courier New" w:hAnsi="Courier New"/>
          <w:sz w:val="16"/>
          <w:szCs w:val="16"/>
          <w:color w:val="auto"/>
        </w:rPr>
        <w:t>/s/</w:t>
        <w:tab/>
        <w:t>Roderick R. Baty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Roderick R. Baty</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Chief Financial Officer and</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Vice President</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(Principal Financial Officer)</w:t>
      </w:r>
    </w:p>
    <w:p>
      <w:pPr>
        <w:spacing w:after="0" w:line="4"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(Duly Authorized Officer)</w:t>
      </w:r>
    </w:p>
    <w:p>
      <w:pPr>
        <w:spacing w:after="0" w:line="200" w:lineRule="exact"/>
        <w:rPr>
          <w:sz w:val="20"/>
          <w:szCs w:val="20"/>
          <w:color w:val="auto"/>
        </w:rPr>
      </w:pPr>
    </w:p>
    <w:p>
      <w:pPr>
        <w:sectPr>
          <w:pgSz w:w="11900" w:h="16838" w:orient="portrait"/>
          <w:cols w:equalWidth="0" w:num="3">
            <w:col w:w="480" w:space="380"/>
            <w:col w:w="1340" w:space="680"/>
            <w:col w:w="7339"/>
          </w:cols>
          <w:pgMar w:left="240" w:top="300"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8, 1996</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/s/ William C. Kelly,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William C. Kelly, Jr.,</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Treasurer, Assistant Secretary and</w:t>
      </w:r>
    </w:p>
    <w:p>
      <w:pPr>
        <w:spacing w:after="0" w:line="4"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Chief Accounting Officer</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(Principal Accounting Officer)</w:t>
      </w:r>
    </w:p>
    <w:p>
      <w:pPr>
        <w:spacing w:after="0" w:line="4"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(Duly Authorized Officer)</w:t>
      </w:r>
    </w:p>
    <w:p>
      <w:pPr>
        <w:spacing w:after="0" w:line="200" w:lineRule="exact"/>
        <w:rPr>
          <w:sz w:val="20"/>
          <w:szCs w:val="20"/>
          <w:color w:val="auto"/>
        </w:rPr>
      </w:pPr>
    </w:p>
    <w:p>
      <w:pPr>
        <w:sectPr>
          <w:pgSz w:w="11900" w:h="16838" w:orient="portrait"/>
          <w:cols w:equalWidth="0" w:num="3">
            <w:col w:w="480" w:space="380"/>
            <w:col w:w="1340" w:space="680"/>
            <w:col w:w="7339"/>
          </w:cols>
          <w:pgMar w:left="240" w:top="30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00" w:right="1440" w:bottom="1440" w:gutter="0" w:footer="0" w:header="0"/>
          <w:type w:val="continuous"/>
        </w:sectPr>
      </w:pPr>
    </w:p>
    <w:bookmarkStart w:id="13" w:name="page14"/>
    <w:bookmarkEnd w:id="13"/>
    <w:p>
      <w:pPr>
        <w:spacing w:after="0"/>
        <w:rPr>
          <w:sz w:val="20"/>
          <w:szCs w:val="20"/>
          <w:color w:val="auto"/>
        </w:rPr>
      </w:pPr>
      <w:r>
        <w:rPr>
          <w:rFonts w:ascii="Courier New" w:cs="Courier New" w:eastAsia="Courier New" w:hAnsi="Courier New"/>
          <w:sz w:val="16"/>
          <w:szCs w:val="16"/>
          <w:color w:val="auto"/>
        </w:rPr>
        <w:t>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 DOLLARS</w:t>
      </w:r>
    </w:p>
    <w:p>
      <w:pPr>
        <w:spacing w:after="0" w:line="373"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6-MOS</w:t>
      </w:r>
    </w:p>
    <w:p>
      <w:pPr>
        <w:spacing w:after="0" w:line="4"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DEC-31-1996</w:t>
      </w:r>
    </w:p>
    <w:p>
      <w:pPr>
        <w:spacing w:after="0" w:line="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JAN-01-1996</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JUN-30-1996</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19,652</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115</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10,604</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31,268</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50,960</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18,723</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63,642</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15,583</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146</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46,193</w:t>
      </w:r>
    </w:p>
    <w:p>
      <w:pPr>
        <w:spacing w:after="0" w:line="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63,642</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48,919</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48,919</w:t>
      </w:r>
    </w:p>
    <w:p>
      <w:pPr>
        <w:spacing w:after="0" w:line="4" w:lineRule="exact"/>
        <w:rPr>
          <w:sz w:val="20"/>
          <w:szCs w:val="20"/>
          <w:color w:val="auto"/>
        </w:rPr>
      </w:pPr>
    </w:p>
    <w:p>
      <w:pPr>
        <w:jc w:val="right"/>
        <w:ind w:right="5519"/>
        <w:spacing w:after="0"/>
        <w:rPr>
          <w:sz w:val="20"/>
          <w:szCs w:val="20"/>
          <w:color w:val="auto"/>
        </w:rPr>
      </w:pPr>
      <w:r>
        <w:rPr>
          <w:rFonts w:ascii="Courier New" w:cs="Courier New" w:eastAsia="Courier New" w:hAnsi="Courier New"/>
          <w:sz w:val="16"/>
          <w:szCs w:val="16"/>
          <w:color w:val="auto"/>
        </w:rPr>
        <w:t>32,931</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36,900</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187</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11,832</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4,080</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7,752</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7,752</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0.51</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0.51</w:t>
      </w:r>
    </w:p>
    <w:sectPr>
      <w:pgSz w:w="11900" w:h="16838" w:orient="portrait"/>
      <w:cols w:equalWidth="0" w:num="1">
        <w:col w:w="10119"/>
      </w:cols>
      <w:pgMar w:left="340" w:top="5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24"/>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upperLetter"/>
      <w:start w:val="4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2019-12-14T03:18:07Z</dcterms:created>
  <dcterms:modified xsi:type="dcterms:W3CDTF">2019-12-14T03:18:07Z</dcterms:modified>
</cp:coreProperties>
</file>